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B18C2">
      <w:pPr>
        <w:divId w:val="1770194636"/>
        <w:rPr>
          <w:rFonts w:eastAsia="Times New Roman"/>
          <w:vanish/>
        </w:rPr>
      </w:pPr>
      <w:r>
        <w:rPr>
          <w:rFonts w:eastAsia="Times New Roman"/>
          <w:vanish/>
        </w:rPr>
        <w:t>00017101551/12021Q3falseP3MP1YP1YP1YP5YP5Y00017101552021-01-032021-10-02xbrli:shares00017101552021-10-29iso4217:USD00017101552021-10-0200017101552021-01-02iso4217:USDxbrli:shares0001710155eye:ProductSalesMember2021-07-042021-10-020001710155</w:t>
      </w:r>
      <w:r>
        <w:rPr>
          <w:rFonts w:eastAsia="Times New Roman"/>
          <w:vanish/>
        </w:rPr>
        <w:t>eye:ProductSalesMember2020-06-282020-09-260001710155eye:ProductSalesMember2021-01-032021-10-020001710155eye:ProductSalesMember2019-12-292020-09-260001710155eye:ServicesAndPlansMember2021-07-042021-10-020001710155eye:ServicesAndPlansMember2020-06-282020-09-</w:t>
      </w:r>
      <w:r>
        <w:rPr>
          <w:rFonts w:eastAsia="Times New Roman"/>
          <w:vanish/>
        </w:rPr>
        <w:t>260001710155eye:ServicesAndPlansMember2021-01-032021-10-020001710155eye:ServicesAndPlansMember2019-12-292020-09-2600017101552021-07-042021-10-0200017101552020-06-282020-09-2600017101552019-12-292020-09-260001710155us-gaap:CommonStockMember2021-01-020001710</w:t>
      </w:r>
      <w:r>
        <w:rPr>
          <w:rFonts w:eastAsia="Times New Roman"/>
          <w:vanish/>
        </w:rPr>
        <w:t>155us-gaap:AdditionalPaidInCapitalMember2021-01-020001710155us-gaap:AccumulatedOtherComprehensiveIncomeMember2021-01-020001710155us-gaap:RetainedEarningsMember2021-01-020001710155us-gaap:TreasuryStockMember2021-01-020001710155us-gaap:AdditionalPaidInCapita</w:t>
      </w:r>
      <w:r>
        <w:rPr>
          <w:rFonts w:eastAsia="Times New Roman"/>
          <w:vanish/>
        </w:rPr>
        <w:t>lMembersrt:CumulativeEffectPeriodOfAdoptionAdjustmentMember2021-01-020001710155us-gaap:RetainedEarningsMembersrt:CumulativeEffectPeriodOfAdoptionAdjustmentMember2021-01-020001710155srt:CumulativeEffectPeriodOfAdoptionAdjustmentMember2021-01-020001710155us-</w:t>
      </w:r>
      <w:r>
        <w:rPr>
          <w:rFonts w:eastAsia="Times New Roman"/>
          <w:vanish/>
        </w:rPr>
        <w:t>gaap:CommonStockMembersrt:CumulativeEffectPeriodOfAdoptionAdjustedBalanceMember2021-01-020001710155srt:CumulativeEffectPeriodOfAdoptionAdjustedBalanceMemberus-gaap:AdditionalPaidInCapitalMember2021-01-020001710155us-gaap:AccumulatedOtherComprehensiveIncome</w:t>
      </w:r>
      <w:r>
        <w:rPr>
          <w:rFonts w:eastAsia="Times New Roman"/>
          <w:vanish/>
        </w:rPr>
        <w:t>Membersrt:CumulativeEffectPeriodOfAdoptionAdjustedBalanceMember2021-01-020001710155us-gaap:RetainedEarningsMembersrt:CumulativeEffectPeriodOfAdoptionAdjustedBalanceMember2021-01-020001710155srt:CumulativeEffectPeriodOfAdoptionAdjustedBalanceMemberus-gaap:T</w:t>
      </w:r>
      <w:r>
        <w:rPr>
          <w:rFonts w:eastAsia="Times New Roman"/>
          <w:vanish/>
        </w:rPr>
        <w:t>reasuryStockMember2021-01-020001710155srt:CumulativeEffectPeriodOfAdoptionAdjustedBalanceMember2021-01-020001710155us-gaap:CommonStockMember2021-01-032021-04-030001710155us-gaap:AdditionalPaidInCapitalMember2021-01-032021-04-0300017101552021-01-032021-04-0</w:t>
      </w:r>
      <w:r>
        <w:rPr>
          <w:rFonts w:eastAsia="Times New Roman"/>
          <w:vanish/>
        </w:rPr>
        <w:t>30001710155us-gaap:TreasuryStockMember2021-01-032021-04-030001710155us-gaap:AccumulatedOtherComprehensiveIncomeMember2021-01-032021-04-030001710155us-gaap:RetainedEarningsMember2021-01-032021-04-030001710155us-gaap:CommonStockMember2021-04-030001710155us-g</w:t>
      </w:r>
      <w:r>
        <w:rPr>
          <w:rFonts w:eastAsia="Times New Roman"/>
          <w:vanish/>
        </w:rPr>
        <w:t>aap:AdditionalPaidInCapitalMember2021-04-030001710155us-gaap:AccumulatedOtherComprehensiveIncomeMember2021-04-030001710155us-gaap:RetainedEarningsMember2021-04-030001710155us-gaap:TreasuryStockMember2021-04-0300017101552021-04-030001710155us-gaap:CommonSto</w:t>
      </w:r>
      <w:r>
        <w:rPr>
          <w:rFonts w:eastAsia="Times New Roman"/>
          <w:vanish/>
        </w:rPr>
        <w:t>ckMember2021-04-042021-07-030001710155us-gaap:AdditionalPaidInCapitalMember2021-04-042021-07-0300017101552021-04-042021-07-030001710155us-gaap:TreasuryStockMember2021-04-042021-07-030001710155us-gaap:AccumulatedOtherComprehensiveIncomeMember2021-04-042021-</w:t>
      </w:r>
      <w:r>
        <w:rPr>
          <w:rFonts w:eastAsia="Times New Roman"/>
          <w:vanish/>
        </w:rPr>
        <w:t>07-030001710155us-gaap:RetainedEarningsMember2021-04-042021-07-030001710155us-gaap:CommonStockMember2021-07-030001710155us-gaap:AdditionalPaidInCapitalMember2021-07-030001710155us-gaap:AccumulatedOtherComprehensiveIncomeMember2021-07-030001710155us-gaap:Re</w:t>
      </w:r>
      <w:r>
        <w:rPr>
          <w:rFonts w:eastAsia="Times New Roman"/>
          <w:vanish/>
        </w:rPr>
        <w:t>tainedEarningsMember2021-07-030001710155us-gaap:TreasuryStockMember2021-07-0300017101552021-07-030001710155us-gaap:CommonStockMember2021-07-042021-10-020001710155us-gaap:AdditionalPaidInCapitalMember2021-07-042021-10-020001710155us-gaap:TreasuryStockMember</w:t>
      </w:r>
      <w:r>
        <w:rPr>
          <w:rFonts w:eastAsia="Times New Roman"/>
          <w:vanish/>
        </w:rPr>
        <w:t>2021-07-042021-10-020001710155us-gaap:AccumulatedOtherComprehensiveIncomeMember2021-07-042021-10-020001710155us-gaap:RetainedEarningsMember2021-07-042021-10-020001710155us-gaap:CommonStockMember2021-10-020001710155us-gaap:AdditionalPaidInCapitalMember2021-</w:t>
      </w:r>
      <w:r>
        <w:rPr>
          <w:rFonts w:eastAsia="Times New Roman"/>
          <w:vanish/>
        </w:rPr>
        <w:t>10-020001710155us-gaap:AccumulatedOtherComprehensiveIncomeMember2021-10-020001710155us-gaap:RetainedEarningsMember2021-10-020001710155us-gaap:TreasuryStockMember2021-10-020001710155us-gaap:CommonStockMember2019-12-280001710155us-gaap:AdditionalPaidInCapita</w:t>
      </w:r>
      <w:r>
        <w:rPr>
          <w:rFonts w:eastAsia="Times New Roman"/>
          <w:vanish/>
        </w:rPr>
        <w:t>lMember2019-12-280001710155us-gaap:AccumulatedOtherComprehensiveIncomeMember2019-12-280001710155us-gaap:RetainedEarningsMember2019-12-280001710155us-gaap:TreasuryStockMember2019-12-2800017101552019-12-280001710155us-gaap:RetainedEarningsMembersrt:Cumulativ</w:t>
      </w:r>
      <w:r>
        <w:rPr>
          <w:rFonts w:eastAsia="Times New Roman"/>
          <w:vanish/>
        </w:rPr>
        <w:t>eEffectPeriodOfAdoptionAdjustmentMember2019-12-280001710155srt:CumulativeEffectPeriodOfAdoptionAdjustmentMember2019-12-280001710155us-gaap:CommonStockMembersrt:CumulativeEffectPeriodOfAdoptionAdjustedBalanceMember2019-12-280001710155srt:CumulativeEffectPer</w:t>
      </w:r>
      <w:r>
        <w:rPr>
          <w:rFonts w:eastAsia="Times New Roman"/>
          <w:vanish/>
        </w:rPr>
        <w:t>iodOfAdoptionAdjustedBalanceMemberus-gaap:AdditionalPaidInCapitalMember2019-12-280001710155us-gaap:AccumulatedOtherComprehensiveIncomeMembersrt:CumulativeEffectPeriodOfAdoptionAdjustedBalanceMember2019-12-280001710155us-gaap:RetainedEarningsMembersrt:Cumul</w:t>
      </w:r>
      <w:r>
        <w:rPr>
          <w:rFonts w:eastAsia="Times New Roman"/>
          <w:vanish/>
        </w:rPr>
        <w:t>ativeEffectPeriodOfAdoptionAdjustedBalanceMember2019-12-280001710155srt:CumulativeEffectPeriodOfAdoptionAdjustedBalanceMemberus-gaap:TreasuryStockMember2019-12-280001710155srt:CumulativeEffectPeriodOfAdoptionAdjustedBalanceMember2019-12-280001710155us-gaap</w:t>
      </w:r>
      <w:r>
        <w:rPr>
          <w:rFonts w:eastAsia="Times New Roman"/>
          <w:vanish/>
        </w:rPr>
        <w:t>:CommonStockMember2019-12-292020-03-280001710155us-gaap:AdditionalPaidInCapitalMember2019-12-292020-03-2800017101552019-12-292020-03-280001710155us-gaap:TreasuryStockMember2019-12-292020-03-280001710155us-gaap:AccumulatedOtherComprehensiveIncomeMember2019-</w:t>
      </w:r>
      <w:r>
        <w:rPr>
          <w:rFonts w:eastAsia="Times New Roman"/>
          <w:vanish/>
        </w:rPr>
        <w:t>12-292020-03-280001710155us-gaap:RetainedEarningsMember2019-12-292020-03-280001710155us-gaap:CommonStockMember2020-03-280001710155us-gaap:AdditionalPaidInCapitalMember2020-03-280001710155us-gaap:AccumulatedOtherComprehensiveIncomeMember2020-03-280001710155</w:t>
      </w:r>
      <w:r>
        <w:rPr>
          <w:rFonts w:eastAsia="Times New Roman"/>
          <w:vanish/>
        </w:rPr>
        <w:t>us-gaap:RetainedEarningsMember2020-03-280001710155us-gaap:TreasuryStockMember2020-03-2800017101552020-03-280001710155us-gaap:CommonStockMember2020-03-292020-06-270001710155us-gaap:AdditionalPaidInCapitalMember2020-03-292020-06-2700017101552020-03-292020-06</w:t>
      </w:r>
      <w:r>
        <w:rPr>
          <w:rFonts w:eastAsia="Times New Roman"/>
          <w:vanish/>
        </w:rPr>
        <w:t>-270001710155us-gaap:AccumulatedOtherComprehensiveIncomeMember2020-03-292020-06-270001710155us-gaap:RetainedEarningsMember2020-03-292020-06-270001710155us-gaap:CommonStockMember2020-06-270001710155us-gaap:AdditionalPaidInCapitalMember2020-06-270001710155us</w:t>
      </w:r>
      <w:r>
        <w:rPr>
          <w:rFonts w:eastAsia="Times New Roman"/>
          <w:vanish/>
        </w:rPr>
        <w:t>-gaap:AccumulatedOtherComprehensiveIncomeMember2020-06-270001710155us-gaap:RetainedEarningsMember2020-06-270001710155us-gaap:TreasuryStockMember2020-06-2700017101552020-06-270001710155us-gaap:CommonStockMember2020-06-282020-09-260001710155us-gaap:Additiona</w:t>
      </w:r>
      <w:r>
        <w:rPr>
          <w:rFonts w:eastAsia="Times New Roman"/>
          <w:vanish/>
        </w:rPr>
        <w:t>lPaidInCapitalMember2020-06-282020-09-260001710155us-gaap:TreasuryStockMember2020-06-282020-09-260001710155us-gaap:AccumulatedOtherComprehensiveIncomeMember2020-06-282020-09-260001710155us-gaap:RetainedEarningsMember2020-06-282020-09-260001710155us-gaap:Co</w:t>
      </w:r>
      <w:r>
        <w:rPr>
          <w:rFonts w:eastAsia="Times New Roman"/>
          <w:vanish/>
        </w:rPr>
        <w:t>mmonStockMember2020-09-260001710155us-gaap:AdditionalPaidInCapitalMember2020-09-260001710155us-gaap:AccumulatedOtherComprehensiveIncomeMember2020-09-260001710155us-gaap:RetainedEarningsMember2020-09-260001710155us-gaap:TreasuryStockMember2020-09-2600017101</w:t>
      </w:r>
      <w:r>
        <w:rPr>
          <w:rFonts w:eastAsia="Times New Roman"/>
          <w:vanish/>
        </w:rPr>
        <w:t>552020-09-26eye:storeeye:store_brandxbrli:pure0001710155eye:NonconsolidatedInvesteeMember2021-01-032021-10-020001710155eye:NonconsolidatedInvesteeMember2021-07-030001710155eye:NonconsolidatedInvesteeMember2021-07-042021-10-020001710155us-gaap:RetainedEarni</w:t>
      </w:r>
      <w:r>
        <w:rPr>
          <w:rFonts w:eastAsia="Times New Roman"/>
          <w:vanish/>
        </w:rPr>
        <w:t>ngsMemberus-gaap:AccountingStandardsUpdate202006Membersrt:CumulativeEffectPeriodOfAdoptionAdjustmentMember2021-01-020001710155us-gaap:AccountingStandardsUpdate202006Membereye:ConvertibleSeniorNotesDueIn2025Membersrt:CumulativeEffectPeriodOfAdoptionAdjustme</w:t>
      </w:r>
      <w:r>
        <w:rPr>
          <w:rFonts w:eastAsia="Times New Roman"/>
          <w:vanish/>
        </w:rPr>
        <w:t>ntMember2021-01-020001710155us-gaap:AccountingStandardsUpdate202006Membersrt:CumulativeEffectPeriodOfAdoptionAdjustmentMember2021-01-020001710155us-gaap:AccountingStandardsUpdate202006Memberus-gaap:AdditionalPaidInCapitalMembersrt:CumulativeEffectPeriodOfA</w:t>
      </w:r>
      <w:r>
        <w:rPr>
          <w:rFonts w:eastAsia="Times New Roman"/>
          <w:vanish/>
        </w:rPr>
        <w:t>doptionAdjustmentMember2021-01-020001710155eye:CalculatedUnderGuidanceInEffectBeforeNewStandardMemberus-gaap:AccountingStandardsUpdate202006Member2021-07-042021-10-020001710155eye:DifferenceBetweenGuidanceInEffectBeforeAndAfterNewStandardMemberus-gaap:Acco</w:t>
      </w:r>
      <w:r>
        <w:rPr>
          <w:rFonts w:eastAsia="Times New Roman"/>
          <w:vanish/>
        </w:rPr>
        <w:t>untingStandardsUpdate202006Member2021-07-042021-10-020001710155eye:CalculatedUnderGuidanceInEffectBeforeNewStandardMemberus-gaap:AccountingStandardsUpdate202006Member2021-01-032021-10-020001710155eye:DifferenceBetweenGuidanceInEffectBeforeAndAfterNewStanda</w:t>
      </w:r>
      <w:r>
        <w:rPr>
          <w:rFonts w:eastAsia="Times New Roman"/>
          <w:vanish/>
        </w:rPr>
        <w:t>rdMemberus-gaap:AccountingStandardsUpdate202006Member2021-01-032021-10-020001710155us-gaap:TradeAccountsReceivableMember2021-10-020001710155us-gaap:TradeAccountsReceivableMember2021-01-020001710155us-gaap:CreditCardReceivablesMember2021-10-020001710155us-g</w:t>
      </w:r>
      <w:r>
        <w:rPr>
          <w:rFonts w:eastAsia="Times New Roman"/>
          <w:vanish/>
        </w:rPr>
        <w:t>aap:CreditCardReceivablesMember2021-01-020001710155eye:OtherReceivablesMember2021-10-020001710155eye:OtherReceivablesMember2021-01-020001710155us-gaap:ConvertibleDebtMembereye:ConvertibleSeniorNotesDueIn2025Member2021-10-020001710155us-gaap:FairValueInputs</w:t>
      </w:r>
      <w:r>
        <w:rPr>
          <w:rFonts w:eastAsia="Times New Roman"/>
          <w:vanish/>
        </w:rPr>
        <w:t>Level2Memberus-gaap:ConvertibleDebtMembereye:ConvertibleSeniorNotesDueIn2025Memberus-gaap:EstimateOfFairValueFairValueDisclosureMember2021-10-020001710155us-gaap:FairValueInputsLevel2Memberus-gaap:ConvertibleDebtMembereye:ConvertibleSeniorNotesDueIn2025Mem</w:t>
      </w:r>
      <w:r>
        <w:rPr>
          <w:rFonts w:eastAsia="Times New Roman"/>
          <w:vanish/>
        </w:rPr>
        <w:t>berus-gaap:EstimateOfFairValueFairValueDisclosureMember2021-01-020001710155us-gaap:ConvertibleDebtMembereye:ConvertibleSeniorNotesDueIn2025Member2021-01-020001710155us-gaap:LoansPayableMembereye:FirstLienTermALoanDueJuly182024Member2021-10-020001710155us-g</w:t>
      </w:r>
      <w:r>
        <w:rPr>
          <w:rFonts w:eastAsia="Times New Roman"/>
          <w:vanish/>
        </w:rPr>
        <w:t>aap:LoansPayableMembereye:FirstLienTermALoanDueJuly182024Member2021-01-020001710155us-gaap:LoansPayableMembereye:FirstLienTermALoanDueJuly182024Member2021-04-042021-07-030001710155us-gaap:LondonInterbankOfferedRateLIBORMembersrt:MinimumMemberus-gaap:LoansP</w:t>
      </w:r>
      <w:r>
        <w:rPr>
          <w:rFonts w:eastAsia="Times New Roman"/>
          <w:vanish/>
        </w:rPr>
        <w:t>ayableMembereye:FirstLienTermALoanDueJuly182024Member2021-04-042021-07-030001710155us-gaap:LondonInterbankOfferedRateLIBORMembersrt:MaximumMemberus-gaap:LoansPayableMembereye:FirstLienTermALoanDueJuly182024Member2021-04-042021-07-030001710155srt:MinimumMem</w:t>
      </w:r>
      <w:r>
        <w:rPr>
          <w:rFonts w:eastAsia="Times New Roman"/>
          <w:vanish/>
        </w:rPr>
        <w:t>berus-gaap:LoansPayableMemberus-gaap:BaseRateMembereye:FirstLienTermALoanDueJuly182024Member2021-04-042021-07-030001710155srt:MaximumMemberus-gaap:LoansPayableMemberus-gaap:BaseRateMembereye:FirstLienTermALoanDueJuly182024Member2021-04-042021-07-0300017101</w:t>
      </w:r>
      <w:r>
        <w:rPr>
          <w:rFonts w:eastAsia="Times New Roman"/>
          <w:vanish/>
        </w:rPr>
        <w:t>55us-gaap:LoansPayableMembereye:FirstLienTermALoanDueJuly182024Member2021-07-030001710155us-gaap:RevolvingCreditFacilityMemberus-gaap:LineOfCreditMember2021-04-042021-10-020001710155srt:ScenarioForecastMemberus-gaap:RevolvingCreditFacilityMemberus-gaap:Lin</w:t>
      </w:r>
      <w:r>
        <w:rPr>
          <w:rFonts w:eastAsia="Times New Roman"/>
          <w:vanish/>
        </w:rPr>
        <w:t>eOfCreditMember2022-01-022024-07-180001710155us-gaap:ConvertibleDebtMembereye:ConvertibleSeniorNotesDueIn2025Member2021-04-030001710155us-gaap:ConvertibleDebtMembereye:ConvertibleSeniorNotesDueIn2025Member2021-07-042021-10-020001710155us-gaap:ConvertibleDe</w:t>
      </w:r>
      <w:r>
        <w:rPr>
          <w:rFonts w:eastAsia="Times New Roman"/>
          <w:vanish/>
        </w:rPr>
        <w:t>btMembereye:ConvertibleSeniorNotesDueIn2025Member2021-01-032021-10-020001710155us-gaap:ConvertibleDebtMembereye:ConvertibleSeniorNotesDueIn2025Member2021-10-022021-10-020001710155eye:InterestRateCollarMember2021-10-020001710155us-gaap:NondesignatedMemberey</w:t>
      </w:r>
      <w:r>
        <w:rPr>
          <w:rFonts w:eastAsia="Times New Roman"/>
          <w:vanish/>
        </w:rPr>
        <w:t>e:InterestRateCollarMember2021-10-020001710155eye:InterestRateSwapAndInterestRateCollarMember2021-01-020001710155us-gaap:InterestRateSwapMemberus-gaap:DesignatedAsHedgingInstrumentMemberus-gaap:CashFlowHedgingMember2021-01-020001710155eye:InterestRateColla</w:t>
      </w:r>
      <w:r>
        <w:rPr>
          <w:rFonts w:eastAsia="Times New Roman"/>
          <w:vanish/>
        </w:rPr>
        <w:t>rMember2021-07-042021-10-020001710155eye:InterestRateCollarMember2021-01-032021-10-020001710155eye:InterestRateCollarOneMember2021-10-020001710155us-gaap:InterestRateSwapMemberus-gaap:NondesignatedMember2020-09-260001710155us-gaap:NondesignatedMembereye:In</w:t>
      </w:r>
      <w:r>
        <w:rPr>
          <w:rFonts w:eastAsia="Times New Roman"/>
          <w:vanish/>
        </w:rPr>
        <w:t>terestRateCollarMember2020-09-260001710155us-gaap:InterestExpenseMembereye:InterestRateSwapAndInterestRateCollarMember2019-12-292020-09-260001710155us-gaap:InterestExpenseMembereye:InterestRateCollarMember2019-12-292020-09-260001710155us-gaap:PerformanceSh</w:t>
      </w:r>
      <w:r>
        <w:rPr>
          <w:rFonts w:eastAsia="Times New Roman"/>
          <w:vanish/>
        </w:rPr>
        <w:t>aresMember2021-01-032021-10-020001710155us-gaap:RestrictedStockUnitsRSUMember2021-01-032021-10-02eye:installment0001710155us-gaap:EmployeeStockOptionMember2021-01-032021-10-020001710155us-gaap:RestrictedStockMember2021-01-032021-10-020001710155srt:MinimumM</w:t>
      </w:r>
      <w:r>
        <w:rPr>
          <w:rFonts w:eastAsia="Times New Roman"/>
          <w:vanish/>
        </w:rPr>
        <w:t>ember2021-01-032021-10-020001710155srt:MaximumMember2021-01-032021-10-020001710155us-gaap:TransferredAtPointInTimeMember2021-07-042021-10-020001710155us-gaap:TransferredAtPointInTimeMember2020-06-282020-09-260001710155us-gaap:TransferredAtPointInTimeMember</w:t>
      </w:r>
      <w:r>
        <w:rPr>
          <w:rFonts w:eastAsia="Times New Roman"/>
          <w:vanish/>
        </w:rPr>
        <w:t>2021-01-032021-10-020001710155us-gaap:TransferredAtPointInTimeMember2019-12-292020-09-260001710155us-gaap:TransferredOverTimeMember2021-07-042021-10-020001710155us-gaap:TransferredOverTimeMember2020-06-282020-09-260001710155us-gaap:TransferredOverTimeMembe</w:t>
      </w:r>
      <w:r>
        <w:rPr>
          <w:rFonts w:eastAsia="Times New Roman"/>
          <w:vanish/>
        </w:rPr>
        <w:t>r2021-01-032021-10-020001710155us-gaap:TransferredOverTimeMember2019-12-292020-09-2600017101552021-10-032021-10-0200017101552022-01-022021-10-0200017101552023-01-012021-10-0200017101552023-12-312021-10-0200017101552025-01-012021-10-020001710155srt:MinimumM</w:t>
      </w:r>
      <w:r>
        <w:rPr>
          <w:rFonts w:eastAsia="Times New Roman"/>
          <w:vanish/>
        </w:rPr>
        <w:t>ember2021-10-020001710155srt:MaximumMember2021-10-02eye:plaintiff0001710155eye:ClassActionFairLaborStandardsActMember2019-11-012019-11-300001710155eye:ClassActionFairLaborStandardsActMembersrt:MaximumMember2019-11-012019-11-30eye:segment0001710155eye:Produ</w:t>
      </w:r>
      <w:r>
        <w:rPr>
          <w:rFonts w:eastAsia="Times New Roman"/>
          <w:vanish/>
        </w:rPr>
        <w:t>ctSalesMembereye:OwnedAndHostStoreBrandsMemberus-gaap:OperatingSegmentsMember2021-07-042021-10-020001710155eye:ProductSalesMembereye:LegacyMemberus-gaap:OperatingSegmentsMember2021-07-042021-10-020001710155eye:ProductSalesMemberus-gaap:CorporateAndOtherMem</w:t>
      </w:r>
      <w:r>
        <w:rPr>
          <w:rFonts w:eastAsia="Times New Roman"/>
          <w:vanish/>
        </w:rPr>
        <w:t>berus-gaap:OperatingSegmentsMember2021-07-042021-10-020001710155eye:ProductSalesMemberus-gaap:MaterialReconcilingItemsMember2021-07-042021-10-020001710155eye:ServicesAndPlansMembereye:OwnedAndHostStoreBrandsMemberus-gaap:OperatingSegmentsMember2021-07-0420</w:t>
      </w:r>
      <w:r>
        <w:rPr>
          <w:rFonts w:eastAsia="Times New Roman"/>
          <w:vanish/>
        </w:rPr>
        <w:t>21-10-020001710155eye:ServicesAndPlansMembereye:LegacyMemberus-gaap:OperatingSegmentsMember2021-07-042021-10-020001710155eye:ServicesAndPlansMemberus-gaap:CorporateAndOtherMemberus-gaap:OperatingSegmentsMember2021-07-042021-10-020001710155eye:ServicesAndPl</w:t>
      </w:r>
      <w:r>
        <w:rPr>
          <w:rFonts w:eastAsia="Times New Roman"/>
          <w:vanish/>
        </w:rPr>
        <w:t>ansMemberus-gaap:MaterialReconcilingItemsMember2021-07-042021-10-020001710155eye:OwnedAndHostStoreBrandsMemberus-gaap:OperatingSegmentsMember2021-07-042021-10-020001710155eye:LegacyMemberus-gaap:OperatingSegmentsMember2021-07-042021-10-020001710155us-gaap:</w:t>
      </w:r>
      <w:r>
        <w:rPr>
          <w:rFonts w:eastAsia="Times New Roman"/>
          <w:vanish/>
        </w:rPr>
        <w:t>CorporateAndOtherMemberus-gaap:OperatingSegmentsMember2021-07-042021-10-020001710155us-gaap:MaterialReconcilingItemsMember2021-07-042021-10-020001710155eye:ProductSalesMembereye:OwnedAndHostStoreBrandsMemberus-gaap:OperatingSegmentsMember2020-06-282020-09-</w:t>
      </w:r>
      <w:r>
        <w:rPr>
          <w:rFonts w:eastAsia="Times New Roman"/>
          <w:vanish/>
        </w:rPr>
        <w:t>260001710155eye:ProductSalesMembereye:LegacyMemberus-gaap:OperatingSegmentsMember2020-06-282020-09-260001710155eye:ProductSalesMemberus-gaap:CorporateAndOtherMemberus-gaap:OperatingSegmentsMember2020-06-282020-09-260001710155eye:ProductSalesMemberus-gaap:M</w:t>
      </w:r>
      <w:r>
        <w:rPr>
          <w:rFonts w:eastAsia="Times New Roman"/>
          <w:vanish/>
        </w:rPr>
        <w:t>aterialReconcilingItemsMember2020-06-282020-09-260001710155eye:ServicesAndPlansMembereye:OwnedAndHostStoreBrandsMemberus-gaap:OperatingSegmentsMember2020-06-282020-09-260001710155eye:ServicesAndPlansMembereye:LegacyMemberus-gaap:OperatingSegmentsMember2020</w:t>
      </w:r>
      <w:r>
        <w:rPr>
          <w:rFonts w:eastAsia="Times New Roman"/>
          <w:vanish/>
        </w:rPr>
        <w:t>-06-282020-09-260001710155eye:ServicesAndPlansMemberus-gaap:CorporateAndOtherMemberus-gaap:OperatingSegmentsMember2020-06-282020-09-260001710155eye:ServicesAndPlansMemberus-gaap:MaterialReconcilingItemsMember2020-06-282020-09-260001710155eye:OwnedAndHostSt</w:t>
      </w:r>
      <w:r>
        <w:rPr>
          <w:rFonts w:eastAsia="Times New Roman"/>
          <w:vanish/>
        </w:rPr>
        <w:t>oreBrandsMemberus-gaap:OperatingSegmentsMember2020-06-282020-09-260001710155eye:LegacyMemberus-gaap:OperatingSegmentsMember2020-06-282020-09-260001710155us-gaap:CorporateAndOtherMemberus-gaap:OperatingSegmentsMember2020-06-282020-09-260001710155us-gaap:Mat</w:t>
      </w:r>
      <w:r>
        <w:rPr>
          <w:rFonts w:eastAsia="Times New Roman"/>
          <w:vanish/>
        </w:rPr>
        <w:t>erialReconcilingItemsMember2020-06-282020-09-260001710155eye:ProductSalesMembereye:OwnedAndHostStoreBrandsMemberus-gaap:OperatingSegmentsMember2021-01-032021-10-020001710155eye:ProductSalesMembereye:LegacyMemberus-gaap:OperatingSegmentsMember2021-01-032021</w:t>
      </w:r>
      <w:r>
        <w:rPr>
          <w:rFonts w:eastAsia="Times New Roman"/>
          <w:vanish/>
        </w:rPr>
        <w:t>-10-020001710155eye:ProductSalesMemberus-gaap:CorporateAndOtherMemberus-gaap:OperatingSegmentsMember2021-01-032021-10-020001710155eye:ProductSalesMemberus-gaap:MaterialReconcilingItemsMember2021-01-032021-10-020001710155eye:ServicesAndPlansMembereye:OwnedA</w:t>
      </w:r>
      <w:r>
        <w:rPr>
          <w:rFonts w:eastAsia="Times New Roman"/>
          <w:vanish/>
        </w:rPr>
        <w:t>ndHostStoreBrandsMemberus-gaap:OperatingSegmentsMember2021-01-032021-10-020001710155eye:ServicesAndPlansMembereye:LegacyMemberus-gaap:OperatingSegmentsMember2021-01-032021-10-020001710155eye:ServicesAndPlansMemberus-gaap:CorporateAndOtherMemberus-gaap:Oper</w:t>
      </w:r>
      <w:r>
        <w:rPr>
          <w:rFonts w:eastAsia="Times New Roman"/>
          <w:vanish/>
        </w:rPr>
        <w:t>atingSegmentsMember2021-01-032021-10-020001710155eye:ServicesAndPlansMemberus-gaap:MaterialReconcilingItemsMember2021-01-032021-10-020001710155eye:OwnedAndHostStoreBrandsMemberus-gaap:OperatingSegmentsMember2021-01-032021-10-020001710155eye:LegacyMemberus-</w:t>
      </w:r>
      <w:r>
        <w:rPr>
          <w:rFonts w:eastAsia="Times New Roman"/>
          <w:vanish/>
        </w:rPr>
        <w:t>gaap:OperatingSegmentsMember2021-01-032021-10-020001710155us-gaap:CorporateAndOtherMemberus-gaap:OperatingSegmentsMember2021-01-032021-10-020001710155us-gaap:MaterialReconcilingItemsMember2021-01-032021-10-020001710155eye:ProductSalesMembereye:OwnedAndHost</w:t>
      </w:r>
      <w:r>
        <w:rPr>
          <w:rFonts w:eastAsia="Times New Roman"/>
          <w:vanish/>
        </w:rPr>
        <w:t>StoreBrandsMemberus-gaap:OperatingSegmentsMember2019-12-292020-09-260001710155eye:ProductSalesMembereye:LegacyMemberus-gaap:OperatingSegmentsMember2019-12-292020-09-260001710155eye:ProductSalesMemberus-gaap:CorporateAndOtherMemberus-gaap:OperatingSegmentsM</w:t>
      </w:r>
      <w:r>
        <w:rPr>
          <w:rFonts w:eastAsia="Times New Roman"/>
          <w:vanish/>
        </w:rPr>
        <w:t>ember2019-12-292020-09-260001710155eye:ProductSalesMemberus-gaap:MaterialReconcilingItemsMember2019-12-292020-09-260001710155eye:ServicesAndPlansMembereye:OwnedAndHostStoreBrandsMemberus-gaap:OperatingSegmentsMember2019-12-292020-09-260001710155eye:Service</w:t>
      </w:r>
      <w:r>
        <w:rPr>
          <w:rFonts w:eastAsia="Times New Roman"/>
          <w:vanish/>
        </w:rPr>
        <w:t>sAndPlansMembereye:LegacyMemberus-gaap:OperatingSegmentsMember2019-12-292020-09-260001710155eye:ServicesAndPlansMemberus-gaap:CorporateAndOtherMemberus-gaap:OperatingSegmentsMember2019-12-292020-09-260001710155eye:ServicesAndPlansMemberus-gaap:MaterialReco</w:t>
      </w:r>
      <w:r>
        <w:rPr>
          <w:rFonts w:eastAsia="Times New Roman"/>
          <w:vanish/>
        </w:rPr>
        <w:t>ncilingItemsMember2019-12-292020-09-260001710155eye:OwnedAndHostStoreBrandsMemberus-gaap:OperatingSegmentsMember2019-12-292020-09-260001710155eye:LegacyMemberus-gaap:OperatingSegmentsMember2019-12-292020-09-260001710155us-gaap:CorporateAndOtherMemberus-gaa</w:t>
      </w:r>
      <w:r>
        <w:rPr>
          <w:rFonts w:eastAsia="Times New Roman"/>
          <w:vanish/>
        </w:rPr>
        <w:t>p:OperatingSegmentsMember2019-12-292020-09-260001710155us-gaap:MaterialReconcilingItemsMember2019-12-292020-09-260001710155eye:StockOptionsAndRestrictedStockUnitsRSUsMember2021-07-042021-10-020001710155eye:StockOptionsAndRestrictedStockUnitsRSUsMember2020-</w:t>
      </w:r>
      <w:r>
        <w:rPr>
          <w:rFonts w:eastAsia="Times New Roman"/>
          <w:vanish/>
        </w:rPr>
        <w:t>06-282020-09-260001710155eye:StockOptionsAndRestrictedStockUnitsRSUsMember2021-01-032021-10-020001710155eye:StockOptionsAndRestrictedStockUnitsRSUsMember2019-12-292020-09-260001710155us-gaap:AccumulatedGainLossNetCashFlowHedgeParentMember2021-07-0300017101</w:t>
      </w:r>
      <w:r>
        <w:rPr>
          <w:rFonts w:eastAsia="Times New Roman"/>
          <w:vanish/>
        </w:rPr>
        <w:t>55us-gaap:AccumulatedGainLossNetCashFlowHedgeParentMember2020-06-270001710155us-gaap:AccumulatedGainLossNetCashFlowHedgeParentMember2021-01-020001710155us-gaap:AccumulatedGainLossNetCashFlowHedgeParentMember2019-12-280001710155us-gaap:AccumulatedGainLossNe</w:t>
      </w:r>
      <w:r>
        <w:rPr>
          <w:rFonts w:eastAsia="Times New Roman"/>
          <w:vanish/>
        </w:rPr>
        <w:t>tCashFlowHedgeParentMember2021-07-042021-10-020001710155us-gaap:AccumulatedGainLossNetCashFlowHedgeParentMember2020-06-282020-09-260001710155us-gaap:AccumulatedGainLossNetCashFlowHedgeParentMember2021-01-032021-10-020001710155us-gaap:AccumulatedGainLossNet</w:t>
      </w:r>
      <w:r>
        <w:rPr>
          <w:rFonts w:eastAsia="Times New Roman"/>
          <w:vanish/>
        </w:rPr>
        <w:t>CashFlowHedgeParentMember2019-12-292020-09-260001710155us-gaap:AccumulatedGainLossNetCashFlowHedgeParentMember2021-10-020001710155us-gaap:AccumulatedGainLossNetCashFlowHedgeParentMember2020-09-260001710155us-gaap:LoansPayableMembereye:FirstLienTermALoanDue</w:t>
      </w:r>
      <w:r>
        <w:rPr>
          <w:rFonts w:eastAsia="Times New Roman"/>
          <w:vanish/>
        </w:rPr>
        <w:t>July182024Memberus-gaap:SubsequentEventMember2021-11-092021-11-090001710155us-gaap:LoansPayableMembereye:FirstLienTermALoanDueJuly182024Memberus-gaap:SubsequentEventMember2021-11-09</w:t>
      </w:r>
    </w:p>
    <w:p w:rsidR="00000000" w:rsidRDefault="002B18C2">
      <w:pPr>
        <w:divId w:val="102375162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566987223"/>
        </w:trPr>
        <w:tc>
          <w:tcPr>
            <w:tcW w:w="50" w:type="pct"/>
            <w:vAlign w:val="center"/>
            <w:hideMark/>
          </w:tcPr>
          <w:p w:rsidR="00000000" w:rsidRDefault="002B18C2">
            <w:pPr>
              <w:rPr>
                <w:rFonts w:eastAsia="Times New Roman"/>
              </w:rPr>
            </w:pPr>
          </w:p>
        </w:tc>
        <w:tc>
          <w:tcPr>
            <w:tcW w:w="494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1566987223"/>
          <w:trHeight w:val="60"/>
        </w:trPr>
        <w:tc>
          <w:tcPr>
            <w:tcW w:w="0" w:type="auto"/>
            <w:gridSpan w:val="3"/>
            <w:tcBorders>
              <w:top w:val="single" w:sz="18" w:space="0" w:color="000000"/>
              <w:bottom w:val="single" w:sz="8" w:space="0" w:color="000000"/>
            </w:tcBorders>
            <w:tcMar>
              <w:top w:w="0" w:type="dxa"/>
              <w:left w:w="20" w:type="dxa"/>
              <w:bottom w:w="0" w:type="dxa"/>
              <w:right w:w="20" w:type="dxa"/>
            </w:tcMar>
            <w:vAlign w:val="center"/>
            <w:hideMark/>
          </w:tcPr>
          <w:p w:rsidR="00000000" w:rsidRDefault="002B18C2">
            <w:pPr>
              <w:spacing w:after="100"/>
              <w:rPr>
                <w:rFonts w:eastAsia="Times New Roman"/>
                <w:sz w:val="20"/>
                <w:szCs w:val="20"/>
              </w:rPr>
            </w:pPr>
          </w:p>
        </w:tc>
      </w:tr>
    </w:tbl>
    <w:p w:rsidR="00000000" w:rsidRDefault="002B18C2">
      <w:pPr>
        <w:jc w:val="center"/>
        <w:rPr>
          <w:rFonts w:eastAsia="Times New Roman"/>
        </w:rPr>
      </w:pPr>
      <w:r>
        <w:rPr>
          <w:rFonts w:eastAsia="Times New Roman"/>
          <w:b/>
          <w:bCs/>
          <w:color w:val="000000"/>
          <w:sz w:val="34"/>
          <w:szCs w:val="34"/>
        </w:rPr>
        <w:t>UNITED STATES</w:t>
      </w:r>
    </w:p>
    <w:p w:rsidR="00000000" w:rsidRDefault="002B18C2">
      <w:pPr>
        <w:jc w:val="center"/>
        <w:rPr>
          <w:rFonts w:eastAsia="Times New Roman"/>
        </w:rPr>
      </w:pPr>
      <w:r>
        <w:rPr>
          <w:rFonts w:eastAsia="Times New Roman"/>
          <w:b/>
          <w:bCs/>
          <w:color w:val="000000"/>
          <w:sz w:val="34"/>
          <w:szCs w:val="34"/>
        </w:rPr>
        <w:t>SECURITIES AND EXCHANGE COMMISSION</w:t>
      </w:r>
    </w:p>
    <w:p w:rsidR="00000000" w:rsidRDefault="002B18C2">
      <w:pPr>
        <w:jc w:val="center"/>
        <w:divId w:val="223833395"/>
        <w:rPr>
          <w:rFonts w:eastAsia="Times New Roman"/>
        </w:rPr>
      </w:pPr>
      <w:r>
        <w:rPr>
          <w:rFonts w:eastAsia="Times New Roman"/>
          <w:b/>
          <w:bCs/>
          <w:color w:val="000000"/>
          <w:sz w:val="18"/>
          <w:szCs w:val="18"/>
        </w:rPr>
        <w:t>Washington, D.C. 20549</w:t>
      </w:r>
    </w:p>
    <w:p w:rsidR="00000000" w:rsidRDefault="002B18C2">
      <w:pPr>
        <w:jc w:val="center"/>
        <w:divId w:val="1679431427"/>
        <w:rPr>
          <w:rFonts w:eastAsia="Times New Roman"/>
        </w:rPr>
      </w:pPr>
      <w:r>
        <w:rPr>
          <w:rFonts w:eastAsia="Times New Roman"/>
          <w:b/>
          <w:bCs/>
          <w:color w:val="000000"/>
          <w:sz w:val="12"/>
          <w:szCs w:val="12"/>
        </w:rPr>
        <w:t>_______________________________________________________________________</w:t>
      </w:r>
    </w:p>
    <w:p w:rsidR="00000000" w:rsidRDefault="002B18C2">
      <w:pPr>
        <w:jc w:val="center"/>
        <w:rPr>
          <w:rFonts w:eastAsia="Times New Roman"/>
        </w:rPr>
      </w:pPr>
      <w:r>
        <w:rPr>
          <w:rFonts w:eastAsia="Times New Roman"/>
          <w:b/>
          <w:bCs/>
          <w:color w:val="000000"/>
          <w:sz w:val="34"/>
          <w:szCs w:val="34"/>
        </w:rPr>
        <w:t xml:space="preserve">FORM 10-Q </w:t>
      </w:r>
    </w:p>
    <w:p w:rsidR="00000000" w:rsidRDefault="002B18C2">
      <w:pPr>
        <w:jc w:val="center"/>
        <w:divId w:val="1399940233"/>
        <w:rPr>
          <w:rFonts w:eastAsia="Times New Roman"/>
        </w:rPr>
      </w:pPr>
      <w:r>
        <w:rPr>
          <w:rFonts w:eastAsia="Times New Roman"/>
          <w:b/>
          <w:bCs/>
          <w:color w:val="000000"/>
          <w:sz w:val="12"/>
          <w:szCs w:val="12"/>
        </w:rPr>
        <w:t>_______________________________________________________________________</w:t>
      </w:r>
    </w:p>
    <w:p w:rsidR="00000000" w:rsidRDefault="002B18C2">
      <w:pPr>
        <w:divId w:val="1882594159"/>
        <w:rPr>
          <w:rFonts w:eastAsia="Times New Roman"/>
        </w:rPr>
      </w:pPr>
      <w:r>
        <w:rPr>
          <w:rFonts w:ascii="Segoe UI Symbol" w:eastAsia="Times New Roman" w:hAnsi="Segoe UI Symbol" w:cs="Segoe UI Symbol"/>
          <w:color w:val="000000"/>
          <w:sz w:val="22"/>
          <w:szCs w:val="22"/>
        </w:rPr>
        <w:t>☒</w:t>
      </w:r>
      <w:r>
        <w:rPr>
          <w:rFonts w:eastAsia="Times New Roman"/>
          <w:b/>
          <w:bCs/>
          <w:color w:val="000000"/>
          <w:sz w:val="22"/>
          <w:szCs w:val="22"/>
        </w:rPr>
        <w:t xml:space="preserve"> QUARTERLY REPORT PURSUANT TO SECTION 13 O</w:t>
      </w:r>
      <w:r>
        <w:rPr>
          <w:rFonts w:eastAsia="Times New Roman"/>
          <w:b/>
          <w:bCs/>
          <w:color w:val="000000"/>
          <w:sz w:val="22"/>
          <w:szCs w:val="22"/>
        </w:rPr>
        <w:t>R 15(d) OF THE SECURITIES EXCHANGE ACT OF 1934</w:t>
      </w:r>
    </w:p>
    <w:p w:rsidR="00000000" w:rsidRDefault="002B18C2">
      <w:pPr>
        <w:jc w:val="center"/>
        <w:divId w:val="90511576"/>
        <w:rPr>
          <w:rFonts w:eastAsia="Times New Roman"/>
        </w:rPr>
      </w:pPr>
      <w:r>
        <w:rPr>
          <w:rFonts w:eastAsia="Times New Roman"/>
          <w:b/>
          <w:bCs/>
          <w:color w:val="000000"/>
          <w:sz w:val="18"/>
          <w:szCs w:val="18"/>
        </w:rPr>
        <w:t xml:space="preserve">For the quarterly period ended October 2, 2021 </w:t>
      </w:r>
    </w:p>
    <w:p w:rsidR="00000000" w:rsidRDefault="002B18C2">
      <w:pPr>
        <w:jc w:val="center"/>
        <w:divId w:val="516772529"/>
        <w:rPr>
          <w:rFonts w:eastAsia="Times New Roman"/>
        </w:rPr>
      </w:pPr>
      <w:r>
        <w:rPr>
          <w:rFonts w:eastAsia="Times New Roman"/>
          <w:b/>
          <w:bCs/>
          <w:color w:val="000000"/>
          <w:sz w:val="18"/>
          <w:szCs w:val="18"/>
        </w:rPr>
        <w:t>OR</w:t>
      </w:r>
    </w:p>
    <w:p w:rsidR="00000000" w:rsidRDefault="002B18C2">
      <w:pPr>
        <w:divId w:val="1929801905"/>
        <w:rPr>
          <w:rFonts w:eastAsia="Times New Roman"/>
        </w:rPr>
      </w:pPr>
      <w:r>
        <w:rPr>
          <w:rFonts w:ascii="Segoe UI Symbol" w:eastAsia="Times New Roman" w:hAnsi="Segoe UI Symbol" w:cs="Segoe UI Symbol"/>
          <w:color w:val="000000"/>
          <w:sz w:val="22"/>
          <w:szCs w:val="22"/>
        </w:rPr>
        <w:t>☐</w:t>
      </w:r>
      <w:r>
        <w:rPr>
          <w:rFonts w:eastAsia="Times New Roman"/>
          <w:b/>
          <w:bCs/>
          <w:color w:val="000000"/>
          <w:sz w:val="22"/>
          <w:szCs w:val="22"/>
        </w:rPr>
        <w:t xml:space="preserve"> TRANSITION REPORT PURSUANT TO SECTION 13 OR 15(d) OF THE SECURITIES EXCHANGE ACT OF 1934</w:t>
      </w:r>
    </w:p>
    <w:p w:rsidR="00000000" w:rsidRDefault="002B18C2">
      <w:pPr>
        <w:jc w:val="center"/>
        <w:divId w:val="1646468831"/>
        <w:rPr>
          <w:rFonts w:eastAsia="Times New Roman"/>
        </w:rPr>
      </w:pPr>
      <w:r>
        <w:rPr>
          <w:rFonts w:eastAsia="Times New Roman"/>
          <w:b/>
          <w:bCs/>
          <w:color w:val="000000"/>
          <w:sz w:val="18"/>
          <w:szCs w:val="18"/>
        </w:rPr>
        <w:t>For the transition period from           to         </w:t>
      </w:r>
    </w:p>
    <w:p w:rsidR="00000000" w:rsidRDefault="002B18C2">
      <w:pPr>
        <w:jc w:val="center"/>
        <w:divId w:val="1859199366"/>
        <w:rPr>
          <w:rFonts w:eastAsia="Times New Roman"/>
        </w:rPr>
      </w:pPr>
      <w:r>
        <w:rPr>
          <w:rFonts w:eastAsia="Times New Roman"/>
          <w:b/>
          <w:bCs/>
          <w:color w:val="000000"/>
          <w:sz w:val="18"/>
          <w:szCs w:val="18"/>
        </w:rPr>
        <w:t>Commission fil</w:t>
      </w:r>
      <w:r>
        <w:rPr>
          <w:rFonts w:eastAsia="Times New Roman"/>
          <w:b/>
          <w:bCs/>
          <w:color w:val="000000"/>
          <w:sz w:val="18"/>
          <w:szCs w:val="18"/>
        </w:rPr>
        <w:t xml:space="preserve">e number 001-38257 </w:t>
      </w:r>
    </w:p>
    <w:p w:rsidR="00000000" w:rsidRDefault="002B18C2">
      <w:pPr>
        <w:jc w:val="center"/>
        <w:divId w:val="812914125"/>
        <w:rPr>
          <w:rFonts w:eastAsia="Times New Roman"/>
        </w:rPr>
      </w:pPr>
      <w:r>
        <w:rPr>
          <w:rFonts w:eastAsia="Times New Roman"/>
          <w:b/>
          <w:bCs/>
          <w:color w:val="000000"/>
          <w:sz w:val="12"/>
          <w:szCs w:val="12"/>
        </w:rPr>
        <w:t>_______________________________________________________________________</w:t>
      </w:r>
    </w:p>
    <w:p w:rsidR="00000000" w:rsidRDefault="002B18C2">
      <w:pPr>
        <w:jc w:val="center"/>
        <w:rPr>
          <w:rFonts w:eastAsia="Times New Roman"/>
        </w:rPr>
      </w:pPr>
      <w:r>
        <w:rPr>
          <w:rFonts w:eastAsia="Times New Roman"/>
          <w:b/>
          <w:bCs/>
          <w:color w:val="000000"/>
          <w:sz w:val="32"/>
          <w:szCs w:val="32"/>
        </w:rPr>
        <w:t>National Vision Holdings, Inc.</w:t>
      </w:r>
    </w:p>
    <w:p w:rsidR="00000000" w:rsidRDefault="002B18C2">
      <w:pPr>
        <w:jc w:val="center"/>
        <w:divId w:val="1737583570"/>
        <w:rPr>
          <w:rFonts w:eastAsia="Times New Roman"/>
        </w:rPr>
      </w:pPr>
      <w:r>
        <w:rPr>
          <w:rFonts w:eastAsia="Times New Roman"/>
          <w:color w:val="000000"/>
          <w:sz w:val="20"/>
          <w:szCs w:val="20"/>
        </w:rPr>
        <w:t>(Exact name of registrant as specified in its charter)</w:t>
      </w:r>
    </w:p>
    <w:p w:rsidR="00000000" w:rsidRDefault="002B18C2">
      <w:pPr>
        <w:jc w:val="center"/>
        <w:rPr>
          <w:rFonts w:eastAsia="Times New Roman"/>
        </w:rPr>
      </w:pPr>
      <w:r>
        <w:rPr>
          <w:rFonts w:eastAsia="Times New Roman"/>
          <w:b/>
          <w:bCs/>
          <w:color w:val="000000"/>
          <w:sz w:val="12"/>
          <w:szCs w:val="12"/>
        </w:rPr>
        <w:t>_______________________________________________________________________</w:t>
      </w:r>
    </w:p>
    <w:tbl>
      <w:tblPr>
        <w:tblW w:w="10440" w:type="dxa"/>
        <w:jc w:val="center"/>
        <w:tblCellMar>
          <w:top w:w="15" w:type="dxa"/>
          <w:left w:w="15" w:type="dxa"/>
          <w:bottom w:w="15" w:type="dxa"/>
          <w:right w:w="15" w:type="dxa"/>
        </w:tblCellMar>
        <w:tblLook w:val="04A0" w:firstRow="1" w:lastRow="0" w:firstColumn="1" w:lastColumn="0" w:noHBand="0" w:noVBand="1"/>
      </w:tblPr>
      <w:tblGrid>
        <w:gridCol w:w="36"/>
        <w:gridCol w:w="4835"/>
        <w:gridCol w:w="36"/>
        <w:gridCol w:w="36"/>
        <w:gridCol w:w="554"/>
        <w:gridCol w:w="36"/>
        <w:gridCol w:w="36"/>
        <w:gridCol w:w="4835"/>
        <w:gridCol w:w="36"/>
      </w:tblGrid>
      <w:tr w:rsidR="00000000">
        <w:trPr>
          <w:divId w:val="1698265697"/>
          <w:jc w:val="center"/>
        </w:trPr>
        <w:tc>
          <w:tcPr>
            <w:tcW w:w="20" w:type="dxa"/>
            <w:vAlign w:val="center"/>
            <w:hideMark/>
          </w:tcPr>
          <w:p w:rsidR="00000000" w:rsidRDefault="002B18C2">
            <w:pPr>
              <w:jc w:val="center"/>
              <w:rPr>
                <w:rFonts w:eastAsia="Times New Roman"/>
              </w:rPr>
            </w:pPr>
          </w:p>
        </w:tc>
        <w:tc>
          <w:tcPr>
            <w:tcW w:w="4880" w:type="dxa"/>
            <w:vAlign w:val="center"/>
            <w:hideMark/>
          </w:tcPr>
          <w:p w:rsidR="00000000" w:rsidRDefault="002B18C2">
            <w:pPr>
              <w:spacing w:after="100"/>
              <w:rPr>
                <w:rFonts w:eastAsia="Times New Roman"/>
                <w:sz w:val="20"/>
                <w:szCs w:val="20"/>
              </w:rPr>
            </w:pPr>
          </w:p>
        </w:tc>
        <w:tc>
          <w:tcPr>
            <w:tcW w:w="20" w:type="dxa"/>
            <w:vAlign w:val="center"/>
            <w:hideMark/>
          </w:tcPr>
          <w:p w:rsidR="00000000" w:rsidRDefault="002B18C2">
            <w:pPr>
              <w:spacing w:after="100"/>
              <w:rPr>
                <w:rFonts w:eastAsia="Times New Roman"/>
                <w:sz w:val="20"/>
                <w:szCs w:val="20"/>
              </w:rPr>
            </w:pPr>
          </w:p>
        </w:tc>
        <w:tc>
          <w:tcPr>
            <w:tcW w:w="20" w:type="dxa"/>
            <w:vAlign w:val="center"/>
            <w:hideMark/>
          </w:tcPr>
          <w:p w:rsidR="00000000" w:rsidRDefault="002B18C2">
            <w:pPr>
              <w:spacing w:after="100"/>
              <w:rPr>
                <w:rFonts w:eastAsia="Times New Roman"/>
                <w:sz w:val="20"/>
                <w:szCs w:val="20"/>
              </w:rPr>
            </w:pPr>
          </w:p>
        </w:tc>
        <w:tc>
          <w:tcPr>
            <w:tcW w:w="560" w:type="dxa"/>
            <w:vAlign w:val="center"/>
            <w:hideMark/>
          </w:tcPr>
          <w:p w:rsidR="00000000" w:rsidRDefault="002B18C2">
            <w:pPr>
              <w:spacing w:after="100"/>
              <w:rPr>
                <w:rFonts w:eastAsia="Times New Roman"/>
                <w:sz w:val="20"/>
                <w:szCs w:val="20"/>
              </w:rPr>
            </w:pPr>
          </w:p>
        </w:tc>
        <w:tc>
          <w:tcPr>
            <w:tcW w:w="20" w:type="dxa"/>
            <w:vAlign w:val="center"/>
            <w:hideMark/>
          </w:tcPr>
          <w:p w:rsidR="00000000" w:rsidRDefault="002B18C2">
            <w:pPr>
              <w:spacing w:after="100"/>
              <w:rPr>
                <w:rFonts w:eastAsia="Times New Roman"/>
                <w:sz w:val="20"/>
                <w:szCs w:val="20"/>
              </w:rPr>
            </w:pPr>
          </w:p>
        </w:tc>
        <w:tc>
          <w:tcPr>
            <w:tcW w:w="20" w:type="dxa"/>
            <w:vAlign w:val="center"/>
            <w:hideMark/>
          </w:tcPr>
          <w:p w:rsidR="00000000" w:rsidRDefault="002B18C2">
            <w:pPr>
              <w:spacing w:after="100"/>
              <w:rPr>
                <w:rFonts w:eastAsia="Times New Roman"/>
                <w:sz w:val="20"/>
                <w:szCs w:val="20"/>
              </w:rPr>
            </w:pPr>
          </w:p>
        </w:tc>
        <w:tc>
          <w:tcPr>
            <w:tcW w:w="4880" w:type="dxa"/>
            <w:vAlign w:val="center"/>
            <w:hideMark/>
          </w:tcPr>
          <w:p w:rsidR="00000000" w:rsidRDefault="002B18C2">
            <w:pPr>
              <w:spacing w:after="100"/>
              <w:rPr>
                <w:rFonts w:eastAsia="Times New Roman"/>
                <w:sz w:val="20"/>
                <w:szCs w:val="20"/>
              </w:rPr>
            </w:pPr>
          </w:p>
        </w:tc>
        <w:tc>
          <w:tcPr>
            <w:tcW w:w="20" w:type="dxa"/>
            <w:vAlign w:val="center"/>
            <w:hideMark/>
          </w:tcPr>
          <w:p w:rsidR="00000000" w:rsidRDefault="002B18C2">
            <w:pPr>
              <w:spacing w:after="100"/>
              <w:rPr>
                <w:rFonts w:eastAsia="Times New Roman"/>
                <w:sz w:val="20"/>
                <w:szCs w:val="20"/>
              </w:rPr>
            </w:pPr>
          </w:p>
        </w:tc>
      </w:tr>
      <w:tr w:rsidR="00000000">
        <w:trPr>
          <w:divId w:val="1698265697"/>
          <w:trHeight w:val="240"/>
          <w:jc w:val="center"/>
        </w:trPr>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8"/>
                <w:szCs w:val="18"/>
              </w:rPr>
              <w:t>46-4841717</w:t>
            </w:r>
          </w:p>
        </w:tc>
      </w:tr>
      <w:tr w:rsidR="00000000">
        <w:trPr>
          <w:divId w:val="1698265697"/>
          <w:trHeight w:val="460"/>
          <w:jc w:val="center"/>
        </w:trPr>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18"/>
                <w:szCs w:val="18"/>
              </w:rPr>
              <w:t>(State or other jurisdiction of</w:t>
            </w:r>
            <w:r>
              <w:rPr>
                <w:rFonts w:eastAsia="Times New Roman"/>
                <w:color w:val="000000"/>
                <w:sz w:val="18"/>
                <w:szCs w:val="18"/>
              </w:rPr>
              <w:br/>
              <w:t>incorporation or organization)</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18"/>
                <w:szCs w:val="18"/>
              </w:rPr>
              <w:t>(I.R.S. Employer</w:t>
            </w:r>
            <w:r>
              <w:rPr>
                <w:rFonts w:eastAsia="Times New Roman"/>
                <w:color w:val="000000"/>
                <w:sz w:val="18"/>
                <w:szCs w:val="18"/>
              </w:rPr>
              <w:br/>
              <w:t>Identification No.)</w:t>
            </w:r>
          </w:p>
        </w:tc>
      </w:tr>
      <w:tr w:rsidR="00000000">
        <w:trPr>
          <w:divId w:val="1698265697"/>
          <w:trHeight w:val="60"/>
          <w:jc w:val="center"/>
        </w:trPr>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698265697"/>
          <w:trHeight w:val="240"/>
          <w:jc w:val="center"/>
        </w:trPr>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8"/>
                <w:szCs w:val="18"/>
              </w:rPr>
              <w:t>2435 Commerce Ave</w:t>
            </w:r>
          </w:p>
        </w:tc>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r>
      <w:tr w:rsidR="00000000">
        <w:trPr>
          <w:divId w:val="1698265697"/>
          <w:trHeight w:val="240"/>
          <w:jc w:val="center"/>
        </w:trPr>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8"/>
                <w:szCs w:val="18"/>
              </w:rPr>
              <w:t>Building 2200</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8"/>
                <w:szCs w:val="18"/>
              </w:rPr>
              <w:t>30096</w:t>
            </w:r>
          </w:p>
        </w:tc>
      </w:tr>
      <w:tr w:rsidR="00000000">
        <w:trPr>
          <w:divId w:val="1698265697"/>
          <w:trHeight w:val="240"/>
          <w:jc w:val="center"/>
        </w:trPr>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8"/>
                <w:szCs w:val="18"/>
              </w:rPr>
              <w:t>Duluth, Georgia</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18"/>
                <w:szCs w:val="18"/>
              </w:rPr>
              <w:t>(Zip Code)</w:t>
            </w:r>
          </w:p>
        </w:tc>
      </w:tr>
      <w:tr w:rsidR="00000000">
        <w:trPr>
          <w:divId w:val="1698265697"/>
          <w:trHeight w:val="240"/>
          <w:jc w:val="center"/>
        </w:trPr>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18"/>
                <w:szCs w:val="18"/>
              </w:rPr>
              <w:t>(Address of principal executive offices)</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r>
    </w:tbl>
    <w:p w:rsidR="00000000" w:rsidRDefault="002B18C2">
      <w:pPr>
        <w:jc w:val="center"/>
        <w:rPr>
          <w:rFonts w:eastAsia="Times New Roman"/>
        </w:rPr>
      </w:pPr>
      <w:r>
        <w:rPr>
          <w:rFonts w:eastAsia="Times New Roman"/>
          <w:b/>
          <w:bCs/>
          <w:color w:val="000000"/>
          <w:sz w:val="18"/>
          <w:szCs w:val="18"/>
        </w:rPr>
        <w:t>(770) 822</w:t>
      </w:r>
      <w:r>
        <w:rPr>
          <w:rFonts w:eastAsia="Times New Roman"/>
          <w:b/>
          <w:bCs/>
          <w:color w:val="000000"/>
          <w:sz w:val="18"/>
          <w:szCs w:val="18"/>
        </w:rPr>
        <w:noBreakHyphen/>
        <w:t xml:space="preserve">3600 </w:t>
      </w:r>
    </w:p>
    <w:p w:rsidR="00000000" w:rsidRDefault="002B18C2">
      <w:pPr>
        <w:jc w:val="center"/>
        <w:divId w:val="199628510"/>
        <w:rPr>
          <w:rFonts w:eastAsia="Times New Roman"/>
        </w:rPr>
      </w:pPr>
      <w:r>
        <w:rPr>
          <w:rFonts w:eastAsia="Times New Roman"/>
          <w:color w:val="000000"/>
          <w:sz w:val="18"/>
          <w:szCs w:val="18"/>
        </w:rPr>
        <w:t>(Registrant’s telephone number, including area code)</w:t>
      </w:r>
    </w:p>
    <w:p w:rsidR="00000000" w:rsidRDefault="002B18C2">
      <w:pPr>
        <w:jc w:val="center"/>
        <w:rPr>
          <w:rFonts w:eastAsia="Times New Roman"/>
        </w:rPr>
      </w:pPr>
      <w:r>
        <w:rPr>
          <w:rFonts w:eastAsia="Times New Roman"/>
          <w:b/>
          <w:bCs/>
          <w:color w:val="000000"/>
          <w:sz w:val="18"/>
          <w:szCs w:val="18"/>
        </w:rPr>
        <w:t>Not Applicable</w:t>
      </w:r>
    </w:p>
    <w:p w:rsidR="00000000" w:rsidRDefault="002B18C2">
      <w:pPr>
        <w:jc w:val="center"/>
        <w:divId w:val="1440418065"/>
        <w:rPr>
          <w:rFonts w:eastAsia="Times New Roman"/>
        </w:rPr>
      </w:pPr>
      <w:r>
        <w:rPr>
          <w:rFonts w:eastAsia="Times New Roman"/>
          <w:color w:val="000000"/>
          <w:sz w:val="18"/>
          <w:szCs w:val="18"/>
        </w:rPr>
        <w:t>(Former name, former address and former fiscal year, if changed since last report)</w:t>
      </w:r>
    </w:p>
    <w:p w:rsidR="00000000" w:rsidRDefault="002B18C2">
      <w:pPr>
        <w:jc w:val="center"/>
        <w:divId w:val="1726492568"/>
        <w:rPr>
          <w:rFonts w:eastAsia="Times New Roman"/>
        </w:rPr>
      </w:pPr>
      <w:r>
        <w:rPr>
          <w:rFonts w:eastAsia="Times New Roman"/>
          <w:b/>
          <w:bCs/>
          <w:color w:val="000000"/>
          <w:sz w:val="12"/>
          <w:szCs w:val="12"/>
        </w:rPr>
        <w:t>_______________________________________________________________________</w:t>
      </w:r>
    </w:p>
    <w:p w:rsidR="00000000" w:rsidRDefault="002B18C2">
      <w:pPr>
        <w:jc w:val="center"/>
        <w:divId w:val="20975588"/>
        <w:rPr>
          <w:rFonts w:eastAsia="Times New Roman"/>
        </w:rPr>
      </w:pPr>
      <w:r>
        <w:rPr>
          <w:rFonts w:eastAsia="Times New Roman"/>
          <w:b/>
          <w:bCs/>
          <w:color w:val="000000"/>
          <w:sz w:val="18"/>
          <w:szCs w:val="18"/>
        </w:rPr>
        <w:t>Securities registered pursuant to Section 12(b) of the Act</w:t>
      </w:r>
    </w:p>
    <w:tbl>
      <w:tblPr>
        <w:tblW w:w="4195" w:type="pct"/>
        <w:jc w:val="center"/>
        <w:tblCellMar>
          <w:top w:w="15" w:type="dxa"/>
          <w:left w:w="15" w:type="dxa"/>
          <w:bottom w:w="15" w:type="dxa"/>
          <w:right w:w="15" w:type="dxa"/>
        </w:tblCellMar>
        <w:tblLook w:val="04A0" w:firstRow="1" w:lastRow="0" w:firstColumn="1" w:lastColumn="0" w:noHBand="0" w:noVBand="1"/>
      </w:tblPr>
      <w:tblGrid>
        <w:gridCol w:w="44"/>
        <w:gridCol w:w="2702"/>
        <w:gridCol w:w="37"/>
        <w:gridCol w:w="36"/>
        <w:gridCol w:w="36"/>
        <w:gridCol w:w="36"/>
        <w:gridCol w:w="46"/>
        <w:gridCol w:w="1120"/>
        <w:gridCol w:w="36"/>
        <w:gridCol w:w="36"/>
        <w:gridCol w:w="36"/>
        <w:gridCol w:w="36"/>
        <w:gridCol w:w="37"/>
        <w:gridCol w:w="2695"/>
        <w:gridCol w:w="36"/>
      </w:tblGrid>
      <w:tr w:rsidR="00000000">
        <w:trPr>
          <w:divId w:val="727411347"/>
          <w:jc w:val="center"/>
        </w:trPr>
        <w:tc>
          <w:tcPr>
            <w:tcW w:w="50" w:type="pct"/>
            <w:vAlign w:val="center"/>
            <w:hideMark/>
          </w:tcPr>
          <w:p w:rsidR="00000000" w:rsidRDefault="002B18C2">
            <w:pPr>
              <w:jc w:val="center"/>
              <w:rPr>
                <w:rFonts w:eastAsia="Times New Roman"/>
              </w:rPr>
            </w:pPr>
          </w:p>
        </w:tc>
        <w:tc>
          <w:tcPr>
            <w:tcW w:w="1956"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83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1957"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727411347"/>
          <w:jc w:val="center"/>
        </w:trPr>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8"/>
                <w:szCs w:val="18"/>
              </w:rPr>
              <w:t xml:space="preserve">Title of each class </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8"/>
                <w:szCs w:val="18"/>
              </w:rPr>
              <w:t>Trading Symbol(s)</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8"/>
                <w:szCs w:val="18"/>
              </w:rPr>
              <w:t>Name of each exchange on which registered</w:t>
            </w:r>
          </w:p>
        </w:tc>
      </w:tr>
      <w:tr w:rsidR="00000000">
        <w:trPr>
          <w:divId w:val="727411347"/>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18"/>
                <w:szCs w:val="18"/>
              </w:rPr>
              <w:t>Common Stock, par value $0.01 per share</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18"/>
                <w:szCs w:val="18"/>
              </w:rPr>
              <w:t>EYE</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18"/>
                <w:szCs w:val="18"/>
              </w:rPr>
              <w:t>NASDAQ</w:t>
            </w:r>
          </w:p>
        </w:tc>
      </w:tr>
    </w:tbl>
    <w:p w:rsidR="00000000" w:rsidRDefault="002B18C2">
      <w:pPr>
        <w:divId w:val="681859549"/>
        <w:rPr>
          <w:rFonts w:eastAsia="Times New Roman"/>
        </w:rPr>
      </w:pPr>
      <w:r>
        <w:rPr>
          <w:rFonts w:eastAsia="Times New Roman"/>
          <w:color w:val="000000"/>
          <w:sz w:val="18"/>
          <w:szCs w:val="18"/>
        </w:rPr>
        <w:t xml:space="preserve">Indicate by check mark whether the registrant (1) has filed all reports required to be filed by Section 13 or 15 (d) of the Securities Exchange Act of 1934 during the preceding 12 months (or for such shorter period that the registrant was required to file </w:t>
      </w:r>
      <w:r>
        <w:rPr>
          <w:rFonts w:eastAsia="Times New Roman"/>
          <w:color w:val="000000"/>
          <w:sz w:val="18"/>
          <w:szCs w:val="18"/>
        </w:rPr>
        <w:t>such reports), and (2) has been subject to such filing requirements for the past 90 days.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2B18C2">
      <w:pPr>
        <w:divId w:val="488644215"/>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w:t>
      </w:r>
      <w:r>
        <w:rPr>
          <w:rFonts w:eastAsia="Times New Roman"/>
          <w:color w:val="000000"/>
          <w:sz w:val="18"/>
          <w:szCs w:val="18"/>
        </w:rPr>
        <w:t xml:space="preserve"> Regulation S-T during the preceding 12 months (or for such shorter period that the registrant was required to submit such files).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2B18C2">
      <w:pPr>
        <w:divId w:val="974221139"/>
        <w:rPr>
          <w:rFonts w:eastAsia="Times New Roman"/>
        </w:rPr>
      </w:pPr>
      <w:r>
        <w:rPr>
          <w:rFonts w:eastAsia="Times New Roman"/>
          <w:color w:val="000000"/>
          <w:sz w:val="18"/>
          <w:szCs w:val="18"/>
        </w:rPr>
        <w:t>Indicate by check mark whether the registrant is a large accelerated filer, an accelerated filer, a non-accele</w:t>
      </w:r>
      <w:r>
        <w:rPr>
          <w:rFonts w:eastAsia="Times New Roman"/>
          <w:color w:val="000000"/>
          <w:sz w:val="18"/>
          <w:szCs w:val="18"/>
        </w:rPr>
        <w:t xml:space="preserve">rated filer, a smaller reporting company, or an emerging growth company. See the definitions of “large accelerated </w:t>
      </w:r>
      <w:r>
        <w:rPr>
          <w:rFonts w:eastAsia="Times New Roman"/>
          <w:color w:val="000000"/>
          <w:sz w:val="18"/>
          <w:szCs w:val="18"/>
        </w:rPr>
        <w:lastRenderedPageBreak/>
        <w:t>filer,” “accelerated filer,” “smaller reporting company,” and “emerging growth company” in Rule 12b-2 of the Exchange Act.</w:t>
      </w:r>
    </w:p>
    <w:tbl>
      <w:tblPr>
        <w:tblW w:w="10320" w:type="dxa"/>
        <w:tblCellMar>
          <w:top w:w="15" w:type="dxa"/>
          <w:left w:w="15" w:type="dxa"/>
          <w:bottom w:w="15" w:type="dxa"/>
          <w:right w:w="15" w:type="dxa"/>
        </w:tblCellMar>
        <w:tblLook w:val="04A0" w:firstRow="1" w:lastRow="0" w:firstColumn="1" w:lastColumn="0" w:noHBand="0" w:noVBand="1"/>
      </w:tblPr>
      <w:tblGrid>
        <w:gridCol w:w="37"/>
        <w:gridCol w:w="1595"/>
        <w:gridCol w:w="36"/>
        <w:gridCol w:w="36"/>
        <w:gridCol w:w="2316"/>
        <w:gridCol w:w="36"/>
        <w:gridCol w:w="36"/>
        <w:gridCol w:w="300"/>
        <w:gridCol w:w="36"/>
        <w:gridCol w:w="36"/>
        <w:gridCol w:w="1377"/>
        <w:gridCol w:w="36"/>
        <w:gridCol w:w="36"/>
        <w:gridCol w:w="2317"/>
        <w:gridCol w:w="36"/>
        <w:gridCol w:w="36"/>
        <w:gridCol w:w="315"/>
        <w:gridCol w:w="36"/>
        <w:gridCol w:w="36"/>
        <w:gridCol w:w="1595"/>
        <w:gridCol w:w="36"/>
      </w:tblGrid>
      <w:tr w:rsidR="00000000">
        <w:trPr>
          <w:divId w:val="1297906127"/>
        </w:trPr>
        <w:tc>
          <w:tcPr>
            <w:tcW w:w="20" w:type="dxa"/>
            <w:vAlign w:val="center"/>
            <w:hideMark/>
          </w:tcPr>
          <w:p w:rsidR="00000000" w:rsidRDefault="002B18C2">
            <w:pPr>
              <w:rPr>
                <w:rFonts w:eastAsia="Times New Roman"/>
              </w:rPr>
            </w:pPr>
          </w:p>
        </w:tc>
        <w:tc>
          <w:tcPr>
            <w:tcW w:w="1640" w:type="dxa"/>
            <w:vAlign w:val="center"/>
            <w:hideMark/>
          </w:tcPr>
          <w:p w:rsidR="00000000" w:rsidRDefault="002B18C2">
            <w:pPr>
              <w:spacing w:after="100"/>
              <w:rPr>
                <w:rFonts w:eastAsia="Times New Roman"/>
                <w:sz w:val="20"/>
                <w:szCs w:val="20"/>
              </w:rPr>
            </w:pPr>
          </w:p>
        </w:tc>
        <w:tc>
          <w:tcPr>
            <w:tcW w:w="20" w:type="dxa"/>
            <w:vAlign w:val="center"/>
            <w:hideMark/>
          </w:tcPr>
          <w:p w:rsidR="00000000" w:rsidRDefault="002B18C2">
            <w:pPr>
              <w:spacing w:after="100"/>
              <w:rPr>
                <w:rFonts w:eastAsia="Times New Roman"/>
                <w:sz w:val="20"/>
                <w:szCs w:val="20"/>
              </w:rPr>
            </w:pPr>
          </w:p>
        </w:tc>
        <w:tc>
          <w:tcPr>
            <w:tcW w:w="20" w:type="dxa"/>
            <w:vAlign w:val="center"/>
            <w:hideMark/>
          </w:tcPr>
          <w:p w:rsidR="00000000" w:rsidRDefault="002B18C2">
            <w:pPr>
              <w:spacing w:after="100"/>
              <w:rPr>
                <w:rFonts w:eastAsia="Times New Roman"/>
                <w:sz w:val="20"/>
                <w:szCs w:val="20"/>
              </w:rPr>
            </w:pPr>
          </w:p>
        </w:tc>
        <w:tc>
          <w:tcPr>
            <w:tcW w:w="2360" w:type="dxa"/>
            <w:vAlign w:val="center"/>
            <w:hideMark/>
          </w:tcPr>
          <w:p w:rsidR="00000000" w:rsidRDefault="002B18C2">
            <w:pPr>
              <w:spacing w:after="100"/>
              <w:rPr>
                <w:rFonts w:eastAsia="Times New Roman"/>
                <w:sz w:val="20"/>
                <w:szCs w:val="20"/>
              </w:rPr>
            </w:pPr>
          </w:p>
        </w:tc>
        <w:tc>
          <w:tcPr>
            <w:tcW w:w="20" w:type="dxa"/>
            <w:vAlign w:val="center"/>
            <w:hideMark/>
          </w:tcPr>
          <w:p w:rsidR="00000000" w:rsidRDefault="002B18C2">
            <w:pPr>
              <w:spacing w:after="100"/>
              <w:rPr>
                <w:rFonts w:eastAsia="Times New Roman"/>
                <w:sz w:val="20"/>
                <w:szCs w:val="20"/>
              </w:rPr>
            </w:pPr>
          </w:p>
        </w:tc>
        <w:tc>
          <w:tcPr>
            <w:tcW w:w="20" w:type="dxa"/>
            <w:vAlign w:val="center"/>
            <w:hideMark/>
          </w:tcPr>
          <w:p w:rsidR="00000000" w:rsidRDefault="002B18C2">
            <w:pPr>
              <w:spacing w:after="100"/>
              <w:rPr>
                <w:rFonts w:eastAsia="Times New Roman"/>
                <w:sz w:val="20"/>
                <w:szCs w:val="20"/>
              </w:rPr>
            </w:pPr>
          </w:p>
        </w:tc>
        <w:tc>
          <w:tcPr>
            <w:tcW w:w="305" w:type="dxa"/>
            <w:vAlign w:val="center"/>
            <w:hideMark/>
          </w:tcPr>
          <w:p w:rsidR="00000000" w:rsidRDefault="002B18C2">
            <w:pPr>
              <w:spacing w:after="100"/>
              <w:rPr>
                <w:rFonts w:eastAsia="Times New Roman"/>
                <w:sz w:val="20"/>
                <w:szCs w:val="20"/>
              </w:rPr>
            </w:pPr>
          </w:p>
        </w:tc>
        <w:tc>
          <w:tcPr>
            <w:tcW w:w="20" w:type="dxa"/>
            <w:vAlign w:val="center"/>
            <w:hideMark/>
          </w:tcPr>
          <w:p w:rsidR="00000000" w:rsidRDefault="002B18C2">
            <w:pPr>
              <w:spacing w:after="100"/>
              <w:rPr>
                <w:rFonts w:eastAsia="Times New Roman"/>
                <w:sz w:val="20"/>
                <w:szCs w:val="20"/>
              </w:rPr>
            </w:pPr>
          </w:p>
        </w:tc>
        <w:tc>
          <w:tcPr>
            <w:tcW w:w="20" w:type="dxa"/>
            <w:vAlign w:val="center"/>
            <w:hideMark/>
          </w:tcPr>
          <w:p w:rsidR="00000000" w:rsidRDefault="002B18C2">
            <w:pPr>
              <w:spacing w:after="100"/>
              <w:rPr>
                <w:rFonts w:eastAsia="Times New Roman"/>
                <w:sz w:val="20"/>
                <w:szCs w:val="20"/>
              </w:rPr>
            </w:pPr>
          </w:p>
        </w:tc>
        <w:tc>
          <w:tcPr>
            <w:tcW w:w="1415" w:type="dxa"/>
            <w:vAlign w:val="center"/>
            <w:hideMark/>
          </w:tcPr>
          <w:p w:rsidR="00000000" w:rsidRDefault="002B18C2">
            <w:pPr>
              <w:spacing w:after="100"/>
              <w:rPr>
                <w:rFonts w:eastAsia="Times New Roman"/>
                <w:sz w:val="20"/>
                <w:szCs w:val="20"/>
              </w:rPr>
            </w:pPr>
          </w:p>
        </w:tc>
        <w:tc>
          <w:tcPr>
            <w:tcW w:w="20" w:type="dxa"/>
            <w:vAlign w:val="center"/>
            <w:hideMark/>
          </w:tcPr>
          <w:p w:rsidR="00000000" w:rsidRDefault="002B18C2">
            <w:pPr>
              <w:spacing w:after="100"/>
              <w:rPr>
                <w:rFonts w:eastAsia="Times New Roman"/>
                <w:sz w:val="20"/>
                <w:szCs w:val="20"/>
              </w:rPr>
            </w:pPr>
          </w:p>
        </w:tc>
        <w:tc>
          <w:tcPr>
            <w:tcW w:w="20" w:type="dxa"/>
            <w:vAlign w:val="center"/>
            <w:hideMark/>
          </w:tcPr>
          <w:p w:rsidR="00000000" w:rsidRDefault="002B18C2">
            <w:pPr>
              <w:spacing w:after="100"/>
              <w:rPr>
                <w:rFonts w:eastAsia="Times New Roman"/>
                <w:sz w:val="20"/>
                <w:szCs w:val="20"/>
              </w:rPr>
            </w:pPr>
          </w:p>
        </w:tc>
        <w:tc>
          <w:tcPr>
            <w:tcW w:w="2360" w:type="dxa"/>
            <w:vAlign w:val="center"/>
            <w:hideMark/>
          </w:tcPr>
          <w:p w:rsidR="00000000" w:rsidRDefault="002B18C2">
            <w:pPr>
              <w:spacing w:after="100"/>
              <w:rPr>
                <w:rFonts w:eastAsia="Times New Roman"/>
                <w:sz w:val="20"/>
                <w:szCs w:val="20"/>
              </w:rPr>
            </w:pPr>
          </w:p>
        </w:tc>
        <w:tc>
          <w:tcPr>
            <w:tcW w:w="20" w:type="dxa"/>
            <w:vAlign w:val="center"/>
            <w:hideMark/>
          </w:tcPr>
          <w:p w:rsidR="00000000" w:rsidRDefault="002B18C2">
            <w:pPr>
              <w:spacing w:after="100"/>
              <w:rPr>
                <w:rFonts w:eastAsia="Times New Roman"/>
                <w:sz w:val="20"/>
                <w:szCs w:val="20"/>
              </w:rPr>
            </w:pPr>
          </w:p>
        </w:tc>
        <w:tc>
          <w:tcPr>
            <w:tcW w:w="20" w:type="dxa"/>
            <w:vAlign w:val="center"/>
            <w:hideMark/>
          </w:tcPr>
          <w:p w:rsidR="00000000" w:rsidRDefault="002B18C2">
            <w:pPr>
              <w:spacing w:after="100"/>
              <w:rPr>
                <w:rFonts w:eastAsia="Times New Roman"/>
                <w:sz w:val="20"/>
                <w:szCs w:val="20"/>
              </w:rPr>
            </w:pPr>
          </w:p>
        </w:tc>
        <w:tc>
          <w:tcPr>
            <w:tcW w:w="320" w:type="dxa"/>
            <w:vAlign w:val="center"/>
            <w:hideMark/>
          </w:tcPr>
          <w:p w:rsidR="00000000" w:rsidRDefault="002B18C2">
            <w:pPr>
              <w:spacing w:after="100"/>
              <w:rPr>
                <w:rFonts w:eastAsia="Times New Roman"/>
                <w:sz w:val="20"/>
                <w:szCs w:val="20"/>
              </w:rPr>
            </w:pPr>
          </w:p>
        </w:tc>
        <w:tc>
          <w:tcPr>
            <w:tcW w:w="20" w:type="dxa"/>
            <w:vAlign w:val="center"/>
            <w:hideMark/>
          </w:tcPr>
          <w:p w:rsidR="00000000" w:rsidRDefault="002B18C2">
            <w:pPr>
              <w:spacing w:after="100"/>
              <w:rPr>
                <w:rFonts w:eastAsia="Times New Roman"/>
                <w:sz w:val="20"/>
                <w:szCs w:val="20"/>
              </w:rPr>
            </w:pPr>
          </w:p>
        </w:tc>
        <w:tc>
          <w:tcPr>
            <w:tcW w:w="20" w:type="dxa"/>
            <w:vAlign w:val="center"/>
            <w:hideMark/>
          </w:tcPr>
          <w:p w:rsidR="00000000" w:rsidRDefault="002B18C2">
            <w:pPr>
              <w:spacing w:after="100"/>
              <w:rPr>
                <w:rFonts w:eastAsia="Times New Roman"/>
                <w:sz w:val="20"/>
                <w:szCs w:val="20"/>
              </w:rPr>
            </w:pPr>
          </w:p>
        </w:tc>
        <w:tc>
          <w:tcPr>
            <w:tcW w:w="1640" w:type="dxa"/>
            <w:vAlign w:val="center"/>
            <w:hideMark/>
          </w:tcPr>
          <w:p w:rsidR="00000000" w:rsidRDefault="002B18C2">
            <w:pPr>
              <w:spacing w:after="100"/>
              <w:rPr>
                <w:rFonts w:eastAsia="Times New Roman"/>
                <w:sz w:val="20"/>
                <w:szCs w:val="20"/>
              </w:rPr>
            </w:pPr>
          </w:p>
        </w:tc>
        <w:tc>
          <w:tcPr>
            <w:tcW w:w="20" w:type="dxa"/>
            <w:vAlign w:val="center"/>
            <w:hideMark/>
          </w:tcPr>
          <w:p w:rsidR="00000000" w:rsidRDefault="002B18C2">
            <w:pPr>
              <w:spacing w:after="100"/>
              <w:rPr>
                <w:rFonts w:eastAsia="Times New Roman"/>
                <w:sz w:val="20"/>
                <w:szCs w:val="20"/>
              </w:rPr>
            </w:pPr>
          </w:p>
        </w:tc>
      </w:tr>
      <w:tr w:rsidR="00000000">
        <w:trPr>
          <w:divId w:val="1297906127"/>
          <w:trHeight w:val="240"/>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r>
      <w:tr w:rsidR="00000000">
        <w:trPr>
          <w:divId w:val="1297906127"/>
          <w:trHeight w:val="240"/>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2B18C2">
            <w:pPr>
              <w:spacing w:after="100"/>
              <w:jc w:val="center"/>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hideMark/>
          </w:tcPr>
          <w:p w:rsidR="00000000" w:rsidRDefault="002B18C2">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r>
      <w:tr w:rsidR="00000000">
        <w:trPr>
          <w:divId w:val="1297906127"/>
          <w:trHeight w:val="240"/>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r>
    </w:tbl>
    <w:p w:rsidR="00000000" w:rsidRDefault="002B18C2">
      <w:pPr>
        <w:divId w:val="482309630"/>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rsidR="00000000" w:rsidRDefault="002B18C2">
      <w:pPr>
        <w:divId w:val="1292904682"/>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2B18C2">
      <w:pPr>
        <w:divId w:val="586891996"/>
        <w:rPr>
          <w:rFonts w:eastAsia="Times New Roman"/>
        </w:rPr>
      </w:pPr>
      <w:r>
        <w:rPr>
          <w:rFonts w:eastAsia="Times New Roman"/>
          <w:color w:val="000000"/>
          <w:sz w:val="18"/>
          <w:szCs w:val="18"/>
        </w:rPr>
        <w:t xml:space="preserve">Indicate the number of shares outstanding of each of the issuer’s classes of common stock, as of the latest practicable date. </w:t>
      </w:r>
    </w:p>
    <w:tbl>
      <w:tblPr>
        <w:tblW w:w="5000" w:type="pct"/>
        <w:tblCellMar>
          <w:top w:w="15" w:type="dxa"/>
          <w:left w:w="15" w:type="dxa"/>
          <w:bottom w:w="15" w:type="dxa"/>
          <w:right w:w="15" w:type="dxa"/>
        </w:tblCellMar>
        <w:tblLook w:val="04A0" w:firstRow="1" w:lastRow="0" w:firstColumn="1" w:lastColumn="0" w:noHBand="0" w:noVBand="1"/>
      </w:tblPr>
      <w:tblGrid>
        <w:gridCol w:w="69"/>
        <w:gridCol w:w="3523"/>
        <w:gridCol w:w="36"/>
        <w:gridCol w:w="69"/>
        <w:gridCol w:w="945"/>
        <w:gridCol w:w="36"/>
        <w:gridCol w:w="69"/>
        <w:gridCol w:w="3523"/>
        <w:gridCol w:w="36"/>
      </w:tblGrid>
      <w:tr w:rsidR="00000000">
        <w:trPr>
          <w:divId w:val="753405602"/>
        </w:trPr>
        <w:tc>
          <w:tcPr>
            <w:tcW w:w="50" w:type="pct"/>
            <w:vAlign w:val="center"/>
            <w:hideMark/>
          </w:tcPr>
          <w:p w:rsidR="00000000" w:rsidRDefault="002B18C2">
            <w:pPr>
              <w:rPr>
                <w:rFonts w:eastAsia="Times New Roman"/>
              </w:rPr>
            </w:pPr>
          </w:p>
        </w:tc>
        <w:tc>
          <w:tcPr>
            <w:tcW w:w="2128"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77"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2128"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753405602"/>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18"/>
                <w:szCs w:val="18"/>
              </w:rPr>
              <w:t>Class</w:t>
            </w:r>
          </w:p>
        </w:tc>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18"/>
                <w:szCs w:val="18"/>
              </w:rPr>
              <w:t>Outstanding at October 29, 2021</w:t>
            </w:r>
          </w:p>
        </w:tc>
      </w:tr>
      <w:tr w:rsidR="00000000">
        <w:trPr>
          <w:divId w:val="75340560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Common stock, $0.01 par value</w:t>
            </w:r>
          </w:p>
        </w:tc>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82,700,895</w:t>
            </w:r>
          </w:p>
        </w:tc>
      </w:tr>
    </w:tbl>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c>
          <w:tcPr>
            <w:tcW w:w="50" w:type="pct"/>
            <w:vAlign w:val="center"/>
            <w:hideMark/>
          </w:tcPr>
          <w:p w:rsidR="00000000" w:rsidRDefault="002B18C2">
            <w:pPr>
              <w:rPr>
                <w:rFonts w:eastAsia="Times New Roman"/>
              </w:rPr>
            </w:pPr>
          </w:p>
        </w:tc>
        <w:tc>
          <w:tcPr>
            <w:tcW w:w="494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trHeight w:val="60"/>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2B18C2">
            <w:pPr>
              <w:spacing w:after="100"/>
              <w:rPr>
                <w:rFonts w:eastAsia="Times New Roman"/>
                <w:sz w:val="20"/>
                <w:szCs w:val="20"/>
              </w:rPr>
            </w:pPr>
          </w:p>
        </w:tc>
      </w:tr>
    </w:tbl>
    <w:p w:rsidR="00000000" w:rsidRDefault="002B18C2">
      <w:pPr>
        <w:divId w:val="1912693765"/>
        <w:rPr>
          <w:rFonts w:eastAsia="Times New Roman"/>
        </w:rPr>
      </w:pPr>
    </w:p>
    <w:p w:rsidR="00000000" w:rsidRDefault="002B18C2">
      <w:pPr>
        <w:rPr>
          <w:rFonts w:eastAsia="Times New Roman"/>
        </w:rPr>
      </w:pPr>
      <w:r>
        <w:rPr>
          <w:rFonts w:eastAsia="Times New Roman"/>
        </w:rPr>
        <w:pict>
          <v:rect id="_x0000_i1025" style="width:0;height:1.5pt" o:hralign="center" o:hrstd="t" o:hr="t" fillcolor="#a0a0a0" stroked="f"/>
        </w:pict>
      </w:r>
    </w:p>
    <w:p w:rsidR="00000000" w:rsidRDefault="002B18C2">
      <w:pPr>
        <w:divId w:val="367334863"/>
        <w:rPr>
          <w:rFonts w:eastAsia="Times New Roman"/>
        </w:rPr>
      </w:pPr>
    </w:p>
    <w:p w:rsidR="00000000" w:rsidRDefault="002B18C2">
      <w:pPr>
        <w:jc w:val="center"/>
        <w:divId w:val="721249527"/>
        <w:rPr>
          <w:rFonts w:eastAsia="Times New Roman"/>
        </w:rPr>
      </w:pPr>
      <w:r>
        <w:rPr>
          <w:rFonts w:eastAsia="Times New Roman"/>
          <w:b/>
          <w:bCs/>
          <w:color w:val="000000"/>
          <w:sz w:val="22"/>
          <w:szCs w:val="22"/>
        </w:rPr>
        <w:t>NATIONAL VISION HOLDINGS, INC. AND SUBSIDIARIES</w:t>
      </w:r>
    </w:p>
    <w:p w:rsidR="00000000" w:rsidRDefault="002B18C2">
      <w:pPr>
        <w:jc w:val="both"/>
        <w:rPr>
          <w:rFonts w:eastAsia="Times New Roman"/>
        </w:rPr>
      </w:pPr>
    </w:p>
    <w:p w:rsidR="00000000" w:rsidRDefault="002B18C2">
      <w:pPr>
        <w:jc w:val="both"/>
        <w:rPr>
          <w:rFonts w:eastAsia="Times New Roman"/>
        </w:rPr>
      </w:pPr>
    </w:p>
    <w:p w:rsidR="00000000" w:rsidRDefault="002B18C2">
      <w:pPr>
        <w:jc w:val="center"/>
        <w:rPr>
          <w:rFonts w:eastAsia="Times New Roman"/>
        </w:rPr>
      </w:pPr>
      <w:r>
        <w:rPr>
          <w:rFonts w:eastAsia="Times New Roman"/>
          <w:b/>
          <w:bCs/>
          <w:color w:val="000000"/>
          <w:sz w:val="22"/>
          <w:szCs w:val="22"/>
        </w:rPr>
        <w:t>Table of Contents</w:t>
      </w:r>
    </w:p>
    <w:tbl>
      <w:tblPr>
        <w:tblW w:w="4858" w:type="pct"/>
        <w:jc w:val="center"/>
        <w:tblCellMar>
          <w:top w:w="15" w:type="dxa"/>
          <w:left w:w="15" w:type="dxa"/>
          <w:bottom w:w="15" w:type="dxa"/>
          <w:right w:w="15" w:type="dxa"/>
        </w:tblCellMar>
        <w:tblLook w:val="04A0" w:firstRow="1" w:lastRow="0" w:firstColumn="1" w:lastColumn="0" w:noHBand="0" w:noVBand="1"/>
      </w:tblPr>
      <w:tblGrid>
        <w:gridCol w:w="62"/>
        <w:gridCol w:w="225"/>
        <w:gridCol w:w="37"/>
        <w:gridCol w:w="62"/>
        <w:gridCol w:w="583"/>
        <w:gridCol w:w="37"/>
        <w:gridCol w:w="63"/>
        <w:gridCol w:w="6507"/>
        <w:gridCol w:w="37"/>
        <w:gridCol w:w="81"/>
        <w:gridCol w:w="340"/>
        <w:gridCol w:w="36"/>
      </w:tblGrid>
      <w:tr w:rsidR="00000000">
        <w:trPr>
          <w:divId w:val="1952659683"/>
          <w:jc w:val="center"/>
        </w:trPr>
        <w:tc>
          <w:tcPr>
            <w:tcW w:w="50" w:type="pct"/>
            <w:vAlign w:val="center"/>
            <w:hideMark/>
          </w:tcPr>
          <w:p w:rsidR="00000000" w:rsidRDefault="002B18C2">
            <w:pPr>
              <w:jc w:val="center"/>
              <w:rPr>
                <w:rFonts w:eastAsia="Times New Roman"/>
              </w:rPr>
            </w:pPr>
          </w:p>
        </w:tc>
        <w:tc>
          <w:tcPr>
            <w:tcW w:w="151"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37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041"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21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195265968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2B18C2">
            <w:pPr>
              <w:spacing w:after="100"/>
              <w:divId w:val="2011441084"/>
              <w:rPr>
                <w:rFonts w:eastAsia="Times New Roman"/>
              </w:rPr>
            </w:pPr>
            <w:r>
              <w:rPr>
                <w:rFonts w:eastAsia="Times New Roman"/>
                <w:color w:val="000000"/>
                <w:sz w:val="20"/>
                <w:szCs w:val="20"/>
              </w:rPr>
              <w:t>Page</w:t>
            </w:r>
          </w:p>
        </w:tc>
      </w:tr>
      <w:tr w:rsidR="00000000">
        <w:trPr>
          <w:divId w:val="1952659683"/>
          <w:jc w:val="center"/>
        </w:trPr>
        <w:tc>
          <w:tcPr>
            <w:tcW w:w="0" w:type="auto"/>
            <w:gridSpan w:val="9"/>
            <w:tcMar>
              <w:top w:w="30" w:type="dxa"/>
              <w:left w:w="20" w:type="dxa"/>
              <w:bottom w:w="30" w:type="dxa"/>
              <w:right w:w="20" w:type="dxa"/>
            </w:tcMar>
            <w:vAlign w:val="center"/>
            <w:hideMark/>
          </w:tcPr>
          <w:p w:rsidR="00000000" w:rsidRDefault="002B18C2">
            <w:pPr>
              <w:spacing w:after="100"/>
              <w:divId w:val="1846239367"/>
              <w:rPr>
                <w:rFonts w:eastAsia="Times New Roman"/>
              </w:rPr>
            </w:pPr>
            <w:hyperlink w:anchor="id605fff70b0446c98320e942db604017_10" w:history="1">
              <w:r>
                <w:rPr>
                  <w:rStyle w:val="a3"/>
                  <w:rFonts w:eastAsia="Times New Roman"/>
                  <w:sz w:val="20"/>
                  <w:szCs w:val="20"/>
                </w:rPr>
                <w:t>SPECIAL NOTE REGARDING FORWARD-LOOKING STATEMENTS</w:t>
              </w:r>
            </w:hyperlink>
          </w:p>
        </w:tc>
        <w:tc>
          <w:tcPr>
            <w:tcW w:w="0" w:type="auto"/>
            <w:gridSpan w:val="3"/>
            <w:tcMar>
              <w:top w:w="30" w:type="dxa"/>
              <w:left w:w="20" w:type="dxa"/>
              <w:bottom w:w="30" w:type="dxa"/>
              <w:right w:w="20" w:type="dxa"/>
            </w:tcMar>
            <w:vAlign w:val="center"/>
            <w:hideMark/>
          </w:tcPr>
          <w:p w:rsidR="00000000" w:rsidRDefault="002B18C2">
            <w:pPr>
              <w:spacing w:after="100"/>
              <w:divId w:val="935481733"/>
              <w:rPr>
                <w:rFonts w:eastAsia="Times New Roman"/>
              </w:rPr>
            </w:pPr>
            <w:hyperlink w:anchor="id605fff70b0446c98320e942db604017_10" w:history="1">
              <w:r>
                <w:rPr>
                  <w:rStyle w:val="a3"/>
                  <w:rFonts w:eastAsia="Times New Roman"/>
                  <w:sz w:val="20"/>
                  <w:szCs w:val="20"/>
                </w:rPr>
                <w:t>3</w:t>
              </w:r>
            </w:hyperlink>
          </w:p>
        </w:tc>
      </w:tr>
      <w:tr w:rsidR="00000000">
        <w:trPr>
          <w:divId w:val="1952659683"/>
          <w:jc w:val="center"/>
        </w:trPr>
        <w:tc>
          <w:tcPr>
            <w:tcW w:w="0" w:type="auto"/>
            <w:gridSpan w:val="9"/>
            <w:tcMar>
              <w:top w:w="30" w:type="dxa"/>
              <w:left w:w="20" w:type="dxa"/>
              <w:bottom w:w="30" w:type="dxa"/>
              <w:right w:w="20" w:type="dxa"/>
            </w:tcMar>
            <w:vAlign w:val="center"/>
            <w:hideMark/>
          </w:tcPr>
          <w:p w:rsidR="00000000" w:rsidRDefault="002B18C2">
            <w:pPr>
              <w:spacing w:after="100"/>
              <w:divId w:val="156656020"/>
              <w:rPr>
                <w:rFonts w:eastAsia="Times New Roman"/>
              </w:rPr>
            </w:pPr>
            <w:hyperlink w:anchor="id605fff70b0446c98320e942db604017_16" w:history="1">
              <w:r>
                <w:rPr>
                  <w:rStyle w:val="a3"/>
                  <w:rFonts w:eastAsia="Times New Roman"/>
                  <w:sz w:val="20"/>
                  <w:szCs w:val="20"/>
                </w:rPr>
                <w:t>Part I – Financial Information</w:t>
              </w:r>
            </w:hyperlink>
          </w:p>
        </w:tc>
        <w:tc>
          <w:tcPr>
            <w:tcW w:w="0" w:type="auto"/>
            <w:gridSpan w:val="3"/>
            <w:tcMar>
              <w:top w:w="30" w:type="dxa"/>
              <w:left w:w="20" w:type="dxa"/>
              <w:bottom w:w="30" w:type="dxa"/>
              <w:right w:w="20" w:type="dxa"/>
            </w:tcMar>
            <w:vAlign w:val="center"/>
            <w:hideMark/>
          </w:tcPr>
          <w:p w:rsidR="00000000" w:rsidRDefault="002B18C2">
            <w:pPr>
              <w:spacing w:after="100"/>
              <w:divId w:val="462500564"/>
              <w:rPr>
                <w:rFonts w:eastAsia="Times New Roman"/>
              </w:rPr>
            </w:pPr>
            <w:hyperlink w:anchor="id605fff70b0446c98320e942db604017_16" w:history="1">
              <w:r>
                <w:rPr>
                  <w:rStyle w:val="a3"/>
                  <w:rFonts w:eastAsia="Times New Roman"/>
                  <w:sz w:val="20"/>
                  <w:szCs w:val="20"/>
                </w:rPr>
                <w:t>5</w:t>
              </w:r>
            </w:hyperlink>
          </w:p>
        </w:tc>
      </w:tr>
      <w:tr w:rsidR="00000000">
        <w:trPr>
          <w:divId w:val="195265968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2B18C2">
            <w:pPr>
              <w:spacing w:after="100"/>
              <w:divId w:val="256717136"/>
              <w:rPr>
                <w:rFonts w:eastAsia="Times New Roman"/>
              </w:rPr>
            </w:pPr>
            <w:hyperlink w:anchor="id605fff70b0446c98320e942db604017_19"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center"/>
            <w:hideMark/>
          </w:tcPr>
          <w:p w:rsidR="00000000" w:rsidRDefault="002B18C2">
            <w:pPr>
              <w:spacing w:after="100"/>
              <w:divId w:val="1626428743"/>
              <w:rPr>
                <w:rFonts w:eastAsia="Times New Roman"/>
              </w:rPr>
            </w:pPr>
            <w:hyperlink w:anchor="id605fff70b0446c98320e942db604017_19" w:history="1">
              <w:r>
                <w:rPr>
                  <w:rStyle w:val="a3"/>
                  <w:rFonts w:eastAsia="Times New Roman"/>
                  <w:sz w:val="20"/>
                  <w:szCs w:val="20"/>
                </w:rPr>
                <w:t>Financial Statements (Unaudited)</w:t>
              </w:r>
            </w:hyperlink>
          </w:p>
        </w:tc>
        <w:tc>
          <w:tcPr>
            <w:tcW w:w="0" w:type="auto"/>
            <w:gridSpan w:val="3"/>
            <w:tcMar>
              <w:top w:w="30" w:type="dxa"/>
              <w:left w:w="20" w:type="dxa"/>
              <w:bottom w:w="30" w:type="dxa"/>
              <w:right w:w="20" w:type="dxa"/>
            </w:tcMar>
            <w:vAlign w:val="center"/>
            <w:hideMark/>
          </w:tcPr>
          <w:p w:rsidR="00000000" w:rsidRDefault="002B18C2">
            <w:pPr>
              <w:spacing w:after="100"/>
              <w:divId w:val="692537202"/>
              <w:rPr>
                <w:rFonts w:eastAsia="Times New Roman"/>
              </w:rPr>
            </w:pPr>
            <w:hyperlink w:anchor="id605fff70b0446c98320e942db604017_19" w:history="1">
              <w:r>
                <w:rPr>
                  <w:rStyle w:val="a3"/>
                  <w:rFonts w:eastAsia="Times New Roman"/>
                  <w:sz w:val="20"/>
                  <w:szCs w:val="20"/>
                </w:rPr>
                <w:t>5</w:t>
              </w:r>
            </w:hyperlink>
          </w:p>
        </w:tc>
      </w:tr>
      <w:tr w:rsidR="00000000">
        <w:trPr>
          <w:divId w:val="195265968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2B18C2">
            <w:pPr>
              <w:spacing w:after="100"/>
              <w:ind w:hanging="360"/>
              <w:divId w:val="234360524"/>
              <w:rPr>
                <w:rFonts w:eastAsia="Times New Roman"/>
              </w:rPr>
            </w:pPr>
            <w:hyperlink w:anchor="id605fff70b0446c98320e942db604017_22" w:history="1">
              <w:r>
                <w:rPr>
                  <w:rStyle w:val="a3"/>
                  <w:rFonts w:eastAsia="Times New Roman"/>
                  <w:sz w:val="20"/>
                  <w:szCs w:val="20"/>
                </w:rPr>
                <w:t>Condensed Consolidated Balance Sheets</w:t>
              </w:r>
            </w:hyperlink>
          </w:p>
        </w:tc>
        <w:tc>
          <w:tcPr>
            <w:tcW w:w="0" w:type="auto"/>
            <w:gridSpan w:val="3"/>
            <w:tcMar>
              <w:top w:w="30" w:type="dxa"/>
              <w:left w:w="20" w:type="dxa"/>
              <w:bottom w:w="30" w:type="dxa"/>
              <w:right w:w="20" w:type="dxa"/>
            </w:tcMar>
            <w:vAlign w:val="center"/>
            <w:hideMark/>
          </w:tcPr>
          <w:p w:rsidR="00000000" w:rsidRDefault="002B18C2">
            <w:pPr>
              <w:spacing w:after="100"/>
              <w:divId w:val="691613852"/>
              <w:rPr>
                <w:rFonts w:eastAsia="Times New Roman"/>
              </w:rPr>
            </w:pPr>
            <w:hyperlink w:anchor="id605fff70b0446c98320e942db604017_22" w:history="1">
              <w:r>
                <w:rPr>
                  <w:rStyle w:val="a3"/>
                  <w:rFonts w:eastAsia="Times New Roman"/>
                  <w:sz w:val="20"/>
                  <w:szCs w:val="20"/>
                </w:rPr>
                <w:t>5</w:t>
              </w:r>
            </w:hyperlink>
          </w:p>
        </w:tc>
      </w:tr>
      <w:tr w:rsidR="00000000">
        <w:trPr>
          <w:divId w:val="195265968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2B18C2">
            <w:pPr>
              <w:spacing w:after="100"/>
              <w:divId w:val="1658455632"/>
              <w:rPr>
                <w:rFonts w:eastAsia="Times New Roman"/>
              </w:rPr>
            </w:pPr>
            <w:hyperlink w:anchor="id605fff70b0446c98320e942db604017_25" w:history="1">
              <w:r>
                <w:rPr>
                  <w:rStyle w:val="a3"/>
                  <w:rFonts w:eastAsia="Times New Roman"/>
                  <w:sz w:val="20"/>
                  <w:szCs w:val="20"/>
                </w:rPr>
                <w:t>Condensed Consolidated Statements of Operations and Comprehensive Income</w:t>
              </w:r>
            </w:hyperlink>
          </w:p>
        </w:tc>
        <w:tc>
          <w:tcPr>
            <w:tcW w:w="0" w:type="auto"/>
            <w:gridSpan w:val="3"/>
            <w:tcMar>
              <w:top w:w="30" w:type="dxa"/>
              <w:left w:w="20" w:type="dxa"/>
              <w:bottom w:w="30" w:type="dxa"/>
              <w:right w:w="20" w:type="dxa"/>
            </w:tcMar>
            <w:vAlign w:val="center"/>
            <w:hideMark/>
          </w:tcPr>
          <w:p w:rsidR="00000000" w:rsidRDefault="002B18C2">
            <w:pPr>
              <w:spacing w:after="100"/>
              <w:divId w:val="941765476"/>
              <w:rPr>
                <w:rFonts w:eastAsia="Times New Roman"/>
              </w:rPr>
            </w:pPr>
            <w:hyperlink w:anchor="id605fff70b0446c98320e942db604017_25" w:history="1">
              <w:r>
                <w:rPr>
                  <w:rStyle w:val="a3"/>
                  <w:rFonts w:eastAsia="Times New Roman"/>
                  <w:sz w:val="20"/>
                  <w:szCs w:val="20"/>
                </w:rPr>
                <w:t>6</w:t>
              </w:r>
            </w:hyperlink>
          </w:p>
        </w:tc>
      </w:tr>
      <w:tr w:rsidR="00000000">
        <w:trPr>
          <w:divId w:val="195265968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2B18C2">
            <w:pPr>
              <w:spacing w:after="100"/>
              <w:ind w:hanging="360"/>
              <w:divId w:val="445933242"/>
              <w:rPr>
                <w:rFonts w:eastAsia="Times New Roman"/>
              </w:rPr>
            </w:pPr>
            <w:hyperlink w:anchor="id605fff70b0446c98320e942db604017_31" w:history="1">
              <w:r>
                <w:rPr>
                  <w:rStyle w:val="a3"/>
                  <w:rFonts w:eastAsia="Times New Roman"/>
                  <w:sz w:val="20"/>
                  <w:szCs w:val="20"/>
                </w:rPr>
                <w:t>Condensed Consolidated Statements of Stockholders’ Equity</w:t>
              </w:r>
            </w:hyperlink>
          </w:p>
        </w:tc>
        <w:tc>
          <w:tcPr>
            <w:tcW w:w="0" w:type="auto"/>
            <w:gridSpan w:val="3"/>
            <w:tcMar>
              <w:top w:w="30" w:type="dxa"/>
              <w:left w:w="20" w:type="dxa"/>
              <w:bottom w:w="30" w:type="dxa"/>
              <w:right w:w="20" w:type="dxa"/>
            </w:tcMar>
            <w:vAlign w:val="center"/>
            <w:hideMark/>
          </w:tcPr>
          <w:p w:rsidR="00000000" w:rsidRDefault="002B18C2">
            <w:pPr>
              <w:spacing w:after="100"/>
              <w:divId w:val="486170810"/>
              <w:rPr>
                <w:rFonts w:eastAsia="Times New Roman"/>
              </w:rPr>
            </w:pPr>
            <w:hyperlink w:anchor="id605fff70b0446c98320e942db604017_31" w:history="1">
              <w:r>
                <w:rPr>
                  <w:rStyle w:val="a3"/>
                  <w:rFonts w:eastAsia="Times New Roman"/>
                  <w:sz w:val="20"/>
                  <w:szCs w:val="20"/>
                </w:rPr>
                <w:t>7</w:t>
              </w:r>
            </w:hyperlink>
          </w:p>
        </w:tc>
      </w:tr>
      <w:tr w:rsidR="00000000">
        <w:trPr>
          <w:divId w:val="195265968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2B18C2">
            <w:pPr>
              <w:spacing w:after="100"/>
              <w:ind w:hanging="360"/>
              <w:divId w:val="1605961055"/>
              <w:rPr>
                <w:rFonts w:eastAsia="Times New Roman"/>
              </w:rPr>
            </w:pPr>
            <w:hyperlink w:anchor="id605fff70b0446c98320e942db604017_34" w:history="1">
              <w:r>
                <w:rPr>
                  <w:rStyle w:val="a3"/>
                  <w:rFonts w:eastAsia="Times New Roman"/>
                  <w:sz w:val="20"/>
                  <w:szCs w:val="20"/>
                </w:rPr>
                <w:t>Condensed Consolidated Statements of Cash Flows</w:t>
              </w:r>
            </w:hyperlink>
          </w:p>
        </w:tc>
        <w:tc>
          <w:tcPr>
            <w:tcW w:w="0" w:type="auto"/>
            <w:gridSpan w:val="3"/>
            <w:tcMar>
              <w:top w:w="30" w:type="dxa"/>
              <w:left w:w="20" w:type="dxa"/>
              <w:bottom w:w="30" w:type="dxa"/>
              <w:right w:w="20" w:type="dxa"/>
            </w:tcMar>
            <w:vAlign w:val="center"/>
            <w:hideMark/>
          </w:tcPr>
          <w:p w:rsidR="00000000" w:rsidRDefault="002B18C2">
            <w:pPr>
              <w:spacing w:after="100"/>
              <w:divId w:val="286861921"/>
              <w:rPr>
                <w:rFonts w:eastAsia="Times New Roman"/>
              </w:rPr>
            </w:pPr>
            <w:hyperlink w:anchor="id605fff70b0446c98320e942db604017_34" w:history="1">
              <w:r>
                <w:rPr>
                  <w:rStyle w:val="a3"/>
                  <w:rFonts w:eastAsia="Times New Roman"/>
                  <w:sz w:val="20"/>
                  <w:szCs w:val="20"/>
                </w:rPr>
                <w:t>9</w:t>
              </w:r>
            </w:hyperlink>
          </w:p>
        </w:tc>
      </w:tr>
      <w:tr w:rsidR="00000000">
        <w:trPr>
          <w:divId w:val="195265968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2B18C2">
            <w:pPr>
              <w:spacing w:after="100"/>
              <w:ind w:hanging="360"/>
              <w:divId w:val="1607275730"/>
              <w:rPr>
                <w:rFonts w:eastAsia="Times New Roman"/>
              </w:rPr>
            </w:pPr>
            <w:hyperlink w:anchor="id605fff70b0446c98320e942db604017_37" w:history="1">
              <w:r>
                <w:rPr>
                  <w:rStyle w:val="a3"/>
                  <w:rFonts w:eastAsia="Times New Roman"/>
                  <w:sz w:val="20"/>
                  <w:szCs w:val="20"/>
                </w:rPr>
                <w:t>Notes to Conde</w:t>
              </w:r>
              <w:r>
                <w:rPr>
                  <w:rStyle w:val="a3"/>
                  <w:rFonts w:eastAsia="Times New Roman"/>
                  <w:sz w:val="20"/>
                  <w:szCs w:val="20"/>
                </w:rPr>
                <w:t>nsed Consolidated Financial Statements</w:t>
              </w:r>
            </w:hyperlink>
          </w:p>
        </w:tc>
        <w:tc>
          <w:tcPr>
            <w:tcW w:w="0" w:type="auto"/>
            <w:gridSpan w:val="3"/>
            <w:tcMar>
              <w:top w:w="30" w:type="dxa"/>
              <w:left w:w="20" w:type="dxa"/>
              <w:bottom w:w="30" w:type="dxa"/>
              <w:right w:w="20" w:type="dxa"/>
            </w:tcMar>
            <w:vAlign w:val="center"/>
            <w:hideMark/>
          </w:tcPr>
          <w:p w:rsidR="00000000" w:rsidRDefault="002B18C2">
            <w:pPr>
              <w:spacing w:after="100"/>
              <w:divId w:val="942957305"/>
              <w:rPr>
                <w:rFonts w:eastAsia="Times New Roman"/>
              </w:rPr>
            </w:pPr>
            <w:hyperlink w:anchor="id605fff70b0446c98320e942db604017_37" w:history="1">
              <w:r>
                <w:rPr>
                  <w:rStyle w:val="a3"/>
                  <w:rFonts w:eastAsia="Times New Roman"/>
                  <w:sz w:val="20"/>
                  <w:szCs w:val="20"/>
                </w:rPr>
                <w:t>10</w:t>
              </w:r>
            </w:hyperlink>
          </w:p>
        </w:tc>
      </w:tr>
      <w:tr w:rsidR="00000000">
        <w:trPr>
          <w:divId w:val="195265968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2B18C2">
            <w:pPr>
              <w:spacing w:after="100"/>
              <w:divId w:val="160244393"/>
              <w:rPr>
                <w:rFonts w:eastAsia="Times New Roman"/>
              </w:rPr>
            </w:pPr>
            <w:hyperlink w:anchor="id605fff70b0446c98320e942db604017_124"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center"/>
            <w:hideMark/>
          </w:tcPr>
          <w:p w:rsidR="00000000" w:rsidRDefault="002B18C2">
            <w:pPr>
              <w:spacing w:after="100"/>
              <w:divId w:val="1025979824"/>
              <w:rPr>
                <w:rFonts w:eastAsia="Times New Roman"/>
              </w:rPr>
            </w:pPr>
            <w:hyperlink w:anchor="id605fff70b0446c98320e942db604017_124"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center"/>
            <w:hideMark/>
          </w:tcPr>
          <w:p w:rsidR="00000000" w:rsidRDefault="002B18C2">
            <w:pPr>
              <w:spacing w:after="100"/>
              <w:divId w:val="1051080253"/>
              <w:rPr>
                <w:rFonts w:eastAsia="Times New Roman"/>
              </w:rPr>
            </w:pPr>
            <w:hyperlink w:anchor="id605fff70b0446c98320e942db604017_124" w:history="1">
              <w:r>
                <w:rPr>
                  <w:rStyle w:val="a3"/>
                  <w:rFonts w:eastAsia="Times New Roman"/>
                  <w:sz w:val="20"/>
                  <w:szCs w:val="20"/>
                </w:rPr>
                <w:t>25</w:t>
              </w:r>
            </w:hyperlink>
          </w:p>
        </w:tc>
      </w:tr>
      <w:tr w:rsidR="00000000">
        <w:trPr>
          <w:divId w:val="195265968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2B18C2">
            <w:pPr>
              <w:spacing w:after="100"/>
              <w:divId w:val="1776635968"/>
              <w:rPr>
                <w:rFonts w:eastAsia="Times New Roman"/>
              </w:rPr>
            </w:pPr>
            <w:hyperlink w:anchor="id605fff70b0446c98320e942db604017_154"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center"/>
            <w:hideMark/>
          </w:tcPr>
          <w:p w:rsidR="00000000" w:rsidRDefault="002B18C2">
            <w:pPr>
              <w:spacing w:after="100"/>
              <w:divId w:val="932974646"/>
              <w:rPr>
                <w:rFonts w:eastAsia="Times New Roman"/>
              </w:rPr>
            </w:pPr>
            <w:hyperlink w:anchor="id605fff70b0446c98320e942db604017_154"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center"/>
            <w:hideMark/>
          </w:tcPr>
          <w:p w:rsidR="00000000" w:rsidRDefault="002B18C2">
            <w:pPr>
              <w:spacing w:after="100"/>
              <w:divId w:val="1880311957"/>
              <w:rPr>
                <w:rFonts w:eastAsia="Times New Roman"/>
              </w:rPr>
            </w:pPr>
            <w:hyperlink w:anchor="id605fff70b0446c98320e942db604017_154" w:history="1">
              <w:r>
                <w:rPr>
                  <w:rStyle w:val="a3"/>
                  <w:rFonts w:eastAsia="Times New Roman"/>
                  <w:sz w:val="20"/>
                  <w:szCs w:val="20"/>
                </w:rPr>
                <w:t>43</w:t>
              </w:r>
            </w:hyperlink>
          </w:p>
        </w:tc>
      </w:tr>
      <w:tr w:rsidR="00000000">
        <w:trPr>
          <w:divId w:val="195265968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2B18C2">
            <w:pPr>
              <w:spacing w:after="100"/>
              <w:divId w:val="680158780"/>
              <w:rPr>
                <w:rFonts w:eastAsia="Times New Roman"/>
              </w:rPr>
            </w:pPr>
            <w:hyperlink w:anchor="id605fff70b0446c98320e942db604017_160"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center"/>
            <w:hideMark/>
          </w:tcPr>
          <w:p w:rsidR="00000000" w:rsidRDefault="002B18C2">
            <w:pPr>
              <w:spacing w:after="100"/>
              <w:divId w:val="550459408"/>
              <w:rPr>
                <w:rFonts w:eastAsia="Times New Roman"/>
              </w:rPr>
            </w:pPr>
            <w:hyperlink w:anchor="id605fff70b0446c98320e942db604017_160"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center"/>
            <w:hideMark/>
          </w:tcPr>
          <w:p w:rsidR="00000000" w:rsidRDefault="002B18C2">
            <w:pPr>
              <w:spacing w:after="100"/>
              <w:divId w:val="2143691746"/>
              <w:rPr>
                <w:rFonts w:eastAsia="Times New Roman"/>
              </w:rPr>
            </w:pPr>
            <w:hyperlink w:anchor="id605fff70b0446c98320e942db604017_160" w:history="1">
              <w:r>
                <w:rPr>
                  <w:rStyle w:val="a3"/>
                  <w:rFonts w:eastAsia="Times New Roman"/>
                  <w:sz w:val="20"/>
                  <w:szCs w:val="20"/>
                </w:rPr>
                <w:t>44</w:t>
              </w:r>
            </w:hyperlink>
          </w:p>
        </w:tc>
      </w:tr>
      <w:tr w:rsidR="00000000">
        <w:trPr>
          <w:divId w:val="1952659683"/>
          <w:jc w:val="center"/>
        </w:trPr>
        <w:tc>
          <w:tcPr>
            <w:tcW w:w="0" w:type="auto"/>
            <w:gridSpan w:val="9"/>
            <w:tcMar>
              <w:top w:w="30" w:type="dxa"/>
              <w:left w:w="20" w:type="dxa"/>
              <w:bottom w:w="30" w:type="dxa"/>
              <w:right w:w="20" w:type="dxa"/>
            </w:tcMar>
            <w:vAlign w:val="center"/>
            <w:hideMark/>
          </w:tcPr>
          <w:p w:rsidR="00000000" w:rsidRDefault="002B18C2">
            <w:pPr>
              <w:spacing w:after="100"/>
              <w:divId w:val="628979949"/>
              <w:rPr>
                <w:rFonts w:eastAsia="Times New Roman"/>
              </w:rPr>
            </w:pPr>
            <w:hyperlink w:anchor="id605fff70b0446c98320e942db604017_163" w:history="1">
              <w:r>
                <w:rPr>
                  <w:rStyle w:val="a3"/>
                  <w:rFonts w:eastAsia="Times New Roman"/>
                  <w:sz w:val="20"/>
                  <w:szCs w:val="20"/>
                </w:rPr>
                <w:t>Part II – Other Information</w:t>
              </w:r>
            </w:hyperlink>
          </w:p>
        </w:tc>
        <w:tc>
          <w:tcPr>
            <w:tcW w:w="0" w:type="auto"/>
            <w:gridSpan w:val="3"/>
            <w:tcMar>
              <w:top w:w="30" w:type="dxa"/>
              <w:left w:w="20" w:type="dxa"/>
              <w:bottom w:w="30" w:type="dxa"/>
              <w:right w:w="20" w:type="dxa"/>
            </w:tcMar>
            <w:vAlign w:val="center"/>
            <w:hideMark/>
          </w:tcPr>
          <w:p w:rsidR="00000000" w:rsidRDefault="002B18C2">
            <w:pPr>
              <w:spacing w:after="100"/>
              <w:divId w:val="1475174377"/>
              <w:rPr>
                <w:rFonts w:eastAsia="Times New Roman"/>
              </w:rPr>
            </w:pPr>
            <w:hyperlink w:anchor="id605fff70b0446c98320e942db604017_163" w:history="1">
              <w:r>
                <w:rPr>
                  <w:rStyle w:val="a3"/>
                  <w:rFonts w:eastAsia="Times New Roman"/>
                  <w:sz w:val="20"/>
                  <w:szCs w:val="20"/>
                </w:rPr>
                <w:t>45</w:t>
              </w:r>
            </w:hyperlink>
          </w:p>
        </w:tc>
      </w:tr>
      <w:tr w:rsidR="00000000">
        <w:trPr>
          <w:divId w:val="195265968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2B18C2">
            <w:pPr>
              <w:spacing w:after="100"/>
              <w:divId w:val="363095557"/>
              <w:rPr>
                <w:rFonts w:eastAsia="Times New Roman"/>
              </w:rPr>
            </w:pPr>
            <w:hyperlink w:anchor="id605fff70b0446c98320e942db604017_166"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center"/>
            <w:hideMark/>
          </w:tcPr>
          <w:p w:rsidR="00000000" w:rsidRDefault="002B18C2">
            <w:pPr>
              <w:spacing w:after="100"/>
              <w:divId w:val="1779912397"/>
              <w:rPr>
                <w:rFonts w:eastAsia="Times New Roman"/>
              </w:rPr>
            </w:pPr>
            <w:hyperlink w:anchor="id605fff70b0446c98320e942db604017_166"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center"/>
            <w:hideMark/>
          </w:tcPr>
          <w:p w:rsidR="00000000" w:rsidRDefault="002B18C2">
            <w:pPr>
              <w:spacing w:after="100"/>
              <w:divId w:val="470900317"/>
              <w:rPr>
                <w:rFonts w:eastAsia="Times New Roman"/>
              </w:rPr>
            </w:pPr>
            <w:hyperlink w:anchor="id605fff70b0446c98320e942db604017_166" w:history="1">
              <w:r>
                <w:rPr>
                  <w:rStyle w:val="a3"/>
                  <w:rFonts w:eastAsia="Times New Roman"/>
                  <w:sz w:val="20"/>
                  <w:szCs w:val="20"/>
                </w:rPr>
                <w:t>45</w:t>
              </w:r>
            </w:hyperlink>
          </w:p>
        </w:tc>
      </w:tr>
      <w:tr w:rsidR="00000000">
        <w:trPr>
          <w:divId w:val="195265968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2B18C2">
            <w:pPr>
              <w:spacing w:after="100"/>
              <w:divId w:val="845480896"/>
              <w:rPr>
                <w:rFonts w:eastAsia="Times New Roman"/>
              </w:rPr>
            </w:pPr>
            <w:hyperlink w:anchor="id605fff70b0446c98320e942db604017_169" w:history="1">
              <w:r>
                <w:rPr>
                  <w:rStyle w:val="a3"/>
                  <w:rFonts w:eastAsia="Times New Roman"/>
                  <w:sz w:val="20"/>
                  <w:szCs w:val="20"/>
                </w:rPr>
                <w:t>Item 1A.</w:t>
              </w:r>
            </w:hyperlink>
          </w:p>
        </w:tc>
        <w:tc>
          <w:tcPr>
            <w:tcW w:w="0" w:type="auto"/>
            <w:gridSpan w:val="3"/>
            <w:tcMar>
              <w:top w:w="30" w:type="dxa"/>
              <w:left w:w="20" w:type="dxa"/>
              <w:bottom w:w="30" w:type="dxa"/>
              <w:right w:w="20" w:type="dxa"/>
            </w:tcMar>
            <w:vAlign w:val="center"/>
            <w:hideMark/>
          </w:tcPr>
          <w:p w:rsidR="00000000" w:rsidRDefault="002B18C2">
            <w:pPr>
              <w:spacing w:after="100"/>
              <w:divId w:val="1563057247"/>
              <w:rPr>
                <w:rFonts w:eastAsia="Times New Roman"/>
              </w:rPr>
            </w:pPr>
            <w:hyperlink w:anchor="id605fff70b0446c98320e942db604017_169"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center"/>
            <w:hideMark/>
          </w:tcPr>
          <w:p w:rsidR="00000000" w:rsidRDefault="002B18C2">
            <w:pPr>
              <w:spacing w:after="100"/>
              <w:divId w:val="1469740368"/>
              <w:rPr>
                <w:rFonts w:eastAsia="Times New Roman"/>
              </w:rPr>
            </w:pPr>
            <w:hyperlink w:anchor="id605fff70b0446c98320e942db604017_169" w:history="1">
              <w:r>
                <w:rPr>
                  <w:rStyle w:val="a3"/>
                  <w:rFonts w:eastAsia="Times New Roman"/>
                  <w:sz w:val="20"/>
                  <w:szCs w:val="20"/>
                </w:rPr>
                <w:t>45</w:t>
              </w:r>
            </w:hyperlink>
          </w:p>
        </w:tc>
      </w:tr>
      <w:tr w:rsidR="00000000">
        <w:trPr>
          <w:divId w:val="195265968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2B18C2">
            <w:pPr>
              <w:spacing w:after="100"/>
              <w:divId w:val="700010109"/>
              <w:rPr>
                <w:rFonts w:eastAsia="Times New Roman"/>
              </w:rPr>
            </w:pPr>
            <w:hyperlink w:anchor="id605fff70b0446c98320e942db604017_175"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center"/>
            <w:hideMark/>
          </w:tcPr>
          <w:p w:rsidR="00000000" w:rsidRDefault="002B18C2">
            <w:pPr>
              <w:spacing w:after="100"/>
              <w:divId w:val="1132402833"/>
              <w:rPr>
                <w:rFonts w:eastAsia="Times New Roman"/>
              </w:rPr>
            </w:pPr>
            <w:hyperlink w:anchor="id605fff70b0446c98320e942db604017_175"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center"/>
            <w:hideMark/>
          </w:tcPr>
          <w:p w:rsidR="00000000" w:rsidRDefault="002B18C2">
            <w:pPr>
              <w:spacing w:after="100"/>
              <w:divId w:val="22219011"/>
              <w:rPr>
                <w:rFonts w:eastAsia="Times New Roman"/>
              </w:rPr>
            </w:pPr>
            <w:hyperlink w:anchor="id605fff70b0446c98320e942db604017_175" w:history="1">
              <w:r>
                <w:rPr>
                  <w:rStyle w:val="a3"/>
                  <w:rFonts w:eastAsia="Times New Roman"/>
                  <w:sz w:val="20"/>
                  <w:szCs w:val="20"/>
                </w:rPr>
                <w:t>45</w:t>
              </w:r>
            </w:hyperlink>
          </w:p>
        </w:tc>
      </w:tr>
      <w:tr w:rsidR="00000000">
        <w:trPr>
          <w:divId w:val="195265968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2B18C2">
            <w:pPr>
              <w:spacing w:after="100"/>
              <w:divId w:val="1103264478"/>
              <w:rPr>
                <w:rFonts w:eastAsia="Times New Roman"/>
              </w:rPr>
            </w:pPr>
            <w:hyperlink w:anchor="id605fff70b0446c98320e942db604017_178"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center"/>
            <w:hideMark/>
          </w:tcPr>
          <w:p w:rsidR="00000000" w:rsidRDefault="002B18C2">
            <w:pPr>
              <w:spacing w:after="100"/>
              <w:divId w:val="1018576868"/>
              <w:rPr>
                <w:rFonts w:eastAsia="Times New Roman"/>
              </w:rPr>
            </w:pPr>
            <w:hyperlink w:anchor="id605fff70b0446c98320e942db604017_178"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center"/>
            <w:hideMark/>
          </w:tcPr>
          <w:p w:rsidR="00000000" w:rsidRDefault="002B18C2">
            <w:pPr>
              <w:spacing w:after="100"/>
              <w:divId w:val="405693590"/>
              <w:rPr>
                <w:rFonts w:eastAsia="Times New Roman"/>
              </w:rPr>
            </w:pPr>
            <w:hyperlink w:anchor="id605fff70b0446c98320e942db604017_178" w:history="1">
              <w:r>
                <w:rPr>
                  <w:rStyle w:val="a3"/>
                  <w:rFonts w:eastAsia="Times New Roman"/>
                  <w:sz w:val="20"/>
                  <w:szCs w:val="20"/>
                </w:rPr>
                <w:t>45</w:t>
              </w:r>
            </w:hyperlink>
          </w:p>
        </w:tc>
      </w:tr>
      <w:tr w:rsidR="00000000">
        <w:trPr>
          <w:divId w:val="195265968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2B18C2">
            <w:pPr>
              <w:spacing w:after="100"/>
              <w:divId w:val="1996643023"/>
              <w:rPr>
                <w:rFonts w:eastAsia="Times New Roman"/>
              </w:rPr>
            </w:pPr>
            <w:hyperlink w:anchor="id605fff70b0446c98320e942db604017_181"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center"/>
            <w:hideMark/>
          </w:tcPr>
          <w:p w:rsidR="00000000" w:rsidRDefault="002B18C2">
            <w:pPr>
              <w:spacing w:after="100"/>
              <w:divId w:val="1676611234"/>
              <w:rPr>
                <w:rFonts w:eastAsia="Times New Roman"/>
              </w:rPr>
            </w:pPr>
            <w:hyperlink w:anchor="id605fff70b0446c98320e942db604017_181"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center"/>
            <w:hideMark/>
          </w:tcPr>
          <w:p w:rsidR="00000000" w:rsidRDefault="002B18C2">
            <w:pPr>
              <w:spacing w:after="100"/>
              <w:divId w:val="1730609263"/>
              <w:rPr>
                <w:rFonts w:eastAsia="Times New Roman"/>
              </w:rPr>
            </w:pPr>
            <w:hyperlink w:anchor="id605fff70b0446c98320e942db604017_181" w:history="1">
              <w:r>
                <w:rPr>
                  <w:rStyle w:val="a3"/>
                  <w:rFonts w:eastAsia="Times New Roman"/>
                  <w:sz w:val="20"/>
                  <w:szCs w:val="20"/>
                </w:rPr>
                <w:t>45</w:t>
              </w:r>
            </w:hyperlink>
          </w:p>
        </w:tc>
      </w:tr>
      <w:tr w:rsidR="00000000">
        <w:trPr>
          <w:divId w:val="195265968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2B18C2">
            <w:pPr>
              <w:spacing w:after="100"/>
              <w:divId w:val="638071006"/>
              <w:rPr>
                <w:rFonts w:eastAsia="Times New Roman"/>
              </w:rPr>
            </w:pPr>
            <w:hyperlink w:anchor="id605fff70b0446c98320e942db604017_184" w:history="1">
              <w:r>
                <w:rPr>
                  <w:rStyle w:val="a3"/>
                  <w:rFonts w:eastAsia="Times New Roman"/>
                  <w:sz w:val="20"/>
                  <w:szCs w:val="20"/>
                </w:rPr>
                <w:t>Item 5.</w:t>
              </w:r>
            </w:hyperlink>
          </w:p>
        </w:tc>
        <w:tc>
          <w:tcPr>
            <w:tcW w:w="0" w:type="auto"/>
            <w:gridSpan w:val="3"/>
            <w:tcMar>
              <w:top w:w="30" w:type="dxa"/>
              <w:left w:w="20" w:type="dxa"/>
              <w:bottom w:w="30" w:type="dxa"/>
              <w:right w:w="20" w:type="dxa"/>
            </w:tcMar>
            <w:vAlign w:val="center"/>
            <w:hideMark/>
          </w:tcPr>
          <w:p w:rsidR="00000000" w:rsidRDefault="002B18C2">
            <w:pPr>
              <w:spacing w:after="100"/>
              <w:divId w:val="1478693137"/>
              <w:rPr>
                <w:rFonts w:eastAsia="Times New Roman"/>
              </w:rPr>
            </w:pPr>
            <w:hyperlink w:anchor="id605fff70b0446c98320e942db604017_184"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center"/>
            <w:hideMark/>
          </w:tcPr>
          <w:p w:rsidR="00000000" w:rsidRDefault="002B18C2">
            <w:pPr>
              <w:spacing w:after="100"/>
              <w:divId w:val="1205557329"/>
              <w:rPr>
                <w:rFonts w:eastAsia="Times New Roman"/>
              </w:rPr>
            </w:pPr>
            <w:hyperlink w:anchor="id605fff70b0446c98320e942db604017_184" w:history="1">
              <w:r>
                <w:rPr>
                  <w:rStyle w:val="a3"/>
                  <w:rFonts w:eastAsia="Times New Roman"/>
                  <w:sz w:val="20"/>
                  <w:szCs w:val="20"/>
                </w:rPr>
                <w:t>45</w:t>
              </w:r>
            </w:hyperlink>
          </w:p>
        </w:tc>
      </w:tr>
      <w:tr w:rsidR="00000000">
        <w:trPr>
          <w:divId w:val="195265968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2B18C2">
            <w:pPr>
              <w:spacing w:after="100"/>
              <w:divId w:val="1070620830"/>
              <w:rPr>
                <w:rFonts w:eastAsia="Times New Roman"/>
              </w:rPr>
            </w:pPr>
            <w:hyperlink w:anchor="id605fff70b0446c98320e942db604017_187" w:history="1">
              <w:r>
                <w:rPr>
                  <w:rStyle w:val="a3"/>
                  <w:rFonts w:eastAsia="Times New Roman"/>
                  <w:sz w:val="20"/>
                  <w:szCs w:val="20"/>
                </w:rPr>
                <w:t>Item 6.</w:t>
              </w:r>
            </w:hyperlink>
          </w:p>
        </w:tc>
        <w:tc>
          <w:tcPr>
            <w:tcW w:w="0" w:type="auto"/>
            <w:gridSpan w:val="3"/>
            <w:tcMar>
              <w:top w:w="30" w:type="dxa"/>
              <w:left w:w="20" w:type="dxa"/>
              <w:bottom w:w="30" w:type="dxa"/>
              <w:right w:w="20" w:type="dxa"/>
            </w:tcMar>
            <w:vAlign w:val="center"/>
            <w:hideMark/>
          </w:tcPr>
          <w:p w:rsidR="00000000" w:rsidRDefault="002B18C2">
            <w:pPr>
              <w:spacing w:after="100"/>
              <w:divId w:val="1086875639"/>
              <w:rPr>
                <w:rFonts w:eastAsia="Times New Roman"/>
              </w:rPr>
            </w:pPr>
            <w:hyperlink w:anchor="id605fff70b0446c98320e942db604017_187"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center"/>
            <w:hideMark/>
          </w:tcPr>
          <w:p w:rsidR="00000000" w:rsidRDefault="002B18C2">
            <w:pPr>
              <w:spacing w:after="100"/>
              <w:divId w:val="68620060"/>
              <w:rPr>
                <w:rFonts w:eastAsia="Times New Roman"/>
              </w:rPr>
            </w:pPr>
            <w:hyperlink w:anchor="id605fff70b0446c98320e942db604017_187" w:history="1">
              <w:r>
                <w:rPr>
                  <w:rStyle w:val="a3"/>
                  <w:rFonts w:eastAsia="Times New Roman"/>
                  <w:sz w:val="20"/>
                  <w:szCs w:val="20"/>
                </w:rPr>
                <w:t>46</w:t>
              </w:r>
            </w:hyperlink>
          </w:p>
        </w:tc>
      </w:tr>
      <w:tr w:rsidR="00000000">
        <w:trPr>
          <w:divId w:val="195265968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2B18C2">
            <w:pPr>
              <w:spacing w:after="100"/>
              <w:divId w:val="1010839104"/>
              <w:rPr>
                <w:rFonts w:eastAsia="Times New Roman"/>
              </w:rPr>
            </w:pPr>
            <w:hyperlink w:anchor="id605fff70b0446c98320e942db604017_190"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center"/>
            <w:hideMark/>
          </w:tcPr>
          <w:p w:rsidR="00000000" w:rsidRDefault="002B18C2">
            <w:pPr>
              <w:spacing w:after="100"/>
              <w:divId w:val="1536044742"/>
              <w:rPr>
                <w:rFonts w:eastAsia="Times New Roman"/>
              </w:rPr>
            </w:pPr>
            <w:hyperlink w:anchor="id605fff70b0446c98320e942db604017_190" w:history="1">
              <w:r>
                <w:rPr>
                  <w:rStyle w:val="a3"/>
                  <w:rFonts w:eastAsia="Times New Roman"/>
                  <w:sz w:val="20"/>
                  <w:szCs w:val="20"/>
                </w:rPr>
                <w:t>47</w:t>
              </w:r>
            </w:hyperlink>
          </w:p>
        </w:tc>
      </w:tr>
    </w:tbl>
    <w:p w:rsidR="00000000" w:rsidRDefault="002B18C2">
      <w:pPr>
        <w:divId w:val="2049450601"/>
        <w:rPr>
          <w:rFonts w:eastAsia="Times New Roman"/>
        </w:rPr>
      </w:pPr>
    </w:p>
    <w:p w:rsidR="00000000" w:rsidRDefault="002B18C2">
      <w:pPr>
        <w:divId w:val="582883081"/>
        <w:rPr>
          <w:rFonts w:eastAsia="Times New Roman"/>
        </w:rPr>
      </w:pPr>
    </w:p>
    <w:p w:rsidR="00000000" w:rsidRDefault="002B18C2">
      <w:pPr>
        <w:rPr>
          <w:rFonts w:eastAsia="Times New Roman"/>
        </w:rPr>
      </w:pPr>
      <w:r>
        <w:rPr>
          <w:rFonts w:eastAsia="Times New Roman"/>
        </w:rPr>
        <w:pict>
          <v:rect id="_x0000_i1026" style="width:0;height:1.5pt" o:hralign="center" o:hrstd="t" o:hr="t" fillcolor="#a0a0a0" stroked="f"/>
        </w:pict>
      </w:r>
    </w:p>
    <w:p w:rsidR="00000000" w:rsidRDefault="002B18C2">
      <w:pPr>
        <w:divId w:val="941649072"/>
        <w:rPr>
          <w:rFonts w:eastAsia="Times New Roman"/>
        </w:rPr>
      </w:pPr>
    </w:p>
    <w:p w:rsidR="00000000" w:rsidRDefault="002B18C2">
      <w:pPr>
        <w:divId w:val="1371101855"/>
        <w:rPr>
          <w:rFonts w:eastAsia="Times New Roman"/>
        </w:rPr>
      </w:pPr>
    </w:p>
    <w:p w:rsidR="00000000" w:rsidRDefault="002B18C2">
      <w:pPr>
        <w:divId w:val="637226832"/>
        <w:rPr>
          <w:rFonts w:eastAsia="Times New Roman"/>
        </w:rPr>
      </w:pPr>
      <w:r>
        <w:rPr>
          <w:rFonts w:eastAsia="Times New Roman"/>
          <w:b/>
          <w:bCs/>
          <w:color w:val="000000"/>
          <w:sz w:val="20"/>
          <w:szCs w:val="20"/>
        </w:rPr>
        <w:t>SPECIAL NOTE REGARDING FORWARD-LOOKING STATEMENTS</w:t>
      </w:r>
    </w:p>
    <w:p w:rsidR="00000000" w:rsidRDefault="002B18C2">
      <w:pPr>
        <w:jc w:val="both"/>
        <w:divId w:val="968165354"/>
        <w:rPr>
          <w:rFonts w:eastAsia="Times New Roman"/>
        </w:rPr>
      </w:pPr>
      <w:r>
        <w:rPr>
          <w:rFonts w:eastAsia="Times New Roman"/>
          <w:color w:val="000000"/>
          <w:sz w:val="20"/>
          <w:szCs w:val="20"/>
        </w:rPr>
        <w:t>This Quarterly Report on Form 10-Q (this “Form 10-Q”) contains “forward-looking statements” within the meaning of Section 27A of the Securities Act of 1933, as amende</w:t>
      </w:r>
      <w:r>
        <w:rPr>
          <w:rFonts w:eastAsia="Times New Roman"/>
          <w:color w:val="000000"/>
          <w:sz w:val="20"/>
          <w:szCs w:val="20"/>
        </w:rPr>
        <w:t xml:space="preserve">d (the “Securities Act”), and Section 21E of the Securities Exchange Act of 1934, as amended (the “Exchange Act”), which are subject to the “safe harbor” created by those sections. All statements, other than statements of historical facts included in this </w:t>
      </w:r>
      <w:r>
        <w:rPr>
          <w:rFonts w:eastAsia="Times New Roman"/>
          <w:color w:val="000000"/>
          <w:sz w:val="20"/>
          <w:szCs w:val="20"/>
        </w:rPr>
        <w:t>Form 10-Q, including statements concerning our plans, objectives, goals, beliefs, business strategies, future events, business conditions, results of operations, financial position, business outlook, business trends and other information, may be forward-lo</w:t>
      </w:r>
      <w:r>
        <w:rPr>
          <w:rFonts w:eastAsia="Times New Roman"/>
          <w:color w:val="000000"/>
          <w:sz w:val="20"/>
          <w:szCs w:val="20"/>
        </w:rPr>
        <w:t>oking statements.</w:t>
      </w:r>
    </w:p>
    <w:p w:rsidR="00000000" w:rsidRDefault="002B18C2">
      <w:pPr>
        <w:jc w:val="both"/>
        <w:divId w:val="436025781"/>
        <w:rPr>
          <w:rFonts w:eastAsia="Times New Roman"/>
        </w:rPr>
      </w:pPr>
      <w:r>
        <w:rPr>
          <w:rFonts w:eastAsia="Times New Roman"/>
          <w:color w:val="000000"/>
          <w:sz w:val="20"/>
          <w:szCs w:val="20"/>
        </w:rPr>
        <w:t>Words such as “believes,” “expects,” “may,” “will,” “should,” “seeks,” “intends,” “plans,” “estimates,” or “anticipates,” and variations of such words or similar expressions are intended to identify forward-looking statements. The forward</w:t>
      </w:r>
      <w:r>
        <w:rPr>
          <w:rFonts w:eastAsia="Times New Roman"/>
          <w:color w:val="000000"/>
          <w:sz w:val="20"/>
          <w:szCs w:val="20"/>
        </w:rPr>
        <w:t>-looking statements are not historical facts or guarantees of future performance and are based upon our current expectations, beliefs, estimates and projections, and various assumptions, many of which, by their nature, are inherently uncertain and beyond o</w:t>
      </w:r>
      <w:r>
        <w:rPr>
          <w:rFonts w:eastAsia="Times New Roman"/>
          <w:color w:val="000000"/>
          <w:sz w:val="20"/>
          <w:szCs w:val="20"/>
        </w:rPr>
        <w:t>ur control. Our expectations, beliefs, and projections are expressed in good faith and we believe there is a reasonable basis for them. However, there can be no assurance that management’s expectations, beliefs and projections will result or be achieved an</w:t>
      </w:r>
      <w:r>
        <w:rPr>
          <w:rFonts w:eastAsia="Times New Roman"/>
          <w:color w:val="000000"/>
          <w:sz w:val="20"/>
          <w:szCs w:val="20"/>
        </w:rPr>
        <w:t>d actual results may vary materially from what is expressed in or indicated by the forward-looking statements.</w:t>
      </w:r>
    </w:p>
    <w:p w:rsidR="00000000" w:rsidRDefault="002B18C2">
      <w:pPr>
        <w:jc w:val="both"/>
        <w:divId w:val="2143882304"/>
        <w:rPr>
          <w:rFonts w:eastAsia="Times New Roman"/>
        </w:rPr>
      </w:pPr>
      <w:r>
        <w:rPr>
          <w:rFonts w:eastAsia="Times New Roman"/>
          <w:color w:val="000000"/>
          <w:sz w:val="20"/>
          <w:szCs w:val="20"/>
        </w:rPr>
        <w:t>There are a number of risks, uncertainties and other important factors, many of which are beyond our control, that could cause our actual results</w:t>
      </w:r>
      <w:r>
        <w:rPr>
          <w:rFonts w:eastAsia="Times New Roman"/>
          <w:color w:val="000000"/>
          <w:sz w:val="20"/>
          <w:szCs w:val="20"/>
        </w:rPr>
        <w:t xml:space="preserve"> to differ materially from the forward-looking statements contained in this Form 10-Q. Such risks, uncertainties and other important factors that could cause actual results to differ include, among others, the risks, uncertainties and factors set forth in </w:t>
      </w:r>
      <w:r>
        <w:rPr>
          <w:rFonts w:eastAsia="Times New Roman"/>
          <w:color w:val="000000"/>
          <w:sz w:val="20"/>
          <w:szCs w:val="20"/>
        </w:rPr>
        <w:t>Part II, Item 1A - “Risk Factors” in this Form 10-Q and Part I, Item 1A - “Risk Factors” in the Company’s Annual Report on Form 10-K for the year ended January 2, 2021 (the “2020 Annual Report on Form 10-K”), as filed with the Securities and Exchange Commi</w:t>
      </w:r>
      <w:r>
        <w:rPr>
          <w:rFonts w:eastAsia="Times New Roman"/>
          <w:color w:val="000000"/>
          <w:sz w:val="20"/>
          <w:szCs w:val="20"/>
        </w:rPr>
        <w:t>ssion (the “SEC”), as such risk factors may be updated from time to time in our periodic filings with the SEC, which are accessible on the SEC’s website at www.sec.gov, and also include the following:</w:t>
      </w:r>
    </w:p>
    <w:p w:rsidR="00000000" w:rsidRDefault="002B18C2">
      <w:pPr>
        <w:ind w:hanging="180"/>
        <w:jc w:val="both"/>
        <w:rPr>
          <w:rFonts w:eastAsia="Times New Roman"/>
        </w:rPr>
      </w:pPr>
      <w:r>
        <w:rPr>
          <w:rFonts w:eastAsia="Times New Roman"/>
          <w:color w:val="000000"/>
          <w:sz w:val="20"/>
          <w:szCs w:val="20"/>
        </w:rPr>
        <w:t>•the COVID-19 pandemic and its resurgence and variants,</w:t>
      </w:r>
      <w:r>
        <w:rPr>
          <w:rFonts w:eastAsia="Times New Roman"/>
          <w:color w:val="000000"/>
          <w:sz w:val="20"/>
          <w:szCs w:val="20"/>
        </w:rPr>
        <w:t xml:space="preserve"> and the impact of evolving federal, state, and local governmental actions in response thereto, including risks stemming from vaccination and testing programs and mandates;</w:t>
      </w:r>
    </w:p>
    <w:p w:rsidR="00000000" w:rsidRDefault="002B18C2">
      <w:pPr>
        <w:ind w:hanging="180"/>
        <w:jc w:val="both"/>
        <w:rPr>
          <w:rFonts w:eastAsia="Times New Roman"/>
        </w:rPr>
      </w:pPr>
      <w:r>
        <w:rPr>
          <w:rFonts w:eastAsia="Times New Roman"/>
          <w:color w:val="000000"/>
          <w:sz w:val="20"/>
          <w:szCs w:val="20"/>
        </w:rPr>
        <w:t>•customer behavior in response to the continuing pandemic and its more recent outbr</w:t>
      </w:r>
      <w:r>
        <w:rPr>
          <w:rFonts w:eastAsia="Times New Roman"/>
          <w:color w:val="000000"/>
          <w:sz w:val="20"/>
          <w:szCs w:val="20"/>
        </w:rPr>
        <w:t>eaks of variants;</w:t>
      </w:r>
    </w:p>
    <w:p w:rsidR="00000000" w:rsidRDefault="002B18C2">
      <w:pPr>
        <w:ind w:hanging="180"/>
        <w:jc w:val="both"/>
        <w:rPr>
          <w:rFonts w:eastAsia="Times New Roman"/>
        </w:rPr>
      </w:pPr>
      <w:r>
        <w:rPr>
          <w:rFonts w:eastAsia="Times New Roman"/>
          <w:color w:val="000000"/>
          <w:sz w:val="20"/>
          <w:szCs w:val="20"/>
        </w:rPr>
        <w:t>•our ability to keep our reopened stores open in a safe and cost-effective manner, or at all, in light of the continuing COVID-19 pandemic and its resurgence and variants;</w:t>
      </w:r>
    </w:p>
    <w:p w:rsidR="00000000" w:rsidRDefault="002B18C2">
      <w:pPr>
        <w:ind w:hanging="180"/>
        <w:divId w:val="2109613271"/>
        <w:rPr>
          <w:rFonts w:eastAsia="Times New Roman"/>
        </w:rPr>
      </w:pPr>
      <w:r>
        <w:rPr>
          <w:rFonts w:eastAsia="Times New Roman"/>
          <w:color w:val="000000"/>
          <w:sz w:val="20"/>
          <w:szCs w:val="20"/>
        </w:rPr>
        <w:t>•our ability to recruit and retain vision care professionals for o</w:t>
      </w:r>
      <w:r>
        <w:rPr>
          <w:rFonts w:eastAsia="Times New Roman"/>
          <w:color w:val="000000"/>
          <w:sz w:val="20"/>
          <w:szCs w:val="20"/>
        </w:rPr>
        <w:t>ur stores in general and in light of the pandemic;</w:t>
      </w:r>
    </w:p>
    <w:p w:rsidR="00000000" w:rsidRDefault="002B18C2">
      <w:pPr>
        <w:ind w:hanging="180"/>
        <w:jc w:val="both"/>
        <w:rPr>
          <w:rFonts w:eastAsia="Times New Roman"/>
        </w:rPr>
      </w:pPr>
      <w:r>
        <w:rPr>
          <w:rFonts w:eastAsia="Times New Roman"/>
          <w:color w:val="000000"/>
          <w:sz w:val="20"/>
          <w:szCs w:val="20"/>
        </w:rPr>
        <w:t>•our ability to develop, maintain and extend relationships with managed vision care companies, vision insurance providers and other third-party payors;</w:t>
      </w:r>
    </w:p>
    <w:p w:rsidR="00000000" w:rsidRDefault="002B18C2">
      <w:pPr>
        <w:ind w:hanging="180"/>
        <w:divId w:val="1774322185"/>
        <w:rPr>
          <w:rFonts w:eastAsia="Times New Roman"/>
        </w:rPr>
      </w:pPr>
      <w:r>
        <w:rPr>
          <w:rFonts w:eastAsia="Times New Roman"/>
          <w:color w:val="000000"/>
          <w:sz w:val="20"/>
          <w:szCs w:val="20"/>
        </w:rPr>
        <w:t>•</w:t>
      </w:r>
      <w:r>
        <w:rPr>
          <w:rFonts w:eastAsia="Times New Roman"/>
          <w:color w:val="000000"/>
          <w:sz w:val="20"/>
          <w:szCs w:val="20"/>
        </w:rPr>
        <w:t>our ability to maintain the performance of our host and legacy brands and our current operating relationships with our host and legacy partners;</w:t>
      </w:r>
    </w:p>
    <w:p w:rsidR="00000000" w:rsidRDefault="002B18C2">
      <w:pPr>
        <w:ind w:hanging="180"/>
        <w:divId w:val="431248393"/>
        <w:rPr>
          <w:rFonts w:eastAsia="Times New Roman"/>
        </w:rPr>
      </w:pPr>
      <w:r>
        <w:rPr>
          <w:rFonts w:eastAsia="Times New Roman"/>
          <w:color w:val="000000"/>
          <w:sz w:val="20"/>
          <w:szCs w:val="20"/>
        </w:rPr>
        <w:t>•our ability to adhere to extensive state, local and federal vision care and healthcare laws and regulations;</w:t>
      </w:r>
    </w:p>
    <w:p w:rsidR="00000000" w:rsidRDefault="002B18C2">
      <w:pPr>
        <w:ind w:hanging="180"/>
        <w:divId w:val="1857578823"/>
        <w:rPr>
          <w:rFonts w:eastAsia="Times New Roman"/>
        </w:rPr>
      </w:pPr>
      <w:r>
        <w:rPr>
          <w:rFonts w:eastAsia="Times New Roman"/>
          <w:color w:val="000000"/>
          <w:sz w:val="20"/>
          <w:szCs w:val="20"/>
        </w:rPr>
        <w:t>•</w:t>
      </w:r>
      <w:r>
        <w:rPr>
          <w:rFonts w:eastAsia="Times New Roman"/>
          <w:color w:val="000000"/>
          <w:sz w:val="20"/>
          <w:szCs w:val="20"/>
        </w:rPr>
        <w:t>our compliance with managed vision care laws and regulations;</w:t>
      </w:r>
    </w:p>
    <w:p w:rsidR="00000000" w:rsidRDefault="002B18C2">
      <w:pPr>
        <w:ind w:hanging="180"/>
        <w:jc w:val="both"/>
        <w:rPr>
          <w:rFonts w:eastAsia="Times New Roman"/>
        </w:rPr>
      </w:pPr>
      <w:r>
        <w:rPr>
          <w:rFonts w:eastAsia="Times New Roman"/>
          <w:color w:val="000000"/>
          <w:sz w:val="20"/>
          <w:szCs w:val="20"/>
        </w:rPr>
        <w:t>•our ability to maintain sufficient levels of cash flow from our operations to execute or sustain our growth strategy or obtain additional financing at satisfactory terms or at all;</w:t>
      </w:r>
    </w:p>
    <w:p w:rsidR="00000000" w:rsidRDefault="002B18C2">
      <w:pPr>
        <w:ind w:hanging="180"/>
        <w:jc w:val="both"/>
        <w:rPr>
          <w:rFonts w:eastAsia="Times New Roman"/>
        </w:rPr>
      </w:pPr>
      <w:r>
        <w:rPr>
          <w:rFonts w:eastAsia="Times New Roman"/>
          <w:color w:val="000000"/>
          <w:sz w:val="20"/>
          <w:szCs w:val="20"/>
        </w:rPr>
        <w:t>•</w:t>
      </w:r>
      <w:r>
        <w:rPr>
          <w:rFonts w:eastAsia="Times New Roman"/>
          <w:color w:val="000000"/>
          <w:sz w:val="20"/>
          <w:szCs w:val="20"/>
        </w:rPr>
        <w:t>the loss of, or disruption in the operations of, one or more of our distribution centers and/or optical laboratories,</w:t>
      </w:r>
      <w:r>
        <w:rPr>
          <w:rFonts w:eastAsia="Times New Roman"/>
          <w:b/>
          <w:bCs/>
          <w:color w:val="0000FF"/>
          <w:sz w:val="20"/>
          <w:szCs w:val="20"/>
        </w:rPr>
        <w:t xml:space="preserve"> </w:t>
      </w:r>
      <w:r>
        <w:rPr>
          <w:rFonts w:eastAsia="Times New Roman"/>
          <w:color w:val="000000"/>
          <w:sz w:val="20"/>
          <w:szCs w:val="20"/>
        </w:rPr>
        <w:t>resulting in the inability to fulfill customer orders and deliver our products in a timely manner;</w:t>
      </w:r>
    </w:p>
    <w:p w:rsidR="00000000" w:rsidRDefault="002B18C2">
      <w:pPr>
        <w:ind w:hanging="180"/>
        <w:jc w:val="both"/>
        <w:rPr>
          <w:rFonts w:eastAsia="Times New Roman"/>
        </w:rPr>
      </w:pPr>
      <w:r>
        <w:rPr>
          <w:rFonts w:eastAsia="Times New Roman"/>
          <w:color w:val="000000"/>
          <w:sz w:val="20"/>
          <w:szCs w:val="20"/>
        </w:rPr>
        <w:lastRenderedPageBreak/>
        <w:t>•risks associated with vendors from who</w:t>
      </w:r>
      <w:r>
        <w:rPr>
          <w:rFonts w:eastAsia="Times New Roman"/>
          <w:color w:val="000000"/>
          <w:sz w:val="20"/>
          <w:szCs w:val="20"/>
        </w:rPr>
        <w:t>m our products are sourced, including our dependence on a limited number of suppliers;</w:t>
      </w:r>
    </w:p>
    <w:p w:rsidR="00000000" w:rsidRDefault="002B18C2">
      <w:pPr>
        <w:ind w:hanging="180"/>
        <w:jc w:val="both"/>
        <w:rPr>
          <w:rFonts w:eastAsia="Times New Roman"/>
        </w:rPr>
      </w:pPr>
      <w:r>
        <w:rPr>
          <w:rFonts w:eastAsia="Times New Roman"/>
          <w:color w:val="000000"/>
          <w:sz w:val="20"/>
          <w:szCs w:val="20"/>
        </w:rPr>
        <w:t>•our ability to compete successfully;</w:t>
      </w:r>
    </w:p>
    <w:p w:rsidR="00000000" w:rsidRDefault="002B18C2">
      <w:pPr>
        <w:ind w:hanging="180"/>
        <w:jc w:val="both"/>
        <w:rPr>
          <w:rFonts w:eastAsia="Times New Roman"/>
        </w:rPr>
      </w:pPr>
      <w:r>
        <w:rPr>
          <w:rFonts w:eastAsia="Times New Roman"/>
          <w:color w:val="000000"/>
          <w:sz w:val="20"/>
          <w:szCs w:val="20"/>
        </w:rPr>
        <w:t>•our ability to effectively operate our information technology systems and prevent interruption or security breach;</w:t>
      </w:r>
    </w:p>
    <w:p w:rsidR="00000000" w:rsidRDefault="002B18C2">
      <w:pPr>
        <w:ind w:hanging="180"/>
        <w:jc w:val="both"/>
        <w:rPr>
          <w:rFonts w:eastAsia="Times New Roman"/>
        </w:rPr>
      </w:pPr>
      <w:r>
        <w:rPr>
          <w:rFonts w:eastAsia="Times New Roman"/>
          <w:color w:val="000000"/>
          <w:sz w:val="20"/>
          <w:szCs w:val="20"/>
        </w:rPr>
        <w:t>•our growth str</w:t>
      </w:r>
      <w:r>
        <w:rPr>
          <w:rFonts w:eastAsia="Times New Roman"/>
          <w:color w:val="000000"/>
          <w:sz w:val="20"/>
          <w:szCs w:val="20"/>
        </w:rPr>
        <w:t>ategy straining our existing resources and causing the performance of our existing stores to suffer;</w:t>
      </w:r>
    </w:p>
    <w:p w:rsidR="00000000" w:rsidRDefault="002B18C2">
      <w:pPr>
        <w:ind w:hanging="180"/>
        <w:jc w:val="both"/>
        <w:rPr>
          <w:rFonts w:eastAsia="Times New Roman"/>
        </w:rPr>
      </w:pPr>
      <w:r>
        <w:rPr>
          <w:rFonts w:eastAsia="Times New Roman"/>
          <w:color w:val="000000"/>
          <w:sz w:val="20"/>
          <w:szCs w:val="20"/>
        </w:rPr>
        <w:t>•the impact of wage rate increases, inflation, cost increases and increases in raw material prices and energy prices;</w:t>
      </w:r>
    </w:p>
    <w:p w:rsidR="00000000" w:rsidRDefault="002B18C2">
      <w:pPr>
        <w:ind w:hanging="180"/>
        <w:jc w:val="both"/>
        <w:rPr>
          <w:rFonts w:eastAsia="Times New Roman"/>
        </w:rPr>
      </w:pPr>
      <w:r>
        <w:rPr>
          <w:rFonts w:eastAsia="Times New Roman"/>
          <w:color w:val="000000"/>
          <w:sz w:val="20"/>
          <w:szCs w:val="20"/>
        </w:rPr>
        <w:t>•our ability to successfully implemen</w:t>
      </w:r>
      <w:r>
        <w:rPr>
          <w:rFonts w:eastAsia="Times New Roman"/>
          <w:color w:val="000000"/>
          <w:sz w:val="20"/>
          <w:szCs w:val="20"/>
        </w:rPr>
        <w:t>t our marketing, advertising and promotional efforts;</w:t>
      </w:r>
    </w:p>
    <w:p w:rsidR="00000000" w:rsidRDefault="002B18C2">
      <w:pPr>
        <w:ind w:hanging="180"/>
        <w:jc w:val="both"/>
        <w:rPr>
          <w:rFonts w:eastAsia="Times New Roman"/>
        </w:rPr>
      </w:pPr>
      <w:r>
        <w:rPr>
          <w:rFonts w:eastAsia="Times New Roman"/>
          <w:color w:val="000000"/>
          <w:sz w:val="20"/>
          <w:szCs w:val="20"/>
        </w:rPr>
        <w:t>•risks associated with leasing substantial amounts of space, including future increases in occupancy costs;</w:t>
      </w:r>
    </w:p>
    <w:p w:rsidR="00000000" w:rsidRDefault="002B18C2">
      <w:pPr>
        <w:ind w:hanging="180"/>
        <w:jc w:val="both"/>
        <w:rPr>
          <w:rFonts w:eastAsia="Times New Roman"/>
        </w:rPr>
      </w:pPr>
      <w:r>
        <w:rPr>
          <w:rFonts w:eastAsia="Times New Roman"/>
          <w:color w:val="000000"/>
          <w:sz w:val="20"/>
          <w:szCs w:val="20"/>
        </w:rPr>
        <w:t>•the impact of certain technological advances, and the greater availability of, or increased c</w:t>
      </w:r>
      <w:r>
        <w:rPr>
          <w:rFonts w:eastAsia="Times New Roman"/>
          <w:color w:val="000000"/>
          <w:sz w:val="20"/>
          <w:szCs w:val="20"/>
        </w:rPr>
        <w:t>onsumer preferences for, vision correction alternatives to prescription eyeglasses or contact lenses, and future drug development for the correction of vision-related problems;</w:t>
      </w:r>
    </w:p>
    <w:p w:rsidR="00000000" w:rsidRDefault="002B18C2">
      <w:pPr>
        <w:ind w:hanging="180"/>
        <w:jc w:val="both"/>
        <w:rPr>
          <w:rFonts w:eastAsia="Times New Roman"/>
        </w:rPr>
      </w:pPr>
      <w:r>
        <w:rPr>
          <w:rFonts w:eastAsia="Times New Roman"/>
          <w:color w:val="000000"/>
          <w:sz w:val="20"/>
          <w:szCs w:val="20"/>
        </w:rPr>
        <w:t>•our ability to retain our existing senior management team and attract qualifie</w:t>
      </w:r>
      <w:r>
        <w:rPr>
          <w:rFonts w:eastAsia="Times New Roman"/>
          <w:color w:val="000000"/>
          <w:sz w:val="20"/>
          <w:szCs w:val="20"/>
        </w:rPr>
        <w:t>d new personnel;</w:t>
      </w:r>
    </w:p>
    <w:p w:rsidR="00000000" w:rsidRDefault="002B18C2">
      <w:pPr>
        <w:ind w:hanging="180"/>
        <w:jc w:val="both"/>
        <w:rPr>
          <w:rFonts w:eastAsia="Times New Roman"/>
        </w:rPr>
      </w:pPr>
      <w:r>
        <w:rPr>
          <w:rFonts w:eastAsia="Times New Roman"/>
          <w:color w:val="000000"/>
          <w:sz w:val="20"/>
          <w:szCs w:val="20"/>
        </w:rPr>
        <w:t>•overall decline in the health of the economy and other factors impacting consumer spending;</w:t>
      </w:r>
    </w:p>
    <w:p w:rsidR="00000000" w:rsidRDefault="002B18C2">
      <w:pPr>
        <w:ind w:hanging="180"/>
        <w:jc w:val="both"/>
        <w:rPr>
          <w:rFonts w:eastAsia="Times New Roman"/>
        </w:rPr>
      </w:pPr>
      <w:r>
        <w:rPr>
          <w:rFonts w:eastAsia="Times New Roman"/>
          <w:color w:val="000000"/>
          <w:sz w:val="20"/>
          <w:szCs w:val="20"/>
        </w:rPr>
        <w:t>•our ability to manage our inventory;</w:t>
      </w:r>
    </w:p>
    <w:p w:rsidR="00000000" w:rsidRDefault="002B18C2">
      <w:pPr>
        <w:ind w:hanging="180"/>
        <w:jc w:val="both"/>
        <w:rPr>
          <w:rFonts w:eastAsia="Times New Roman"/>
        </w:rPr>
      </w:pPr>
      <w:r>
        <w:rPr>
          <w:rFonts w:eastAsia="Times New Roman"/>
          <w:color w:val="000000"/>
          <w:sz w:val="20"/>
          <w:szCs w:val="20"/>
        </w:rPr>
        <w:t>•seasonal fluctuations in our operating results and inventory levels;</w:t>
      </w:r>
    </w:p>
    <w:p w:rsidR="00000000" w:rsidRDefault="002B18C2">
      <w:pPr>
        <w:ind w:hanging="180"/>
        <w:jc w:val="both"/>
        <w:rPr>
          <w:rFonts w:eastAsia="Times New Roman"/>
        </w:rPr>
      </w:pPr>
      <w:r>
        <w:rPr>
          <w:rFonts w:eastAsia="Times New Roman"/>
          <w:color w:val="000000"/>
          <w:sz w:val="20"/>
          <w:szCs w:val="20"/>
        </w:rPr>
        <w:t xml:space="preserve">•our reliance on third-party coverage </w:t>
      </w:r>
      <w:r>
        <w:rPr>
          <w:rFonts w:eastAsia="Times New Roman"/>
          <w:color w:val="000000"/>
          <w:sz w:val="20"/>
          <w:szCs w:val="20"/>
        </w:rPr>
        <w:t>and reimbursement, including government programs, for an increasing portion of our revenues;</w:t>
      </w:r>
    </w:p>
    <w:p w:rsidR="00000000" w:rsidRDefault="002B18C2">
      <w:pPr>
        <w:jc w:val="center"/>
        <w:divId w:val="1154252086"/>
        <w:rPr>
          <w:rFonts w:eastAsia="Times New Roman"/>
        </w:rPr>
      </w:pPr>
      <w:r>
        <w:rPr>
          <w:rFonts w:eastAsia="Times New Roman"/>
          <w:color w:val="000000"/>
          <w:sz w:val="20"/>
          <w:szCs w:val="20"/>
        </w:rPr>
        <w:t>3</w:t>
      </w:r>
    </w:p>
    <w:p w:rsidR="00000000" w:rsidRDefault="002B18C2">
      <w:pPr>
        <w:rPr>
          <w:rFonts w:eastAsia="Times New Roman"/>
        </w:rPr>
      </w:pPr>
      <w:r>
        <w:rPr>
          <w:rFonts w:eastAsia="Times New Roman"/>
        </w:rPr>
        <w:pict>
          <v:rect id="_x0000_i1027" style="width:0;height:1.5pt" o:hralign="center" o:hrstd="t" o:hr="t" fillcolor="#a0a0a0" stroked="f"/>
        </w:pict>
      </w:r>
    </w:p>
    <w:p w:rsidR="00000000" w:rsidRDefault="002B18C2">
      <w:pPr>
        <w:divId w:val="1334259261"/>
        <w:rPr>
          <w:rFonts w:eastAsia="Times New Roman"/>
        </w:rPr>
      </w:pPr>
    </w:p>
    <w:p w:rsidR="00000000" w:rsidRDefault="002B18C2">
      <w:pPr>
        <w:ind w:hanging="180"/>
        <w:jc w:val="both"/>
        <w:rPr>
          <w:rFonts w:eastAsia="Times New Roman"/>
        </w:rPr>
      </w:pPr>
      <w:r>
        <w:rPr>
          <w:rFonts w:eastAsia="Times New Roman"/>
          <w:color w:val="000000"/>
          <w:sz w:val="20"/>
          <w:szCs w:val="20"/>
        </w:rPr>
        <w:t>•risks associated with our e-commerce and omni-channel business;</w:t>
      </w:r>
    </w:p>
    <w:p w:rsidR="00000000" w:rsidRDefault="002B18C2">
      <w:pPr>
        <w:ind w:hanging="180"/>
        <w:jc w:val="both"/>
        <w:rPr>
          <w:rFonts w:eastAsia="Times New Roman"/>
        </w:rPr>
      </w:pPr>
      <w:r>
        <w:rPr>
          <w:rFonts w:eastAsia="Times New Roman"/>
          <w:color w:val="000000"/>
          <w:sz w:val="20"/>
          <w:szCs w:val="20"/>
        </w:rPr>
        <w:t>•product liability, product recall or personal injury iss</w:t>
      </w:r>
      <w:r>
        <w:rPr>
          <w:rFonts w:eastAsia="Times New Roman"/>
          <w:color w:val="000000"/>
          <w:sz w:val="20"/>
          <w:szCs w:val="20"/>
        </w:rPr>
        <w:t>ues;</w:t>
      </w:r>
    </w:p>
    <w:p w:rsidR="00000000" w:rsidRDefault="002B18C2">
      <w:pPr>
        <w:ind w:hanging="180"/>
        <w:jc w:val="both"/>
        <w:rPr>
          <w:rFonts w:eastAsia="Times New Roman"/>
        </w:rPr>
      </w:pPr>
      <w:r>
        <w:rPr>
          <w:rFonts w:eastAsia="Times New Roman"/>
          <w:color w:val="000000"/>
          <w:sz w:val="20"/>
          <w:szCs w:val="20"/>
        </w:rPr>
        <w:t>•our failure to comply with, or changes in, laws, regulations, enforcement activities and other requirements;</w:t>
      </w:r>
    </w:p>
    <w:p w:rsidR="00000000" w:rsidRDefault="002B18C2">
      <w:pPr>
        <w:ind w:hanging="180"/>
        <w:jc w:val="both"/>
        <w:rPr>
          <w:rFonts w:eastAsia="Times New Roman"/>
        </w:rPr>
      </w:pPr>
      <w:r>
        <w:rPr>
          <w:rFonts w:eastAsia="Times New Roman"/>
          <w:color w:val="000000"/>
          <w:sz w:val="20"/>
          <w:szCs w:val="20"/>
        </w:rPr>
        <w:t>•the impact of any adverse litigation judgments or settlements resulting from legal proceedings relating to our business operations;</w:t>
      </w:r>
    </w:p>
    <w:p w:rsidR="00000000" w:rsidRDefault="002B18C2">
      <w:pPr>
        <w:ind w:hanging="180"/>
        <w:jc w:val="both"/>
        <w:rPr>
          <w:rFonts w:eastAsia="Times New Roman"/>
        </w:rPr>
      </w:pPr>
      <w:r>
        <w:rPr>
          <w:rFonts w:eastAsia="Times New Roman"/>
          <w:color w:val="000000"/>
          <w:sz w:val="20"/>
          <w:szCs w:val="20"/>
        </w:rPr>
        <w:t>•risk of</w:t>
      </w:r>
      <w:r>
        <w:rPr>
          <w:rFonts w:eastAsia="Times New Roman"/>
          <w:color w:val="000000"/>
          <w:sz w:val="20"/>
          <w:szCs w:val="20"/>
        </w:rPr>
        <w:t xml:space="preserve"> losses arising from our investments in technological innovators in the optical retail industry;</w:t>
      </w:r>
    </w:p>
    <w:p w:rsidR="00000000" w:rsidRDefault="002B18C2">
      <w:pPr>
        <w:ind w:hanging="180"/>
        <w:jc w:val="both"/>
        <w:rPr>
          <w:rFonts w:eastAsia="Times New Roman"/>
        </w:rPr>
      </w:pPr>
      <w:r>
        <w:rPr>
          <w:rFonts w:eastAsia="Times New Roman"/>
          <w:color w:val="000000"/>
          <w:sz w:val="20"/>
          <w:szCs w:val="20"/>
        </w:rPr>
        <w:t>•our ability to adequately protect our intellectual property;</w:t>
      </w:r>
    </w:p>
    <w:p w:rsidR="00000000" w:rsidRDefault="002B18C2">
      <w:pPr>
        <w:ind w:hanging="180"/>
        <w:jc w:val="both"/>
        <w:rPr>
          <w:rFonts w:eastAsia="Times New Roman"/>
        </w:rPr>
      </w:pPr>
      <w:r>
        <w:rPr>
          <w:rFonts w:eastAsia="Times New Roman"/>
          <w:color w:val="000000"/>
          <w:sz w:val="20"/>
          <w:szCs w:val="20"/>
        </w:rPr>
        <w:t>•our significant amount of indebtedness and our ability to generate sufficient cash flow to satis</w:t>
      </w:r>
      <w:r>
        <w:rPr>
          <w:rFonts w:eastAsia="Times New Roman"/>
          <w:color w:val="000000"/>
          <w:sz w:val="20"/>
          <w:szCs w:val="20"/>
        </w:rPr>
        <w:t>fy our debt obligations;</w:t>
      </w:r>
    </w:p>
    <w:p w:rsidR="00000000" w:rsidRDefault="002B18C2">
      <w:pPr>
        <w:ind w:hanging="180"/>
        <w:jc w:val="both"/>
        <w:rPr>
          <w:rFonts w:eastAsia="Times New Roman"/>
        </w:rPr>
      </w:pPr>
      <w:r>
        <w:rPr>
          <w:rFonts w:eastAsia="Times New Roman"/>
          <w:color w:val="000000"/>
          <w:sz w:val="20"/>
          <w:szCs w:val="20"/>
        </w:rPr>
        <w:t>•a change in interest rates as well as changes in benchmark rates and uncertainty related to the foregoing;</w:t>
      </w:r>
    </w:p>
    <w:p w:rsidR="00000000" w:rsidRDefault="002B18C2">
      <w:pPr>
        <w:ind w:hanging="180"/>
        <w:jc w:val="both"/>
        <w:rPr>
          <w:rFonts w:eastAsia="Times New Roman"/>
        </w:rPr>
      </w:pPr>
      <w:r>
        <w:rPr>
          <w:rFonts w:eastAsia="Times New Roman"/>
          <w:color w:val="000000"/>
          <w:sz w:val="20"/>
          <w:szCs w:val="20"/>
        </w:rPr>
        <w:t>•restrictions in our credit agreement that limits our flexibility in operating our business;</w:t>
      </w:r>
    </w:p>
    <w:p w:rsidR="00000000" w:rsidRDefault="002B18C2">
      <w:pPr>
        <w:ind w:hanging="180"/>
        <w:jc w:val="both"/>
        <w:rPr>
          <w:rFonts w:eastAsia="Times New Roman"/>
        </w:rPr>
      </w:pPr>
      <w:r>
        <w:rPr>
          <w:rFonts w:eastAsia="Times New Roman"/>
          <w:color w:val="000000"/>
          <w:sz w:val="20"/>
          <w:szCs w:val="20"/>
        </w:rPr>
        <w:t>•potential dilution to existin</w:t>
      </w:r>
      <w:r>
        <w:rPr>
          <w:rFonts w:eastAsia="Times New Roman"/>
          <w:color w:val="000000"/>
          <w:sz w:val="20"/>
          <w:szCs w:val="20"/>
        </w:rPr>
        <w:t>g stockholders upon the conversion of our convertible notes; and</w:t>
      </w:r>
    </w:p>
    <w:p w:rsidR="00000000" w:rsidRDefault="002B18C2">
      <w:pPr>
        <w:ind w:hanging="180"/>
        <w:jc w:val="both"/>
        <w:divId w:val="183788475"/>
        <w:rPr>
          <w:rFonts w:eastAsia="Times New Roman"/>
        </w:rPr>
      </w:pPr>
      <w:r>
        <w:rPr>
          <w:rFonts w:eastAsia="Times New Roman"/>
          <w:color w:val="000000"/>
          <w:sz w:val="20"/>
          <w:szCs w:val="20"/>
        </w:rPr>
        <w:t>•</w:t>
      </w:r>
      <w:r>
        <w:rPr>
          <w:rFonts w:eastAsia="Times New Roman"/>
          <w:color w:val="000000"/>
          <w:sz w:val="20"/>
          <w:szCs w:val="20"/>
        </w:rPr>
        <w:t>risks related to owning our common stock, including our ability to comply with requirements to design and implement and maintain effective internal controls.</w:t>
      </w:r>
    </w:p>
    <w:p w:rsidR="00000000" w:rsidRDefault="002B18C2">
      <w:pPr>
        <w:jc w:val="both"/>
        <w:divId w:val="625088836"/>
        <w:rPr>
          <w:rFonts w:eastAsia="Times New Roman"/>
        </w:rPr>
      </w:pPr>
      <w:r>
        <w:rPr>
          <w:rFonts w:eastAsia="Times New Roman"/>
          <w:color w:val="000000"/>
          <w:sz w:val="20"/>
          <w:szCs w:val="20"/>
        </w:rPr>
        <w:t>We caution you that the risks, uncertainties and other factors referenced above may not contain al</w:t>
      </w:r>
      <w:r>
        <w:rPr>
          <w:rFonts w:eastAsia="Times New Roman"/>
          <w:color w:val="000000"/>
          <w:sz w:val="20"/>
          <w:szCs w:val="20"/>
        </w:rPr>
        <w:t>l of the risks, uncertainties and other factors that are important to you. In addition, we cannot assure you that we will realize the results, benefits or developments that we expect or anticipate or, even if substantially realized, that they will result i</w:t>
      </w:r>
      <w:r>
        <w:rPr>
          <w:rFonts w:eastAsia="Times New Roman"/>
          <w:color w:val="000000"/>
          <w:sz w:val="20"/>
          <w:szCs w:val="20"/>
        </w:rPr>
        <w:t>n the consequences or affect us or our business in the way expected. There can be no assurance that (i) we have correctly measured or identified all of the factors affecting our business or the extent of these factors’ likely impact, (ii) the available inf</w:t>
      </w:r>
      <w:r>
        <w:rPr>
          <w:rFonts w:eastAsia="Times New Roman"/>
          <w:color w:val="000000"/>
          <w:sz w:val="20"/>
          <w:szCs w:val="20"/>
        </w:rPr>
        <w:t>ormation with respect to these factors on which such analysis is based is complete or accurate, (iii) such analysis is correct or (iv) our strategy, which is based in part on this analysis, will be successful. All forward-looking statements in this Form 10</w:t>
      </w:r>
      <w:r>
        <w:rPr>
          <w:rFonts w:eastAsia="Times New Roman"/>
          <w:color w:val="000000"/>
          <w:sz w:val="20"/>
          <w:szCs w:val="20"/>
        </w:rPr>
        <w:t>-Q apply only as of the date of this Form 10-Q or as of the date they were made and, except as required by applicable law, we undertake no obligation to publicly update or revise any forward-looking statement, whether as a result of new information, future</w:t>
      </w:r>
      <w:r>
        <w:rPr>
          <w:rFonts w:eastAsia="Times New Roman"/>
          <w:color w:val="000000"/>
          <w:sz w:val="20"/>
          <w:szCs w:val="20"/>
        </w:rPr>
        <w:t xml:space="preserve"> developments or otherwise.</w:t>
      </w:r>
    </w:p>
    <w:p w:rsidR="00000000" w:rsidRDefault="002B18C2">
      <w:pPr>
        <w:jc w:val="both"/>
        <w:divId w:val="1671787345"/>
        <w:rPr>
          <w:rFonts w:eastAsia="Times New Roman"/>
        </w:rPr>
      </w:pPr>
      <w:r>
        <w:rPr>
          <w:rFonts w:eastAsia="Times New Roman"/>
          <w:color w:val="000000"/>
          <w:sz w:val="20"/>
          <w:szCs w:val="20"/>
        </w:rPr>
        <w:t>All references to “we,” “us,” “our,” or the “Company” in this Form 10-Q mean National Vision Holdings, Inc. and its subsidiaries, unless the context otherwise requires. References to “eye care practitioners” in this Form 10-Q me</w:t>
      </w:r>
      <w:r>
        <w:rPr>
          <w:rFonts w:eastAsia="Times New Roman"/>
          <w:color w:val="000000"/>
          <w:sz w:val="20"/>
          <w:szCs w:val="20"/>
        </w:rPr>
        <w:t>an optometrists and ophthalmologists and references to “vision care professionals” mean optometrists (including optometrists employed by us or by professional corporations owned by eye care practitioners with which we have arrangements) and opticians.</w:t>
      </w:r>
    </w:p>
    <w:p w:rsidR="00000000" w:rsidRDefault="002B18C2">
      <w:pPr>
        <w:jc w:val="both"/>
        <w:divId w:val="482547387"/>
        <w:rPr>
          <w:rFonts w:eastAsia="Times New Roman"/>
        </w:rPr>
      </w:pPr>
      <w:r>
        <w:rPr>
          <w:rFonts w:eastAsia="Times New Roman"/>
          <w:b/>
          <w:bCs/>
          <w:color w:val="000000"/>
          <w:sz w:val="20"/>
          <w:szCs w:val="20"/>
        </w:rPr>
        <w:t>Webs</w:t>
      </w:r>
      <w:r>
        <w:rPr>
          <w:rFonts w:eastAsia="Times New Roman"/>
          <w:b/>
          <w:bCs/>
          <w:color w:val="000000"/>
          <w:sz w:val="20"/>
          <w:szCs w:val="20"/>
        </w:rPr>
        <w:t>ite Disclosure</w:t>
      </w:r>
    </w:p>
    <w:p w:rsidR="00000000" w:rsidRDefault="002B18C2">
      <w:pPr>
        <w:jc w:val="both"/>
        <w:divId w:val="312295480"/>
        <w:rPr>
          <w:rFonts w:eastAsia="Times New Roman"/>
        </w:rPr>
      </w:pPr>
      <w:r>
        <w:rPr>
          <w:rFonts w:eastAsia="Times New Roman"/>
          <w:color w:val="000000"/>
          <w:sz w:val="20"/>
          <w:szCs w:val="20"/>
        </w:rPr>
        <w:t xml:space="preserve">We use our website www.nationalvision.com as a channel of distribution of Company information. Financial and other important information regarding the Company is routinely accessible through and posted on our website. Accordingly, investors </w:t>
      </w:r>
      <w:r>
        <w:rPr>
          <w:rFonts w:eastAsia="Times New Roman"/>
          <w:color w:val="000000"/>
          <w:sz w:val="20"/>
          <w:szCs w:val="20"/>
        </w:rPr>
        <w:t xml:space="preserve">should monitor our website, in addition to following our press releases, SEC filings and public conference calls and webcasts. In addition, you may automatically </w:t>
      </w:r>
      <w:r>
        <w:rPr>
          <w:rFonts w:eastAsia="Times New Roman"/>
          <w:color w:val="000000"/>
          <w:sz w:val="20"/>
          <w:szCs w:val="20"/>
        </w:rPr>
        <w:lastRenderedPageBreak/>
        <w:t>receive e-mail alerts and other information about National Vision Holdings, Inc. when you enro</w:t>
      </w:r>
      <w:r>
        <w:rPr>
          <w:rFonts w:eastAsia="Times New Roman"/>
          <w:color w:val="000000"/>
          <w:sz w:val="20"/>
          <w:szCs w:val="20"/>
        </w:rPr>
        <w:t>ll your e-mail address by visiting the “Email Alerts” page of the Investor Resources section of our website at www.nationalvision.com/investors. The contents of our website are not, however, a part of this Form 10-Q.</w:t>
      </w:r>
    </w:p>
    <w:p w:rsidR="00000000" w:rsidRDefault="002B18C2">
      <w:pPr>
        <w:jc w:val="center"/>
        <w:divId w:val="940800137"/>
        <w:rPr>
          <w:rFonts w:eastAsia="Times New Roman"/>
        </w:rPr>
      </w:pPr>
      <w:r>
        <w:rPr>
          <w:rFonts w:eastAsia="Times New Roman"/>
          <w:color w:val="000000"/>
          <w:sz w:val="20"/>
          <w:szCs w:val="20"/>
        </w:rPr>
        <w:t>4</w:t>
      </w:r>
    </w:p>
    <w:p w:rsidR="00000000" w:rsidRDefault="002B18C2">
      <w:pPr>
        <w:rPr>
          <w:rFonts w:eastAsia="Times New Roman"/>
        </w:rPr>
      </w:pPr>
      <w:r>
        <w:rPr>
          <w:rFonts w:eastAsia="Times New Roman"/>
        </w:rPr>
        <w:pict>
          <v:rect id="_x0000_i1028" style="width:0;height:1.5pt" o:hralign="center" o:hrstd="t" o:hr="t" fillcolor="#a0a0a0" stroked="f"/>
        </w:pict>
      </w:r>
    </w:p>
    <w:p w:rsidR="00000000" w:rsidRDefault="002B18C2">
      <w:pPr>
        <w:divId w:val="1983851122"/>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center"/>
        <w:divId w:val="1507163485"/>
        <w:rPr>
          <w:rFonts w:eastAsia="Times New Roman"/>
        </w:rPr>
      </w:pPr>
    </w:p>
    <w:p w:rsidR="00000000" w:rsidRDefault="002B18C2">
      <w:pPr>
        <w:divId w:val="1799956847"/>
        <w:rPr>
          <w:rFonts w:eastAsia="Times New Roman"/>
        </w:rPr>
      </w:pPr>
      <w:r>
        <w:rPr>
          <w:rFonts w:eastAsia="Times New Roman"/>
          <w:b/>
          <w:bCs/>
          <w:color w:val="000000"/>
          <w:sz w:val="20"/>
          <w:szCs w:val="20"/>
        </w:rPr>
        <w:t>PART I – FINANCIAL INFORMATION</w:t>
      </w:r>
    </w:p>
    <w:p w:rsidR="00000000" w:rsidRDefault="002B18C2">
      <w:pPr>
        <w:divId w:val="638725871"/>
        <w:rPr>
          <w:rFonts w:eastAsia="Times New Roman"/>
        </w:rPr>
      </w:pPr>
    </w:p>
    <w:p w:rsidR="00000000" w:rsidRDefault="002B18C2">
      <w:pPr>
        <w:divId w:val="536747038"/>
        <w:rPr>
          <w:rFonts w:eastAsia="Times New Roman"/>
        </w:rPr>
      </w:pPr>
      <w:r>
        <w:rPr>
          <w:rFonts w:eastAsia="Times New Roman"/>
          <w:b/>
          <w:bCs/>
          <w:color w:val="000000"/>
          <w:sz w:val="20"/>
          <w:szCs w:val="20"/>
        </w:rPr>
        <w:t>Item 1.  Financial Statements (Unaudited)</w:t>
      </w:r>
    </w:p>
    <w:p w:rsidR="00000000" w:rsidRDefault="002B18C2">
      <w:pPr>
        <w:divId w:val="679545325"/>
        <w:rPr>
          <w:rFonts w:eastAsia="Times New Roman"/>
        </w:rPr>
      </w:pPr>
    </w:p>
    <w:p w:rsidR="00000000" w:rsidRDefault="002B18C2">
      <w:pPr>
        <w:jc w:val="center"/>
        <w:rPr>
          <w:rFonts w:eastAsia="Times New Roman"/>
        </w:rPr>
      </w:pPr>
      <w:r>
        <w:rPr>
          <w:rFonts w:eastAsia="Times New Roman"/>
          <w:b/>
          <w:bCs/>
          <w:color w:val="000000"/>
          <w:sz w:val="20"/>
          <w:szCs w:val="20"/>
        </w:rPr>
        <w:t>National Vision Holdings, Inc. and Subsidiaries</w:t>
      </w:r>
    </w:p>
    <w:p w:rsidR="00000000" w:rsidRDefault="002B18C2">
      <w:pPr>
        <w:jc w:val="center"/>
        <w:rPr>
          <w:rFonts w:eastAsia="Times New Roman"/>
        </w:rPr>
      </w:pPr>
      <w:r>
        <w:rPr>
          <w:rFonts w:eastAsia="Times New Roman"/>
          <w:b/>
          <w:bCs/>
          <w:color w:val="000000"/>
          <w:sz w:val="20"/>
          <w:szCs w:val="20"/>
        </w:rPr>
        <w:t>Condensed Consolidated Balance Sheets</w:t>
      </w:r>
    </w:p>
    <w:p w:rsidR="00000000" w:rsidRDefault="002B18C2">
      <w:pPr>
        <w:jc w:val="center"/>
        <w:rPr>
          <w:rFonts w:eastAsia="Times New Roman"/>
        </w:rPr>
      </w:pPr>
      <w:r>
        <w:rPr>
          <w:rFonts w:eastAsia="Times New Roman"/>
          <w:b/>
          <w:bCs/>
          <w:color w:val="000000"/>
          <w:sz w:val="20"/>
          <w:szCs w:val="20"/>
        </w:rPr>
        <w:t xml:space="preserve">As of October 2, 2021 and January 2, 2021 </w:t>
      </w:r>
    </w:p>
    <w:p w:rsidR="00000000" w:rsidRDefault="002B18C2">
      <w:pPr>
        <w:jc w:val="center"/>
        <w:rPr>
          <w:rFonts w:eastAsia="Times New Roman"/>
        </w:rPr>
      </w:pPr>
      <w:r>
        <w:rPr>
          <w:rFonts w:eastAsia="Times New Roman"/>
          <w:i/>
          <w:iCs/>
          <w:color w:val="000000"/>
          <w:sz w:val="20"/>
          <w:szCs w:val="20"/>
        </w:rPr>
        <w:t>In Thousands, Except Par Value</w:t>
      </w:r>
    </w:p>
    <w:p w:rsidR="00000000" w:rsidRDefault="002B18C2">
      <w:pPr>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911"/>
        <w:gridCol w:w="38"/>
        <w:gridCol w:w="120"/>
        <w:gridCol w:w="1462"/>
        <w:gridCol w:w="36"/>
        <w:gridCol w:w="36"/>
        <w:gridCol w:w="36"/>
        <w:gridCol w:w="36"/>
        <w:gridCol w:w="120"/>
        <w:gridCol w:w="1435"/>
        <w:gridCol w:w="36"/>
      </w:tblGrid>
      <w:tr w:rsidR="00000000">
        <w:trPr>
          <w:divId w:val="1599366229"/>
        </w:trPr>
        <w:tc>
          <w:tcPr>
            <w:tcW w:w="50" w:type="pct"/>
            <w:vAlign w:val="center"/>
            <w:hideMark/>
          </w:tcPr>
          <w:p w:rsidR="00000000" w:rsidRDefault="002B18C2">
            <w:pPr>
              <w:jc w:val="center"/>
              <w:rPr>
                <w:rFonts w:eastAsia="Times New Roman"/>
              </w:rPr>
            </w:pPr>
          </w:p>
        </w:tc>
        <w:tc>
          <w:tcPr>
            <w:tcW w:w="2981"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906"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906"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1599366229"/>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 xml:space="preserve">ASSETS </w:t>
            </w: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October 2, 2021</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2, 2021</w:t>
            </w:r>
          </w:p>
        </w:tc>
      </w:tr>
      <w:tr w:rsidR="00000000">
        <w:trPr>
          <w:divId w:val="1599366229"/>
        </w:trPr>
        <w:tc>
          <w:tcPr>
            <w:tcW w:w="0" w:type="auto"/>
            <w:gridSpan w:val="3"/>
            <w:shd w:val="clear" w:color="auto" w:fill="CCEEFF"/>
            <w:tcMar>
              <w:top w:w="30" w:type="dxa"/>
              <w:left w:w="20" w:type="dxa"/>
              <w:bottom w:w="30" w:type="dxa"/>
              <w:right w:w="20" w:type="dxa"/>
            </w:tcMar>
            <w:vAlign w:val="center"/>
            <w:hideMark/>
          </w:tcPr>
          <w:p w:rsidR="00000000" w:rsidRDefault="002B18C2">
            <w:pPr>
              <w:spacing w:after="100"/>
              <w:rPr>
                <w:rFonts w:eastAsia="Times New Roman"/>
              </w:rPr>
            </w:pPr>
            <w:r>
              <w:rPr>
                <w:rFonts w:eastAsia="Times New Roman"/>
                <w:b/>
                <w:bCs/>
                <w:color w:val="000000"/>
                <w:sz w:val="20"/>
                <w:szCs w:val="20"/>
              </w:rPr>
              <w:t>Current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599366229"/>
        </w:trPr>
        <w:tc>
          <w:tcPr>
            <w:tcW w:w="0" w:type="auto"/>
            <w:gridSpan w:val="3"/>
            <w:shd w:val="clear" w:color="auto" w:fill="FFFF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439,117 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373,903 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CCEE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Accounts receivable, net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54,080 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57,989 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FFFF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124,637 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111,274 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CCEE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28,553 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23,484 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FFFFFF"/>
            <w:tcMar>
              <w:top w:w="30" w:type="dxa"/>
              <w:left w:w="51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646,387 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566,650 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r>
      <w:tr w:rsidR="00000000">
        <w:trPr>
          <w:divId w:val="1599366229"/>
          <w:trHeight w:val="240"/>
        </w:trPr>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599366229"/>
        </w:trPr>
        <w:tc>
          <w:tcPr>
            <w:tcW w:w="0" w:type="auto"/>
            <w:gridSpan w:val="3"/>
            <w:shd w:val="clear" w:color="auto" w:fill="FFFFFF"/>
            <w:tcMar>
              <w:top w:w="30" w:type="dxa"/>
              <w:left w:w="20" w:type="dxa"/>
              <w:bottom w:w="30" w:type="dxa"/>
              <w:right w:w="20" w:type="dxa"/>
            </w:tcMar>
            <w:vAlign w:val="center"/>
            <w:hideMark/>
          </w:tcPr>
          <w:p w:rsidR="00000000" w:rsidRDefault="002B18C2">
            <w:pPr>
              <w:spacing w:after="100"/>
              <w:rPr>
                <w:rFonts w:eastAsia="Times New Roman"/>
              </w:rPr>
            </w:pPr>
            <w:r>
              <w:rPr>
                <w:rFonts w:eastAsia="Times New Roman"/>
                <w:b/>
                <w:bCs/>
                <w:color w:val="000000"/>
                <w:sz w:val="20"/>
                <w:szCs w:val="20"/>
              </w:rPr>
              <w:t>Property and equipment, net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333,820 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341,293 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CCEEFF"/>
            <w:tcMar>
              <w:top w:w="30" w:type="dxa"/>
              <w:left w:w="20" w:type="dxa"/>
              <w:bottom w:w="30" w:type="dxa"/>
              <w:right w:w="20" w:type="dxa"/>
            </w:tcMar>
            <w:vAlign w:val="center"/>
            <w:hideMark/>
          </w:tcPr>
          <w:p w:rsidR="00000000" w:rsidRDefault="002B18C2">
            <w:pPr>
              <w:spacing w:after="100"/>
              <w:rPr>
                <w:rFonts w:eastAsia="Times New Roman"/>
              </w:rPr>
            </w:pPr>
            <w:r>
              <w:rPr>
                <w:rFonts w:eastAsia="Times New Roman"/>
                <w:b/>
                <w:bCs/>
                <w:color w:val="000000"/>
                <w:sz w:val="20"/>
                <w:szCs w:val="20"/>
              </w:rPr>
              <w:t>Other assets:</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599366229"/>
        </w:trPr>
        <w:tc>
          <w:tcPr>
            <w:tcW w:w="0" w:type="auto"/>
            <w:gridSpan w:val="3"/>
            <w:shd w:val="clear" w:color="auto" w:fill="FFFF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777,613 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777,613 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CCEE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Trademarks and trade names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240,547 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240,547 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FFFF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Other intangible assets, net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43,893 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49,511 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CCEE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Right of use assets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344,341 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340,141 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FFFF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18,870 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17,743 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CCEEFF"/>
            <w:tcMar>
              <w:top w:w="30" w:type="dxa"/>
              <w:left w:w="20" w:type="dxa"/>
              <w:bottom w:w="30" w:type="dxa"/>
              <w:right w:w="20" w:type="dxa"/>
            </w:tcMar>
            <w:vAlign w:val="center"/>
            <w:hideMark/>
          </w:tcPr>
          <w:p w:rsidR="00000000" w:rsidRDefault="002B18C2">
            <w:pPr>
              <w:spacing w:after="100"/>
              <w:rPr>
                <w:rFonts w:eastAsia="Times New Roman"/>
              </w:rPr>
            </w:pPr>
            <w:r>
              <w:rPr>
                <w:rFonts w:eastAsia="Times New Roman"/>
                <w:b/>
                <w:bCs/>
                <w:color w:val="000000"/>
                <w:sz w:val="20"/>
                <w:szCs w:val="20"/>
              </w:rPr>
              <w:t>Total non-current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1,759,084 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1,766,848 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FFFFFF"/>
            <w:tcMar>
              <w:top w:w="30" w:type="dxa"/>
              <w:left w:w="20" w:type="dxa"/>
              <w:bottom w:w="30" w:type="dxa"/>
              <w:right w:w="20" w:type="dxa"/>
            </w:tcMar>
            <w:vAlign w:val="center"/>
            <w:hideMark/>
          </w:tcPr>
          <w:p w:rsidR="00000000" w:rsidRDefault="002B18C2">
            <w:pPr>
              <w:spacing w:after="100"/>
              <w:rPr>
                <w:rFonts w:eastAsia="Times New Roman"/>
              </w:rPr>
            </w:pPr>
            <w:r>
              <w:rPr>
                <w:rFonts w:eastAsia="Times New Roman"/>
                <w:b/>
                <w:bCs/>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2,405,471 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2,333,498 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CCEEFF"/>
            <w:tcMar>
              <w:top w:w="30" w:type="dxa"/>
              <w:left w:w="20" w:type="dxa"/>
              <w:bottom w:w="30" w:type="dxa"/>
              <w:right w:w="20" w:type="dxa"/>
            </w:tcMar>
            <w:vAlign w:val="center"/>
            <w:hideMark/>
          </w:tcPr>
          <w:p w:rsidR="00000000" w:rsidRDefault="002B18C2">
            <w:pPr>
              <w:spacing w:after="100"/>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599366229"/>
        </w:trPr>
        <w:tc>
          <w:tcPr>
            <w:tcW w:w="0" w:type="auto"/>
            <w:gridSpan w:val="3"/>
            <w:shd w:val="clear" w:color="auto" w:fill="FFFFFF"/>
            <w:tcMar>
              <w:top w:w="30" w:type="dxa"/>
              <w:left w:w="20" w:type="dxa"/>
              <w:bottom w:w="30" w:type="dxa"/>
              <w:right w:w="20" w:type="dxa"/>
            </w:tcMar>
            <w:vAlign w:val="center"/>
            <w:hideMark/>
          </w:tcPr>
          <w:p w:rsidR="00000000" w:rsidRDefault="002B18C2">
            <w:pPr>
              <w:spacing w:after="100"/>
              <w:rPr>
                <w:rFonts w:eastAsia="Times New Roman"/>
              </w:rPr>
            </w:pPr>
            <w:r>
              <w:rPr>
                <w:rFonts w:eastAsia="Times New Roman"/>
                <w:b/>
                <w:bCs/>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599366229"/>
        </w:trPr>
        <w:tc>
          <w:tcPr>
            <w:tcW w:w="0" w:type="auto"/>
            <w:gridSpan w:val="3"/>
            <w:shd w:val="clear" w:color="auto" w:fill="CCEE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76,124 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64,861 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FFFF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Other payables and accrued expenses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98,749 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110,309 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CCEE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Unearned revenue</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35,328 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32,657 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FFFF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Deferred revenue</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68,763 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58,899 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CCEE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lastRenderedPageBreak/>
              <w:t>Current maturities of long-term debt and finance lease obligations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4,418 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3,598 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FFFF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Current operating lease obligations</w:t>
            </w:r>
          </w:p>
        </w:tc>
        <w:tc>
          <w:tcPr>
            <w:tcW w:w="0" w:type="auto"/>
            <w:gridSpan w:val="2"/>
            <w:shd w:val="clear" w:color="auto" w:fill="FFFF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65,454 </w:t>
            </w:r>
          </w:p>
        </w:tc>
        <w:tc>
          <w:tcPr>
            <w:tcW w:w="0" w:type="auto"/>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58,356 </w:t>
            </w:r>
          </w:p>
        </w:tc>
        <w:tc>
          <w:tcPr>
            <w:tcW w:w="0" w:type="auto"/>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CCEEFF"/>
            <w:tcMar>
              <w:top w:w="30" w:type="dxa"/>
              <w:left w:w="51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348,836 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328,680 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2B18C2">
            <w:pPr>
              <w:spacing w:after="100"/>
              <w:jc w:val="right"/>
              <w:rPr>
                <w:rFonts w:eastAsia="Times New Roman"/>
              </w:rPr>
            </w:pPr>
          </w:p>
        </w:tc>
      </w:tr>
      <w:tr w:rsidR="00000000">
        <w:trPr>
          <w:divId w:val="1599366229"/>
          <w:trHeight w:val="240"/>
        </w:trPr>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599366229"/>
        </w:trPr>
        <w:tc>
          <w:tcPr>
            <w:tcW w:w="0" w:type="auto"/>
            <w:gridSpan w:val="3"/>
            <w:shd w:val="clear" w:color="auto" w:fill="CCEEFF"/>
            <w:tcMar>
              <w:top w:w="30" w:type="dxa"/>
              <w:left w:w="20" w:type="dxa"/>
              <w:bottom w:w="30" w:type="dxa"/>
              <w:right w:w="20" w:type="dxa"/>
            </w:tcMar>
            <w:vAlign w:val="center"/>
            <w:hideMark/>
          </w:tcPr>
          <w:p w:rsidR="00000000" w:rsidRDefault="002B18C2">
            <w:pPr>
              <w:spacing w:after="100"/>
              <w:rPr>
                <w:rFonts w:eastAsia="Times New Roman"/>
              </w:rPr>
            </w:pPr>
            <w:r>
              <w:rPr>
                <w:rFonts w:eastAsia="Times New Roman"/>
                <w:b/>
                <w:bCs/>
                <w:color w:val="000000"/>
                <w:sz w:val="20"/>
                <w:szCs w:val="20"/>
              </w:rPr>
              <w:t>Long-term debt and finance lease obligations, less current portion and debt discount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615,620 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651,763 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FFFFFF"/>
            <w:tcMar>
              <w:top w:w="30" w:type="dxa"/>
              <w:left w:w="20" w:type="dxa"/>
              <w:bottom w:w="30" w:type="dxa"/>
              <w:right w:w="20" w:type="dxa"/>
            </w:tcMar>
            <w:vAlign w:val="center"/>
            <w:hideMark/>
          </w:tcPr>
          <w:p w:rsidR="00000000" w:rsidRDefault="002B18C2">
            <w:pPr>
              <w:spacing w:after="100"/>
              <w:rPr>
                <w:rFonts w:eastAsia="Times New Roman"/>
              </w:rPr>
            </w:pPr>
            <w:r>
              <w:rPr>
                <w:rFonts w:eastAsia="Times New Roman"/>
                <w:b/>
                <w:bCs/>
                <w:color w:val="000000"/>
                <w:sz w:val="20"/>
                <w:szCs w:val="20"/>
              </w:rPr>
              <w:t>Non-current operating lease obligations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325,786 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327,371 </w:t>
            </w:r>
          </w:p>
        </w:tc>
        <w:tc>
          <w:tcPr>
            <w:tcW w:w="0" w:type="auto"/>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CCEEFF"/>
            <w:tcMar>
              <w:top w:w="30" w:type="dxa"/>
              <w:left w:w="20" w:type="dxa"/>
              <w:bottom w:w="30" w:type="dxa"/>
              <w:right w:w="20" w:type="dxa"/>
            </w:tcMar>
            <w:vAlign w:val="center"/>
            <w:hideMark/>
          </w:tcPr>
          <w:p w:rsidR="00000000" w:rsidRDefault="002B18C2">
            <w:pPr>
              <w:spacing w:after="100"/>
              <w:rPr>
                <w:rFonts w:eastAsia="Times New Roman"/>
              </w:rPr>
            </w:pPr>
            <w:r>
              <w:rPr>
                <w:rFonts w:eastAsia="Times New Roman"/>
                <w:b/>
                <w:bCs/>
                <w:color w:val="000000"/>
                <w:sz w:val="20"/>
                <w:szCs w:val="20"/>
              </w:rPr>
              <w:t>Other non-current liabilities:</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599366229"/>
        </w:trPr>
        <w:tc>
          <w:tcPr>
            <w:tcW w:w="0" w:type="auto"/>
            <w:gridSpan w:val="3"/>
            <w:shd w:val="clear" w:color="auto" w:fill="FFFF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Deferred revenue</w:t>
            </w:r>
          </w:p>
        </w:tc>
        <w:tc>
          <w:tcPr>
            <w:tcW w:w="0" w:type="auto"/>
            <w:gridSpan w:val="2"/>
            <w:shd w:val="clear" w:color="auto" w:fill="FFFF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23,992 </w:t>
            </w:r>
          </w:p>
        </w:tc>
        <w:tc>
          <w:tcPr>
            <w:tcW w:w="0" w:type="auto"/>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20,828 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CCEE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13,586 </w:t>
            </w:r>
          </w:p>
        </w:tc>
        <w:tc>
          <w:tcPr>
            <w:tcW w:w="0" w:type="auto"/>
            <w:shd w:val="clear" w:color="auto" w:fill="CCEEFF"/>
            <w:tcMar>
              <w:top w:w="30" w:type="dxa"/>
              <w:left w:w="0" w:type="dxa"/>
              <w:bottom w:w="3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17,415 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FFFF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Deferred income taxes, net</w:t>
            </w:r>
          </w:p>
        </w:tc>
        <w:tc>
          <w:tcPr>
            <w:tcW w:w="0" w:type="auto"/>
            <w:gridSpan w:val="2"/>
            <w:shd w:val="clear" w:color="auto" w:fill="FFFF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89,094 </w:t>
            </w:r>
          </w:p>
        </w:tc>
        <w:tc>
          <w:tcPr>
            <w:tcW w:w="0" w:type="auto"/>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80,939 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CCEEFF"/>
            <w:tcMar>
              <w:top w:w="30" w:type="dxa"/>
              <w:left w:w="51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Total other non-current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126,672 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119,182 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FFFFFF"/>
            <w:tcMar>
              <w:top w:w="30" w:type="dxa"/>
              <w:left w:w="20" w:type="dxa"/>
              <w:bottom w:w="30" w:type="dxa"/>
              <w:right w:w="20" w:type="dxa"/>
            </w:tcMar>
            <w:vAlign w:val="center"/>
            <w:hideMark/>
          </w:tcPr>
          <w:p w:rsidR="00000000" w:rsidRDefault="002B18C2">
            <w:pPr>
              <w:spacing w:after="100"/>
              <w:rPr>
                <w:rFonts w:eastAsia="Times New Roman"/>
              </w:rPr>
            </w:pPr>
            <w:r>
              <w:rPr>
                <w:rFonts w:eastAsia="Times New Roman"/>
                <w:b/>
                <w:bCs/>
                <w:color w:val="000000"/>
                <w:sz w:val="20"/>
                <w:szCs w:val="20"/>
              </w:rPr>
              <w:t>Commitments and contingencies (See Note 9)</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599366229"/>
        </w:trPr>
        <w:tc>
          <w:tcPr>
            <w:tcW w:w="0" w:type="auto"/>
            <w:gridSpan w:val="3"/>
            <w:shd w:val="clear" w:color="auto" w:fill="CCEEFF"/>
            <w:tcMar>
              <w:top w:w="30" w:type="dxa"/>
              <w:left w:w="20" w:type="dxa"/>
              <w:bottom w:w="30" w:type="dxa"/>
              <w:right w:w="20" w:type="dxa"/>
            </w:tcMar>
            <w:vAlign w:val="center"/>
            <w:hideMark/>
          </w:tcPr>
          <w:p w:rsidR="00000000" w:rsidRDefault="002B18C2">
            <w:pPr>
              <w:spacing w:after="100"/>
              <w:rPr>
                <w:rFonts w:eastAsia="Times New Roman"/>
              </w:rPr>
            </w:pPr>
            <w:r>
              <w:rPr>
                <w:rFonts w:eastAsia="Times New Roman"/>
                <w:b/>
                <w:bCs/>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599366229"/>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jc w:val="both"/>
              <w:rPr>
                <w:rFonts w:eastAsia="Times New Roman"/>
              </w:rPr>
            </w:pPr>
            <w:r>
              <w:rPr>
                <w:rFonts w:eastAsia="Times New Roman"/>
                <w:color w:val="000000"/>
                <w:sz w:val="20"/>
                <w:szCs w:val="20"/>
              </w:rPr>
              <w:t xml:space="preserve">Common stock, $0.01 par value; 200,000 shares authorized; 83,667 and 82,183 </w:t>
            </w:r>
            <w:r>
              <w:rPr>
                <w:rFonts w:eastAsia="Times New Roman"/>
                <w:color w:val="000000"/>
                <w:sz w:val="20"/>
                <w:szCs w:val="20"/>
              </w:rPr>
              <w:t>shares issued as of October 2, 2021 and January 2, 2021, respectively; 82,693 and 81,239 shares outstanding as of October 2, 2021 and January 2, 2021, respectively</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836 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821 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CCEE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748,422 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795,697 </w:t>
            </w:r>
          </w:p>
        </w:tc>
        <w:tc>
          <w:tcPr>
            <w:tcW w:w="0" w:type="auto"/>
            <w:shd w:val="clear" w:color="auto" w:fill="CCEEFF"/>
            <w:tcMar>
              <w:top w:w="30" w:type="dxa"/>
              <w:left w:w="0" w:type="dxa"/>
              <w:bottom w:w="30" w:type="dxa"/>
              <w:right w:w="20" w:type="dxa"/>
            </w:tcMar>
            <w:vAlign w:val="center"/>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FFFF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(2,840)</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(4,400)</w:t>
            </w:r>
          </w:p>
        </w:tc>
        <w:tc>
          <w:tcPr>
            <w:tcW w:w="0" w:type="auto"/>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CCEEFF"/>
            <w:tcMar>
              <w:top w:w="30" w:type="dxa"/>
              <w:left w:w="24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272,176 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142,880 </w:t>
            </w:r>
          </w:p>
        </w:tc>
        <w:tc>
          <w:tcPr>
            <w:tcW w:w="0" w:type="auto"/>
            <w:shd w:val="clear" w:color="auto" w:fill="CCEEFF"/>
            <w:tcMar>
              <w:top w:w="30" w:type="dxa"/>
              <w:left w:w="0" w:type="dxa"/>
              <w:bottom w:w="30" w:type="dxa"/>
              <w:right w:w="20" w:type="dxa"/>
            </w:tcMar>
            <w:vAlign w:val="center"/>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jc w:val="both"/>
              <w:rPr>
                <w:rFonts w:eastAsia="Times New Roman"/>
              </w:rPr>
            </w:pPr>
            <w:r>
              <w:rPr>
                <w:rFonts w:eastAsia="Times New Roman"/>
                <w:color w:val="000000"/>
                <w:sz w:val="20"/>
                <w:szCs w:val="20"/>
              </w:rPr>
              <w:t xml:space="preserve">Treasury stock, at cost; 974 and 944 </w:t>
            </w:r>
            <w:r>
              <w:rPr>
                <w:rFonts w:eastAsia="Times New Roman"/>
                <w:color w:val="000000"/>
                <w:sz w:val="20"/>
                <w:szCs w:val="20"/>
              </w:rPr>
              <w:t>shares as of October 2, 2021 and January 2, 2021, respectively</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(30,037)</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(28,496)</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CCEEFF"/>
            <w:tcMar>
              <w:top w:w="30" w:type="dxa"/>
              <w:left w:w="51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988,557 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906,502 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2B18C2">
            <w:pPr>
              <w:spacing w:after="100"/>
              <w:jc w:val="right"/>
              <w:rPr>
                <w:rFonts w:eastAsia="Times New Roman"/>
              </w:rPr>
            </w:pPr>
          </w:p>
        </w:tc>
      </w:tr>
      <w:tr w:rsidR="00000000">
        <w:trPr>
          <w:divId w:val="1599366229"/>
        </w:trPr>
        <w:tc>
          <w:tcPr>
            <w:tcW w:w="0" w:type="auto"/>
            <w:gridSpan w:val="3"/>
            <w:shd w:val="clear" w:color="auto" w:fill="FFFFFF"/>
            <w:tcMar>
              <w:top w:w="30" w:type="dxa"/>
              <w:left w:w="20" w:type="dxa"/>
              <w:bottom w:w="30" w:type="dxa"/>
              <w:right w:w="20" w:type="dxa"/>
            </w:tcMar>
            <w:vAlign w:val="center"/>
            <w:hideMark/>
          </w:tcPr>
          <w:p w:rsidR="00000000" w:rsidRDefault="002B18C2">
            <w:pPr>
              <w:spacing w:after="100"/>
              <w:rPr>
                <w:rFonts w:eastAsia="Times New Roman"/>
              </w:rPr>
            </w:pPr>
            <w:r>
              <w:rPr>
                <w:rFonts w:eastAsia="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2,405,471 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2,333,498 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r>
    </w:tbl>
    <w:p w:rsidR="00000000" w:rsidRDefault="002B18C2">
      <w:pPr>
        <w:jc w:val="center"/>
        <w:divId w:val="1194462240"/>
        <w:rPr>
          <w:rFonts w:eastAsia="Times New Roman"/>
        </w:rPr>
      </w:pPr>
      <w:r>
        <w:rPr>
          <w:rFonts w:eastAsia="Times New Roman"/>
          <w:i/>
          <w:iCs/>
          <w:color w:val="000000"/>
          <w:sz w:val="20"/>
          <w:szCs w:val="20"/>
        </w:rPr>
        <w:t>The accompanying notes are an integral part of these condensed consolidated financial statements.</w:t>
      </w:r>
    </w:p>
    <w:p w:rsidR="00000000" w:rsidRDefault="002B18C2">
      <w:pPr>
        <w:jc w:val="center"/>
        <w:divId w:val="874075917"/>
        <w:rPr>
          <w:rFonts w:eastAsia="Times New Roman"/>
        </w:rPr>
      </w:pPr>
      <w:r>
        <w:rPr>
          <w:rFonts w:eastAsia="Times New Roman"/>
          <w:color w:val="000000"/>
          <w:sz w:val="20"/>
          <w:szCs w:val="20"/>
        </w:rPr>
        <w:t>5</w:t>
      </w:r>
    </w:p>
    <w:p w:rsidR="00000000" w:rsidRDefault="002B18C2">
      <w:pPr>
        <w:rPr>
          <w:rFonts w:eastAsia="Times New Roman"/>
        </w:rPr>
      </w:pPr>
      <w:r>
        <w:rPr>
          <w:rFonts w:eastAsia="Times New Roman"/>
        </w:rPr>
        <w:pict>
          <v:rect id="_x0000_i1029" style="width:0;height:1.5pt" o:hralign="center" o:hrstd="t" o:hr="t" fillcolor="#a0a0a0" stroked="f"/>
        </w:pict>
      </w:r>
    </w:p>
    <w:p w:rsidR="00000000" w:rsidRDefault="002B18C2">
      <w:pPr>
        <w:divId w:val="1493376276"/>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ind w:firstLine="720"/>
        <w:jc w:val="center"/>
        <w:rPr>
          <w:rFonts w:eastAsia="Times New Roman"/>
        </w:rPr>
      </w:pPr>
      <w:r>
        <w:rPr>
          <w:rFonts w:eastAsia="Times New Roman"/>
          <w:b/>
          <w:bCs/>
          <w:color w:val="000000"/>
          <w:sz w:val="20"/>
          <w:szCs w:val="20"/>
        </w:rPr>
        <w:t>National Vision Holdings, Inc. and Subsidiaries</w:t>
      </w:r>
    </w:p>
    <w:p w:rsidR="00000000" w:rsidRDefault="002B18C2">
      <w:pPr>
        <w:jc w:val="center"/>
        <w:rPr>
          <w:rFonts w:eastAsia="Times New Roman"/>
        </w:rPr>
      </w:pPr>
      <w:r>
        <w:rPr>
          <w:rFonts w:eastAsia="Times New Roman"/>
          <w:b/>
          <w:bCs/>
          <w:color w:val="000000"/>
          <w:sz w:val="20"/>
          <w:szCs w:val="20"/>
        </w:rPr>
        <w:t>Condensed Consolidated Statements of Operations and Comprehensive Income</w:t>
      </w:r>
    </w:p>
    <w:p w:rsidR="00000000" w:rsidRDefault="002B18C2">
      <w:pPr>
        <w:jc w:val="center"/>
        <w:rPr>
          <w:rFonts w:eastAsia="Times New Roman"/>
        </w:rPr>
      </w:pPr>
      <w:r>
        <w:rPr>
          <w:rFonts w:eastAsia="Times New Roman"/>
          <w:b/>
          <w:bCs/>
          <w:color w:val="000000"/>
          <w:sz w:val="20"/>
          <w:szCs w:val="20"/>
        </w:rPr>
        <w:t xml:space="preserve">For the Three and Nine </w:t>
      </w:r>
      <w:r>
        <w:rPr>
          <w:rFonts w:eastAsia="Times New Roman"/>
          <w:b/>
          <w:bCs/>
          <w:color w:val="000000"/>
          <w:sz w:val="20"/>
          <w:szCs w:val="20"/>
        </w:rPr>
        <w:t>Months Ended October 2, 2021 and September 26, 2020</w:t>
      </w:r>
    </w:p>
    <w:p w:rsidR="00000000" w:rsidRDefault="002B18C2">
      <w:pPr>
        <w:jc w:val="center"/>
        <w:rPr>
          <w:rFonts w:eastAsia="Times New Roman"/>
        </w:rPr>
      </w:pPr>
      <w:r>
        <w:rPr>
          <w:rFonts w:eastAsia="Times New Roman"/>
          <w:i/>
          <w:iCs/>
          <w:color w:val="000000"/>
          <w:sz w:val="20"/>
          <w:szCs w:val="20"/>
        </w:rPr>
        <w:t>In Thousands, Except Earnings Per Share</w:t>
      </w:r>
    </w:p>
    <w:p w:rsidR="00000000" w:rsidRDefault="002B18C2">
      <w:pPr>
        <w:jc w:val="center"/>
        <w:rPr>
          <w:rFonts w:eastAsia="Times New Roman"/>
        </w:rPr>
      </w:pPr>
      <w:r>
        <w:rPr>
          <w:rFonts w:eastAsia="Times New Roman"/>
          <w:b/>
          <w:bCs/>
          <w:color w:val="000000"/>
          <w:sz w:val="20"/>
          <w:szCs w:val="20"/>
        </w:rPr>
        <w:t>(Unaudited)</w:t>
      </w:r>
    </w:p>
    <w:tbl>
      <w:tblPr>
        <w:tblW w:w="4983" w:type="pct"/>
        <w:jc w:val="center"/>
        <w:tblCellMar>
          <w:top w:w="15" w:type="dxa"/>
          <w:left w:w="15" w:type="dxa"/>
          <w:bottom w:w="15" w:type="dxa"/>
          <w:right w:w="15" w:type="dxa"/>
        </w:tblCellMar>
        <w:tblLook w:val="04A0" w:firstRow="1" w:lastRow="0" w:firstColumn="1" w:lastColumn="0" w:noHBand="0" w:noVBand="1"/>
      </w:tblPr>
      <w:tblGrid>
        <w:gridCol w:w="41"/>
        <w:gridCol w:w="3190"/>
        <w:gridCol w:w="40"/>
        <w:gridCol w:w="120"/>
        <w:gridCol w:w="1042"/>
        <w:gridCol w:w="36"/>
        <w:gridCol w:w="36"/>
        <w:gridCol w:w="36"/>
        <w:gridCol w:w="36"/>
        <w:gridCol w:w="121"/>
        <w:gridCol w:w="1005"/>
        <w:gridCol w:w="36"/>
        <w:gridCol w:w="36"/>
        <w:gridCol w:w="36"/>
        <w:gridCol w:w="36"/>
        <w:gridCol w:w="120"/>
        <w:gridCol w:w="1005"/>
        <w:gridCol w:w="36"/>
        <w:gridCol w:w="36"/>
        <w:gridCol w:w="36"/>
        <w:gridCol w:w="36"/>
        <w:gridCol w:w="120"/>
        <w:gridCol w:w="1006"/>
        <w:gridCol w:w="36"/>
      </w:tblGrid>
      <w:tr w:rsidR="00000000">
        <w:trPr>
          <w:divId w:val="1433361823"/>
          <w:jc w:val="center"/>
        </w:trPr>
        <w:tc>
          <w:tcPr>
            <w:tcW w:w="50" w:type="pct"/>
            <w:vAlign w:val="center"/>
            <w:hideMark/>
          </w:tcPr>
          <w:p w:rsidR="00000000" w:rsidRDefault="002B18C2">
            <w:pPr>
              <w:jc w:val="center"/>
              <w:rPr>
                <w:rFonts w:eastAsia="Times New Roman"/>
              </w:rPr>
            </w:pPr>
          </w:p>
        </w:tc>
        <w:tc>
          <w:tcPr>
            <w:tcW w:w="196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6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6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6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6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143336182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2B18C2">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2B18C2">
            <w:pPr>
              <w:spacing w:after="100"/>
              <w:jc w:val="center"/>
              <w:rPr>
                <w:rFonts w:eastAsia="Times New Roman"/>
              </w:rPr>
            </w:pPr>
            <w:r>
              <w:rPr>
                <w:rFonts w:eastAsia="Times New Roman"/>
                <w:color w:val="000000"/>
                <w:sz w:val="20"/>
                <w:szCs w:val="20"/>
              </w:rPr>
              <w:t>Nine Months Ended</w:t>
            </w:r>
          </w:p>
        </w:tc>
      </w:tr>
      <w:tr w:rsidR="00000000">
        <w:trPr>
          <w:divId w:val="1433361823"/>
          <w:jc w:val="center"/>
        </w:trPr>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September 26, 2020</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September 26, 2020</w:t>
            </w:r>
          </w:p>
        </w:tc>
      </w:tr>
      <w:tr w:rsidR="00000000">
        <w:trPr>
          <w:divId w:val="143336182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433361823"/>
          <w:jc w:val="center"/>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product sales</w:t>
            </w: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425,594 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403,336 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1,326,867 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1,005,884 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xml:space="preserve">Net sales of services and plans </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92,411 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82,017 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274,807 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209,180 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FFFFFF"/>
            <w:tcMar>
              <w:top w:w="30" w:type="dxa"/>
              <w:left w:w="38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518,005 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485,353 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1,601,674 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1,215,064 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Costs applicable to revenue (exclusive of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433361823"/>
          <w:jc w:val="center"/>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Products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158,371 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148,274 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485,090 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402,279 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Services and plans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68,087 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62,535 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202,004 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167,864 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FFFFFF"/>
            <w:tcMar>
              <w:top w:w="30" w:type="dxa"/>
              <w:left w:w="38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226,458 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210,809 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687,094 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570,143 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433361823"/>
          <w:jc w:val="center"/>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218,214 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190,518 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676,042 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520,841 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25,059 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22,236 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72,639 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68,970 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Asset impairment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7,150 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1,478 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20,916 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Litigation settlement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4,395 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Other expense (income), net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(2,437)</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(154)</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(2,567)</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(312)</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CCEEFF"/>
            <w:tcMar>
              <w:top w:w="30" w:type="dxa"/>
              <w:left w:w="38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xml:space="preserve">Total operating expenses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240,836 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219,750 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747,592 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614,810 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Income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50,711 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54,794 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166,988 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30,111 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5,743 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12,475 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22,169 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35,432 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Debt issuance costs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Earnings (loss)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44,968 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42,319 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144,727 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(5,457)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Income tax provision (benefit)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3,976 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7,030 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22,702 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(6,655)</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40,992 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35,289 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122,025 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43336182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Earnings per share:</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433361823"/>
          <w:jc w:val="center"/>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0.50 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0.44 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Diluted</w:t>
            </w: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0.45 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0.42 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Weighted average shares outstanding:</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433361823"/>
          <w:jc w:val="center"/>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82,290 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80,676 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81,729 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80,376 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Diluted</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96,508 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83,795 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96,193 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82,718 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433361823"/>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433361823"/>
          <w:jc w:val="center"/>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income</w:t>
            </w: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40,992 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35,289 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122,025 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1,198 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Unrealized gain (loss) on hedge instruments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340 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1,894 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4,949 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(2,853)</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Tax provision (benefit) of unrealized gain (loss) on hedge instruments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483 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3,389 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(723)</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3361823"/>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Comprehensive income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41,245 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36,700 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123,585 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bl>
    <w:p w:rsidR="00000000" w:rsidRDefault="002B18C2">
      <w:pPr>
        <w:jc w:val="center"/>
        <w:divId w:val="1110121480"/>
        <w:rPr>
          <w:rFonts w:eastAsia="Times New Roman"/>
        </w:rPr>
      </w:pPr>
      <w:r>
        <w:rPr>
          <w:rFonts w:eastAsia="Times New Roman"/>
          <w:i/>
          <w:iCs/>
          <w:color w:val="000000"/>
          <w:sz w:val="20"/>
          <w:szCs w:val="20"/>
        </w:rPr>
        <w:t>The accompanying notes are an integral part of these condensed consolidated financial statements.</w:t>
      </w:r>
    </w:p>
    <w:p w:rsidR="00000000" w:rsidRDefault="002B18C2">
      <w:pPr>
        <w:jc w:val="center"/>
        <w:divId w:val="1829396935"/>
        <w:rPr>
          <w:rFonts w:eastAsia="Times New Roman"/>
        </w:rPr>
      </w:pPr>
      <w:r>
        <w:rPr>
          <w:rFonts w:eastAsia="Times New Roman"/>
          <w:color w:val="000000"/>
          <w:sz w:val="20"/>
          <w:szCs w:val="20"/>
        </w:rPr>
        <w:t>6</w:t>
      </w:r>
    </w:p>
    <w:p w:rsidR="00000000" w:rsidRDefault="002B18C2">
      <w:pPr>
        <w:rPr>
          <w:rFonts w:eastAsia="Times New Roman"/>
        </w:rPr>
      </w:pPr>
      <w:r>
        <w:rPr>
          <w:rFonts w:eastAsia="Times New Roman"/>
        </w:rPr>
        <w:pict>
          <v:rect id="_x0000_i1030" style="width:0;height:1.5pt" o:hralign="center" o:hrstd="t" o:hr="t" fillcolor="#a0a0a0" stroked="f"/>
        </w:pict>
      </w:r>
    </w:p>
    <w:p w:rsidR="00000000" w:rsidRDefault="002B18C2">
      <w:pPr>
        <w:divId w:val="1916553982"/>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divId w:val="319963376"/>
        <w:rPr>
          <w:rFonts w:eastAsia="Times New Roman"/>
        </w:rPr>
      </w:pPr>
    </w:p>
    <w:p w:rsidR="00000000" w:rsidRDefault="002B18C2">
      <w:pPr>
        <w:jc w:val="center"/>
        <w:rPr>
          <w:rFonts w:eastAsia="Times New Roman"/>
        </w:rPr>
      </w:pPr>
    </w:p>
    <w:p w:rsidR="00000000" w:rsidRDefault="002B18C2">
      <w:pPr>
        <w:jc w:val="center"/>
        <w:rPr>
          <w:rFonts w:eastAsia="Times New Roman"/>
        </w:rPr>
      </w:pPr>
      <w:r>
        <w:rPr>
          <w:rFonts w:eastAsia="Times New Roman"/>
          <w:b/>
          <w:bCs/>
          <w:color w:val="000000"/>
          <w:sz w:val="20"/>
          <w:szCs w:val="20"/>
        </w:rPr>
        <w:t>National Vision Holdings, Inc. and Subsidiaries</w:t>
      </w:r>
    </w:p>
    <w:p w:rsidR="00000000" w:rsidRDefault="002B18C2">
      <w:pPr>
        <w:jc w:val="center"/>
        <w:rPr>
          <w:rFonts w:eastAsia="Times New Roman"/>
        </w:rPr>
      </w:pPr>
      <w:r>
        <w:rPr>
          <w:rFonts w:eastAsia="Times New Roman"/>
          <w:b/>
          <w:bCs/>
          <w:color w:val="000000"/>
          <w:sz w:val="20"/>
          <w:szCs w:val="20"/>
        </w:rPr>
        <w:t>Condensed Consolidated Statements of Stockholders’ Equity</w:t>
      </w:r>
    </w:p>
    <w:p w:rsidR="00000000" w:rsidRDefault="002B18C2">
      <w:pPr>
        <w:jc w:val="center"/>
        <w:rPr>
          <w:rFonts w:eastAsia="Times New Roman"/>
        </w:rPr>
      </w:pPr>
      <w:r>
        <w:rPr>
          <w:rFonts w:eastAsia="Times New Roman"/>
          <w:b/>
          <w:bCs/>
          <w:color w:val="000000"/>
          <w:sz w:val="20"/>
          <w:szCs w:val="20"/>
        </w:rPr>
        <w:t xml:space="preserve">For the Three and Nine Months Ended October 2, 2021 </w:t>
      </w:r>
    </w:p>
    <w:p w:rsidR="00000000" w:rsidRDefault="002B18C2">
      <w:pPr>
        <w:jc w:val="center"/>
        <w:rPr>
          <w:rFonts w:eastAsia="Times New Roman"/>
        </w:rPr>
      </w:pPr>
      <w:r>
        <w:rPr>
          <w:rFonts w:eastAsia="Times New Roman"/>
          <w:i/>
          <w:iCs/>
          <w:color w:val="000000"/>
          <w:sz w:val="20"/>
          <w:szCs w:val="20"/>
        </w:rPr>
        <w:t>In Thousands</w:t>
      </w:r>
    </w:p>
    <w:p w:rsidR="00000000" w:rsidRDefault="002B18C2">
      <w:pPr>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1617"/>
        <w:gridCol w:w="38"/>
        <w:gridCol w:w="75"/>
        <w:gridCol w:w="545"/>
        <w:gridCol w:w="39"/>
        <w:gridCol w:w="122"/>
        <w:gridCol w:w="604"/>
        <w:gridCol w:w="37"/>
        <w:gridCol w:w="121"/>
        <w:gridCol w:w="798"/>
        <w:gridCol w:w="36"/>
        <w:gridCol w:w="121"/>
        <w:gridCol w:w="1192"/>
        <w:gridCol w:w="36"/>
        <w:gridCol w:w="120"/>
        <w:gridCol w:w="700"/>
        <w:gridCol w:w="36"/>
        <w:gridCol w:w="120"/>
        <w:gridCol w:w="684"/>
        <w:gridCol w:w="36"/>
        <w:gridCol w:w="121"/>
        <w:gridCol w:w="1025"/>
        <w:gridCol w:w="36"/>
      </w:tblGrid>
      <w:tr w:rsidR="00000000">
        <w:trPr>
          <w:divId w:val="2038264583"/>
          <w:jc w:val="center"/>
        </w:trPr>
        <w:tc>
          <w:tcPr>
            <w:tcW w:w="50" w:type="pct"/>
            <w:vAlign w:val="center"/>
            <w:hideMark/>
          </w:tcPr>
          <w:p w:rsidR="00000000" w:rsidRDefault="002B18C2">
            <w:pPr>
              <w:jc w:val="center"/>
              <w:rPr>
                <w:rFonts w:eastAsia="Times New Roman"/>
              </w:rPr>
            </w:pPr>
          </w:p>
        </w:tc>
        <w:tc>
          <w:tcPr>
            <w:tcW w:w="1331"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364"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364"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47"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34"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17"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17"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8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203826458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Three and Nine Months Ended October 2, 2021</w:t>
            </w:r>
          </w:p>
        </w:tc>
      </w:tr>
      <w:tr w:rsidR="00000000">
        <w:trPr>
          <w:divId w:val="2038264583"/>
          <w:trHeight w:val="300"/>
          <w:jc w:val="center"/>
        </w:trPr>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Common 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 xml:space="preserve">Additional </w:t>
            </w:r>
            <w:r>
              <w:rPr>
                <w:rFonts w:eastAsia="Times New Roman"/>
                <w:color w:val="000000"/>
                <w:sz w:val="20"/>
                <w:szCs w:val="20"/>
              </w:rPr>
              <w:br/>
              <w:t xml:space="preserve">Paid-In </w:t>
            </w:r>
            <w:r>
              <w:rPr>
                <w:rFonts w:eastAsia="Times New Roman"/>
                <w:color w:val="000000"/>
                <w:sz w:val="20"/>
                <w:szCs w:val="20"/>
              </w:rPr>
              <w:br/>
              <w:t>Capital</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Accumulated</w:t>
            </w:r>
            <w:r>
              <w:rPr>
                <w:rFonts w:eastAsia="Times New Roman"/>
                <w:color w:val="000000"/>
                <w:sz w:val="20"/>
                <w:szCs w:val="20"/>
              </w:rPr>
              <w:br/>
              <w:t>Other</w:t>
            </w:r>
            <w:r>
              <w:rPr>
                <w:rFonts w:eastAsia="Times New Roman"/>
                <w:color w:val="000000"/>
                <w:sz w:val="20"/>
                <w:szCs w:val="20"/>
              </w:rPr>
              <w:br/>
            </w:r>
            <w:r>
              <w:rPr>
                <w:rFonts w:eastAsia="Times New Roman"/>
                <w:color w:val="000000"/>
                <w:sz w:val="20"/>
                <w:szCs w:val="20"/>
              </w:rPr>
              <w:t xml:space="preserve">Comprehensive </w:t>
            </w:r>
            <w:r>
              <w:rPr>
                <w:rFonts w:eastAsia="Times New Roman"/>
                <w:color w:val="000000"/>
                <w:sz w:val="20"/>
                <w:szCs w:val="20"/>
              </w:rPr>
              <w:br/>
              <w:t>Loss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Retained Earnings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Treasury</w:t>
            </w:r>
            <w:r>
              <w:rPr>
                <w:rFonts w:eastAsia="Times New Roman"/>
                <w:color w:val="000000"/>
                <w:sz w:val="20"/>
                <w:szCs w:val="20"/>
              </w:rPr>
              <w:br/>
              <w:t>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 xml:space="preserve">Total </w:t>
            </w:r>
            <w:r>
              <w:rPr>
                <w:rFonts w:eastAsia="Times New Roman"/>
                <w:color w:val="000000"/>
                <w:sz w:val="20"/>
                <w:szCs w:val="20"/>
              </w:rPr>
              <w:br/>
              <w:t xml:space="preserve">Stockholders' </w:t>
            </w:r>
            <w:r>
              <w:rPr>
                <w:rFonts w:eastAsia="Times New Roman"/>
                <w:color w:val="000000"/>
                <w:sz w:val="20"/>
                <w:szCs w:val="20"/>
              </w:rPr>
              <w:br/>
              <w:t xml:space="preserve">Equity </w:t>
            </w:r>
          </w:p>
        </w:tc>
      </w:tr>
      <w:tr w:rsidR="00000000">
        <w:trPr>
          <w:divId w:val="2038264583"/>
          <w:trHeight w:val="540"/>
          <w:jc w:val="center"/>
        </w:trPr>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Amount</w:t>
            </w:r>
          </w:p>
        </w:tc>
        <w:tc>
          <w:tcPr>
            <w:tcW w:w="0" w:type="auto"/>
            <w:gridSpan w:val="3"/>
            <w:vMerge/>
            <w:tcBorders>
              <w:top w:val="single" w:sz="8" w:space="0" w:color="000000"/>
            </w:tcBorders>
            <w:vAlign w:val="center"/>
            <w:hideMark/>
          </w:tcPr>
          <w:p w:rsidR="00000000" w:rsidRDefault="002B18C2">
            <w:pPr>
              <w:spacing w:after="100"/>
              <w:rPr>
                <w:rFonts w:eastAsia="Times New Roman"/>
              </w:rPr>
            </w:pPr>
          </w:p>
        </w:tc>
        <w:tc>
          <w:tcPr>
            <w:tcW w:w="0" w:type="auto"/>
            <w:gridSpan w:val="3"/>
            <w:vMerge/>
            <w:tcBorders>
              <w:top w:val="single" w:sz="8" w:space="0" w:color="000000"/>
            </w:tcBorders>
            <w:vAlign w:val="center"/>
            <w:hideMark/>
          </w:tcPr>
          <w:p w:rsidR="00000000" w:rsidRDefault="002B18C2">
            <w:pPr>
              <w:spacing w:after="100"/>
              <w:rPr>
                <w:rFonts w:eastAsia="Times New Roman"/>
              </w:rPr>
            </w:pPr>
          </w:p>
        </w:tc>
        <w:tc>
          <w:tcPr>
            <w:tcW w:w="0" w:type="auto"/>
            <w:gridSpan w:val="3"/>
            <w:vMerge/>
            <w:tcBorders>
              <w:top w:val="single" w:sz="8" w:space="0" w:color="000000"/>
            </w:tcBorders>
            <w:vAlign w:val="center"/>
            <w:hideMark/>
          </w:tcPr>
          <w:p w:rsidR="00000000" w:rsidRDefault="002B18C2">
            <w:pPr>
              <w:spacing w:after="100"/>
              <w:rPr>
                <w:rFonts w:eastAsia="Times New Roman"/>
              </w:rPr>
            </w:pPr>
          </w:p>
        </w:tc>
        <w:tc>
          <w:tcPr>
            <w:tcW w:w="0" w:type="auto"/>
            <w:gridSpan w:val="3"/>
            <w:vMerge/>
            <w:tcBorders>
              <w:top w:val="single" w:sz="8" w:space="0" w:color="000000"/>
            </w:tcBorders>
            <w:vAlign w:val="center"/>
            <w:hideMark/>
          </w:tcPr>
          <w:p w:rsidR="00000000" w:rsidRDefault="002B18C2">
            <w:pPr>
              <w:spacing w:after="100"/>
              <w:rPr>
                <w:rFonts w:eastAsia="Times New Roman"/>
              </w:rPr>
            </w:pPr>
          </w:p>
        </w:tc>
        <w:tc>
          <w:tcPr>
            <w:tcW w:w="0" w:type="auto"/>
            <w:gridSpan w:val="3"/>
            <w:vMerge/>
            <w:tcBorders>
              <w:top w:val="single" w:sz="8" w:space="0" w:color="000000"/>
            </w:tcBorders>
            <w:vAlign w:val="center"/>
            <w:hideMark/>
          </w:tcPr>
          <w:p w:rsidR="00000000" w:rsidRDefault="002B18C2">
            <w:pPr>
              <w:spacing w:after="100"/>
              <w:rPr>
                <w:rFonts w:eastAsia="Times New Roman"/>
              </w:rPr>
            </w:pPr>
          </w:p>
        </w:tc>
      </w:tr>
      <w:tr w:rsidR="00000000">
        <w:trPr>
          <w:divId w:val="203826458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Balances at January 2,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81,239 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795,697 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(4,400)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142,880 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(28,496)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906,502 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264583"/>
          <w:jc w:val="center"/>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xml:space="preserve">Cumulative effect of change in accounting principle </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(71,385)</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7,271 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(64,114)</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26458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Balances at January 3, 2021 - as adjusted</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81,239 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821 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724,312 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(4,400)</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150,151 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(28,496)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842,388 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264583"/>
          <w:jc w:val="center"/>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174 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1,056 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1,058 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264583"/>
          <w:jc w:val="center"/>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2,971 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2,971 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264583"/>
          <w:jc w:val="center"/>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(1,421)</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(1,421)</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264583"/>
          <w:jc w:val="center"/>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(896)</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(896)</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264583"/>
          <w:jc w:val="center"/>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43,432 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43,432 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26458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Balances at April 3, 2021</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81,385 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823 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728,339 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(5,296)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193,583 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(29,917)</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887,532 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264583"/>
          <w:jc w:val="center"/>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471 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3,863 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3,868 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264583"/>
          <w:jc w:val="center"/>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7,178 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7,178 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264583"/>
          <w:jc w:val="center"/>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264583"/>
          <w:jc w:val="center"/>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2,203 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2,203 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264583"/>
          <w:jc w:val="center"/>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37,601 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37,601 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26458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Balances at July 3, 2021</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81,855 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828 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739,380 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(3,093)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231,184 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(29,962)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938,337 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264583"/>
          <w:jc w:val="center"/>
        </w:trPr>
        <w:tc>
          <w:tcPr>
            <w:tcW w:w="0" w:type="auto"/>
            <w:gridSpan w:val="3"/>
            <w:shd w:val="clear" w:color="auto" w:fill="FFFFFF"/>
            <w:tcMar>
              <w:top w:w="30" w:type="dxa"/>
              <w:left w:w="11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839 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5,423 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5,431 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264583"/>
          <w:jc w:val="center"/>
        </w:trPr>
        <w:tc>
          <w:tcPr>
            <w:tcW w:w="0" w:type="auto"/>
            <w:gridSpan w:val="3"/>
            <w:shd w:val="clear" w:color="auto" w:fill="CCEEFF"/>
            <w:tcMar>
              <w:top w:w="30" w:type="dxa"/>
              <w:left w:w="11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3,619 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3,619 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264583"/>
          <w:jc w:val="center"/>
        </w:trPr>
        <w:tc>
          <w:tcPr>
            <w:tcW w:w="0" w:type="auto"/>
            <w:gridSpan w:val="3"/>
            <w:shd w:val="clear" w:color="auto" w:fill="FFFFFF"/>
            <w:tcMar>
              <w:top w:w="30" w:type="dxa"/>
              <w:left w:w="11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264583"/>
          <w:jc w:val="center"/>
        </w:trPr>
        <w:tc>
          <w:tcPr>
            <w:tcW w:w="0" w:type="auto"/>
            <w:gridSpan w:val="3"/>
            <w:shd w:val="clear" w:color="auto" w:fill="CCEEFF"/>
            <w:tcMar>
              <w:top w:w="30" w:type="dxa"/>
              <w:left w:w="11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253 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253 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264583"/>
          <w:jc w:val="center"/>
        </w:trPr>
        <w:tc>
          <w:tcPr>
            <w:tcW w:w="0" w:type="auto"/>
            <w:gridSpan w:val="3"/>
            <w:shd w:val="clear" w:color="auto" w:fill="FFFFFF"/>
            <w:tcMar>
              <w:top w:w="30" w:type="dxa"/>
              <w:left w:w="11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40,992 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40,992 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26458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Balances at October 2,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82,693 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748,422 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(2,840)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272,176 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(30,037)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988,557 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bl>
    <w:p w:rsidR="00000000" w:rsidRDefault="002B18C2">
      <w:pPr>
        <w:jc w:val="center"/>
        <w:divId w:val="1865514651"/>
        <w:rPr>
          <w:rFonts w:eastAsia="Times New Roman"/>
        </w:rPr>
      </w:pPr>
    </w:p>
    <w:p w:rsidR="00000000" w:rsidRDefault="002B18C2">
      <w:pPr>
        <w:jc w:val="center"/>
        <w:divId w:val="1091202716"/>
        <w:rPr>
          <w:rFonts w:eastAsia="Times New Roman"/>
        </w:rPr>
      </w:pPr>
    </w:p>
    <w:p w:rsidR="00000000" w:rsidRDefault="002B18C2">
      <w:pPr>
        <w:jc w:val="center"/>
        <w:divId w:val="2030911162"/>
        <w:rPr>
          <w:rFonts w:eastAsia="Times New Roman"/>
        </w:rPr>
      </w:pPr>
      <w:r>
        <w:rPr>
          <w:rFonts w:eastAsia="Times New Roman"/>
          <w:color w:val="000000"/>
          <w:sz w:val="20"/>
          <w:szCs w:val="20"/>
        </w:rPr>
        <w:t>7</w:t>
      </w:r>
    </w:p>
    <w:p w:rsidR="00000000" w:rsidRDefault="002B18C2">
      <w:pPr>
        <w:rPr>
          <w:rFonts w:eastAsia="Times New Roman"/>
        </w:rPr>
      </w:pPr>
      <w:r>
        <w:rPr>
          <w:rFonts w:eastAsia="Times New Roman"/>
        </w:rPr>
        <w:pict>
          <v:rect id="_x0000_i1031" style="width:0;height:1.5pt" o:hralign="center" o:hrstd="t" o:hr="t" fillcolor="#a0a0a0" stroked="f"/>
        </w:pict>
      </w:r>
    </w:p>
    <w:p w:rsidR="00000000" w:rsidRDefault="002B18C2">
      <w:pPr>
        <w:divId w:val="1127698189"/>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divId w:val="1101030614"/>
        <w:rPr>
          <w:rFonts w:eastAsia="Times New Roman"/>
        </w:rPr>
      </w:pPr>
    </w:p>
    <w:p w:rsidR="00000000" w:rsidRDefault="002B18C2">
      <w:pPr>
        <w:jc w:val="center"/>
        <w:divId w:val="353194376"/>
        <w:rPr>
          <w:rFonts w:eastAsia="Times New Roman"/>
        </w:rPr>
      </w:pPr>
      <w:r>
        <w:rPr>
          <w:rFonts w:eastAsia="Times New Roman"/>
          <w:b/>
          <w:bCs/>
          <w:color w:val="000000"/>
          <w:sz w:val="20"/>
          <w:szCs w:val="20"/>
        </w:rPr>
        <w:t>National Vision Holdings, Inc. and Subsidiaries</w:t>
      </w:r>
    </w:p>
    <w:p w:rsidR="00000000" w:rsidRDefault="002B18C2">
      <w:pPr>
        <w:jc w:val="center"/>
        <w:rPr>
          <w:rFonts w:eastAsia="Times New Roman"/>
        </w:rPr>
      </w:pPr>
      <w:r>
        <w:rPr>
          <w:rFonts w:eastAsia="Times New Roman"/>
          <w:b/>
          <w:bCs/>
          <w:color w:val="000000"/>
          <w:sz w:val="20"/>
          <w:szCs w:val="20"/>
        </w:rPr>
        <w:t>Condensed Consolidated Statements of Stockholders’ Equity</w:t>
      </w:r>
    </w:p>
    <w:p w:rsidR="00000000" w:rsidRDefault="002B18C2">
      <w:pPr>
        <w:jc w:val="center"/>
        <w:rPr>
          <w:rFonts w:eastAsia="Times New Roman"/>
        </w:rPr>
      </w:pPr>
      <w:r>
        <w:rPr>
          <w:rFonts w:eastAsia="Times New Roman"/>
          <w:b/>
          <w:bCs/>
          <w:color w:val="000000"/>
          <w:sz w:val="20"/>
          <w:szCs w:val="20"/>
        </w:rPr>
        <w:t>For the Three and Nine Months Ended September 26, 2020</w:t>
      </w:r>
    </w:p>
    <w:p w:rsidR="00000000" w:rsidRDefault="002B18C2">
      <w:pPr>
        <w:jc w:val="center"/>
        <w:rPr>
          <w:rFonts w:eastAsia="Times New Roman"/>
        </w:rPr>
      </w:pPr>
      <w:r>
        <w:rPr>
          <w:rFonts w:eastAsia="Times New Roman"/>
          <w:i/>
          <w:iCs/>
          <w:color w:val="000000"/>
          <w:sz w:val="20"/>
          <w:szCs w:val="20"/>
        </w:rPr>
        <w:t>In Thousands</w:t>
      </w:r>
    </w:p>
    <w:p w:rsidR="00000000" w:rsidRDefault="002B18C2">
      <w:pPr>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1622"/>
        <w:gridCol w:w="38"/>
        <w:gridCol w:w="76"/>
        <w:gridCol w:w="544"/>
        <w:gridCol w:w="39"/>
        <w:gridCol w:w="121"/>
        <w:gridCol w:w="604"/>
        <w:gridCol w:w="37"/>
        <w:gridCol w:w="121"/>
        <w:gridCol w:w="798"/>
        <w:gridCol w:w="36"/>
        <w:gridCol w:w="121"/>
        <w:gridCol w:w="1192"/>
        <w:gridCol w:w="36"/>
        <w:gridCol w:w="120"/>
        <w:gridCol w:w="700"/>
        <w:gridCol w:w="36"/>
        <w:gridCol w:w="120"/>
        <w:gridCol w:w="684"/>
        <w:gridCol w:w="36"/>
        <w:gridCol w:w="121"/>
        <w:gridCol w:w="1024"/>
        <w:gridCol w:w="36"/>
      </w:tblGrid>
      <w:tr w:rsidR="00000000">
        <w:trPr>
          <w:divId w:val="1155023694"/>
          <w:jc w:val="center"/>
        </w:trPr>
        <w:tc>
          <w:tcPr>
            <w:tcW w:w="50" w:type="pct"/>
            <w:vAlign w:val="center"/>
            <w:hideMark/>
          </w:tcPr>
          <w:p w:rsidR="00000000" w:rsidRDefault="002B18C2">
            <w:pPr>
              <w:jc w:val="center"/>
              <w:rPr>
                <w:rFonts w:eastAsia="Times New Roman"/>
              </w:rPr>
            </w:pPr>
          </w:p>
        </w:tc>
        <w:tc>
          <w:tcPr>
            <w:tcW w:w="1437"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36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36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4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31"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37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37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79"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1155023694"/>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Three and Nine Months Ended September 26, 2020</w:t>
            </w:r>
          </w:p>
        </w:tc>
      </w:tr>
      <w:tr w:rsidR="00000000">
        <w:trPr>
          <w:divId w:val="1155023694"/>
          <w:trHeight w:val="300"/>
          <w:jc w:val="center"/>
        </w:trPr>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Common 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 xml:space="preserve">Additional </w:t>
            </w:r>
            <w:r>
              <w:rPr>
                <w:rFonts w:eastAsia="Times New Roman"/>
                <w:color w:val="000000"/>
                <w:sz w:val="20"/>
                <w:szCs w:val="20"/>
              </w:rPr>
              <w:br/>
              <w:t xml:space="preserve">Paid-In </w:t>
            </w:r>
            <w:r>
              <w:rPr>
                <w:rFonts w:eastAsia="Times New Roman"/>
                <w:color w:val="000000"/>
                <w:sz w:val="20"/>
                <w:szCs w:val="20"/>
              </w:rPr>
              <w:br/>
              <w:t>Capital</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Accumulated</w:t>
            </w:r>
            <w:r>
              <w:rPr>
                <w:rFonts w:eastAsia="Times New Roman"/>
                <w:color w:val="000000"/>
                <w:sz w:val="20"/>
                <w:szCs w:val="20"/>
              </w:rPr>
              <w:br/>
              <w:t>Other</w:t>
            </w:r>
            <w:r>
              <w:rPr>
                <w:rFonts w:eastAsia="Times New Roman"/>
                <w:color w:val="000000"/>
                <w:sz w:val="20"/>
                <w:szCs w:val="20"/>
              </w:rPr>
              <w:br/>
              <w:t xml:space="preserve">Comprehensive </w:t>
            </w:r>
            <w:r>
              <w:rPr>
                <w:rFonts w:eastAsia="Times New Roman"/>
                <w:color w:val="000000"/>
                <w:sz w:val="20"/>
                <w:szCs w:val="20"/>
              </w:rPr>
              <w:br/>
              <w:t>Loss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Retained Earnings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Treasury</w:t>
            </w:r>
            <w:r>
              <w:rPr>
                <w:rFonts w:eastAsia="Times New Roman"/>
                <w:color w:val="000000"/>
                <w:sz w:val="20"/>
                <w:szCs w:val="20"/>
              </w:rPr>
              <w:br/>
              <w:t>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 xml:space="preserve">Total </w:t>
            </w:r>
            <w:r>
              <w:rPr>
                <w:rFonts w:eastAsia="Times New Roman"/>
                <w:color w:val="000000"/>
                <w:sz w:val="20"/>
                <w:szCs w:val="20"/>
              </w:rPr>
              <w:br/>
              <w:t xml:space="preserve">Stockholders' </w:t>
            </w:r>
            <w:r>
              <w:rPr>
                <w:rFonts w:eastAsia="Times New Roman"/>
                <w:color w:val="000000"/>
                <w:sz w:val="20"/>
                <w:szCs w:val="20"/>
              </w:rPr>
              <w:br/>
            </w:r>
            <w:r>
              <w:rPr>
                <w:rFonts w:eastAsia="Times New Roman"/>
                <w:color w:val="000000"/>
                <w:sz w:val="20"/>
                <w:szCs w:val="20"/>
              </w:rPr>
              <w:t xml:space="preserve">Equity </w:t>
            </w:r>
          </w:p>
        </w:tc>
      </w:tr>
      <w:tr w:rsidR="00000000">
        <w:trPr>
          <w:divId w:val="1155023694"/>
          <w:trHeight w:val="600"/>
          <w:jc w:val="center"/>
        </w:trPr>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Amount</w:t>
            </w:r>
          </w:p>
        </w:tc>
        <w:tc>
          <w:tcPr>
            <w:tcW w:w="0" w:type="auto"/>
            <w:gridSpan w:val="3"/>
            <w:vMerge/>
            <w:tcBorders>
              <w:top w:val="single" w:sz="8" w:space="0" w:color="000000"/>
            </w:tcBorders>
            <w:vAlign w:val="center"/>
            <w:hideMark/>
          </w:tcPr>
          <w:p w:rsidR="00000000" w:rsidRDefault="002B18C2">
            <w:pPr>
              <w:spacing w:after="100"/>
              <w:rPr>
                <w:rFonts w:eastAsia="Times New Roman"/>
              </w:rPr>
            </w:pPr>
          </w:p>
        </w:tc>
        <w:tc>
          <w:tcPr>
            <w:tcW w:w="0" w:type="auto"/>
            <w:gridSpan w:val="3"/>
            <w:vMerge/>
            <w:tcBorders>
              <w:top w:val="single" w:sz="8" w:space="0" w:color="000000"/>
            </w:tcBorders>
            <w:vAlign w:val="center"/>
            <w:hideMark/>
          </w:tcPr>
          <w:p w:rsidR="00000000" w:rsidRDefault="002B18C2">
            <w:pPr>
              <w:spacing w:after="100"/>
              <w:rPr>
                <w:rFonts w:eastAsia="Times New Roman"/>
              </w:rPr>
            </w:pPr>
          </w:p>
        </w:tc>
        <w:tc>
          <w:tcPr>
            <w:tcW w:w="0" w:type="auto"/>
            <w:gridSpan w:val="3"/>
            <w:vMerge/>
            <w:tcBorders>
              <w:top w:val="single" w:sz="8" w:space="0" w:color="000000"/>
            </w:tcBorders>
            <w:vAlign w:val="center"/>
            <w:hideMark/>
          </w:tcPr>
          <w:p w:rsidR="00000000" w:rsidRDefault="002B18C2">
            <w:pPr>
              <w:spacing w:after="100"/>
              <w:rPr>
                <w:rFonts w:eastAsia="Times New Roman"/>
              </w:rPr>
            </w:pPr>
          </w:p>
        </w:tc>
        <w:tc>
          <w:tcPr>
            <w:tcW w:w="0" w:type="auto"/>
            <w:gridSpan w:val="3"/>
            <w:vMerge/>
            <w:tcBorders>
              <w:top w:val="single" w:sz="8" w:space="0" w:color="000000"/>
            </w:tcBorders>
            <w:vAlign w:val="center"/>
            <w:hideMark/>
          </w:tcPr>
          <w:p w:rsidR="00000000" w:rsidRDefault="002B18C2">
            <w:pPr>
              <w:spacing w:after="100"/>
              <w:rPr>
                <w:rFonts w:eastAsia="Times New Roman"/>
              </w:rPr>
            </w:pPr>
          </w:p>
        </w:tc>
        <w:tc>
          <w:tcPr>
            <w:tcW w:w="0" w:type="auto"/>
            <w:gridSpan w:val="3"/>
            <w:vMerge/>
            <w:tcBorders>
              <w:top w:val="single" w:sz="8" w:space="0" w:color="000000"/>
            </w:tcBorders>
            <w:vAlign w:val="center"/>
            <w:hideMark/>
          </w:tcPr>
          <w:p w:rsidR="00000000" w:rsidRDefault="002B18C2">
            <w:pPr>
              <w:spacing w:after="100"/>
              <w:rPr>
                <w:rFonts w:eastAsia="Times New Roman"/>
              </w:rPr>
            </w:pPr>
          </w:p>
        </w:tc>
      </w:tr>
      <w:tr w:rsidR="00000000">
        <w:trPr>
          <w:divId w:val="1155023694"/>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Balances at December 28,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79,678 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700,121 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(3,814)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107,132 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(27,807)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776,437 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023694"/>
          <w:jc w:val="center"/>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xml:space="preserve">Cumulative effect of change in accounting principle </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(529)</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(529)</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023694"/>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Balances at December 29, 2019 - as adjusted</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79,678 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805 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700,121 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(3,814)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106,603 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(27,807)</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775,908 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023694"/>
          <w:jc w:val="center"/>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602 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5,114 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5,120 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023694"/>
          <w:jc w:val="center"/>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2,066 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2,066 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023694"/>
          <w:jc w:val="center"/>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023694"/>
          <w:jc w:val="center"/>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(6,602)</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(6,602)</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023694"/>
          <w:jc w:val="center"/>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9,742 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9,742 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023694"/>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Balances at March 28, 2020</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80,278 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811 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707,301 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(10,416)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116,345 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w:t>
            </w:r>
            <w:r>
              <w:rPr>
                <w:rFonts w:eastAsia="Times New Roman"/>
                <w:color w:val="000000"/>
                <w:sz w:val="20"/>
                <w:szCs w:val="20"/>
              </w:rPr>
              <w:t>27,881)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786,160 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023694"/>
          <w:jc w:val="center"/>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877 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878 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023694"/>
          <w:jc w:val="center"/>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3,324 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3,324 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023694"/>
          <w:jc w:val="center"/>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Con</w:t>
            </w:r>
            <w:r>
              <w:rPr>
                <w:rFonts w:eastAsia="Times New Roman"/>
                <w:color w:val="000000"/>
                <w:sz w:val="20"/>
                <w:szCs w:val="20"/>
              </w:rPr>
              <w:t>version option related to convertible senior notes, net of allocated costs and tax</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71,349 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71,349 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023694"/>
          <w:jc w:val="center"/>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3,061 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3,061 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023694"/>
          <w:jc w:val="center"/>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(43,833)</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(43,833)</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023694"/>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Balances at June 27, 2020</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80,415 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812 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782,851 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(7,355)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72,512 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(27,881)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820,939 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023694"/>
          <w:jc w:val="center"/>
        </w:trPr>
        <w:tc>
          <w:tcPr>
            <w:tcW w:w="0" w:type="auto"/>
            <w:gridSpan w:val="3"/>
            <w:shd w:val="clear" w:color="auto" w:fill="FFFFFF"/>
            <w:tcMar>
              <w:top w:w="30" w:type="dxa"/>
              <w:left w:w="11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575 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4,474 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4,480 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023694"/>
          <w:jc w:val="center"/>
        </w:trPr>
        <w:tc>
          <w:tcPr>
            <w:tcW w:w="0" w:type="auto"/>
            <w:gridSpan w:val="3"/>
            <w:shd w:val="clear" w:color="auto" w:fill="CCEEFF"/>
            <w:tcMar>
              <w:top w:w="30" w:type="dxa"/>
              <w:left w:w="11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2,863 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2,863 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023694"/>
          <w:jc w:val="center"/>
        </w:trPr>
        <w:tc>
          <w:tcPr>
            <w:tcW w:w="0" w:type="auto"/>
            <w:gridSpan w:val="3"/>
            <w:shd w:val="clear" w:color="auto" w:fill="FFFFFF"/>
            <w:tcMar>
              <w:top w:w="30" w:type="dxa"/>
              <w:left w:w="11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023694"/>
          <w:jc w:val="center"/>
        </w:trPr>
        <w:tc>
          <w:tcPr>
            <w:tcW w:w="0" w:type="auto"/>
            <w:gridSpan w:val="3"/>
            <w:shd w:val="clear" w:color="auto" w:fill="CCEEFF"/>
            <w:tcMar>
              <w:top w:w="30" w:type="dxa"/>
              <w:left w:w="11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1,411 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1,411 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023694"/>
          <w:jc w:val="center"/>
        </w:trPr>
        <w:tc>
          <w:tcPr>
            <w:tcW w:w="0" w:type="auto"/>
            <w:gridSpan w:val="3"/>
            <w:shd w:val="clear" w:color="auto" w:fill="FFFFFF"/>
            <w:tcMar>
              <w:top w:w="30" w:type="dxa"/>
              <w:left w:w="11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35,289 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35,289 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023694"/>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Balances at September 26,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80,989 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790,188 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(5,944)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107,801 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(27,900)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864,963 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bl>
    <w:p w:rsidR="00000000" w:rsidRDefault="002B18C2">
      <w:pPr>
        <w:jc w:val="center"/>
        <w:divId w:val="787745239"/>
        <w:rPr>
          <w:rFonts w:eastAsia="Times New Roman"/>
        </w:rPr>
      </w:pPr>
      <w:r>
        <w:rPr>
          <w:rFonts w:eastAsia="Times New Roman"/>
          <w:i/>
          <w:iCs/>
          <w:color w:val="000000"/>
          <w:sz w:val="20"/>
          <w:szCs w:val="20"/>
        </w:rPr>
        <w:t>The accompanying notes are an integral part of these</w:t>
      </w:r>
      <w:r>
        <w:rPr>
          <w:rFonts w:eastAsia="Times New Roman"/>
          <w:i/>
          <w:iCs/>
          <w:color w:val="000000"/>
          <w:sz w:val="20"/>
          <w:szCs w:val="20"/>
        </w:rPr>
        <w:t xml:space="preserve"> condensed consolidated financial statements.</w:t>
      </w:r>
    </w:p>
    <w:p w:rsidR="00000000" w:rsidRDefault="002B18C2">
      <w:pPr>
        <w:jc w:val="center"/>
        <w:divId w:val="2089113249"/>
        <w:rPr>
          <w:rFonts w:eastAsia="Times New Roman"/>
        </w:rPr>
      </w:pPr>
      <w:r>
        <w:rPr>
          <w:rFonts w:eastAsia="Times New Roman"/>
          <w:color w:val="000000"/>
          <w:sz w:val="20"/>
          <w:szCs w:val="20"/>
        </w:rPr>
        <w:t>8</w:t>
      </w:r>
    </w:p>
    <w:p w:rsidR="00000000" w:rsidRDefault="002B18C2">
      <w:pPr>
        <w:rPr>
          <w:rFonts w:eastAsia="Times New Roman"/>
        </w:rPr>
      </w:pPr>
      <w:r>
        <w:rPr>
          <w:rFonts w:eastAsia="Times New Roman"/>
        </w:rPr>
        <w:pict>
          <v:rect id="_x0000_i1032" style="width:0;height:1.5pt" o:hralign="center" o:hrstd="t" o:hr="t" fillcolor="#a0a0a0" stroked="f"/>
        </w:pict>
      </w:r>
    </w:p>
    <w:p w:rsidR="00000000" w:rsidRDefault="002B18C2">
      <w:pPr>
        <w:divId w:val="246891286"/>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center"/>
        <w:rPr>
          <w:rFonts w:eastAsia="Times New Roman"/>
        </w:rPr>
      </w:pPr>
      <w:r>
        <w:rPr>
          <w:rFonts w:eastAsia="Times New Roman"/>
          <w:b/>
          <w:bCs/>
          <w:color w:val="000000"/>
          <w:sz w:val="20"/>
          <w:szCs w:val="20"/>
        </w:rPr>
        <w:t>National Vision Holdings, Inc. and Subsidiaries</w:t>
      </w:r>
    </w:p>
    <w:p w:rsidR="00000000" w:rsidRDefault="002B18C2">
      <w:pPr>
        <w:jc w:val="center"/>
        <w:rPr>
          <w:rFonts w:eastAsia="Times New Roman"/>
        </w:rPr>
      </w:pPr>
      <w:r>
        <w:rPr>
          <w:rFonts w:eastAsia="Times New Roman"/>
          <w:b/>
          <w:bCs/>
          <w:color w:val="000000"/>
          <w:sz w:val="20"/>
          <w:szCs w:val="20"/>
        </w:rPr>
        <w:t>Condensed Consolidated Statements of Cash Flows</w:t>
      </w:r>
    </w:p>
    <w:p w:rsidR="00000000" w:rsidRDefault="002B18C2">
      <w:pPr>
        <w:jc w:val="center"/>
        <w:rPr>
          <w:rFonts w:eastAsia="Times New Roman"/>
        </w:rPr>
      </w:pPr>
      <w:r>
        <w:rPr>
          <w:rFonts w:eastAsia="Times New Roman"/>
          <w:b/>
          <w:bCs/>
          <w:color w:val="000000"/>
          <w:sz w:val="20"/>
          <w:szCs w:val="20"/>
        </w:rPr>
        <w:t>For the Nine Months Ended October 2, 2021 and September 26, 2020</w:t>
      </w:r>
    </w:p>
    <w:p w:rsidR="00000000" w:rsidRDefault="002B18C2">
      <w:pPr>
        <w:jc w:val="center"/>
        <w:rPr>
          <w:rFonts w:eastAsia="Times New Roman"/>
        </w:rPr>
      </w:pPr>
      <w:r>
        <w:rPr>
          <w:rFonts w:eastAsia="Times New Roman"/>
          <w:i/>
          <w:iCs/>
          <w:color w:val="000000"/>
          <w:sz w:val="20"/>
          <w:szCs w:val="20"/>
        </w:rPr>
        <w:t>In Thousands</w:t>
      </w:r>
    </w:p>
    <w:p w:rsidR="00000000" w:rsidRDefault="002B18C2">
      <w:pPr>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3"/>
        <w:gridCol w:w="5620"/>
        <w:gridCol w:w="39"/>
        <w:gridCol w:w="110"/>
        <w:gridCol w:w="1107"/>
        <w:gridCol w:w="36"/>
        <w:gridCol w:w="36"/>
        <w:gridCol w:w="36"/>
        <w:gridCol w:w="36"/>
        <w:gridCol w:w="111"/>
        <w:gridCol w:w="1096"/>
        <w:gridCol w:w="36"/>
      </w:tblGrid>
      <w:tr w:rsidR="00000000">
        <w:trPr>
          <w:divId w:val="1155337585"/>
        </w:trPr>
        <w:tc>
          <w:tcPr>
            <w:tcW w:w="50" w:type="pct"/>
            <w:vAlign w:val="center"/>
            <w:hideMark/>
          </w:tcPr>
          <w:p w:rsidR="00000000" w:rsidRDefault="002B18C2">
            <w:pPr>
              <w:jc w:val="center"/>
              <w:rPr>
                <w:rFonts w:eastAsia="Times New Roman"/>
              </w:rPr>
            </w:pPr>
          </w:p>
        </w:tc>
        <w:tc>
          <w:tcPr>
            <w:tcW w:w="3406"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9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98"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1155337585"/>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18"/>
                <w:szCs w:val="18"/>
              </w:rPr>
              <w:t>Nine Months Ended</w:t>
            </w:r>
          </w:p>
        </w:tc>
      </w:tr>
      <w:tr w:rsidR="00000000">
        <w:trPr>
          <w:divId w:val="1155337585"/>
        </w:trPr>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18"/>
                <w:szCs w:val="18"/>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18"/>
                <w:szCs w:val="18"/>
              </w:rPr>
              <w:t>September 26, 2020</w:t>
            </w:r>
          </w:p>
        </w:tc>
      </w:tr>
      <w:tr w:rsidR="00000000">
        <w:trPr>
          <w:divId w:val="1155337585"/>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18"/>
                <w:szCs w:val="18"/>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155337585"/>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Net income</w:t>
            </w: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122,025 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1,198 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155337585"/>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72,639 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68,970 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Amortization of debt discount and deferred financing costs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3,140 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7,248 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 xml:space="preserve">Asset impairment </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1,478 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20,916 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 xml:space="preserve">Deferred income tax expense (benefit) </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23,585 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(6,735)</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Stock 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13,866 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8,335 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Losses (gains) on change in fair value of derivatives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(421)</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4,596 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Inventory adjustments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1,546 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3,502 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(242)</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4,238 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155337585"/>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2,746 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(5,685)</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Inventories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(14,909)</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12,354 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Operating lease right of use assets and lease liabilities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(456)</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(1,258)</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Other assets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(6,813)</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1,044 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11,263 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27,847 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Deferred and unearned revenue</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15,699 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16,940 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(11,339)</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40,206 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233,807 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203,716 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18"/>
                <w:szCs w:val="18"/>
              </w:rPr>
              <w:t>Cash flows from 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155337585"/>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Purchase of property and equipment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(58,920)</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(40,837)</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2,475 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323 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Net cash used for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(56,445)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(40,514)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18"/>
                <w:szCs w:val="18"/>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155337585"/>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Borrowings on long-term debt, net of discounts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548,769 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Repayments on long-term debt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(117,375)</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(369,269)</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 xml:space="preserve">Proceeds from exercise of stock options </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11,170 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10,478 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Purchase of treasury stock</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(1,414)</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(93)</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Payments of debt issuance costs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(900)</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(12,462)</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Payments on finance lease obligations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(3,546)</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(2,517)</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Net cash provided by (used for)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(112,065)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174,906 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Net change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65,297 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338,108 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Cash, cash equivalents and restricted cash, beginning of year</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375,159 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40,307 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Cash, cash equivalents and restricted cash,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440,456 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378,415 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Height w:val="180"/>
        </w:trPr>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155337585"/>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18"/>
                <w:szCs w:val="18"/>
              </w:rPr>
              <w:t>Supplemental cash flow disclosure information:</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155337585"/>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Cash paid for interest</w:t>
            </w: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17,316 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19,508 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Cash paid (received) for taxes</w:t>
            </w: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9,293 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(693)</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Capital expenditures accrued at the end of the period</w:t>
            </w: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10,455 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13,516 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55337585"/>
        </w:trPr>
        <w:tc>
          <w:tcPr>
            <w:tcW w:w="0" w:type="auto"/>
            <w:gridSpan w:val="3"/>
            <w:vAlign w:val="center"/>
            <w:hideMark/>
          </w:tcPr>
          <w:p w:rsidR="00000000" w:rsidRDefault="002B18C2">
            <w:pPr>
              <w:spacing w:after="100"/>
              <w:jc w:val="right"/>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r>
      <w:tr w:rsidR="00000000">
        <w:trPr>
          <w:divId w:val="1155337585"/>
        </w:trPr>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r>
    </w:tbl>
    <w:p w:rsidR="00000000" w:rsidRDefault="002B18C2">
      <w:pPr>
        <w:jc w:val="center"/>
        <w:divId w:val="1182285416"/>
        <w:rPr>
          <w:rFonts w:eastAsia="Times New Roman"/>
        </w:rPr>
      </w:pPr>
      <w:r>
        <w:rPr>
          <w:rFonts w:eastAsia="Times New Roman"/>
          <w:i/>
          <w:iCs/>
          <w:color w:val="000000"/>
          <w:sz w:val="20"/>
          <w:szCs w:val="20"/>
        </w:rPr>
        <w:t>The accompanying notes are an integral part of these condensed consolidated financial statements.</w:t>
      </w:r>
    </w:p>
    <w:p w:rsidR="00000000" w:rsidRDefault="002B18C2">
      <w:pPr>
        <w:jc w:val="center"/>
        <w:divId w:val="811219962"/>
        <w:rPr>
          <w:rFonts w:eastAsia="Times New Roman"/>
        </w:rPr>
      </w:pPr>
      <w:r>
        <w:rPr>
          <w:rFonts w:eastAsia="Times New Roman"/>
          <w:color w:val="000000"/>
          <w:sz w:val="20"/>
          <w:szCs w:val="20"/>
        </w:rPr>
        <w:t>9</w:t>
      </w:r>
    </w:p>
    <w:p w:rsidR="00000000" w:rsidRDefault="002B18C2">
      <w:pPr>
        <w:rPr>
          <w:rFonts w:eastAsia="Times New Roman"/>
        </w:rPr>
      </w:pPr>
      <w:r>
        <w:rPr>
          <w:rFonts w:eastAsia="Times New Roman"/>
        </w:rPr>
        <w:pict>
          <v:rect id="_x0000_i1033" style="width:0;height:1.5pt" o:hralign="center" o:hrstd="t" o:hr="t" fillcolor="#a0a0a0" stroked="f"/>
        </w:pict>
      </w:r>
    </w:p>
    <w:p w:rsidR="00000000" w:rsidRDefault="002B18C2">
      <w:pPr>
        <w:divId w:val="1881821933"/>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center"/>
        <w:divId w:val="1693188372"/>
        <w:rPr>
          <w:rFonts w:eastAsia="Times New Roman"/>
        </w:rPr>
      </w:pPr>
      <w:r>
        <w:rPr>
          <w:rFonts w:eastAsia="Times New Roman"/>
          <w:b/>
          <w:bCs/>
          <w:color w:val="000000"/>
          <w:sz w:val="20"/>
          <w:szCs w:val="20"/>
        </w:rPr>
        <w:t>National Vision Holdings, Inc. and Subsidiar</w:t>
      </w:r>
      <w:r>
        <w:rPr>
          <w:rFonts w:eastAsia="Times New Roman"/>
          <w:b/>
          <w:bCs/>
          <w:color w:val="000000"/>
          <w:sz w:val="20"/>
          <w:szCs w:val="20"/>
        </w:rPr>
        <w:t>ies</w:t>
      </w:r>
    </w:p>
    <w:p w:rsidR="00000000" w:rsidRDefault="002B18C2">
      <w:pPr>
        <w:jc w:val="center"/>
        <w:divId w:val="1995865251"/>
        <w:rPr>
          <w:rFonts w:eastAsia="Times New Roman"/>
        </w:rPr>
      </w:pPr>
      <w:r>
        <w:rPr>
          <w:rFonts w:eastAsia="Times New Roman"/>
          <w:b/>
          <w:bCs/>
          <w:color w:val="000000"/>
          <w:sz w:val="20"/>
          <w:szCs w:val="20"/>
        </w:rPr>
        <w:t>Notes to Condensed Consolidated Financial Statements (Unaudited)</w:t>
      </w:r>
    </w:p>
    <w:p w:rsidR="00000000" w:rsidRDefault="002B18C2">
      <w:pPr>
        <w:divId w:val="516239840"/>
        <w:rPr>
          <w:rFonts w:eastAsia="Times New Roman"/>
        </w:rPr>
      </w:pPr>
    </w:p>
    <w:p w:rsidR="00000000" w:rsidRDefault="002B18C2">
      <w:pPr>
        <w:divId w:val="1444810713"/>
        <w:rPr>
          <w:rFonts w:eastAsia="Times New Roman"/>
        </w:rPr>
      </w:pPr>
    </w:p>
    <w:p w:rsidR="00000000" w:rsidRDefault="002B18C2">
      <w:pPr>
        <w:divId w:val="1954046533"/>
        <w:rPr>
          <w:rFonts w:eastAsia="Times New Roman"/>
        </w:rPr>
      </w:pPr>
      <w:r>
        <w:rPr>
          <w:rFonts w:eastAsia="Times New Roman"/>
          <w:b/>
          <w:bCs/>
          <w:color w:val="000000"/>
          <w:sz w:val="20"/>
          <w:szCs w:val="20"/>
        </w:rPr>
        <w:t>1. Description of Business and Basis of Presentation</w:t>
      </w:r>
    </w:p>
    <w:p w:rsidR="00000000" w:rsidRDefault="002B18C2">
      <w:pPr>
        <w:divId w:val="158037724"/>
        <w:rPr>
          <w:rFonts w:eastAsia="Times New Roman"/>
        </w:rPr>
      </w:pPr>
      <w:r>
        <w:rPr>
          <w:rFonts w:eastAsia="Times New Roman"/>
          <w:i/>
          <w:iCs/>
          <w:color w:val="000000"/>
          <w:sz w:val="20"/>
          <w:szCs w:val="20"/>
        </w:rPr>
        <w:t>Nature of Operations</w:t>
      </w:r>
    </w:p>
    <w:p w:rsidR="00000000" w:rsidRDefault="002B18C2">
      <w:pPr>
        <w:jc w:val="both"/>
        <w:divId w:val="165216850"/>
        <w:rPr>
          <w:rFonts w:eastAsia="Times New Roman"/>
        </w:rPr>
      </w:pPr>
      <w:r>
        <w:rPr>
          <w:rFonts w:eastAsia="Times New Roman"/>
          <w:color w:val="000000"/>
          <w:sz w:val="20"/>
          <w:szCs w:val="20"/>
        </w:rPr>
        <w:t>National Vision Holdings, Inc. (“NVHI,” the “Company,” “we,” “our,” or “us”</w:t>
      </w:r>
      <w:r>
        <w:rPr>
          <w:rFonts w:eastAsia="Times New Roman"/>
          <w:color w:val="000000"/>
          <w:sz w:val="20"/>
          <w:szCs w:val="20"/>
        </w:rPr>
        <w:t>) is a holding company whose operating subsidiaries include its indirect wholly owned subsidiary, National Vision, Inc. (“NVI”) and NVI’s wholly owned subsidiaries. We are a leading value retailer of eyeglasses and contact lenses in the United States. We o</w:t>
      </w:r>
      <w:r>
        <w:rPr>
          <w:rFonts w:eastAsia="Times New Roman"/>
          <w:color w:val="000000"/>
          <w:sz w:val="20"/>
          <w:szCs w:val="20"/>
        </w:rPr>
        <w:t xml:space="preserve">perated 1,262 and 1,205 retail optical locations in the United States and its territories as of October 2, 2021 and January 2, 2021, respectively, through our five store brands, including America’s Best Contacts and Eyeglasses (“America’s Best”), Eyeglass </w:t>
      </w:r>
      <w:r>
        <w:rPr>
          <w:rFonts w:eastAsia="Times New Roman"/>
          <w:color w:val="000000"/>
          <w:sz w:val="20"/>
          <w:szCs w:val="20"/>
        </w:rPr>
        <w:t>World, Vista Optical locations on select U.S. Army/Air Force military bases (“Military”) and within select Fred Meyer stores, and our management &amp; services arrangement with Walmart (“Legacy”).</w:t>
      </w:r>
    </w:p>
    <w:p w:rsidR="00000000" w:rsidRDefault="002B18C2">
      <w:pPr>
        <w:jc w:val="both"/>
        <w:divId w:val="453407757"/>
        <w:rPr>
          <w:rFonts w:eastAsia="Times New Roman"/>
        </w:rPr>
      </w:pPr>
      <w:r>
        <w:rPr>
          <w:rFonts w:eastAsia="Times New Roman"/>
          <w:i/>
          <w:iCs/>
          <w:color w:val="000000"/>
          <w:sz w:val="20"/>
          <w:szCs w:val="20"/>
        </w:rPr>
        <w:t xml:space="preserve">Basis of Presentation </w:t>
      </w:r>
    </w:p>
    <w:p w:rsidR="00000000" w:rsidRDefault="002B18C2">
      <w:pPr>
        <w:jc w:val="both"/>
        <w:divId w:val="946814139"/>
        <w:rPr>
          <w:rFonts w:eastAsia="Times New Roman"/>
        </w:rPr>
      </w:pPr>
      <w:r>
        <w:rPr>
          <w:rFonts w:eastAsia="Times New Roman"/>
          <w:color w:val="000000"/>
          <w:sz w:val="20"/>
          <w:szCs w:val="20"/>
        </w:rPr>
        <w:t>We prepare our unaudited interim condens</w:t>
      </w:r>
      <w:r>
        <w:rPr>
          <w:rFonts w:eastAsia="Times New Roman"/>
          <w:color w:val="000000"/>
          <w:sz w:val="20"/>
          <w:szCs w:val="20"/>
        </w:rPr>
        <w:t>ed consolidated financial statements in accordance with accounting principles generally accepted in the United States of America (“U.S. GAAP”) for interim financial information and, therefore, do not include all information and disclosures required by U.S.</w:t>
      </w:r>
      <w:r>
        <w:rPr>
          <w:rFonts w:eastAsia="Times New Roman"/>
          <w:color w:val="000000"/>
          <w:sz w:val="20"/>
          <w:szCs w:val="20"/>
        </w:rPr>
        <w:t xml:space="preserve"> GAAP for complete consolidated financial statements. The condensed consolidated balance sheet as of January 2, 2021 has been derived from the audited consolidated balance sheet for the fiscal year then ended. These condensed consolidated financial stateme</w:t>
      </w:r>
      <w:r>
        <w:rPr>
          <w:rFonts w:eastAsia="Times New Roman"/>
          <w:color w:val="000000"/>
          <w:sz w:val="20"/>
          <w:szCs w:val="20"/>
        </w:rPr>
        <w:t>nts reflect all normal and recurring adjustments which are, in the opinion of management, necessary to present fairly the Company’s consolidated results of the interim period. Certain prior year amounts in the Condensed Consolidated Statements of Cash Flow</w:t>
      </w:r>
      <w:r>
        <w:rPr>
          <w:rFonts w:eastAsia="Times New Roman"/>
          <w:color w:val="000000"/>
          <w:sz w:val="20"/>
          <w:szCs w:val="20"/>
        </w:rPr>
        <w:t>s have been reclassified to conform to the current presentation.</w:t>
      </w:r>
    </w:p>
    <w:p w:rsidR="00000000" w:rsidRDefault="002B18C2">
      <w:pPr>
        <w:jc w:val="both"/>
        <w:divId w:val="2002465381"/>
        <w:rPr>
          <w:rFonts w:eastAsia="Times New Roman"/>
        </w:rPr>
      </w:pPr>
      <w:r>
        <w:rPr>
          <w:rFonts w:eastAsia="Times New Roman"/>
          <w:color w:val="000000"/>
          <w:sz w:val="20"/>
          <w:szCs w:val="20"/>
        </w:rPr>
        <w:t xml:space="preserve">Certain information and disclosures normally included in our annual consolidated financial statements have been condensed or omitted; however, we believe that the disclosures included herein </w:t>
      </w:r>
      <w:r>
        <w:rPr>
          <w:rFonts w:eastAsia="Times New Roman"/>
          <w:color w:val="000000"/>
          <w:sz w:val="20"/>
          <w:szCs w:val="20"/>
        </w:rPr>
        <w:t xml:space="preserve">are sufficient for a fair presentation of the information presented. These condensed consolidated financial statements should be read in conjunction with our audited consolidated financial statements and the notes thereto for the fiscal year ended January </w:t>
      </w:r>
      <w:r>
        <w:rPr>
          <w:rFonts w:eastAsia="Times New Roman"/>
          <w:color w:val="000000"/>
          <w:sz w:val="20"/>
          <w:szCs w:val="20"/>
        </w:rPr>
        <w:t>2, 2021 included in the 2020 Annual Report on Form 10-K. The Company’s significant accounting policies are set forth in Note 1 within those consolidated financial statements. We use the same accounting policies in preparing interim condensed consolidated f</w:t>
      </w:r>
      <w:r>
        <w:rPr>
          <w:rFonts w:eastAsia="Times New Roman"/>
          <w:color w:val="000000"/>
          <w:sz w:val="20"/>
          <w:szCs w:val="20"/>
        </w:rPr>
        <w:t xml:space="preserve">inancial information and annual consolidated financial statements. There were no changes to our significant accounting policies during the nine months ended October 2, 2021, except for the adoption of Accounting Standards Update (“ASU”) No. 2020-06, </w:t>
      </w:r>
      <w:r>
        <w:rPr>
          <w:rFonts w:eastAsia="Times New Roman"/>
          <w:i/>
          <w:iCs/>
          <w:color w:val="000000"/>
          <w:sz w:val="20"/>
          <w:szCs w:val="20"/>
        </w:rPr>
        <w:t>Debt—D</w:t>
      </w:r>
      <w:r>
        <w:rPr>
          <w:rFonts w:eastAsia="Times New Roman"/>
          <w:i/>
          <w:iCs/>
          <w:color w:val="000000"/>
          <w:sz w:val="20"/>
          <w:szCs w:val="20"/>
        </w:rPr>
        <w:t xml:space="preserve">ebt with Conversion and Other Options (Subtopic 470-20) and Derivatives and Hedging—Contracts in Entity’s Own Equity (Subtopic 815-40): Accounting for Convertible Instruments and Contracts in an Entity’s Own Equity </w:t>
      </w:r>
      <w:r>
        <w:rPr>
          <w:rFonts w:eastAsia="Times New Roman"/>
          <w:color w:val="000000"/>
          <w:sz w:val="20"/>
          <w:szCs w:val="20"/>
        </w:rPr>
        <w:t>(“ASU 2020-06”)</w:t>
      </w:r>
      <w:r>
        <w:rPr>
          <w:rFonts w:eastAsia="Times New Roman"/>
          <w:i/>
          <w:iCs/>
          <w:color w:val="000000"/>
          <w:sz w:val="20"/>
          <w:szCs w:val="20"/>
        </w:rPr>
        <w:t xml:space="preserve">. </w:t>
      </w:r>
      <w:r>
        <w:rPr>
          <w:rFonts w:eastAsia="Times New Roman"/>
          <w:color w:val="000000"/>
          <w:sz w:val="20"/>
          <w:szCs w:val="20"/>
        </w:rPr>
        <w:t>See “Adoption of New Acc</w:t>
      </w:r>
      <w:r>
        <w:rPr>
          <w:rFonts w:eastAsia="Times New Roman"/>
          <w:color w:val="000000"/>
          <w:sz w:val="20"/>
          <w:szCs w:val="20"/>
        </w:rPr>
        <w:t>ounting Pronouncements” below for further discussion.</w:t>
      </w:r>
    </w:p>
    <w:p w:rsidR="00000000" w:rsidRDefault="002B18C2">
      <w:pPr>
        <w:jc w:val="both"/>
        <w:divId w:val="1671566690"/>
        <w:rPr>
          <w:rFonts w:eastAsia="Times New Roman"/>
        </w:rPr>
      </w:pPr>
      <w:r>
        <w:rPr>
          <w:rFonts w:eastAsia="Times New Roman"/>
          <w:color w:val="000000"/>
          <w:sz w:val="20"/>
          <w:szCs w:val="20"/>
        </w:rPr>
        <w:t>The condensed consolidated financial statements include our accounts and those of our subsidiaries, all of which are wholly-owned. All intercompany balances and transactions have been eliminated in cons</w:t>
      </w:r>
      <w:r>
        <w:rPr>
          <w:rFonts w:eastAsia="Times New Roman"/>
          <w:color w:val="000000"/>
          <w:sz w:val="20"/>
          <w:szCs w:val="20"/>
        </w:rPr>
        <w:t>olidation.</w:t>
      </w:r>
    </w:p>
    <w:p w:rsidR="00000000" w:rsidRDefault="002B18C2">
      <w:pPr>
        <w:jc w:val="both"/>
        <w:divId w:val="1573660440"/>
        <w:rPr>
          <w:rFonts w:eastAsia="Times New Roman"/>
        </w:rPr>
      </w:pPr>
      <w:r>
        <w:rPr>
          <w:rFonts w:eastAsia="Times New Roman"/>
          <w:i/>
          <w:iCs/>
          <w:color w:val="000000"/>
          <w:sz w:val="20"/>
          <w:szCs w:val="20"/>
        </w:rPr>
        <w:t>Fiscal Year</w:t>
      </w:r>
    </w:p>
    <w:p w:rsidR="00000000" w:rsidRDefault="002B18C2">
      <w:pPr>
        <w:jc w:val="both"/>
        <w:divId w:val="1761558387"/>
        <w:rPr>
          <w:rFonts w:eastAsia="Times New Roman"/>
        </w:rPr>
      </w:pPr>
      <w:r>
        <w:rPr>
          <w:rFonts w:eastAsia="Times New Roman"/>
          <w:color w:val="000000"/>
          <w:sz w:val="20"/>
          <w:szCs w:val="20"/>
        </w:rPr>
        <w:t xml:space="preserve">Our fiscal year consists of 52 or 53 weeks ending on the Saturday closest to December 31. Fiscal year 2021 contains 52 weeks and will end on January 1, 2022. All three and nine month periods presented herein contain 13 and 39 weeks, </w:t>
      </w:r>
      <w:r>
        <w:rPr>
          <w:rFonts w:eastAsia="Times New Roman"/>
          <w:color w:val="000000"/>
          <w:sz w:val="20"/>
          <w:szCs w:val="20"/>
        </w:rPr>
        <w:t>respectively. All references to years and quarters relate to fiscal periods rather than calendar periods.</w:t>
      </w:r>
    </w:p>
    <w:p w:rsidR="00000000" w:rsidRDefault="002B18C2">
      <w:pPr>
        <w:jc w:val="center"/>
        <w:divId w:val="814567690"/>
        <w:rPr>
          <w:rFonts w:eastAsia="Times New Roman"/>
        </w:rPr>
      </w:pPr>
      <w:r>
        <w:rPr>
          <w:rFonts w:eastAsia="Times New Roman"/>
          <w:color w:val="000000"/>
          <w:sz w:val="20"/>
          <w:szCs w:val="20"/>
        </w:rPr>
        <w:t>10</w:t>
      </w:r>
    </w:p>
    <w:p w:rsidR="00000000" w:rsidRDefault="002B18C2">
      <w:pPr>
        <w:rPr>
          <w:rFonts w:eastAsia="Times New Roman"/>
        </w:rPr>
      </w:pPr>
      <w:r>
        <w:rPr>
          <w:rFonts w:eastAsia="Times New Roman"/>
        </w:rPr>
        <w:pict>
          <v:rect id="_x0000_i1034" style="width:0;height:1.5pt" o:hralign="center" o:hrstd="t" o:hr="t" fillcolor="#a0a0a0" stroked="f"/>
        </w:pict>
      </w:r>
    </w:p>
    <w:p w:rsidR="00000000" w:rsidRDefault="002B18C2">
      <w:pPr>
        <w:divId w:val="944462189"/>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1063649289"/>
        <w:rPr>
          <w:rFonts w:eastAsia="Times New Roman"/>
        </w:rPr>
      </w:pPr>
      <w:r>
        <w:rPr>
          <w:rFonts w:eastAsia="Times New Roman"/>
          <w:i/>
          <w:iCs/>
          <w:color w:val="000000"/>
          <w:sz w:val="20"/>
          <w:szCs w:val="20"/>
        </w:rPr>
        <w:t>Seasonality</w:t>
      </w:r>
    </w:p>
    <w:p w:rsidR="00000000" w:rsidRDefault="002B18C2">
      <w:pPr>
        <w:jc w:val="both"/>
        <w:divId w:val="1606032057"/>
        <w:rPr>
          <w:rFonts w:eastAsia="Times New Roman"/>
        </w:rPr>
      </w:pPr>
      <w:r>
        <w:rPr>
          <w:rFonts w:eastAsia="Times New Roman"/>
          <w:color w:val="000000"/>
          <w:sz w:val="20"/>
          <w:szCs w:val="20"/>
        </w:rPr>
        <w:t xml:space="preserve">The consolidated results of operations for the three and nine months ended October 2, 2021 and September 26, 2020, are not necessarily indicative of the results to be expected for the full fiscal year due to seasonality and uncertainty of general economic </w:t>
      </w:r>
      <w:r>
        <w:rPr>
          <w:rFonts w:eastAsia="Times New Roman"/>
          <w:color w:val="000000"/>
          <w:sz w:val="20"/>
          <w:szCs w:val="20"/>
        </w:rPr>
        <w:t>conditions that may impact our key end markets. Historically, our business has realized a higher portion of net revenue, income from operations, and cash flows from operations in the first half of the year, and a lower portion of net revenue, income from o</w:t>
      </w:r>
      <w:r>
        <w:rPr>
          <w:rFonts w:eastAsia="Times New Roman"/>
          <w:color w:val="000000"/>
          <w:sz w:val="20"/>
          <w:szCs w:val="20"/>
        </w:rPr>
        <w:t>perations, and cash flows from operations in the fourth fiscal quarter. The first half seasonality is attributable primarily to the timing of our customers’ personal income tax refunds and annual health insurance program start/reset periods. Seasonality re</w:t>
      </w:r>
      <w:r>
        <w:rPr>
          <w:rFonts w:eastAsia="Times New Roman"/>
          <w:color w:val="000000"/>
          <w:sz w:val="20"/>
          <w:szCs w:val="20"/>
        </w:rPr>
        <w:t xml:space="preserve">lated to fourth quarter holiday spending by retail customers generally does not impact our business. Our quarterly consolidated results generally may also be affected by the timing of new store openings, store closings, and certain holidays. </w:t>
      </w:r>
    </w:p>
    <w:p w:rsidR="00000000" w:rsidRDefault="002B18C2">
      <w:pPr>
        <w:jc w:val="both"/>
        <w:divId w:val="1018389142"/>
        <w:rPr>
          <w:rFonts w:eastAsia="Times New Roman"/>
        </w:rPr>
      </w:pPr>
      <w:r>
        <w:rPr>
          <w:rFonts w:eastAsia="Times New Roman"/>
          <w:color w:val="000000"/>
          <w:sz w:val="20"/>
          <w:szCs w:val="20"/>
        </w:rPr>
        <w:t xml:space="preserve">The COVID-19 </w:t>
      </w:r>
      <w:r>
        <w:rPr>
          <w:rFonts w:eastAsia="Times New Roman"/>
          <w:color w:val="000000"/>
          <w:sz w:val="20"/>
          <w:szCs w:val="20"/>
        </w:rPr>
        <w:t>pandemic resulted in the temporary closure of our stores for a portion of the first half of fiscal year 2020 and caused changes in fiscal year 2020 seasonality. COVID-19 may continue to cause changes to the seasonality we have historically experienced in f</w:t>
      </w:r>
      <w:r>
        <w:rPr>
          <w:rFonts w:eastAsia="Times New Roman"/>
          <w:color w:val="000000"/>
          <w:sz w:val="20"/>
          <w:szCs w:val="20"/>
        </w:rPr>
        <w:t>iscal year 2021 and beyond.</w:t>
      </w:r>
    </w:p>
    <w:p w:rsidR="00000000" w:rsidRDefault="002B18C2">
      <w:pPr>
        <w:jc w:val="both"/>
        <w:divId w:val="991255472"/>
        <w:rPr>
          <w:rFonts w:eastAsia="Times New Roman"/>
        </w:rPr>
      </w:pPr>
      <w:r>
        <w:rPr>
          <w:rFonts w:eastAsia="Times New Roman"/>
          <w:i/>
          <w:iCs/>
          <w:color w:val="000000"/>
          <w:sz w:val="20"/>
          <w:szCs w:val="20"/>
        </w:rPr>
        <w:t>Use of Estimates</w:t>
      </w:r>
    </w:p>
    <w:p w:rsidR="00000000" w:rsidRDefault="002B18C2">
      <w:pPr>
        <w:jc w:val="both"/>
        <w:divId w:val="34234243"/>
        <w:rPr>
          <w:rFonts w:eastAsia="Times New Roman"/>
        </w:rPr>
      </w:pPr>
      <w:r>
        <w:rPr>
          <w:rFonts w:eastAsia="Times New Roman"/>
          <w:color w:val="000000"/>
          <w:sz w:val="20"/>
          <w:szCs w:val="20"/>
        </w:rPr>
        <w:t xml:space="preserve">The preparation of financial statements in conformity with U.S. GAAP requires management to make estimates and assumptions that affect the reported amounts of assets and liabilities and disclosure of contingent </w:t>
      </w:r>
      <w:r>
        <w:rPr>
          <w:rFonts w:eastAsia="Times New Roman"/>
          <w:color w:val="000000"/>
          <w:sz w:val="20"/>
          <w:szCs w:val="20"/>
        </w:rPr>
        <w:t>assets and liabilities at the date of the financial statements and the reported amounts of revenues and expenses during the reporting period. Actual results could differ from those estimates.</w:t>
      </w:r>
    </w:p>
    <w:p w:rsidR="00000000" w:rsidRDefault="002B18C2">
      <w:pPr>
        <w:jc w:val="both"/>
        <w:divId w:val="1084497397"/>
        <w:rPr>
          <w:rFonts w:eastAsia="Times New Roman"/>
        </w:rPr>
      </w:pPr>
      <w:r>
        <w:rPr>
          <w:rFonts w:eastAsia="Times New Roman"/>
          <w:i/>
          <w:iCs/>
          <w:color w:val="000000"/>
          <w:sz w:val="20"/>
          <w:szCs w:val="20"/>
        </w:rPr>
        <w:t>Income Taxes</w:t>
      </w:r>
    </w:p>
    <w:p w:rsidR="00000000" w:rsidRDefault="002B18C2">
      <w:pPr>
        <w:jc w:val="both"/>
        <w:divId w:val="1507400588"/>
        <w:rPr>
          <w:rFonts w:eastAsia="Times New Roman"/>
        </w:rPr>
      </w:pPr>
      <w:r>
        <w:rPr>
          <w:rFonts w:eastAsia="Times New Roman"/>
          <w:color w:val="000000"/>
          <w:sz w:val="20"/>
          <w:szCs w:val="20"/>
        </w:rPr>
        <w:t>Our income tax provision for the three months ended</w:t>
      </w:r>
      <w:r>
        <w:rPr>
          <w:rFonts w:eastAsia="Times New Roman"/>
          <w:color w:val="000000"/>
          <w:sz w:val="20"/>
          <w:szCs w:val="20"/>
        </w:rPr>
        <w:t xml:space="preserve"> October 2, 2021 and September 26, 2020</w:t>
      </w:r>
      <w:r>
        <w:rPr>
          <w:rFonts w:eastAsia="Times New Roman"/>
          <w:color w:val="000000"/>
          <w:sz w:val="16"/>
          <w:szCs w:val="16"/>
        </w:rPr>
        <w:t xml:space="preserve"> </w:t>
      </w:r>
      <w:r>
        <w:rPr>
          <w:rFonts w:eastAsia="Times New Roman"/>
          <w:color w:val="000000"/>
          <w:sz w:val="20"/>
          <w:szCs w:val="20"/>
        </w:rPr>
        <w:t xml:space="preserve">reflected our statutory federal and state rate of 25.5%, offset by discrete benefits from stock option exercises of $9.1 million and $3.0 million, respectively. Our income tax provision (benefit) for the nine months </w:t>
      </w:r>
      <w:r>
        <w:rPr>
          <w:rFonts w:eastAsia="Times New Roman"/>
          <w:color w:val="000000"/>
          <w:sz w:val="20"/>
          <w:szCs w:val="20"/>
        </w:rPr>
        <w:t>ended October 2, 2021 and September 26, 2020 reflected our statutory federal and state rate of 25.5% offset by discrete benefits from stock option exercises of $13.6 million and $6.0 million, respectively, and a stranded tax effect of $2.1 million associat</w:t>
      </w:r>
      <w:r>
        <w:rPr>
          <w:rFonts w:eastAsia="Times New Roman"/>
          <w:color w:val="000000"/>
          <w:sz w:val="20"/>
          <w:szCs w:val="20"/>
        </w:rPr>
        <w:t>ed with our matured interest rate swaps during the nine months ended October 2, 2021.</w:t>
      </w:r>
    </w:p>
    <w:p w:rsidR="00000000" w:rsidRDefault="002B18C2">
      <w:pPr>
        <w:jc w:val="both"/>
        <w:divId w:val="1262374754"/>
        <w:rPr>
          <w:rFonts w:eastAsia="Times New Roman"/>
        </w:rPr>
      </w:pPr>
      <w:r>
        <w:rPr>
          <w:rFonts w:eastAsia="Times New Roman"/>
          <w:i/>
          <w:iCs/>
          <w:color w:val="252525"/>
          <w:sz w:val="20"/>
          <w:szCs w:val="20"/>
        </w:rPr>
        <w:t>Sale of Equity Method Investee</w:t>
      </w:r>
    </w:p>
    <w:p w:rsidR="00000000" w:rsidRDefault="002B18C2">
      <w:pPr>
        <w:jc w:val="both"/>
        <w:divId w:val="10225440"/>
        <w:rPr>
          <w:rFonts w:eastAsia="Times New Roman"/>
        </w:rPr>
      </w:pPr>
      <w:r>
        <w:rPr>
          <w:rFonts w:eastAsia="Times New Roman"/>
          <w:color w:val="252525"/>
          <w:sz w:val="20"/>
          <w:szCs w:val="20"/>
        </w:rPr>
        <w:t>During t</w:t>
      </w:r>
      <w:r>
        <w:rPr>
          <w:rFonts w:eastAsia="Times New Roman"/>
          <w:color w:val="000000"/>
          <w:sz w:val="20"/>
          <w:szCs w:val="20"/>
        </w:rPr>
        <w:t>he third quarter of fiscal year 2021, the Company’s equity method investee was acquired by a third party and in connection therewit</w:t>
      </w:r>
      <w:r>
        <w:rPr>
          <w:rFonts w:eastAsia="Times New Roman"/>
          <w:color w:val="000000"/>
          <w:sz w:val="20"/>
          <w:szCs w:val="20"/>
        </w:rPr>
        <w:t>h the Company sold all of its ownership interests and received $2.4 million upon the consummation of the sale. These proceeds were included in the investing section of the Condensed Consolidated Statements of Cash Flows for the nine months ended October 2,</w:t>
      </w:r>
      <w:r>
        <w:rPr>
          <w:rFonts w:eastAsia="Times New Roman"/>
          <w:color w:val="000000"/>
          <w:sz w:val="20"/>
          <w:szCs w:val="20"/>
        </w:rPr>
        <w:t xml:space="preserve"> 2021. As a result of this transaction, and as the carrying value of the investment was zero, the Company recorded a gain on sale of equity method investment of $2.4 million in Other expense (income), net on the Condensed Consolidated Statements of Operati</w:t>
      </w:r>
      <w:r>
        <w:rPr>
          <w:rFonts w:eastAsia="Times New Roman"/>
          <w:color w:val="000000"/>
          <w:sz w:val="20"/>
          <w:szCs w:val="20"/>
        </w:rPr>
        <w:t>ons for the three and nine months ended October 2, 2021. In connection with the transaction, the Company is a party to an earnout agreement whereby we may be entitled to certain variable earnout payments based upon the achievement by the investee of certai</w:t>
      </w:r>
      <w:r>
        <w:rPr>
          <w:rFonts w:eastAsia="Times New Roman"/>
          <w:color w:val="000000"/>
          <w:sz w:val="20"/>
          <w:szCs w:val="20"/>
        </w:rPr>
        <w:t>n performance metrics over a one year period. The Company will recognize income for payments received under the earnout once they are realized or realizable.</w:t>
      </w:r>
    </w:p>
    <w:p w:rsidR="00000000" w:rsidRDefault="002B18C2">
      <w:pPr>
        <w:jc w:val="both"/>
        <w:divId w:val="1357845767"/>
        <w:rPr>
          <w:rFonts w:eastAsia="Times New Roman"/>
        </w:rPr>
      </w:pPr>
      <w:r>
        <w:rPr>
          <w:rFonts w:eastAsia="Times New Roman"/>
          <w:i/>
          <w:iCs/>
          <w:color w:val="252525"/>
          <w:sz w:val="20"/>
          <w:szCs w:val="20"/>
        </w:rPr>
        <w:t>Adoption of New Accounting Pronouncements</w:t>
      </w:r>
    </w:p>
    <w:p w:rsidR="00000000" w:rsidRDefault="002B18C2">
      <w:pPr>
        <w:jc w:val="both"/>
        <w:divId w:val="699167229"/>
        <w:rPr>
          <w:rFonts w:eastAsia="Times New Roman"/>
        </w:rPr>
      </w:pPr>
      <w:r>
        <w:rPr>
          <w:rFonts w:eastAsia="Times New Roman"/>
          <w:i/>
          <w:iCs/>
          <w:color w:val="000000"/>
          <w:sz w:val="20"/>
          <w:szCs w:val="20"/>
        </w:rPr>
        <w:t>Convertible Instruments and Contracts in an Entity’s Own</w:t>
      </w:r>
      <w:r>
        <w:rPr>
          <w:rFonts w:eastAsia="Times New Roman"/>
          <w:i/>
          <w:iCs/>
          <w:color w:val="000000"/>
          <w:sz w:val="20"/>
          <w:szCs w:val="20"/>
        </w:rPr>
        <w:t xml:space="preserve"> Equity.</w:t>
      </w:r>
      <w:r>
        <w:rPr>
          <w:rFonts w:eastAsia="Times New Roman"/>
          <w:color w:val="000000"/>
          <w:sz w:val="20"/>
          <w:szCs w:val="20"/>
        </w:rPr>
        <w:t xml:space="preserve"> In August 2020, the Financial Accounting Standards Board (“FASB”) issued ASU 2020-06. This new guidance simplifies and adds disclosure requirements for the accounting and measurement of convertible instruments and the settlement assessment for con</w:t>
      </w:r>
      <w:r>
        <w:rPr>
          <w:rFonts w:eastAsia="Times New Roman"/>
          <w:color w:val="000000"/>
          <w:sz w:val="20"/>
          <w:szCs w:val="20"/>
        </w:rPr>
        <w:t>tracts in an entity’s own equity. The guidance also requires the application of the if-converted method to calculate the impact of convertible instruments on diluted earnings per share. ASU 2020-06 is effective for fiscal years, and for interim periods wit</w:t>
      </w:r>
      <w:r>
        <w:rPr>
          <w:rFonts w:eastAsia="Times New Roman"/>
          <w:color w:val="000000"/>
          <w:sz w:val="20"/>
          <w:szCs w:val="20"/>
        </w:rPr>
        <w:t>hin those fiscal years, beginning after December 15, 2021. The company early adopted the guidance in the first quarter of 2021 using the modified retrospective approach and recognized a cumulative effect of the change of $7.3 million as an adjustment to th</w:t>
      </w:r>
      <w:r>
        <w:rPr>
          <w:rFonts w:eastAsia="Times New Roman"/>
          <w:color w:val="000000"/>
          <w:sz w:val="20"/>
          <w:szCs w:val="20"/>
        </w:rPr>
        <w:t>e opening balance of retained earnings. Upon adoption of ASU 2020-06 the Company eliminated the equity components related to its convertible debt and increased the related liability components by $82.9 million. In addition, as a result of the adoption, our</w:t>
      </w:r>
      <w:r>
        <w:rPr>
          <w:rFonts w:eastAsia="Times New Roman"/>
          <w:color w:val="000000"/>
          <w:sz w:val="20"/>
          <w:szCs w:val="20"/>
        </w:rPr>
        <w:t xml:space="preserve"> deferred tax liabilities decreased by $18.8 million and additional paid-in capital decreased by $71.4 million. The adoption did not have an impact on the calculated weighted average shares outstanding used in the calculation of diluted EPS since the Compa</w:t>
      </w:r>
      <w:r>
        <w:rPr>
          <w:rFonts w:eastAsia="Times New Roman"/>
          <w:color w:val="000000"/>
          <w:sz w:val="20"/>
          <w:szCs w:val="20"/>
        </w:rPr>
        <w:t>ny was using the if-converted method prior to the adoption of ASU 2020-06. Refer to Note 11. “Earnings per Share” for more information.</w:t>
      </w:r>
    </w:p>
    <w:p w:rsidR="00000000" w:rsidRDefault="002B18C2">
      <w:pPr>
        <w:jc w:val="center"/>
        <w:divId w:val="469789460"/>
        <w:rPr>
          <w:rFonts w:eastAsia="Times New Roman"/>
        </w:rPr>
      </w:pPr>
      <w:r>
        <w:rPr>
          <w:rFonts w:eastAsia="Times New Roman"/>
          <w:color w:val="000000"/>
          <w:sz w:val="20"/>
          <w:szCs w:val="20"/>
        </w:rPr>
        <w:t>11</w:t>
      </w:r>
    </w:p>
    <w:p w:rsidR="00000000" w:rsidRDefault="002B18C2">
      <w:pPr>
        <w:rPr>
          <w:rFonts w:eastAsia="Times New Roman"/>
        </w:rPr>
      </w:pPr>
      <w:r>
        <w:rPr>
          <w:rFonts w:eastAsia="Times New Roman"/>
        </w:rPr>
        <w:pict>
          <v:rect id="_x0000_i1035" style="width:0;height:1.5pt" o:hralign="center" o:hrstd="t" o:hr="t" fillcolor="#a0a0a0" stroked="f"/>
        </w:pict>
      </w:r>
    </w:p>
    <w:p w:rsidR="00000000" w:rsidRDefault="002B18C2">
      <w:pPr>
        <w:divId w:val="1930311808"/>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236205202"/>
        <w:rPr>
          <w:rFonts w:eastAsia="Times New Roman"/>
        </w:rPr>
      </w:pPr>
      <w:r>
        <w:rPr>
          <w:rFonts w:eastAsia="Times New Roman"/>
          <w:color w:val="000000"/>
          <w:sz w:val="20"/>
          <w:szCs w:val="20"/>
        </w:rPr>
        <w:t>The following tables summarize the impact of adoption on the Company’s condensed consolidated statement of operations for the three and nine months ended October 2, 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2877"/>
        <w:gridCol w:w="37"/>
        <w:gridCol w:w="121"/>
        <w:gridCol w:w="1630"/>
        <w:gridCol w:w="37"/>
        <w:gridCol w:w="36"/>
        <w:gridCol w:w="36"/>
        <w:gridCol w:w="36"/>
        <w:gridCol w:w="121"/>
        <w:gridCol w:w="1543"/>
        <w:gridCol w:w="37"/>
        <w:gridCol w:w="36"/>
        <w:gridCol w:w="36"/>
        <w:gridCol w:w="36"/>
        <w:gridCol w:w="121"/>
        <w:gridCol w:w="1491"/>
        <w:gridCol w:w="37"/>
      </w:tblGrid>
      <w:tr w:rsidR="00000000">
        <w:trPr>
          <w:divId w:val="1122991183"/>
        </w:trPr>
        <w:tc>
          <w:tcPr>
            <w:tcW w:w="50" w:type="pct"/>
            <w:vAlign w:val="center"/>
            <w:hideMark/>
          </w:tcPr>
          <w:p w:rsidR="00000000" w:rsidRDefault="002B18C2">
            <w:pPr>
              <w:jc w:val="both"/>
              <w:rPr>
                <w:rFonts w:eastAsia="Times New Roman"/>
              </w:rPr>
            </w:pPr>
          </w:p>
        </w:tc>
        <w:tc>
          <w:tcPr>
            <w:tcW w:w="176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101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978"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946"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1122991183"/>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Three Months Ended October 2, 2021</w:t>
            </w:r>
          </w:p>
        </w:tc>
      </w:tr>
      <w:tr w:rsidR="00000000">
        <w:trPr>
          <w:divId w:val="1122991183"/>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 (except earnings per share)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With ASU 2020-06 Adoption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Without ASU 2020-06 Adoption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Impact of Adoption</w:t>
            </w:r>
          </w:p>
        </w:tc>
      </w:tr>
      <w:tr w:rsidR="00000000">
        <w:trPr>
          <w:divId w:val="1122991183"/>
          <w:trHeight w:val="280"/>
        </w:trPr>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122991183"/>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Income from operations</w:t>
            </w: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50,711 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50,711 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22991183"/>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5,743 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9,829 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(4,086)</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22991183"/>
        </w:trPr>
        <w:tc>
          <w:tcPr>
            <w:tcW w:w="0" w:type="auto"/>
            <w:gridSpan w:val="3"/>
            <w:vAlign w:val="center"/>
            <w:hideMark/>
          </w:tcPr>
          <w:p w:rsidR="00000000" w:rsidRDefault="002B18C2">
            <w:pPr>
              <w:spacing w:after="100"/>
              <w:jc w:val="right"/>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r>
      <w:tr w:rsidR="00000000">
        <w:trPr>
          <w:divId w:val="1122991183"/>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Earnings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44,968 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40,882 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22991183"/>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xml:space="preserve">Income tax provision </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3,976 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3,046 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930 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22991183"/>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40,992 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37,836 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22991183"/>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Earnings per share: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122991183"/>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0.50 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0.46 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22991183"/>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Diluted</w:t>
            </w: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0.45 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0.45 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122991183"/>
        </w:trPr>
        <w:tc>
          <w:tcPr>
            <w:tcW w:w="0" w:type="auto"/>
            <w:gridSpan w:val="18"/>
            <w:shd w:val="clear" w:color="auto" w:fill="FFFFFF"/>
            <w:tcMar>
              <w:top w:w="30" w:type="dxa"/>
              <w:left w:w="20" w:type="dxa"/>
              <w:bottom w:w="30" w:type="dxa"/>
              <w:right w:w="20" w:type="dxa"/>
            </w:tcMar>
            <w:vAlign w:val="bottom"/>
            <w:hideMark/>
          </w:tcPr>
          <w:p w:rsidR="00000000" w:rsidRDefault="002B18C2">
            <w:pPr>
              <w:spacing w:after="100"/>
              <w:jc w:val="both"/>
              <w:rPr>
                <w:rFonts w:eastAsia="Times New Roman"/>
              </w:rPr>
            </w:pPr>
            <w:r>
              <w:rPr>
                <w:rFonts w:eastAsia="Times New Roman"/>
                <w:i/>
                <w:iCs/>
                <w:color w:val="000000"/>
                <w:sz w:val="16"/>
                <w:szCs w:val="16"/>
              </w:rPr>
              <w:t>Impact of adoption on basic earnings per share is calculated using impact on net income divided by basic weighted average shares outstanding during the period.</w:t>
            </w:r>
          </w:p>
        </w:tc>
      </w:tr>
    </w:tbl>
    <w:p w:rsidR="00000000" w:rsidRDefault="002B18C2">
      <w:pPr>
        <w:jc w:val="both"/>
        <w:divId w:val="56518880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879"/>
        <w:gridCol w:w="37"/>
        <w:gridCol w:w="120"/>
        <w:gridCol w:w="1631"/>
        <w:gridCol w:w="36"/>
        <w:gridCol w:w="36"/>
        <w:gridCol w:w="36"/>
        <w:gridCol w:w="36"/>
        <w:gridCol w:w="120"/>
        <w:gridCol w:w="1544"/>
        <w:gridCol w:w="36"/>
        <w:gridCol w:w="36"/>
        <w:gridCol w:w="36"/>
        <w:gridCol w:w="36"/>
        <w:gridCol w:w="121"/>
        <w:gridCol w:w="1492"/>
        <w:gridCol w:w="36"/>
      </w:tblGrid>
      <w:tr w:rsidR="00000000">
        <w:trPr>
          <w:divId w:val="554464570"/>
        </w:trPr>
        <w:tc>
          <w:tcPr>
            <w:tcW w:w="50" w:type="pct"/>
            <w:vAlign w:val="center"/>
            <w:hideMark/>
          </w:tcPr>
          <w:p w:rsidR="00000000" w:rsidRDefault="002B18C2">
            <w:pPr>
              <w:jc w:val="both"/>
              <w:rPr>
                <w:rFonts w:eastAsia="Times New Roman"/>
              </w:rPr>
            </w:pPr>
          </w:p>
        </w:tc>
        <w:tc>
          <w:tcPr>
            <w:tcW w:w="176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101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978"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946"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554464570"/>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Nine Months Ended October 2, 2021</w:t>
            </w:r>
          </w:p>
        </w:tc>
      </w:tr>
      <w:tr w:rsidR="00000000">
        <w:trPr>
          <w:divId w:val="554464570"/>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 (except earnings per share)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With ASU 2020-06 Adoption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Without ASU 2020-06 Adoption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Impact of Adoption</w:t>
            </w:r>
          </w:p>
        </w:tc>
      </w:tr>
      <w:tr w:rsidR="00000000">
        <w:trPr>
          <w:divId w:val="554464570"/>
          <w:trHeight w:val="280"/>
        </w:trPr>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554464570"/>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Income from operations</w:t>
            </w: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166,988 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166,988 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54464570"/>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22,169 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34,005 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(11,836)</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54464570"/>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Debt issuance costs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54464570"/>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Earnings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144,727 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132,891 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11,836 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54464570"/>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xml:space="preserve">Income tax provision </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22,702 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20,056 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2,646 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54464570"/>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122,025 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112,835 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54464570"/>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Earnings per share: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554464570"/>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0.11 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54464570"/>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Diluted</w:t>
            </w: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54464570"/>
        </w:trPr>
        <w:tc>
          <w:tcPr>
            <w:tcW w:w="0" w:type="auto"/>
            <w:gridSpan w:val="18"/>
            <w:shd w:val="clear" w:color="auto" w:fill="CCEEFF"/>
            <w:tcMar>
              <w:top w:w="30" w:type="dxa"/>
              <w:left w:w="20" w:type="dxa"/>
              <w:bottom w:w="30" w:type="dxa"/>
              <w:right w:w="20" w:type="dxa"/>
            </w:tcMar>
            <w:vAlign w:val="bottom"/>
            <w:hideMark/>
          </w:tcPr>
          <w:p w:rsidR="00000000" w:rsidRDefault="002B18C2">
            <w:pPr>
              <w:spacing w:after="100"/>
              <w:jc w:val="both"/>
              <w:rPr>
                <w:rFonts w:eastAsia="Times New Roman"/>
              </w:rPr>
            </w:pPr>
            <w:r>
              <w:rPr>
                <w:rFonts w:eastAsia="Times New Roman"/>
                <w:i/>
                <w:iCs/>
                <w:color w:val="000000"/>
                <w:sz w:val="16"/>
                <w:szCs w:val="16"/>
              </w:rPr>
              <w:t>Impact of adoption on basic earnings per share is calculated using impact on net income divided by basic weighted average shares outstanding during the period.</w:t>
            </w:r>
          </w:p>
        </w:tc>
      </w:tr>
    </w:tbl>
    <w:p w:rsidR="00000000" w:rsidRDefault="002B18C2">
      <w:pPr>
        <w:jc w:val="both"/>
        <w:divId w:val="1763838707"/>
        <w:rPr>
          <w:rFonts w:eastAsia="Times New Roman"/>
        </w:rPr>
      </w:pPr>
    </w:p>
    <w:p w:rsidR="00000000" w:rsidRDefault="002B18C2">
      <w:pPr>
        <w:jc w:val="both"/>
        <w:divId w:val="483858999"/>
        <w:rPr>
          <w:rFonts w:eastAsia="Times New Roman"/>
        </w:rPr>
      </w:pPr>
      <w:r>
        <w:rPr>
          <w:rFonts w:eastAsia="Times New Roman"/>
          <w:i/>
          <w:iCs/>
          <w:color w:val="000000"/>
          <w:sz w:val="20"/>
          <w:szCs w:val="20"/>
        </w:rPr>
        <w:t>Future Adoption of Accounting Pronouncements</w:t>
      </w:r>
    </w:p>
    <w:p w:rsidR="00000000" w:rsidRDefault="002B18C2">
      <w:pPr>
        <w:jc w:val="both"/>
        <w:divId w:val="819881364"/>
        <w:rPr>
          <w:rFonts w:eastAsia="Times New Roman"/>
        </w:rPr>
      </w:pPr>
      <w:r>
        <w:rPr>
          <w:rFonts w:eastAsia="Times New Roman"/>
          <w:i/>
          <w:iCs/>
          <w:color w:val="000000"/>
          <w:sz w:val="20"/>
          <w:szCs w:val="20"/>
        </w:rPr>
        <w:t xml:space="preserve">Reference Rate Reform. </w:t>
      </w:r>
      <w:r>
        <w:rPr>
          <w:rFonts w:eastAsia="Times New Roman"/>
          <w:color w:val="000000"/>
          <w:sz w:val="20"/>
          <w:szCs w:val="20"/>
        </w:rPr>
        <w:t xml:space="preserve">In March 2020, the FASB issued ASU No. 2020-04, </w:t>
      </w:r>
      <w:r>
        <w:rPr>
          <w:rFonts w:eastAsia="Times New Roman"/>
          <w:i/>
          <w:iCs/>
          <w:color w:val="000000"/>
          <w:sz w:val="20"/>
          <w:szCs w:val="20"/>
        </w:rPr>
        <w:t>Facilitation of the Effects of Reference Rate Reform on Financial Reporting</w:t>
      </w:r>
      <w:r>
        <w:rPr>
          <w:rFonts w:eastAsia="Times New Roman"/>
          <w:color w:val="000000"/>
          <w:sz w:val="20"/>
          <w:szCs w:val="20"/>
        </w:rPr>
        <w:t xml:space="preserve"> (“ASU 2020-04”). This guidance provides optional expedients and exceptions for applying U.S. GAAP to contracts, hedging relationships, and other transactions that may be affected b</w:t>
      </w:r>
      <w:r>
        <w:rPr>
          <w:rFonts w:eastAsia="Times New Roman"/>
          <w:color w:val="000000"/>
          <w:sz w:val="20"/>
          <w:szCs w:val="20"/>
        </w:rPr>
        <w:t>y the cessation of the London Inter-bank Offered Rate (“LIBOR.”) An entity may elect to apply the amendments for contract modifications as of any date from the beginning of an interim period that includes or is subsequent to March 12, 2020 through December</w:t>
      </w:r>
      <w:r>
        <w:rPr>
          <w:rFonts w:eastAsia="Times New Roman"/>
          <w:color w:val="000000"/>
          <w:sz w:val="20"/>
          <w:szCs w:val="20"/>
        </w:rPr>
        <w:t xml:space="preserve"> 31, 2022. A portion of our debt is subject to interest payments that are indexed to LIBOR; additionally, we are party to an interest rate derivative based on LIBOR. We are currently evaluating the effect of this guidance and have not applied the provision</w:t>
      </w:r>
      <w:r>
        <w:rPr>
          <w:rFonts w:eastAsia="Times New Roman"/>
          <w:color w:val="000000"/>
          <w:sz w:val="20"/>
          <w:szCs w:val="20"/>
        </w:rPr>
        <w:t>s of this guidance during the current fiscal year.</w:t>
      </w:r>
    </w:p>
    <w:p w:rsidR="00000000" w:rsidRDefault="002B18C2">
      <w:pPr>
        <w:jc w:val="both"/>
        <w:divId w:val="359668383"/>
        <w:rPr>
          <w:rFonts w:eastAsia="Times New Roman"/>
        </w:rPr>
      </w:pPr>
      <w:r>
        <w:rPr>
          <w:rFonts w:eastAsia="Times New Roman"/>
          <w:color w:val="000000"/>
          <w:sz w:val="20"/>
          <w:szCs w:val="20"/>
        </w:rPr>
        <w:t>The FASB issued other accounting guidance during the period that is not currently applicable or expected to have a material impact on the Company’s condensed consolidated financial statements, and therefor</w:t>
      </w:r>
      <w:r>
        <w:rPr>
          <w:rFonts w:eastAsia="Times New Roman"/>
          <w:color w:val="000000"/>
          <w:sz w:val="20"/>
          <w:szCs w:val="20"/>
        </w:rPr>
        <w:t>e, is not described above.</w:t>
      </w:r>
    </w:p>
    <w:p w:rsidR="00000000" w:rsidRDefault="002B18C2">
      <w:pPr>
        <w:jc w:val="both"/>
        <w:rPr>
          <w:rFonts w:eastAsia="Times New Roman"/>
        </w:rPr>
      </w:pPr>
    </w:p>
    <w:p w:rsidR="00000000" w:rsidRDefault="002B18C2">
      <w:pPr>
        <w:jc w:val="center"/>
        <w:divId w:val="1135413999"/>
        <w:rPr>
          <w:rFonts w:eastAsia="Times New Roman"/>
        </w:rPr>
      </w:pPr>
      <w:r>
        <w:rPr>
          <w:rFonts w:eastAsia="Times New Roman"/>
          <w:color w:val="000000"/>
          <w:sz w:val="20"/>
          <w:szCs w:val="20"/>
        </w:rPr>
        <w:t>12</w:t>
      </w:r>
    </w:p>
    <w:p w:rsidR="00000000" w:rsidRDefault="002B18C2">
      <w:pPr>
        <w:rPr>
          <w:rFonts w:eastAsia="Times New Roman"/>
        </w:rPr>
      </w:pPr>
      <w:r>
        <w:rPr>
          <w:rFonts w:eastAsia="Times New Roman"/>
        </w:rPr>
        <w:pict>
          <v:rect id="_x0000_i1036" style="width:0;height:1.5pt" o:hralign="center" o:hrstd="t" o:hr="t" fillcolor="#a0a0a0" stroked="f"/>
        </w:pict>
      </w:r>
    </w:p>
    <w:p w:rsidR="00000000" w:rsidRDefault="002B18C2">
      <w:pPr>
        <w:divId w:val="914897963"/>
        <w:rPr>
          <w:rFonts w:eastAsia="Times New Roman"/>
        </w:rPr>
      </w:pPr>
      <w:r>
        <w:rPr>
          <w:rFonts w:eastAsia="Times New Roman"/>
          <w:color w:val="0000FF"/>
          <w:sz w:val="20"/>
          <w:szCs w:val="20"/>
          <w:u w:val="single"/>
        </w:rPr>
        <w:t>Table of contents</w:t>
      </w:r>
    </w:p>
    <w:p w:rsidR="00000000" w:rsidRDefault="002B18C2">
      <w:pPr>
        <w:divId w:val="1029835553"/>
        <w:rPr>
          <w:rFonts w:eastAsia="Times New Roman"/>
        </w:rPr>
      </w:pPr>
      <w:r>
        <w:rPr>
          <w:rFonts w:eastAsia="Times New Roman"/>
          <w:b/>
          <w:bCs/>
          <w:color w:val="000000"/>
          <w:sz w:val="20"/>
          <w:szCs w:val="20"/>
        </w:rPr>
        <w:t>2. Details of Certain Balance Sheet Accounts</w:t>
      </w:r>
    </w:p>
    <w:tbl>
      <w:tblPr>
        <w:tblW w:w="5000" w:type="pct"/>
        <w:tblCellMar>
          <w:top w:w="15" w:type="dxa"/>
          <w:left w:w="15" w:type="dxa"/>
          <w:bottom w:w="15" w:type="dxa"/>
          <w:right w:w="15" w:type="dxa"/>
        </w:tblCellMar>
        <w:tblLook w:val="04A0" w:firstRow="1" w:lastRow="0" w:firstColumn="1" w:lastColumn="0" w:noHBand="0" w:noVBand="1"/>
      </w:tblPr>
      <w:tblGrid>
        <w:gridCol w:w="40"/>
        <w:gridCol w:w="4565"/>
        <w:gridCol w:w="38"/>
        <w:gridCol w:w="120"/>
        <w:gridCol w:w="1635"/>
        <w:gridCol w:w="36"/>
        <w:gridCol w:w="36"/>
        <w:gridCol w:w="36"/>
        <w:gridCol w:w="36"/>
        <w:gridCol w:w="120"/>
        <w:gridCol w:w="1608"/>
        <w:gridCol w:w="36"/>
      </w:tblGrid>
      <w:tr w:rsidR="00000000">
        <w:trPr>
          <w:divId w:val="654797625"/>
        </w:trPr>
        <w:tc>
          <w:tcPr>
            <w:tcW w:w="50" w:type="pct"/>
            <w:vAlign w:val="center"/>
            <w:hideMark/>
          </w:tcPr>
          <w:p w:rsidR="00000000" w:rsidRDefault="002B18C2">
            <w:pPr>
              <w:rPr>
                <w:rFonts w:eastAsia="Times New Roman"/>
              </w:rPr>
            </w:pPr>
          </w:p>
        </w:tc>
        <w:tc>
          <w:tcPr>
            <w:tcW w:w="277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101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101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654797625"/>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October 2, 2021</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2, 2021</w:t>
            </w:r>
          </w:p>
        </w:tc>
      </w:tr>
      <w:tr w:rsidR="00000000">
        <w:trPr>
          <w:divId w:val="654797625"/>
        </w:trPr>
        <w:tc>
          <w:tcPr>
            <w:tcW w:w="0" w:type="auto"/>
            <w:gridSpan w:val="3"/>
            <w:shd w:val="clear" w:color="auto" w:fill="CCEEFF"/>
            <w:tcMar>
              <w:top w:w="30" w:type="dxa"/>
              <w:left w:w="20" w:type="dxa"/>
              <w:bottom w:w="30" w:type="dxa"/>
              <w:right w:w="20" w:type="dxa"/>
            </w:tcMar>
            <w:vAlign w:val="center"/>
            <w:hideMark/>
          </w:tcPr>
          <w:p w:rsidR="00000000" w:rsidRDefault="002B18C2">
            <w:pPr>
              <w:spacing w:after="100"/>
              <w:rPr>
                <w:rFonts w:eastAsia="Times New Roman"/>
              </w:rPr>
            </w:pPr>
            <w:r>
              <w:rPr>
                <w:rFonts w:eastAsia="Times New Roman"/>
                <w:b/>
                <w:bCs/>
                <w:color w:val="000000"/>
                <w:sz w:val="20"/>
                <w:szCs w:val="20"/>
              </w:rPr>
              <w:t>Accounts receivable,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654797625"/>
        </w:trPr>
        <w:tc>
          <w:tcPr>
            <w:tcW w:w="0" w:type="auto"/>
            <w:gridSpan w:val="3"/>
            <w:shd w:val="clear" w:color="auto" w:fill="FFFFFF"/>
            <w:tcMar>
              <w:top w:w="30" w:type="dxa"/>
              <w:left w:w="15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Trade receivables</w:t>
            </w:r>
          </w:p>
        </w:tc>
        <w:tc>
          <w:tcPr>
            <w:tcW w:w="0" w:type="auto"/>
            <w:shd w:val="clear" w:color="auto" w:fill="FFFFFF"/>
            <w:tcMar>
              <w:top w:w="30" w:type="dxa"/>
              <w:left w:w="20" w:type="dxa"/>
              <w:bottom w:w="30" w:type="dxa"/>
              <w:right w:w="0" w:type="dxa"/>
            </w:tcMar>
            <w:vAlign w:val="center"/>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29,356 </w:t>
            </w:r>
          </w:p>
        </w:tc>
        <w:tc>
          <w:tcPr>
            <w:tcW w:w="0" w:type="auto"/>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28,405 </w:t>
            </w:r>
          </w:p>
        </w:tc>
        <w:tc>
          <w:tcPr>
            <w:tcW w:w="0" w:type="auto"/>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r>
      <w:tr w:rsidR="00000000">
        <w:trPr>
          <w:divId w:val="654797625"/>
        </w:trPr>
        <w:tc>
          <w:tcPr>
            <w:tcW w:w="0" w:type="auto"/>
            <w:gridSpan w:val="3"/>
            <w:shd w:val="clear" w:color="auto" w:fill="CCEEFF"/>
            <w:tcMar>
              <w:top w:w="30" w:type="dxa"/>
              <w:left w:w="15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Credit card receivables</w:t>
            </w:r>
          </w:p>
        </w:tc>
        <w:tc>
          <w:tcPr>
            <w:tcW w:w="0" w:type="auto"/>
            <w:gridSpan w:val="2"/>
            <w:shd w:val="clear" w:color="auto" w:fill="CCEE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18,606 </w:t>
            </w:r>
          </w:p>
        </w:tc>
        <w:tc>
          <w:tcPr>
            <w:tcW w:w="0" w:type="auto"/>
            <w:shd w:val="clear" w:color="auto" w:fill="CCEEFF"/>
            <w:tcMar>
              <w:top w:w="30" w:type="dxa"/>
              <w:left w:w="0" w:type="dxa"/>
              <w:bottom w:w="3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21,557 </w:t>
            </w:r>
          </w:p>
        </w:tc>
        <w:tc>
          <w:tcPr>
            <w:tcW w:w="0" w:type="auto"/>
            <w:shd w:val="clear" w:color="auto" w:fill="CCEEFF"/>
            <w:tcMar>
              <w:top w:w="30" w:type="dxa"/>
              <w:left w:w="0" w:type="dxa"/>
              <w:bottom w:w="30" w:type="dxa"/>
              <w:right w:w="20" w:type="dxa"/>
            </w:tcMar>
            <w:vAlign w:val="center"/>
            <w:hideMark/>
          </w:tcPr>
          <w:p w:rsidR="00000000" w:rsidRDefault="002B18C2">
            <w:pPr>
              <w:spacing w:after="100"/>
              <w:jc w:val="right"/>
              <w:rPr>
                <w:rFonts w:eastAsia="Times New Roman"/>
              </w:rPr>
            </w:pPr>
          </w:p>
        </w:tc>
      </w:tr>
      <w:tr w:rsidR="00000000">
        <w:trPr>
          <w:divId w:val="654797625"/>
        </w:trPr>
        <w:tc>
          <w:tcPr>
            <w:tcW w:w="0" w:type="auto"/>
            <w:gridSpan w:val="3"/>
            <w:shd w:val="clear" w:color="auto" w:fill="FFFFFF"/>
            <w:tcMar>
              <w:top w:w="30" w:type="dxa"/>
              <w:left w:w="15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Other receivables</w:t>
            </w:r>
          </w:p>
        </w:tc>
        <w:tc>
          <w:tcPr>
            <w:tcW w:w="0" w:type="auto"/>
            <w:gridSpan w:val="2"/>
            <w:shd w:val="clear" w:color="auto" w:fill="FFFF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6,644 </w:t>
            </w:r>
          </w:p>
        </w:tc>
        <w:tc>
          <w:tcPr>
            <w:tcW w:w="0" w:type="auto"/>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8,460 </w:t>
            </w:r>
          </w:p>
        </w:tc>
        <w:tc>
          <w:tcPr>
            <w:tcW w:w="0" w:type="auto"/>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r>
      <w:tr w:rsidR="00000000">
        <w:trPr>
          <w:divId w:val="654797625"/>
        </w:trPr>
        <w:tc>
          <w:tcPr>
            <w:tcW w:w="0" w:type="auto"/>
            <w:gridSpan w:val="3"/>
            <w:shd w:val="clear" w:color="auto" w:fill="CCEEFF"/>
            <w:tcMar>
              <w:top w:w="30" w:type="dxa"/>
              <w:left w:w="15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Allowance for credit losses</w:t>
            </w:r>
          </w:p>
        </w:tc>
        <w:tc>
          <w:tcPr>
            <w:tcW w:w="0" w:type="auto"/>
            <w:gridSpan w:val="2"/>
            <w:shd w:val="clear" w:color="auto" w:fill="CCEE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(526)</w:t>
            </w:r>
          </w:p>
        </w:tc>
        <w:tc>
          <w:tcPr>
            <w:tcW w:w="0" w:type="auto"/>
            <w:shd w:val="clear" w:color="auto" w:fill="CCEEFF"/>
            <w:tcMar>
              <w:top w:w="30" w:type="dxa"/>
              <w:left w:w="0" w:type="dxa"/>
              <w:bottom w:w="3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(433)</w:t>
            </w:r>
          </w:p>
        </w:tc>
        <w:tc>
          <w:tcPr>
            <w:tcW w:w="0" w:type="auto"/>
            <w:shd w:val="clear" w:color="auto" w:fill="CCEEFF"/>
            <w:tcMar>
              <w:top w:w="30" w:type="dxa"/>
              <w:left w:w="0" w:type="dxa"/>
              <w:bottom w:w="30" w:type="dxa"/>
              <w:right w:w="20" w:type="dxa"/>
            </w:tcMar>
            <w:vAlign w:val="center"/>
            <w:hideMark/>
          </w:tcPr>
          <w:p w:rsidR="00000000" w:rsidRDefault="002B18C2">
            <w:pPr>
              <w:spacing w:after="100"/>
              <w:jc w:val="right"/>
              <w:rPr>
                <w:rFonts w:eastAsia="Times New Roman"/>
              </w:rPr>
            </w:pPr>
          </w:p>
        </w:tc>
      </w:tr>
      <w:tr w:rsidR="00000000">
        <w:trPr>
          <w:divId w:val="654797625"/>
        </w:trPr>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54,080 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57,989 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606"/>
        <w:gridCol w:w="144"/>
        <w:gridCol w:w="144"/>
        <w:gridCol w:w="1677"/>
        <w:gridCol w:w="144"/>
        <w:gridCol w:w="144"/>
        <w:gridCol w:w="144"/>
        <w:gridCol w:w="144"/>
        <w:gridCol w:w="144"/>
        <w:gridCol w:w="1677"/>
        <w:gridCol w:w="144"/>
      </w:tblGrid>
      <w:tr w:rsidR="00000000">
        <w:tc>
          <w:tcPr>
            <w:tcW w:w="50" w:type="pct"/>
            <w:vAlign w:val="center"/>
            <w:hideMark/>
          </w:tcPr>
          <w:p w:rsidR="00000000" w:rsidRDefault="002B18C2">
            <w:pPr>
              <w:rPr>
                <w:rFonts w:eastAsia="Times New Roman"/>
              </w:rPr>
            </w:pPr>
          </w:p>
        </w:tc>
        <w:tc>
          <w:tcPr>
            <w:tcW w:w="277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101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101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October 2, 2021</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2, 2021</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2B18C2">
            <w:pPr>
              <w:spacing w:after="100"/>
              <w:rPr>
                <w:rFonts w:eastAsia="Times New Roman"/>
              </w:rPr>
            </w:pPr>
            <w:r>
              <w:rPr>
                <w:rFonts w:eastAsia="Times New Roman"/>
                <w:b/>
                <w:bCs/>
                <w:color w:val="000000"/>
                <w:sz w:val="20"/>
                <w:szCs w:val="20"/>
              </w:rPr>
              <w:t>Inventories: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2B18C2">
            <w:pPr>
              <w:spacing w:after="100"/>
              <w:divId w:val="507521331"/>
              <w:rPr>
                <w:rFonts w:eastAsia="Times New Roman"/>
              </w:rPr>
            </w:pPr>
            <w:r>
              <w:rPr>
                <w:rFonts w:eastAsia="Times New Roman"/>
                <w:color w:val="000000"/>
                <w:sz w:val="20"/>
                <w:szCs w:val="20"/>
              </w:rPr>
              <w:t>Raw materials and work in process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center"/>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65,094 </w:t>
            </w:r>
          </w:p>
        </w:tc>
        <w:tc>
          <w:tcPr>
            <w:tcW w:w="0" w:type="auto"/>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55,473 </w:t>
            </w:r>
          </w:p>
        </w:tc>
        <w:tc>
          <w:tcPr>
            <w:tcW w:w="0" w:type="auto"/>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center"/>
            <w:hideMark/>
          </w:tcPr>
          <w:p w:rsidR="00000000" w:rsidRDefault="002B18C2">
            <w:pPr>
              <w:spacing w:after="100"/>
              <w:rPr>
                <w:rFonts w:eastAsia="Times New Roman"/>
              </w:rPr>
            </w:pPr>
            <w:r>
              <w:rPr>
                <w:rFonts w:eastAsia="Times New Roman"/>
                <w:color w:val="000000"/>
                <w:sz w:val="20"/>
                <w:szCs w:val="20"/>
              </w:rPr>
              <w:t>Finished goods</w:t>
            </w:r>
          </w:p>
        </w:tc>
        <w:tc>
          <w:tcPr>
            <w:tcW w:w="0" w:type="auto"/>
            <w:gridSpan w:val="2"/>
            <w:shd w:val="clear" w:color="auto" w:fill="CCEE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59,543 </w:t>
            </w:r>
          </w:p>
        </w:tc>
        <w:tc>
          <w:tcPr>
            <w:tcW w:w="0" w:type="auto"/>
            <w:shd w:val="clear" w:color="auto" w:fill="CCEEFF"/>
            <w:tcMar>
              <w:top w:w="30" w:type="dxa"/>
              <w:left w:w="0" w:type="dxa"/>
              <w:bottom w:w="3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55,801 </w:t>
            </w:r>
          </w:p>
        </w:tc>
        <w:tc>
          <w:tcPr>
            <w:tcW w:w="0" w:type="auto"/>
            <w:shd w:val="clear" w:color="auto" w:fill="CCEEFF"/>
            <w:tcMar>
              <w:top w:w="30" w:type="dxa"/>
              <w:left w:w="0" w:type="dxa"/>
              <w:bottom w:w="30" w:type="dxa"/>
              <w:right w:w="20" w:type="dxa"/>
            </w:tcMar>
            <w:vAlign w:val="center"/>
            <w:hideMark/>
          </w:tcPr>
          <w:p w:rsidR="00000000" w:rsidRDefault="002B18C2">
            <w:pPr>
              <w:spacing w:after="100"/>
              <w:jc w:val="right"/>
              <w:rPr>
                <w:rFonts w:eastAsia="Times New Roman"/>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124,637 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2B18C2">
            <w:pPr>
              <w:spacing w:after="100"/>
              <w:jc w:val="right"/>
              <w:rPr>
                <w:rFonts w:eastAsia="Times New Roman"/>
              </w:rPr>
            </w:pPr>
            <w:r>
              <w:rPr>
                <w:rFonts w:eastAsia="Times New Roman"/>
                <w:color w:val="000000"/>
                <w:sz w:val="20"/>
                <w:szCs w:val="20"/>
              </w:rPr>
              <w:t>111,274 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2B18C2">
            <w:pPr>
              <w:spacing w:after="100"/>
              <w:jc w:val="right"/>
              <w:rPr>
                <w:rFonts w:eastAsia="Times New Roman"/>
              </w:rPr>
            </w:pPr>
          </w:p>
        </w:tc>
      </w:tr>
      <w:tr w:rsidR="00000000">
        <w:tc>
          <w:tcPr>
            <w:tcW w:w="0" w:type="auto"/>
            <w:gridSpan w:val="12"/>
            <w:tcMar>
              <w:top w:w="30" w:type="dxa"/>
              <w:left w:w="20" w:type="dxa"/>
              <w:bottom w:w="30" w:type="dxa"/>
              <w:right w:w="20" w:type="dxa"/>
            </w:tcMar>
            <w:vAlign w:val="center"/>
            <w:hideMark/>
          </w:tcPr>
          <w:p w:rsidR="00000000" w:rsidRDefault="002B18C2">
            <w:pPr>
              <w:spacing w:after="100"/>
              <w:ind w:hanging="270"/>
              <w:jc w:val="both"/>
              <w:rPr>
                <w:rFonts w:eastAsia="Times New Roman"/>
              </w:rPr>
            </w:pPr>
            <w:r>
              <w:rPr>
                <w:rFonts w:eastAsia="Times New Roman"/>
                <w:color w:val="000000"/>
                <w:sz w:val="16"/>
                <w:szCs w:val="16"/>
              </w:rPr>
              <w:t>(1)Due to the immaterial amount of estimated work in process and the short lead times for the conversion of raw materials to finished goods, the Company does not separately present raw materials and work in process.</w:t>
            </w:r>
          </w:p>
        </w:tc>
      </w:tr>
    </w:tbl>
    <w:p w:rsidR="00000000" w:rsidRDefault="002B18C2">
      <w:pPr>
        <w:divId w:val="182874266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565"/>
        <w:gridCol w:w="37"/>
        <w:gridCol w:w="120"/>
        <w:gridCol w:w="1636"/>
        <w:gridCol w:w="36"/>
        <w:gridCol w:w="36"/>
        <w:gridCol w:w="36"/>
        <w:gridCol w:w="36"/>
        <w:gridCol w:w="120"/>
        <w:gridCol w:w="1608"/>
        <w:gridCol w:w="36"/>
      </w:tblGrid>
      <w:tr w:rsidR="00000000">
        <w:trPr>
          <w:divId w:val="1828742664"/>
        </w:trPr>
        <w:tc>
          <w:tcPr>
            <w:tcW w:w="50" w:type="pct"/>
            <w:vAlign w:val="center"/>
            <w:hideMark/>
          </w:tcPr>
          <w:p w:rsidR="00000000" w:rsidRDefault="002B18C2">
            <w:pPr>
              <w:rPr>
                <w:rFonts w:eastAsia="Times New Roman"/>
              </w:rPr>
            </w:pPr>
          </w:p>
        </w:tc>
        <w:tc>
          <w:tcPr>
            <w:tcW w:w="277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101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101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1828742664"/>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October 2, 2021</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2, 2021</w:t>
            </w:r>
          </w:p>
        </w:tc>
      </w:tr>
      <w:tr w:rsidR="00000000">
        <w:trPr>
          <w:divId w:val="1828742664"/>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Other payables and accrued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828742664"/>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divId w:val="1609390582"/>
              <w:rPr>
                <w:rFonts w:eastAsia="Times New Roman"/>
              </w:rPr>
            </w:pPr>
            <w:r>
              <w:rPr>
                <w:rFonts w:eastAsia="Times New Roman"/>
                <w:color w:val="000000"/>
                <w:sz w:val="20"/>
                <w:szCs w:val="20"/>
              </w:rPr>
              <w:t>Associate compensation and benefits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39,466 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51,081 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828742664"/>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Advertising</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3,219 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2,173 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828742664"/>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Self-insurance liabilities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9,519 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8,650 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828742664"/>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Reserves for customer returns and remakes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7,274 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8,084 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828742664"/>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Capital expenditures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10,455 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8,455 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828742664"/>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Legacy management &amp; services agreement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5,649 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5,386 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828742664"/>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Fair value of derivative liabilities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4,023 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5,116 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828742664"/>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Supplies and other store support expenses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2,353 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3,461 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828742664"/>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Litigation settlements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637 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1,107 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828742664"/>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Lease concessions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491 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3,142 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828742664"/>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15,663 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13,654 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828742664"/>
        </w:trPr>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98,749 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110,309 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828742664"/>
        </w:trPr>
        <w:tc>
          <w:tcPr>
            <w:tcW w:w="0" w:type="auto"/>
            <w:gridSpan w:val="12"/>
            <w:shd w:val="clear" w:color="auto" w:fill="FFFFFF"/>
            <w:tcMar>
              <w:top w:w="30" w:type="dxa"/>
              <w:left w:w="20" w:type="dxa"/>
              <w:bottom w:w="30" w:type="dxa"/>
              <w:right w:w="20" w:type="dxa"/>
            </w:tcMar>
            <w:vAlign w:val="bottom"/>
            <w:hideMark/>
          </w:tcPr>
          <w:p w:rsidR="00000000" w:rsidRDefault="002B18C2">
            <w:pPr>
              <w:spacing w:after="100"/>
              <w:divId w:val="1233201752"/>
              <w:rPr>
                <w:rFonts w:eastAsia="Times New Roman"/>
              </w:rPr>
            </w:pPr>
            <w:r>
              <w:rPr>
                <w:rFonts w:eastAsia="Times New Roman"/>
                <w:color w:val="000000"/>
                <w:sz w:val="16"/>
                <w:szCs w:val="16"/>
              </w:rPr>
              <w:t> (1) Includes the Coronavirus Aid, Relief, and Economic Security (“CARES”) Act deferred employer payroll taxes in the amount of $0.0 million and $12.8 million as of October 2, 2021 and January 2, 2021, respectively.</w:t>
            </w:r>
          </w:p>
        </w:tc>
      </w:tr>
      <w:tr w:rsidR="00000000">
        <w:trPr>
          <w:divId w:val="1828742664"/>
        </w:trPr>
        <w:tc>
          <w:tcPr>
            <w:tcW w:w="0" w:type="auto"/>
            <w:gridSpan w:val="3"/>
            <w:vAlign w:val="center"/>
            <w:hideMark/>
          </w:tcPr>
          <w:p w:rsidR="00000000" w:rsidRDefault="002B18C2">
            <w:pPr>
              <w:spacing w:after="100"/>
              <w:rPr>
                <w:rFonts w:eastAsia="Times New Roman"/>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r>
      <w:tr w:rsidR="00000000">
        <w:trPr>
          <w:divId w:val="1828742664"/>
        </w:trPr>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r>
      <w:tr w:rsidR="00000000">
        <w:trPr>
          <w:divId w:val="1828742664"/>
        </w:trPr>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r>
      <w:tr w:rsidR="00000000">
        <w:trPr>
          <w:divId w:val="1828742664"/>
        </w:trPr>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r>
      <w:tr w:rsidR="00000000">
        <w:trPr>
          <w:divId w:val="1828742664"/>
        </w:trPr>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r>
      <w:tr w:rsidR="00000000">
        <w:trPr>
          <w:divId w:val="1828742664"/>
        </w:trPr>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r>
      <w:tr w:rsidR="00000000">
        <w:trPr>
          <w:divId w:val="1828742664"/>
        </w:trPr>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r>
      <w:tr w:rsidR="00000000">
        <w:trPr>
          <w:divId w:val="1828742664"/>
        </w:trPr>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r>
      <w:tr w:rsidR="00000000">
        <w:trPr>
          <w:divId w:val="1828742664"/>
        </w:trPr>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r>
      <w:tr w:rsidR="00000000">
        <w:trPr>
          <w:divId w:val="1828742664"/>
        </w:trPr>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606"/>
        <w:gridCol w:w="144"/>
        <w:gridCol w:w="144"/>
        <w:gridCol w:w="1677"/>
        <w:gridCol w:w="144"/>
        <w:gridCol w:w="144"/>
        <w:gridCol w:w="144"/>
        <w:gridCol w:w="144"/>
        <w:gridCol w:w="144"/>
        <w:gridCol w:w="1677"/>
        <w:gridCol w:w="144"/>
      </w:tblGrid>
      <w:tr w:rsidR="00000000">
        <w:tc>
          <w:tcPr>
            <w:tcW w:w="50" w:type="pct"/>
            <w:vAlign w:val="center"/>
            <w:hideMark/>
          </w:tcPr>
          <w:p w:rsidR="00000000" w:rsidRDefault="002B18C2">
            <w:pPr>
              <w:rPr>
                <w:rFonts w:eastAsia="Times New Roman"/>
              </w:rPr>
            </w:pPr>
          </w:p>
        </w:tc>
        <w:tc>
          <w:tcPr>
            <w:tcW w:w="277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101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101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October 2, 2021</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2, 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Other non-current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Fair value of derivative liabilities</w:t>
            </w: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3,385 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7,663 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Self-insurance liabilities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7,761 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7,046 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2,440 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2,706 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13,586 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17,415 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c>
          <w:tcPr>
            <w:tcW w:w="0" w:type="auto"/>
            <w:gridSpan w:val="3"/>
            <w:vAlign w:val="center"/>
            <w:hideMark/>
          </w:tcPr>
          <w:p w:rsidR="00000000" w:rsidRDefault="002B18C2">
            <w:pPr>
              <w:spacing w:after="100"/>
              <w:jc w:val="right"/>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r>
      <w:tr w:rsidR="00000000">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r>
      <w:tr w:rsidR="00000000">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r>
      <w:tr w:rsidR="00000000">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r>
    </w:tbl>
    <w:p w:rsidR="00000000" w:rsidRDefault="002B18C2">
      <w:pPr>
        <w:jc w:val="both"/>
        <w:rPr>
          <w:rFonts w:eastAsia="Times New Roman"/>
        </w:rPr>
      </w:pPr>
    </w:p>
    <w:p w:rsidR="00000000" w:rsidRDefault="002B18C2">
      <w:pPr>
        <w:jc w:val="center"/>
        <w:divId w:val="1539272963"/>
        <w:rPr>
          <w:rFonts w:eastAsia="Times New Roman"/>
        </w:rPr>
      </w:pPr>
      <w:r>
        <w:rPr>
          <w:rFonts w:eastAsia="Times New Roman"/>
          <w:color w:val="000000"/>
          <w:sz w:val="20"/>
          <w:szCs w:val="20"/>
        </w:rPr>
        <w:t>13</w:t>
      </w:r>
    </w:p>
    <w:p w:rsidR="00000000" w:rsidRDefault="002B18C2">
      <w:pPr>
        <w:rPr>
          <w:rFonts w:eastAsia="Times New Roman"/>
        </w:rPr>
      </w:pPr>
      <w:r>
        <w:rPr>
          <w:rFonts w:eastAsia="Times New Roman"/>
        </w:rPr>
        <w:pict>
          <v:rect id="_x0000_i1037" style="width:0;height:1.5pt" o:hralign="center" o:hrstd="t" o:hr="t" fillcolor="#a0a0a0" stroked="f"/>
        </w:pict>
      </w:r>
    </w:p>
    <w:p w:rsidR="00000000" w:rsidRDefault="002B18C2">
      <w:pPr>
        <w:divId w:val="1790201993"/>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divId w:val="95635896"/>
        <w:rPr>
          <w:rFonts w:eastAsia="Times New Roman"/>
        </w:rPr>
      </w:pPr>
      <w:r>
        <w:rPr>
          <w:rFonts w:eastAsia="Times New Roman"/>
          <w:b/>
          <w:bCs/>
          <w:color w:val="000000"/>
          <w:sz w:val="20"/>
          <w:szCs w:val="20"/>
        </w:rPr>
        <w:t>3. Fair Value Measurement</w:t>
      </w:r>
    </w:p>
    <w:p w:rsidR="00000000" w:rsidRDefault="002B18C2">
      <w:pPr>
        <w:jc w:val="both"/>
        <w:rPr>
          <w:rFonts w:eastAsia="Times New Roman"/>
        </w:rPr>
      </w:pPr>
    </w:p>
    <w:p w:rsidR="00000000" w:rsidRDefault="002B18C2">
      <w:pPr>
        <w:jc w:val="both"/>
        <w:divId w:val="738788816"/>
        <w:rPr>
          <w:rFonts w:eastAsia="Times New Roman"/>
        </w:rPr>
      </w:pPr>
      <w:r>
        <w:rPr>
          <w:rFonts w:eastAsia="Times New Roman"/>
          <w:i/>
          <w:iCs/>
          <w:color w:val="000000"/>
          <w:sz w:val="20"/>
          <w:szCs w:val="20"/>
          <w:shd w:val="clear" w:color="auto" w:fill="FFFFFF"/>
        </w:rPr>
        <w:t>Recurring fair value measurements</w:t>
      </w:r>
    </w:p>
    <w:p w:rsidR="00000000" w:rsidRDefault="002B18C2">
      <w:pPr>
        <w:jc w:val="both"/>
        <w:divId w:val="2137330099"/>
        <w:rPr>
          <w:rFonts w:eastAsia="Times New Roman"/>
        </w:rPr>
      </w:pPr>
      <w:r>
        <w:rPr>
          <w:rFonts w:eastAsia="Times New Roman"/>
          <w:color w:val="000000"/>
          <w:sz w:val="20"/>
          <w:szCs w:val="20"/>
          <w:u w:val="single"/>
        </w:rPr>
        <w:t>Interest Rate Derivatives</w:t>
      </w:r>
    </w:p>
    <w:p w:rsidR="00000000" w:rsidRDefault="002B18C2">
      <w:pPr>
        <w:jc w:val="both"/>
        <w:divId w:val="2090887045"/>
        <w:rPr>
          <w:rFonts w:eastAsia="Times New Roman"/>
        </w:rPr>
      </w:pPr>
      <w:r>
        <w:rPr>
          <w:rFonts w:eastAsia="Times New Roman"/>
          <w:color w:val="000000"/>
          <w:sz w:val="20"/>
          <w:szCs w:val="20"/>
        </w:rPr>
        <w:t>We recognize as assets or liabilities at fair value the estimated amounts we would receive or pay upon a termination of interest rate derivatives prior to their scheduled expiration dates. The fair value is based on information that is model-driven and who</w:t>
      </w:r>
      <w:r>
        <w:rPr>
          <w:rFonts w:eastAsia="Times New Roman"/>
          <w:color w:val="000000"/>
          <w:sz w:val="20"/>
          <w:szCs w:val="20"/>
        </w:rPr>
        <w:t>se inputs were observable (Level 2 inputs). See Note 5. “Interest Rate Derivatives” for further details.</w:t>
      </w:r>
    </w:p>
    <w:p w:rsidR="00000000" w:rsidRDefault="002B18C2">
      <w:pPr>
        <w:jc w:val="both"/>
        <w:divId w:val="163595410"/>
        <w:rPr>
          <w:rFonts w:eastAsia="Times New Roman"/>
        </w:rPr>
      </w:pPr>
      <w:r>
        <w:rPr>
          <w:rFonts w:eastAsia="Times New Roman"/>
          <w:i/>
          <w:iCs/>
          <w:color w:val="000000"/>
          <w:sz w:val="20"/>
          <w:szCs w:val="20"/>
        </w:rPr>
        <w:t>Nonrecurring fair value measurements</w:t>
      </w:r>
    </w:p>
    <w:p w:rsidR="00000000" w:rsidRDefault="002B18C2">
      <w:pPr>
        <w:jc w:val="both"/>
        <w:divId w:val="890507017"/>
        <w:rPr>
          <w:rFonts w:eastAsia="Times New Roman"/>
        </w:rPr>
      </w:pPr>
      <w:r>
        <w:rPr>
          <w:rFonts w:eastAsia="Times New Roman"/>
          <w:color w:val="000000"/>
          <w:sz w:val="20"/>
          <w:szCs w:val="20"/>
          <w:u w:val="single"/>
        </w:rPr>
        <w:t>Tangible Long-lived and Right of Use (“ROU”) Store Assets</w:t>
      </w:r>
    </w:p>
    <w:p w:rsidR="00000000" w:rsidRDefault="002B18C2">
      <w:pPr>
        <w:jc w:val="both"/>
        <w:divId w:val="1694763148"/>
        <w:rPr>
          <w:rFonts w:eastAsia="Times New Roman"/>
        </w:rPr>
      </w:pPr>
      <w:r>
        <w:rPr>
          <w:rFonts w:eastAsia="Times New Roman"/>
          <w:color w:val="000000"/>
          <w:sz w:val="20"/>
          <w:szCs w:val="20"/>
        </w:rPr>
        <w:t>We recognized no impairm</w:t>
      </w:r>
      <w:r>
        <w:rPr>
          <w:rFonts w:eastAsia="Times New Roman"/>
          <w:color w:val="000000"/>
          <w:sz w:val="20"/>
          <w:szCs w:val="20"/>
          <w:shd w:val="clear" w:color="auto" w:fill="FFFFFF"/>
        </w:rPr>
        <w:t>ents during the three months end</w:t>
      </w:r>
      <w:r>
        <w:rPr>
          <w:rFonts w:eastAsia="Times New Roman"/>
          <w:color w:val="000000"/>
          <w:sz w:val="20"/>
          <w:szCs w:val="20"/>
          <w:shd w:val="clear" w:color="auto" w:fill="FFFFFF"/>
        </w:rPr>
        <w:t>ed October 2, 2021,</w:t>
      </w:r>
      <w:r>
        <w:rPr>
          <w:rFonts w:eastAsia="Times New Roman"/>
          <w:color w:val="000000"/>
          <w:sz w:val="20"/>
          <w:szCs w:val="20"/>
        </w:rPr>
        <w:t xml:space="preserve"> and $1.5 million d</w:t>
      </w:r>
      <w:r>
        <w:rPr>
          <w:rFonts w:eastAsia="Times New Roman"/>
          <w:color w:val="000000"/>
          <w:sz w:val="20"/>
          <w:szCs w:val="20"/>
          <w:shd w:val="clear" w:color="auto" w:fill="FFFFFF"/>
        </w:rPr>
        <w:t>uring the nine months ended October 2, 2021, respectively, related to our long-lived tangible store assets and RO</w:t>
      </w:r>
      <w:r>
        <w:rPr>
          <w:rFonts w:eastAsia="Times New Roman"/>
          <w:color w:val="000000"/>
          <w:sz w:val="20"/>
          <w:szCs w:val="20"/>
        </w:rPr>
        <w:t xml:space="preserve">U assets. The impairments were primarily driven by lower than projected customer sales volume in certain </w:t>
      </w:r>
      <w:r>
        <w:rPr>
          <w:rFonts w:eastAsia="Times New Roman"/>
          <w:color w:val="000000"/>
          <w:sz w:val="20"/>
          <w:szCs w:val="20"/>
        </w:rPr>
        <w:t>stores. The cash flows used in estimating fair value were discounted using a market rate of</w:t>
      </w:r>
      <w:r>
        <w:rPr>
          <w:rFonts w:eastAsia="Times New Roman"/>
          <w:color w:val="000000"/>
          <w:sz w:val="20"/>
          <w:szCs w:val="20"/>
          <w:shd w:val="clear" w:color="auto" w:fill="FFFFFF"/>
        </w:rPr>
        <w:t xml:space="preserve"> </w:t>
      </w:r>
      <w:r>
        <w:rPr>
          <w:rFonts w:eastAsia="Times New Roman"/>
          <w:color w:val="000000"/>
          <w:sz w:val="20"/>
          <w:szCs w:val="20"/>
        </w:rPr>
        <w:t>7.5%</w:t>
      </w:r>
      <w:r>
        <w:rPr>
          <w:rFonts w:eastAsia="Times New Roman"/>
          <w:color w:val="000000"/>
          <w:sz w:val="20"/>
          <w:szCs w:val="20"/>
          <w:shd w:val="clear" w:color="auto" w:fill="FFFFFF"/>
        </w:rPr>
        <w:t>. W</w:t>
      </w:r>
      <w:r>
        <w:rPr>
          <w:rFonts w:eastAsia="Times New Roman"/>
          <w:color w:val="000000"/>
          <w:sz w:val="20"/>
          <w:szCs w:val="20"/>
        </w:rPr>
        <w:t xml:space="preserve">e consider market-based indications of prevailing rental rates for retail space, market participant discount rates, and lease incentives when estimating the </w:t>
      </w:r>
      <w:r>
        <w:rPr>
          <w:rFonts w:eastAsia="Times New Roman"/>
          <w:color w:val="000000"/>
          <w:sz w:val="20"/>
          <w:szCs w:val="20"/>
        </w:rPr>
        <w:t xml:space="preserve">fair values of ROU assets. A decrease in the estimated cash flows would lead to a lower fair value measurement, as would an increase in the discount rate. These non-recurring fair value measurements are classified as Level 3 measurements in the fair value </w:t>
      </w:r>
      <w:r>
        <w:rPr>
          <w:rFonts w:eastAsia="Times New Roman"/>
          <w:color w:val="000000"/>
          <w:sz w:val="20"/>
          <w:szCs w:val="20"/>
        </w:rPr>
        <w:t>hierarchy. The estimated remaining fair value of the assets impaired during the nine months ended October 2, 2021 was $2.9 million; this value includes fair value estimates related to impairments recorded in the first and second quarters of 2021. Substanti</w:t>
      </w:r>
      <w:r>
        <w:rPr>
          <w:rFonts w:eastAsia="Times New Roman"/>
          <w:color w:val="000000"/>
          <w:sz w:val="20"/>
          <w:szCs w:val="20"/>
        </w:rPr>
        <w:t>ally all of the remaining fair value of the impaired store assets in fiscal year 2021 represents the fair value of ROU assets.</w:t>
      </w:r>
    </w:p>
    <w:p w:rsidR="00000000" w:rsidRDefault="002B18C2">
      <w:pPr>
        <w:jc w:val="both"/>
        <w:divId w:val="2030981504"/>
        <w:rPr>
          <w:rFonts w:eastAsia="Times New Roman"/>
        </w:rPr>
      </w:pPr>
      <w:r>
        <w:rPr>
          <w:rFonts w:eastAsia="Times New Roman"/>
          <w:i/>
          <w:iCs/>
          <w:color w:val="000000"/>
          <w:sz w:val="20"/>
          <w:szCs w:val="20"/>
        </w:rPr>
        <w:t>Additional fair value information</w:t>
      </w:r>
    </w:p>
    <w:p w:rsidR="00000000" w:rsidRDefault="002B18C2">
      <w:pPr>
        <w:jc w:val="both"/>
        <w:divId w:val="1210607465"/>
        <w:rPr>
          <w:rFonts w:eastAsia="Times New Roman"/>
        </w:rPr>
      </w:pPr>
      <w:r>
        <w:rPr>
          <w:rFonts w:eastAsia="Times New Roman"/>
          <w:color w:val="000000"/>
          <w:sz w:val="20"/>
          <w:szCs w:val="20"/>
          <w:u w:val="single"/>
        </w:rPr>
        <w:t>Long-term Debt - 2025 Notes</w:t>
      </w:r>
    </w:p>
    <w:p w:rsidR="00000000" w:rsidRDefault="002B18C2">
      <w:pPr>
        <w:jc w:val="both"/>
        <w:divId w:val="1014069978"/>
        <w:rPr>
          <w:rFonts w:eastAsia="Times New Roman"/>
        </w:rPr>
      </w:pPr>
      <w:r>
        <w:rPr>
          <w:rFonts w:eastAsia="Times New Roman"/>
          <w:color w:val="000000"/>
          <w:sz w:val="20"/>
          <w:szCs w:val="20"/>
        </w:rPr>
        <w:t>The Company ha</w:t>
      </w:r>
      <w:r>
        <w:rPr>
          <w:rFonts w:eastAsia="Times New Roman"/>
          <w:color w:val="000000"/>
          <w:sz w:val="20"/>
          <w:szCs w:val="20"/>
          <w:shd w:val="clear" w:color="auto" w:fill="FFFFFF"/>
        </w:rPr>
        <w:t>s $402.5 million</w:t>
      </w:r>
      <w:r>
        <w:rPr>
          <w:rFonts w:eastAsia="Times New Roman"/>
          <w:color w:val="000000"/>
          <w:sz w:val="20"/>
          <w:szCs w:val="20"/>
        </w:rPr>
        <w:t xml:space="preserve"> </w:t>
      </w:r>
      <w:r>
        <w:rPr>
          <w:rFonts w:eastAsia="Times New Roman"/>
          <w:color w:val="000000"/>
          <w:sz w:val="20"/>
          <w:szCs w:val="20"/>
        </w:rPr>
        <w:t>in aggregate principal amount of 2.50% convertible senior notes due on May 15, 2025 (the “2025 Notes”) issued and outstanding as of October 2, 2021. Refer to Note 4. “Long-term Debt” for more information on the 2025 Notes. The estimated fair value of the 2</w:t>
      </w:r>
      <w:r>
        <w:rPr>
          <w:rFonts w:eastAsia="Times New Roman"/>
          <w:color w:val="000000"/>
          <w:sz w:val="20"/>
          <w:szCs w:val="20"/>
        </w:rPr>
        <w:t>025 Notes was approxima</w:t>
      </w:r>
      <w:r>
        <w:rPr>
          <w:rFonts w:eastAsia="Times New Roman"/>
          <w:color w:val="000000"/>
          <w:sz w:val="20"/>
          <w:szCs w:val="20"/>
          <w:shd w:val="clear" w:color="auto" w:fill="FFFFFF"/>
        </w:rPr>
        <w:t>tely $757.7 million a</w:t>
      </w:r>
      <w:r>
        <w:rPr>
          <w:rFonts w:eastAsia="Times New Roman"/>
          <w:color w:val="000000"/>
          <w:sz w:val="20"/>
          <w:szCs w:val="20"/>
        </w:rPr>
        <w:t>nd $655.3 million as of October 2, 2021 and January 2, 2021, respectively. The estimated fair value of the 2025 Notes is based on the prices the 2025 Notes have traded in the market as of October 2, 2021, as well</w:t>
      </w:r>
      <w:r>
        <w:rPr>
          <w:rFonts w:eastAsia="Times New Roman"/>
          <w:color w:val="000000"/>
          <w:sz w:val="20"/>
          <w:szCs w:val="20"/>
        </w:rPr>
        <w:t xml:space="preserve"> as overall market conditions on the date of valuation, stated coupon rates, the number of coupon payments each year and the maturity date, and represents a Level 2 measurement in the fair value hierarchy.</w:t>
      </w:r>
    </w:p>
    <w:p w:rsidR="00000000" w:rsidRDefault="002B18C2">
      <w:pPr>
        <w:jc w:val="both"/>
        <w:divId w:val="471483762"/>
        <w:rPr>
          <w:rFonts w:eastAsia="Times New Roman"/>
        </w:rPr>
      </w:pPr>
    </w:p>
    <w:p w:rsidR="00000000" w:rsidRDefault="002B18C2">
      <w:pPr>
        <w:jc w:val="both"/>
        <w:rPr>
          <w:rFonts w:eastAsia="Times New Roman"/>
        </w:rPr>
      </w:pPr>
      <w:r>
        <w:rPr>
          <w:rFonts w:eastAsia="Times New Roman"/>
          <w:b/>
          <w:bCs/>
          <w:color w:val="000000"/>
          <w:sz w:val="20"/>
          <w:szCs w:val="20"/>
        </w:rPr>
        <w:t>4. Long-term Debt</w:t>
      </w:r>
    </w:p>
    <w:p w:rsidR="00000000" w:rsidRDefault="002B18C2">
      <w:pPr>
        <w:jc w:val="both"/>
        <w:rPr>
          <w:rFonts w:eastAsia="Times New Roman"/>
        </w:rPr>
      </w:pPr>
    </w:p>
    <w:p w:rsidR="00000000" w:rsidRDefault="002B18C2">
      <w:pPr>
        <w:jc w:val="both"/>
        <w:rPr>
          <w:rFonts w:eastAsia="Times New Roman"/>
        </w:rPr>
      </w:pPr>
      <w:r>
        <w:rPr>
          <w:rFonts w:eastAsia="Times New Roman"/>
          <w:color w:val="000000"/>
          <w:sz w:val="20"/>
          <w:szCs w:val="20"/>
        </w:rPr>
        <w:t>Long-term debt consists of t</w:t>
      </w:r>
      <w:r>
        <w:rPr>
          <w:rFonts w:eastAsia="Times New Roman"/>
          <w:color w:val="000000"/>
          <w:sz w:val="20"/>
          <w:szCs w:val="20"/>
        </w:rPr>
        <w: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911"/>
        <w:gridCol w:w="37"/>
        <w:gridCol w:w="120"/>
        <w:gridCol w:w="1463"/>
        <w:gridCol w:w="36"/>
        <w:gridCol w:w="36"/>
        <w:gridCol w:w="36"/>
        <w:gridCol w:w="36"/>
        <w:gridCol w:w="120"/>
        <w:gridCol w:w="1435"/>
        <w:gridCol w:w="36"/>
      </w:tblGrid>
      <w:tr w:rsidR="00000000">
        <w:trPr>
          <w:divId w:val="1705978893"/>
          <w:jc w:val="center"/>
        </w:trPr>
        <w:tc>
          <w:tcPr>
            <w:tcW w:w="50" w:type="pct"/>
            <w:vAlign w:val="center"/>
            <w:hideMark/>
          </w:tcPr>
          <w:p w:rsidR="00000000" w:rsidRDefault="002B18C2">
            <w:pPr>
              <w:jc w:val="both"/>
              <w:rPr>
                <w:rFonts w:eastAsia="Times New Roman"/>
              </w:rPr>
            </w:pPr>
          </w:p>
        </w:tc>
        <w:tc>
          <w:tcPr>
            <w:tcW w:w="2981"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906"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906"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1705978893"/>
          <w:jc w:val="center"/>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October 2, 2021</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2, 2021</w:t>
            </w:r>
          </w:p>
        </w:tc>
      </w:tr>
      <w:tr w:rsidR="00000000">
        <w:trPr>
          <w:divId w:val="170597889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2025 Notes, due May 15, 2025</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402,500 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402,500 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705978893"/>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Term loan, due July 18, 2024</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200,000 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317,375 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70597889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Long-term debt before debt discount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602,500 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719,875 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705978893"/>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Unamortized discount and issuance costs - 2025 Notes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(8,572)</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(93,123)</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70597889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Unamortized discount and issuance costs - term loan</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(1,402)</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(2,141)</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705978893"/>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Long-term debt less debt discount</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592,526 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624,611 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70597889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Less current maturities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705978893"/>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Long-term debt - non-current portion</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592,526 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624,611 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70597889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Finance lease obligations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27,512 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30,750 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705978893"/>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Less current maturities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(4,418)</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(3,598)</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70597889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Long-term debt and finance lease obligations, less current portion and debt discount</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615,620 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651,763 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bl>
    <w:p w:rsidR="00000000" w:rsidRDefault="002B18C2">
      <w:pPr>
        <w:jc w:val="center"/>
        <w:divId w:val="1938977504"/>
        <w:rPr>
          <w:rFonts w:eastAsia="Times New Roman"/>
        </w:rPr>
      </w:pPr>
      <w:r>
        <w:rPr>
          <w:rFonts w:eastAsia="Times New Roman"/>
          <w:color w:val="000000"/>
          <w:sz w:val="20"/>
          <w:szCs w:val="20"/>
        </w:rPr>
        <w:t>14</w:t>
      </w:r>
    </w:p>
    <w:p w:rsidR="00000000" w:rsidRDefault="002B18C2">
      <w:pPr>
        <w:rPr>
          <w:rFonts w:eastAsia="Times New Roman"/>
        </w:rPr>
      </w:pPr>
      <w:r>
        <w:rPr>
          <w:rFonts w:eastAsia="Times New Roman"/>
        </w:rPr>
        <w:pict>
          <v:rect id="_x0000_i1038" style="width:0;height:1.5pt" o:hralign="center" o:hrstd="t" o:hr="t" fillcolor="#a0a0a0" stroked="f"/>
        </w:pict>
      </w:r>
    </w:p>
    <w:p w:rsidR="00000000" w:rsidRDefault="002B18C2">
      <w:pPr>
        <w:divId w:val="1312369883"/>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1169249914"/>
        <w:rPr>
          <w:rFonts w:eastAsia="Times New Roman"/>
        </w:rPr>
      </w:pPr>
      <w:r>
        <w:rPr>
          <w:rFonts w:eastAsia="Times New Roman"/>
          <w:i/>
          <w:iCs/>
          <w:color w:val="000000"/>
          <w:sz w:val="20"/>
          <w:szCs w:val="20"/>
        </w:rPr>
        <w:t>Credit Agreement</w:t>
      </w:r>
    </w:p>
    <w:p w:rsidR="00000000" w:rsidRDefault="002B18C2">
      <w:pPr>
        <w:jc w:val="both"/>
        <w:divId w:val="945578207"/>
        <w:rPr>
          <w:rFonts w:eastAsia="Times New Roman"/>
        </w:rPr>
      </w:pPr>
      <w:r>
        <w:rPr>
          <w:rFonts w:eastAsia="Times New Roman"/>
          <w:color w:val="000000"/>
          <w:sz w:val="20"/>
          <w:szCs w:val="20"/>
        </w:rPr>
        <w:t>During the second quarter of 2021, the Company voluntarily prepaid $117.4 million of term loan principal and wrote off associat</w:t>
      </w:r>
      <w:r>
        <w:rPr>
          <w:rFonts w:eastAsia="Times New Roman"/>
          <w:color w:val="000000"/>
          <w:sz w:val="20"/>
          <w:szCs w:val="20"/>
        </w:rPr>
        <w:t>ed deferred debt issuance costs of $0.7 million. The Company also amended its credit agreement to, among other things, add customary LIBOR replacement provisions, modify the applicable margins used to calculate the rate of interest payable on the first lie</w:t>
      </w:r>
      <w:r>
        <w:rPr>
          <w:rFonts w:eastAsia="Times New Roman"/>
          <w:color w:val="000000"/>
          <w:sz w:val="20"/>
          <w:szCs w:val="20"/>
        </w:rPr>
        <w:t>n term loans thereunder to a range of 1.25% to 2.00% for LIBOR Loans and a range of 0.25% to 1.00% for ABR Loans, modify certain financial covenants related to maximum leverage and minimum interest coverage and remove the LIBOR floor, such that LIBOR shall</w:t>
      </w:r>
      <w:r>
        <w:rPr>
          <w:rFonts w:eastAsia="Times New Roman"/>
          <w:color w:val="000000"/>
          <w:sz w:val="20"/>
          <w:szCs w:val="20"/>
        </w:rPr>
        <w:t xml:space="preserve"> be deemed to be no less than 0.00% per annum (instead of 1.00% per annum previously in effect).</w:t>
      </w:r>
    </w:p>
    <w:p w:rsidR="00000000" w:rsidRDefault="002B18C2">
      <w:pPr>
        <w:jc w:val="both"/>
        <w:divId w:val="1707675287"/>
        <w:rPr>
          <w:rFonts w:eastAsia="Times New Roman"/>
        </w:rPr>
      </w:pPr>
      <w:r>
        <w:rPr>
          <w:rFonts w:eastAsia="Times New Roman"/>
          <w:color w:val="000000"/>
          <w:sz w:val="20"/>
          <w:szCs w:val="20"/>
        </w:rPr>
        <w:t>As a result of the principal prepayments made by the Company, we have no additional mandatory principal payments on the remaining term loan balance until matur</w:t>
      </w:r>
      <w:r>
        <w:rPr>
          <w:rFonts w:eastAsia="Times New Roman"/>
          <w:color w:val="000000"/>
          <w:sz w:val="20"/>
          <w:szCs w:val="20"/>
        </w:rPr>
        <w:t>ity on July 18, 2024.</w:t>
      </w:r>
    </w:p>
    <w:p w:rsidR="00000000" w:rsidRDefault="002B18C2">
      <w:pPr>
        <w:jc w:val="both"/>
        <w:divId w:val="1252161354"/>
        <w:rPr>
          <w:rFonts w:eastAsia="Times New Roman"/>
        </w:rPr>
      </w:pPr>
      <w:r>
        <w:rPr>
          <w:rFonts w:eastAsia="Times New Roman"/>
          <w:color w:val="000000"/>
          <w:sz w:val="20"/>
          <w:szCs w:val="20"/>
        </w:rPr>
        <w:t>Capitalized terms used but not defined herein shall have the meanings assigned to such terms in our credit agreement. Pursuant to our credit agreement, the Company will not permit (i) the Consolidated Total Debt to Consolidated EBITDA</w:t>
      </w:r>
      <w:r>
        <w:rPr>
          <w:rFonts w:eastAsia="Times New Roman"/>
          <w:color w:val="000000"/>
          <w:sz w:val="20"/>
          <w:szCs w:val="20"/>
        </w:rPr>
        <w:t xml:space="preserve"> Ratio to be negative or greater than (x) 4.50 to 1.00 with respect to the last day of the Company’s second and third fiscal quarters of 2021 and (y) 4.25 to 1.00 from and after the last day of the Company’s fourth fiscal quarter of 2021, subject to certai</w:t>
      </w:r>
      <w:r>
        <w:rPr>
          <w:rFonts w:eastAsia="Times New Roman"/>
          <w:color w:val="000000"/>
          <w:sz w:val="20"/>
          <w:szCs w:val="20"/>
        </w:rPr>
        <w:t>n step-ups after the consummation of a Material Acquisition, or (ii) the Consolidated Interest Coverage Ratio of the Company as of the last day of any fiscal quarter of the Company to be less than 3.00 to 1.00. We were in compliance with all covenants rela</w:t>
      </w:r>
      <w:r>
        <w:rPr>
          <w:rFonts w:eastAsia="Times New Roman"/>
          <w:color w:val="000000"/>
          <w:sz w:val="20"/>
          <w:szCs w:val="20"/>
        </w:rPr>
        <w:t>ted to our long-term debt as of October 2, 2021. See Note 14. “Subsequent Events” for developments on our term loan occurring after the date of the financial statements.</w:t>
      </w:r>
    </w:p>
    <w:p w:rsidR="00000000" w:rsidRDefault="002B18C2">
      <w:pPr>
        <w:jc w:val="both"/>
        <w:divId w:val="1894583330"/>
        <w:rPr>
          <w:rFonts w:eastAsia="Times New Roman"/>
        </w:rPr>
      </w:pPr>
      <w:r>
        <w:rPr>
          <w:rFonts w:eastAsia="Times New Roman"/>
          <w:i/>
          <w:iCs/>
          <w:color w:val="000000"/>
          <w:sz w:val="20"/>
          <w:szCs w:val="20"/>
        </w:rPr>
        <w:t>2025 Notes</w:t>
      </w:r>
    </w:p>
    <w:p w:rsidR="00000000" w:rsidRDefault="002B18C2">
      <w:pPr>
        <w:jc w:val="both"/>
        <w:divId w:val="34620281"/>
        <w:rPr>
          <w:rFonts w:eastAsia="Times New Roman"/>
        </w:rPr>
      </w:pPr>
      <w:r>
        <w:rPr>
          <w:rFonts w:eastAsia="Times New Roman"/>
          <w:color w:val="000000"/>
          <w:sz w:val="20"/>
          <w:szCs w:val="20"/>
        </w:rPr>
        <w:t>The Company adopted ASU 2020-06 as of January 3, 2021. ASU 2020-06 eliminat</w:t>
      </w:r>
      <w:r>
        <w:rPr>
          <w:rFonts w:eastAsia="Times New Roman"/>
          <w:color w:val="000000"/>
          <w:sz w:val="20"/>
          <w:szCs w:val="20"/>
        </w:rPr>
        <w:t>es the cash conversion and the beneficial conversion feature models. Under the new convertible debt framework, the Company eliminated the equity components and increased the debt balance. Refer to Note 1. “Description of Business and Basis of Presentation”</w:t>
      </w:r>
      <w:r>
        <w:rPr>
          <w:rFonts w:eastAsia="Times New Roman"/>
          <w:color w:val="000000"/>
          <w:sz w:val="20"/>
          <w:szCs w:val="20"/>
        </w:rPr>
        <w:t xml:space="preserve"> for further discussion of the adoption of ASU 2020-06. As a result of adopting ASU 2020-06, our effective interest rate decreased from 9.1% as of January 2, 2021 to 3.2% starting in the first quarter of 2021. We re</w:t>
      </w:r>
      <w:r>
        <w:rPr>
          <w:rFonts w:eastAsia="Times New Roman"/>
          <w:color w:val="000000"/>
          <w:sz w:val="20"/>
          <w:szCs w:val="20"/>
          <w:shd w:val="clear" w:color="auto" w:fill="FFFFFF"/>
        </w:rPr>
        <w:t>cognized $2.5 million and $0.6 million in</w:t>
      </w:r>
      <w:r>
        <w:rPr>
          <w:rFonts w:eastAsia="Times New Roman"/>
          <w:color w:val="000000"/>
          <w:sz w:val="20"/>
          <w:szCs w:val="20"/>
          <w:shd w:val="clear" w:color="auto" w:fill="FFFFFF"/>
        </w:rPr>
        <w:t xml:space="preserve"> interest expense for the interest coupon and amortization of issuance costs, respectively, during the three months ended October 2, 2021 and $7.5 million and $1.6 million, respectiv</w:t>
      </w:r>
      <w:r>
        <w:rPr>
          <w:rFonts w:eastAsia="Times New Roman"/>
          <w:color w:val="000000"/>
          <w:sz w:val="20"/>
          <w:szCs w:val="20"/>
        </w:rPr>
        <w:t>ely during the nine months ended October 2, 2021. As of October 2, 2021, t</w:t>
      </w:r>
      <w:r>
        <w:rPr>
          <w:rFonts w:eastAsia="Times New Roman"/>
          <w:color w:val="000000"/>
          <w:sz w:val="20"/>
          <w:szCs w:val="20"/>
        </w:rPr>
        <w:t>he remaining period for the unamortized debt issuance costs balance was approximately four years.</w:t>
      </w:r>
    </w:p>
    <w:p w:rsidR="00000000" w:rsidRDefault="002B18C2">
      <w:pPr>
        <w:jc w:val="both"/>
        <w:divId w:val="496264089"/>
        <w:rPr>
          <w:rFonts w:eastAsia="Times New Roman"/>
        </w:rPr>
      </w:pPr>
      <w:r>
        <w:rPr>
          <w:rFonts w:eastAsia="Times New Roman"/>
          <w:color w:val="000000"/>
          <w:sz w:val="20"/>
          <w:szCs w:val="20"/>
        </w:rPr>
        <w:t xml:space="preserve">As of October 2, 2021, the 2025 Notes can be converted by holders. The conversion rate will be subject to adjustment upon the occurrence of certain specified </w:t>
      </w:r>
      <w:r>
        <w:rPr>
          <w:rFonts w:eastAsia="Times New Roman"/>
          <w:color w:val="000000"/>
          <w:sz w:val="20"/>
          <w:szCs w:val="20"/>
        </w:rPr>
        <w:t>events including, but not limited to: issuance of stock dividends, splits and combinations; distribution of rights, options and warrants; spin-offs and other distributed property; cash dividends or distributions; tender offers or exchange offers; and certa</w:t>
      </w:r>
      <w:r>
        <w:rPr>
          <w:rFonts w:eastAsia="Times New Roman"/>
          <w:color w:val="000000"/>
          <w:sz w:val="20"/>
          <w:szCs w:val="20"/>
        </w:rPr>
        <w:t>in other corporate transactions. The holders of our term loan would have preference over the holders of the 2025 Notes in the event of a liquidation.</w:t>
      </w:r>
    </w:p>
    <w:p w:rsidR="00000000" w:rsidRDefault="002B18C2">
      <w:pPr>
        <w:jc w:val="both"/>
        <w:rPr>
          <w:rFonts w:eastAsia="Times New Roman"/>
        </w:rPr>
      </w:pPr>
    </w:p>
    <w:p w:rsidR="00000000" w:rsidRDefault="002B18C2">
      <w:pPr>
        <w:jc w:val="both"/>
        <w:divId w:val="453445101"/>
        <w:rPr>
          <w:rFonts w:eastAsia="Times New Roman"/>
        </w:rPr>
      </w:pPr>
      <w:r>
        <w:rPr>
          <w:rFonts w:eastAsia="Times New Roman"/>
          <w:b/>
          <w:bCs/>
          <w:color w:val="000000"/>
          <w:sz w:val="20"/>
          <w:szCs w:val="20"/>
        </w:rPr>
        <w:t>5. Interest Rate Derivatives</w:t>
      </w:r>
    </w:p>
    <w:p w:rsidR="00000000" w:rsidRDefault="002B18C2">
      <w:pPr>
        <w:jc w:val="both"/>
        <w:divId w:val="1812558866"/>
        <w:rPr>
          <w:rFonts w:eastAsia="Times New Roman"/>
        </w:rPr>
      </w:pPr>
      <w:r>
        <w:rPr>
          <w:rFonts w:eastAsia="Times New Roman"/>
          <w:color w:val="000000"/>
          <w:sz w:val="20"/>
          <w:szCs w:val="20"/>
        </w:rPr>
        <w:t>We are party to an interest rate collar to offset the variability of cash f</w:t>
      </w:r>
      <w:r>
        <w:rPr>
          <w:rFonts w:eastAsia="Times New Roman"/>
          <w:color w:val="000000"/>
          <w:sz w:val="20"/>
          <w:szCs w:val="20"/>
        </w:rPr>
        <w:t xml:space="preserve">lows in LIBOR-indexed debt interest payments. The aggregate notional amount of the interest rate collar was </w:t>
      </w:r>
      <w:r>
        <w:rPr>
          <w:rFonts w:eastAsia="Times New Roman"/>
          <w:color w:val="000000"/>
          <w:sz w:val="20"/>
          <w:szCs w:val="20"/>
          <w:shd w:val="clear" w:color="auto" w:fill="FFFFFF"/>
        </w:rPr>
        <w:t xml:space="preserve">$375.0 million </w:t>
      </w:r>
      <w:r>
        <w:rPr>
          <w:rFonts w:eastAsia="Times New Roman"/>
          <w:color w:val="000000"/>
          <w:sz w:val="20"/>
          <w:szCs w:val="20"/>
        </w:rPr>
        <w:t xml:space="preserve">as of October 2, 2021. The fair value of our interest rate collar instrument was </w:t>
      </w:r>
      <w:r>
        <w:rPr>
          <w:rFonts w:eastAsia="Times New Roman"/>
          <w:color w:val="000000"/>
          <w:sz w:val="20"/>
          <w:szCs w:val="20"/>
          <w:shd w:val="clear" w:color="auto" w:fill="FFFFFF"/>
        </w:rPr>
        <w:t>$7.4 million</w:t>
      </w:r>
      <w:r>
        <w:rPr>
          <w:rFonts w:eastAsia="Times New Roman"/>
          <w:color w:val="000000"/>
          <w:sz w:val="20"/>
          <w:szCs w:val="20"/>
        </w:rPr>
        <w:t xml:space="preserve"> as of October 2, 2021 and is not design</w:t>
      </w:r>
      <w:r>
        <w:rPr>
          <w:rFonts w:eastAsia="Times New Roman"/>
          <w:color w:val="000000"/>
          <w:sz w:val="20"/>
          <w:szCs w:val="20"/>
        </w:rPr>
        <w:t>ated as a cash flow hedge. The interest rate swaps we held at the end of fiscal year 2020 matured in the first quarter of 2021. The fair value of our interest rate derivative instruments was $12.8 million as of January 2, 2021, $1.5 million of which was de</w:t>
      </w:r>
      <w:r>
        <w:rPr>
          <w:rFonts w:eastAsia="Times New Roman"/>
          <w:color w:val="000000"/>
          <w:sz w:val="20"/>
          <w:szCs w:val="20"/>
        </w:rPr>
        <w:t>signated as a cash flow hedge. See Note 3. “Fair Value Measurement” for further details.</w:t>
      </w:r>
    </w:p>
    <w:p w:rsidR="00000000" w:rsidRDefault="002B18C2">
      <w:pPr>
        <w:jc w:val="both"/>
        <w:divId w:val="2010408115"/>
        <w:rPr>
          <w:rFonts w:eastAsia="Times New Roman"/>
        </w:rPr>
      </w:pPr>
      <w:r>
        <w:rPr>
          <w:rFonts w:eastAsia="Times New Roman"/>
          <w:color w:val="000000"/>
          <w:sz w:val="20"/>
          <w:szCs w:val="20"/>
        </w:rPr>
        <w:t>Gains (losses) on the change in fair value of the interest rate collar of approximately $(0.2) million and $1.3 </w:t>
      </w:r>
      <w:r>
        <w:rPr>
          <w:rFonts w:eastAsia="Times New Roman"/>
          <w:color w:val="000000"/>
          <w:sz w:val="20"/>
          <w:szCs w:val="20"/>
        </w:rPr>
        <w:t>million were recorded in interest expense, net during the three and nine months ended October 2, 2021, respectively. Interest expense, net related to our interest rate derivatives considered to be highly effective hedges for the nine months ended October 2</w:t>
      </w:r>
      <w:r>
        <w:rPr>
          <w:rFonts w:eastAsia="Times New Roman"/>
          <w:color w:val="000000"/>
          <w:sz w:val="20"/>
          <w:szCs w:val="20"/>
        </w:rPr>
        <w:t>, 2021 was $1.5 million.</w:t>
      </w:r>
    </w:p>
    <w:p w:rsidR="00000000" w:rsidRDefault="002B18C2">
      <w:pPr>
        <w:jc w:val="both"/>
        <w:divId w:val="1517764407"/>
        <w:rPr>
          <w:rFonts w:eastAsia="Times New Roman"/>
        </w:rPr>
      </w:pPr>
      <w:r>
        <w:rPr>
          <w:rFonts w:eastAsia="Times New Roman"/>
          <w:color w:val="000000"/>
          <w:sz w:val="20"/>
          <w:szCs w:val="20"/>
        </w:rPr>
        <w:t>Cash flows related to derivatives qualifying as hedges are included in the same section of the Condensed Consolidated Statements of Cash Flows as the underlying assets and liabilities being hedged. Cash flows during the nine months</w:t>
      </w:r>
      <w:r>
        <w:rPr>
          <w:rFonts w:eastAsia="Times New Roman"/>
          <w:color w:val="000000"/>
          <w:sz w:val="20"/>
          <w:szCs w:val="20"/>
        </w:rPr>
        <w:t xml:space="preserve"> ended October 2, 2021 and September 26, 2020 related to derivatives not qualifying as hedges were included in the operating section of the Condensed Consolidated Statements of Cash Flows and were immaterial. </w:t>
      </w:r>
    </w:p>
    <w:p w:rsidR="00000000" w:rsidRDefault="002B18C2">
      <w:pPr>
        <w:jc w:val="center"/>
        <w:divId w:val="796264281"/>
        <w:rPr>
          <w:rFonts w:eastAsia="Times New Roman"/>
        </w:rPr>
      </w:pPr>
      <w:r>
        <w:rPr>
          <w:rFonts w:eastAsia="Times New Roman"/>
          <w:color w:val="000000"/>
          <w:sz w:val="20"/>
          <w:szCs w:val="20"/>
        </w:rPr>
        <w:t>15</w:t>
      </w:r>
    </w:p>
    <w:p w:rsidR="00000000" w:rsidRDefault="002B18C2">
      <w:pPr>
        <w:rPr>
          <w:rFonts w:eastAsia="Times New Roman"/>
        </w:rPr>
      </w:pPr>
      <w:r>
        <w:rPr>
          <w:rFonts w:eastAsia="Times New Roman"/>
        </w:rPr>
        <w:pict>
          <v:rect id="_x0000_i1039" style="width:0;height:1.5pt" o:hralign="center" o:hrstd="t" o:hr="t" fillcolor="#a0a0a0" stroked="f"/>
        </w:pict>
      </w:r>
    </w:p>
    <w:p w:rsidR="00000000" w:rsidRDefault="002B18C2">
      <w:pPr>
        <w:divId w:val="1057969965"/>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403652570"/>
        <w:rPr>
          <w:rFonts w:eastAsia="Times New Roman"/>
        </w:rPr>
      </w:pPr>
      <w:r>
        <w:rPr>
          <w:rFonts w:eastAsia="Times New Roman"/>
          <w:color w:val="000000"/>
          <w:sz w:val="20"/>
          <w:szCs w:val="20"/>
        </w:rPr>
        <w:t>During the second quarter of 2021, as a result of the partial repayment of the Company’s LIBOR based term-loan debt balances, certain forecasted hedged transactions were deemed not proba</w:t>
      </w:r>
      <w:r>
        <w:rPr>
          <w:rFonts w:eastAsia="Times New Roman"/>
          <w:color w:val="000000"/>
          <w:sz w:val="20"/>
          <w:szCs w:val="20"/>
        </w:rPr>
        <w:t>ble of occurring. The Company subsequently reclassified unrealized losses of $2.5 million from AOCL to interest expense on $115.0 million of interest rate collar notional, during the nine months ended October 2, 2021. As of October 2, 2021, the Company exp</w:t>
      </w:r>
      <w:r>
        <w:rPr>
          <w:rFonts w:eastAsia="Times New Roman"/>
          <w:color w:val="000000"/>
          <w:sz w:val="20"/>
          <w:szCs w:val="20"/>
        </w:rPr>
        <w:t>ects to reclassify approximately $0.9 million of unrealized losses on derivative instruments, net of tax, from Accumulated other comprehensive loss (“AOCL”) into earnings in the next 12 months as the derivative instruments mature. See Note 13. “Accumulated</w:t>
      </w:r>
      <w:r>
        <w:rPr>
          <w:rFonts w:eastAsia="Times New Roman"/>
          <w:color w:val="000000"/>
          <w:sz w:val="20"/>
          <w:szCs w:val="20"/>
        </w:rPr>
        <w:t xml:space="preserve"> Other Comprehensive Loss” for further details.</w:t>
      </w:r>
    </w:p>
    <w:p w:rsidR="00000000" w:rsidRDefault="002B18C2">
      <w:pPr>
        <w:jc w:val="both"/>
        <w:divId w:val="500698830"/>
        <w:rPr>
          <w:rFonts w:eastAsia="Times New Roman"/>
        </w:rPr>
      </w:pPr>
      <w:r>
        <w:rPr>
          <w:rFonts w:eastAsia="Times New Roman"/>
          <w:color w:val="000000"/>
          <w:sz w:val="20"/>
          <w:szCs w:val="20"/>
        </w:rPr>
        <w:t>During the second quarter of 2020, as a result of the partial repayment of the Company’s LIBOR based debt balances, certain forecasted hedged transactions were deemed not probable of occurring. The Company su</w:t>
      </w:r>
      <w:r>
        <w:rPr>
          <w:rFonts w:eastAsia="Times New Roman"/>
          <w:color w:val="000000"/>
          <w:sz w:val="20"/>
          <w:szCs w:val="20"/>
        </w:rPr>
        <w:t>bsequently discontinued hedge accounting on $78.0 million of interest rate swap notional and $58.0 million of interest rate collar notional, reclassifying net unrealized losses of approximately $2.5 million from AOCL to interest expense, net during the nin</w:t>
      </w:r>
      <w:r>
        <w:rPr>
          <w:rFonts w:eastAsia="Times New Roman"/>
          <w:color w:val="000000"/>
          <w:sz w:val="20"/>
          <w:szCs w:val="20"/>
        </w:rPr>
        <w:t>e months ended September 26, 2020. Additionally, due to changes in the interest rates applicable to the Company’s term loan and revolver, the interest rate collar ceased to be a highly effective hedge. Losses on the change in fair value of the interest rat</w:t>
      </w:r>
      <w:r>
        <w:rPr>
          <w:rFonts w:eastAsia="Times New Roman"/>
          <w:color w:val="000000"/>
          <w:sz w:val="20"/>
          <w:szCs w:val="20"/>
        </w:rPr>
        <w:t>e collar of approximately $2.6 million were recorded in interest expense, net during the nine months ended September 26, 2020. Interest expense, net related to derivatives considered to be highly effective hedges for the three and nine months ended Septemb</w:t>
      </w:r>
      <w:r>
        <w:rPr>
          <w:rFonts w:eastAsia="Times New Roman"/>
          <w:color w:val="000000"/>
          <w:sz w:val="20"/>
          <w:szCs w:val="20"/>
        </w:rPr>
        <w:t>er 26, 2020 was $2.0 million and $5.9 million, respectively.</w:t>
      </w:r>
    </w:p>
    <w:p w:rsidR="00000000" w:rsidRDefault="002B18C2">
      <w:pPr>
        <w:jc w:val="both"/>
        <w:divId w:val="179972520"/>
        <w:rPr>
          <w:rFonts w:eastAsia="Times New Roman"/>
        </w:rPr>
      </w:pPr>
    </w:p>
    <w:p w:rsidR="00000000" w:rsidRDefault="002B18C2">
      <w:pPr>
        <w:divId w:val="396781281"/>
        <w:rPr>
          <w:rFonts w:eastAsia="Times New Roman"/>
        </w:rPr>
      </w:pPr>
      <w:r>
        <w:rPr>
          <w:rFonts w:eastAsia="Times New Roman"/>
          <w:b/>
          <w:bCs/>
          <w:color w:val="000000"/>
          <w:sz w:val="20"/>
          <w:szCs w:val="20"/>
        </w:rPr>
        <w:t>6. Stock Incentive Plans</w:t>
      </w:r>
    </w:p>
    <w:p w:rsidR="00000000" w:rsidRDefault="002B18C2">
      <w:pPr>
        <w:jc w:val="both"/>
        <w:divId w:val="1965378905"/>
        <w:rPr>
          <w:rFonts w:eastAsia="Times New Roman"/>
        </w:rPr>
      </w:pPr>
      <w:r>
        <w:rPr>
          <w:rFonts w:eastAsia="Times New Roman"/>
          <w:color w:val="000000"/>
          <w:sz w:val="20"/>
          <w:szCs w:val="20"/>
        </w:rPr>
        <w:t>During the nine months ended October 2, 2021, the Company granted 110,531 stock options, 111,601 performance-based restricted stock units (“PSUs”) and 132,327 time-base</w:t>
      </w:r>
      <w:r>
        <w:rPr>
          <w:rFonts w:eastAsia="Times New Roman"/>
          <w:color w:val="000000"/>
          <w:sz w:val="20"/>
          <w:szCs w:val="20"/>
        </w:rPr>
        <w:t>d restricted stock units (“RSUs”) to eligible employees under the National Vision Holdings, Inc. 2017 Omnibus Incentive Plan (the “2017 Omnibus Incentive Plan”). The time-based options granted in fiscal 2021 vest in three equal annual installments, with on</w:t>
      </w:r>
      <w:r>
        <w:rPr>
          <w:rFonts w:eastAsia="Times New Roman"/>
          <w:color w:val="000000"/>
          <w:sz w:val="20"/>
          <w:szCs w:val="20"/>
        </w:rPr>
        <w:t xml:space="preserve">e-third of the total options vesting on each of the first, second, and third anniversaries of the grant date, subject to continued employment through the applicable vesting date. The PSUs granted in fiscal 2021 are settled after the end of the performance </w:t>
      </w:r>
      <w:r>
        <w:rPr>
          <w:rFonts w:eastAsia="Times New Roman"/>
          <w:color w:val="000000"/>
          <w:sz w:val="20"/>
          <w:szCs w:val="20"/>
        </w:rPr>
        <w:t xml:space="preserve">period (i.e., cliff vesting), which begins on the first day of our 2021 fiscal year and ends on the last day of our 2023 fiscal year, and are based on the Company’s achievement of certain performance targets. The RSUs granted in fiscal 2021 vest primarily </w:t>
      </w:r>
      <w:r>
        <w:rPr>
          <w:rFonts w:eastAsia="Times New Roman"/>
          <w:color w:val="000000"/>
          <w:sz w:val="20"/>
          <w:szCs w:val="20"/>
        </w:rPr>
        <w:t>in three equal installments.</w:t>
      </w:r>
    </w:p>
    <w:p w:rsidR="00000000" w:rsidRDefault="002B18C2">
      <w:pPr>
        <w:jc w:val="both"/>
        <w:divId w:val="1542211280"/>
        <w:rPr>
          <w:rFonts w:eastAsia="Times New Roman"/>
        </w:rPr>
      </w:pPr>
      <w:r>
        <w:rPr>
          <w:rFonts w:eastAsia="Times New Roman"/>
          <w:color w:val="000000"/>
          <w:sz w:val="20"/>
          <w:szCs w:val="20"/>
        </w:rPr>
        <w:t>During the nine months ended October 2, 2021, the Company granted 16,539 restricted stock awards (“RSAs”) to eligible members of the Company’s Board of Directors under the 2017 Omnibus Incentive Plan. The awards vest one year f</w:t>
      </w:r>
      <w:r>
        <w:rPr>
          <w:rFonts w:eastAsia="Times New Roman"/>
          <w:color w:val="000000"/>
          <w:sz w:val="20"/>
          <w:szCs w:val="20"/>
        </w:rPr>
        <w:t>rom the grant date.</w:t>
      </w:r>
    </w:p>
    <w:p w:rsidR="00000000" w:rsidRDefault="002B18C2">
      <w:pPr>
        <w:jc w:val="both"/>
        <w:divId w:val="825975844"/>
        <w:rPr>
          <w:rFonts w:eastAsia="Times New Roman"/>
        </w:rPr>
      </w:pPr>
    </w:p>
    <w:p w:rsidR="00000000" w:rsidRDefault="002B18C2">
      <w:pPr>
        <w:jc w:val="both"/>
        <w:divId w:val="1363552024"/>
        <w:rPr>
          <w:rFonts w:eastAsia="Times New Roman"/>
        </w:rPr>
      </w:pPr>
      <w:r>
        <w:rPr>
          <w:rFonts w:eastAsia="Times New Roman"/>
          <w:b/>
          <w:bCs/>
          <w:color w:val="000000"/>
          <w:sz w:val="20"/>
          <w:szCs w:val="20"/>
        </w:rPr>
        <w:t>7. Revenue From Contracts With Customers</w:t>
      </w:r>
    </w:p>
    <w:p w:rsidR="00000000" w:rsidRDefault="002B18C2">
      <w:pPr>
        <w:jc w:val="both"/>
        <w:divId w:val="1463232838"/>
        <w:rPr>
          <w:rFonts w:eastAsia="Times New Roman"/>
        </w:rPr>
      </w:pPr>
      <w:r>
        <w:rPr>
          <w:rFonts w:eastAsia="Times New Roman"/>
          <w:color w:val="000000"/>
          <w:sz w:val="20"/>
          <w:szCs w:val="20"/>
        </w:rPr>
        <w:t>The majority of our revenues are recognized either at the point of sale or upon delivery and customer acceptance, paid for at the time of sale in cash, credit card, or on account with managed c</w:t>
      </w:r>
      <w:r>
        <w:rPr>
          <w:rFonts w:eastAsia="Times New Roman"/>
          <w:color w:val="000000"/>
          <w:sz w:val="20"/>
          <w:szCs w:val="20"/>
        </w:rPr>
        <w:t>are payors having terms generally between 14 and 120 days, with most paying within 90 days. For sales of in-store non-prescription eyewear and related accessories, and paid eye exams, we recognize revenue at the point of sale. Our point in time revenues in</w:t>
      </w:r>
      <w:r>
        <w:rPr>
          <w:rFonts w:eastAsia="Times New Roman"/>
          <w:color w:val="000000"/>
          <w:sz w:val="20"/>
          <w:szCs w:val="20"/>
        </w:rPr>
        <w:t>clude 1) retail sales of prescription and non-prescription eyewear, contact lenses and related accessories to retail customers (including those covered by managed care), 2) eye exams and 3) wholesale sales of inventory in which our customer is another reta</w:t>
      </w:r>
      <w:r>
        <w:rPr>
          <w:rFonts w:eastAsia="Times New Roman"/>
          <w:color w:val="000000"/>
          <w:sz w:val="20"/>
          <w:szCs w:val="20"/>
        </w:rPr>
        <w:t>il entity. Revenues recognized over time primarily include product protection plans (i.e. warranties), eye care club memberships and management fees earned from our legacy partner.</w:t>
      </w:r>
    </w:p>
    <w:p w:rsidR="00000000" w:rsidRDefault="002B18C2">
      <w:pPr>
        <w:jc w:val="both"/>
        <w:divId w:val="2132435154"/>
        <w:rPr>
          <w:rFonts w:eastAsia="Times New Roman"/>
        </w:rPr>
      </w:pPr>
      <w:r>
        <w:rPr>
          <w:rFonts w:eastAsia="Times New Roman"/>
          <w:color w:val="000000"/>
          <w:sz w:val="20"/>
          <w:szCs w:val="20"/>
        </w:rPr>
        <w:t>The following disaggregation of revenues depicts our revenue based on the t</w:t>
      </w:r>
      <w:r>
        <w:rPr>
          <w:rFonts w:eastAsia="Times New Roman"/>
          <w:color w:val="000000"/>
          <w:sz w:val="20"/>
          <w:szCs w:val="20"/>
        </w:rPr>
        <w:t>iming of revenue recognition: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3006"/>
        <w:gridCol w:w="37"/>
        <w:gridCol w:w="120"/>
        <w:gridCol w:w="1096"/>
        <w:gridCol w:w="36"/>
        <w:gridCol w:w="36"/>
        <w:gridCol w:w="36"/>
        <w:gridCol w:w="36"/>
        <w:gridCol w:w="121"/>
        <w:gridCol w:w="1060"/>
        <w:gridCol w:w="36"/>
        <w:gridCol w:w="36"/>
        <w:gridCol w:w="36"/>
        <w:gridCol w:w="36"/>
        <w:gridCol w:w="120"/>
        <w:gridCol w:w="1060"/>
        <w:gridCol w:w="36"/>
        <w:gridCol w:w="36"/>
        <w:gridCol w:w="36"/>
        <w:gridCol w:w="36"/>
        <w:gridCol w:w="120"/>
        <w:gridCol w:w="1060"/>
        <w:gridCol w:w="36"/>
      </w:tblGrid>
      <w:tr w:rsidR="00000000">
        <w:trPr>
          <w:divId w:val="349070060"/>
        </w:trPr>
        <w:tc>
          <w:tcPr>
            <w:tcW w:w="50" w:type="pct"/>
            <w:vAlign w:val="center"/>
            <w:hideMark/>
          </w:tcPr>
          <w:p w:rsidR="00000000" w:rsidRDefault="002B18C2">
            <w:pPr>
              <w:jc w:val="both"/>
              <w:rPr>
                <w:rFonts w:eastAsia="Times New Roman"/>
              </w:rPr>
            </w:pPr>
          </w:p>
        </w:tc>
        <w:tc>
          <w:tcPr>
            <w:tcW w:w="1844"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9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9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9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9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349070060"/>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2B18C2">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2B18C2">
            <w:pPr>
              <w:spacing w:after="100"/>
              <w:jc w:val="center"/>
              <w:rPr>
                <w:rFonts w:eastAsia="Times New Roman"/>
              </w:rPr>
            </w:pPr>
            <w:r>
              <w:rPr>
                <w:rFonts w:eastAsia="Times New Roman"/>
                <w:color w:val="000000"/>
                <w:sz w:val="20"/>
                <w:szCs w:val="20"/>
              </w:rPr>
              <w:t>Nine Months Ended</w:t>
            </w:r>
          </w:p>
        </w:tc>
      </w:tr>
      <w:tr w:rsidR="00000000">
        <w:trPr>
          <w:divId w:val="349070060"/>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2B18C2">
            <w:pPr>
              <w:spacing w:after="100"/>
              <w:jc w:val="center"/>
              <w:rPr>
                <w:rFonts w:eastAsia="Times New Roman"/>
              </w:rPr>
            </w:pPr>
            <w:r>
              <w:rPr>
                <w:rFonts w:eastAsia="Times New Roman"/>
                <w:color w:val="000000"/>
                <w:sz w:val="20"/>
                <w:szCs w:val="20"/>
              </w:rPr>
              <w:t>September 26, 2020</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2B18C2">
            <w:pPr>
              <w:spacing w:after="100"/>
              <w:jc w:val="center"/>
              <w:rPr>
                <w:rFonts w:eastAsia="Times New Roman"/>
              </w:rPr>
            </w:pPr>
            <w:r>
              <w:rPr>
                <w:rFonts w:eastAsia="Times New Roman"/>
                <w:color w:val="000000"/>
                <w:sz w:val="20"/>
                <w:szCs w:val="20"/>
              </w:rPr>
              <w:t>September 26, 2020</w:t>
            </w:r>
          </w:p>
        </w:tc>
      </w:tr>
      <w:tr w:rsidR="00000000">
        <w:trPr>
          <w:divId w:val="349070060"/>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Revenues recognized at a point in time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473,449 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447,403 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1,471,856 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1,111,118 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349070060"/>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Revenues recognized over time</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44,556 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37,950 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129,818 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103,946 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349070060"/>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xml:space="preserve">Total net revenue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518,005 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485,353 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1,601,674 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1,215,064 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bl>
    <w:p w:rsidR="00000000" w:rsidRDefault="002B18C2">
      <w:pPr>
        <w:jc w:val="center"/>
        <w:divId w:val="376318367"/>
        <w:rPr>
          <w:rFonts w:eastAsia="Times New Roman"/>
        </w:rPr>
      </w:pPr>
      <w:r>
        <w:rPr>
          <w:rFonts w:eastAsia="Times New Roman"/>
          <w:color w:val="000000"/>
          <w:sz w:val="20"/>
          <w:szCs w:val="20"/>
        </w:rPr>
        <w:t>16</w:t>
      </w:r>
    </w:p>
    <w:p w:rsidR="00000000" w:rsidRDefault="002B18C2">
      <w:pPr>
        <w:rPr>
          <w:rFonts w:eastAsia="Times New Roman"/>
        </w:rPr>
      </w:pPr>
      <w:r>
        <w:rPr>
          <w:rFonts w:eastAsia="Times New Roman"/>
        </w:rPr>
        <w:pict>
          <v:rect id="_x0000_i1040" style="width:0;height:1.5pt" o:hralign="center" o:hrstd="t" o:hr="t" fillcolor="#a0a0a0" stroked="f"/>
        </w:pict>
      </w:r>
    </w:p>
    <w:p w:rsidR="00000000" w:rsidRDefault="002B18C2">
      <w:pPr>
        <w:divId w:val="407002605"/>
        <w:rPr>
          <w:rFonts w:eastAsia="Times New Roman"/>
        </w:rPr>
      </w:pPr>
      <w:r>
        <w:rPr>
          <w:rFonts w:eastAsia="Times New Roman"/>
          <w:color w:val="0000FF"/>
          <w:sz w:val="20"/>
          <w:szCs w:val="20"/>
          <w:u w:val="single"/>
        </w:rPr>
        <w:t>Table of contents</w:t>
      </w:r>
    </w:p>
    <w:p w:rsidR="00000000" w:rsidRDefault="002B18C2">
      <w:pPr>
        <w:jc w:val="center"/>
        <w:divId w:val="1824930393"/>
        <w:rPr>
          <w:rFonts w:eastAsia="Times New Roman"/>
        </w:rPr>
      </w:pPr>
    </w:p>
    <w:p w:rsidR="00000000" w:rsidRDefault="002B18C2">
      <w:pPr>
        <w:jc w:val="both"/>
        <w:divId w:val="1990818208"/>
        <w:rPr>
          <w:rFonts w:eastAsia="Times New Roman"/>
        </w:rPr>
      </w:pPr>
      <w:r>
        <w:rPr>
          <w:rFonts w:eastAsia="Times New Roman"/>
          <w:color w:val="000000"/>
          <w:sz w:val="20"/>
          <w:szCs w:val="20"/>
        </w:rPr>
        <w:t>Refer to Note 10. “Segment Reporting” for the Company’s disaggregation of net revenue by repor</w:t>
      </w:r>
      <w:r>
        <w:rPr>
          <w:rFonts w:eastAsia="Times New Roman"/>
          <w:color w:val="000000"/>
          <w:sz w:val="20"/>
          <w:szCs w:val="20"/>
        </w:rPr>
        <w:t>table segment. As the reportable segments are aligned by similar economic factors, trends and customers, the reportable segment disaggregation view best depicts how the nature, amount and uncertainty of revenue and cash flows are affected by economic facto</w:t>
      </w:r>
      <w:r>
        <w:rPr>
          <w:rFonts w:eastAsia="Times New Roman"/>
          <w:color w:val="000000"/>
          <w:sz w:val="20"/>
          <w:szCs w:val="20"/>
        </w:rPr>
        <w:t>rs.</w:t>
      </w:r>
    </w:p>
    <w:p w:rsidR="00000000" w:rsidRDefault="002B18C2">
      <w:pPr>
        <w:jc w:val="both"/>
        <w:divId w:val="747920127"/>
        <w:rPr>
          <w:rFonts w:eastAsia="Times New Roman"/>
        </w:rPr>
      </w:pPr>
      <w:r>
        <w:rPr>
          <w:rFonts w:eastAsia="Times New Roman"/>
          <w:color w:val="000000"/>
          <w:sz w:val="20"/>
          <w:szCs w:val="20"/>
        </w:rPr>
        <w:t>We record reductions in revenue for estimated price concessions granted to managed care providers. The Company considers its revenue from managed care customers to include variable consideration and estimates such amounts associated with managed care c</w:t>
      </w:r>
      <w:r>
        <w:rPr>
          <w:rFonts w:eastAsia="Times New Roman"/>
          <w:color w:val="000000"/>
          <w:sz w:val="20"/>
          <w:szCs w:val="20"/>
        </w:rPr>
        <w:t>ustomer revenues using the history of concessions provided and cash receipts from managed care providers; we reduced our net revenue for variable considerations of $2.4 million and $1.8 million during the three months ended October 2, 2021 and September 26</w:t>
      </w:r>
      <w:r>
        <w:rPr>
          <w:rFonts w:eastAsia="Times New Roman"/>
          <w:color w:val="000000"/>
          <w:sz w:val="20"/>
          <w:szCs w:val="20"/>
        </w:rPr>
        <w:t xml:space="preserve">, 2020, respectively, and $7.0 million and $5.9 million during the nine months ended October 2, 2021 and September 26, 2020, respectively. </w:t>
      </w:r>
    </w:p>
    <w:p w:rsidR="00000000" w:rsidRDefault="002B18C2">
      <w:pPr>
        <w:jc w:val="both"/>
        <w:divId w:val="238490369"/>
        <w:rPr>
          <w:rFonts w:eastAsia="Times New Roman"/>
        </w:rPr>
      </w:pPr>
      <w:r>
        <w:rPr>
          <w:rFonts w:eastAsia="Times New Roman"/>
          <w:i/>
          <w:iCs/>
          <w:color w:val="000000"/>
          <w:sz w:val="20"/>
          <w:szCs w:val="20"/>
        </w:rPr>
        <w:t>Contract Assets and Liabilities</w:t>
      </w:r>
    </w:p>
    <w:p w:rsidR="00000000" w:rsidRDefault="002B18C2">
      <w:pPr>
        <w:jc w:val="both"/>
        <w:divId w:val="717971064"/>
        <w:rPr>
          <w:rFonts w:eastAsia="Times New Roman"/>
        </w:rPr>
      </w:pPr>
      <w:r>
        <w:rPr>
          <w:rFonts w:eastAsia="Times New Roman"/>
          <w:color w:val="000000"/>
          <w:sz w:val="20"/>
          <w:szCs w:val="20"/>
        </w:rPr>
        <w:t>The Company’</w:t>
      </w:r>
      <w:r>
        <w:rPr>
          <w:rFonts w:eastAsia="Times New Roman"/>
          <w:color w:val="000000"/>
          <w:sz w:val="20"/>
          <w:szCs w:val="20"/>
        </w:rPr>
        <w:t>s contract assets and contract liabilities primarily result from timing differences between the performance of our obligations and the customer’s payment.</w:t>
      </w:r>
    </w:p>
    <w:p w:rsidR="00000000" w:rsidRDefault="002B18C2">
      <w:pPr>
        <w:jc w:val="both"/>
        <w:divId w:val="941298138"/>
        <w:rPr>
          <w:rFonts w:eastAsia="Times New Roman"/>
        </w:rPr>
      </w:pPr>
      <w:r>
        <w:rPr>
          <w:rFonts w:eastAsia="Times New Roman"/>
          <w:color w:val="000000"/>
          <w:sz w:val="20"/>
          <w:szCs w:val="20"/>
          <w:u w:val="single"/>
        </w:rPr>
        <w:t>Accounts Receivable</w:t>
      </w:r>
    </w:p>
    <w:p w:rsidR="00000000" w:rsidRDefault="002B18C2">
      <w:pPr>
        <w:jc w:val="both"/>
        <w:divId w:val="1605260762"/>
        <w:rPr>
          <w:rFonts w:eastAsia="Times New Roman"/>
        </w:rPr>
      </w:pPr>
      <w:r>
        <w:rPr>
          <w:rFonts w:eastAsia="Times New Roman"/>
          <w:color w:val="000000"/>
          <w:sz w:val="20"/>
          <w:szCs w:val="20"/>
        </w:rPr>
        <w:t>Credit loss expense recognized on our receivables, which is presented in SG&amp;A exp</w:t>
      </w:r>
      <w:r>
        <w:rPr>
          <w:rFonts w:eastAsia="Times New Roman"/>
          <w:color w:val="000000"/>
          <w:sz w:val="20"/>
          <w:szCs w:val="20"/>
        </w:rPr>
        <w:t>enses in the Company’s condensed consolidated statements of operations, was $0.3 million for the three months ended October 2, 2021 and $0.6 million for the nine months ended October 2, 2021 as compared to $0.1 million and $0.5 million for the three and ni</w:t>
      </w:r>
      <w:r>
        <w:rPr>
          <w:rFonts w:eastAsia="Times New Roman"/>
          <w:color w:val="000000"/>
          <w:sz w:val="20"/>
          <w:szCs w:val="20"/>
        </w:rPr>
        <w:t>ne months ended September 26, 2020, respectively.</w:t>
      </w:r>
    </w:p>
    <w:p w:rsidR="00000000" w:rsidRDefault="002B18C2">
      <w:pPr>
        <w:jc w:val="both"/>
        <w:divId w:val="885064307"/>
        <w:rPr>
          <w:rFonts w:eastAsia="Times New Roman"/>
        </w:rPr>
      </w:pPr>
      <w:r>
        <w:rPr>
          <w:rFonts w:eastAsia="Times New Roman"/>
          <w:color w:val="000000"/>
          <w:sz w:val="20"/>
          <w:szCs w:val="20"/>
          <w:u w:val="single"/>
        </w:rPr>
        <w:t>Unsatisfied Performance Obligations (Contract Liabilities)</w:t>
      </w:r>
    </w:p>
    <w:p w:rsidR="00000000" w:rsidRDefault="002B18C2">
      <w:pPr>
        <w:jc w:val="both"/>
        <w:divId w:val="88309511"/>
        <w:rPr>
          <w:rFonts w:eastAsia="Times New Roman"/>
        </w:rPr>
      </w:pPr>
      <w:r>
        <w:rPr>
          <w:rFonts w:eastAsia="Times New Roman"/>
          <w:color w:val="000000"/>
          <w:sz w:val="20"/>
          <w:szCs w:val="20"/>
        </w:rPr>
        <w:t>We recognized $24.6 million and $50.4 million of deferred revenues outstanding at the beginning of each respective period during the three and nine</w:t>
      </w:r>
      <w:r>
        <w:rPr>
          <w:rFonts w:eastAsia="Times New Roman"/>
          <w:color w:val="000000"/>
          <w:sz w:val="20"/>
          <w:szCs w:val="20"/>
        </w:rPr>
        <w:t xml:space="preserve"> months ended October 2, 2021, respectively, and $9.2 million and $46.5 million of revenues from sale of club memberships and product protection plans during the three and nine months ended October 2, 2021, respectively. We recognized $18.6 million and $48</w:t>
      </w:r>
      <w:r>
        <w:rPr>
          <w:rFonts w:eastAsia="Times New Roman"/>
          <w:color w:val="000000"/>
          <w:sz w:val="20"/>
          <w:szCs w:val="20"/>
        </w:rPr>
        <w:t>.1 million of deferred revenues outstanding at the beginning of each respective period during the three and nine months ended September 26, 2020, respectively, and $9.3 million and $31.9 million of revenues from sale of club memberships and product protect</w:t>
      </w:r>
      <w:r>
        <w:rPr>
          <w:rFonts w:eastAsia="Times New Roman"/>
          <w:color w:val="000000"/>
          <w:sz w:val="20"/>
          <w:szCs w:val="20"/>
        </w:rPr>
        <w:t xml:space="preserve">ion plans during the three and nine months ended September 26, 2020, respectively. </w:t>
      </w:r>
    </w:p>
    <w:p w:rsidR="00000000" w:rsidRDefault="002B18C2">
      <w:pPr>
        <w:jc w:val="both"/>
        <w:divId w:val="1426077656"/>
        <w:rPr>
          <w:rFonts w:eastAsia="Times New Roman"/>
        </w:rPr>
      </w:pPr>
      <w:r>
        <w:rPr>
          <w:rFonts w:eastAsia="Times New Roman"/>
          <w:color w:val="000000"/>
          <w:sz w:val="20"/>
          <w:szCs w:val="20"/>
        </w:rPr>
        <w:t>Our deferred revenue balance as of October 2, 2021 was $92.8 million. We expect future revenue recognition of this balance of $25.2 million, $49.1 million, $14.7 million, $</w:t>
      </w:r>
      <w:r>
        <w:rPr>
          <w:rFonts w:eastAsia="Times New Roman"/>
          <w:color w:val="000000"/>
          <w:sz w:val="20"/>
          <w:szCs w:val="20"/>
        </w:rPr>
        <w:t xml:space="preserve">3.5 million and $0.3 million in fiscal years 2021, 2022, 2023, 2024 and thereafter, respectively. </w:t>
      </w:r>
    </w:p>
    <w:p w:rsidR="00000000" w:rsidRDefault="002B18C2">
      <w:pPr>
        <w:jc w:val="both"/>
        <w:divId w:val="2123449841"/>
        <w:rPr>
          <w:rFonts w:eastAsia="Times New Roman"/>
        </w:rPr>
      </w:pPr>
    </w:p>
    <w:p w:rsidR="00000000" w:rsidRDefault="002B18C2">
      <w:pPr>
        <w:jc w:val="both"/>
        <w:divId w:val="1124537536"/>
        <w:rPr>
          <w:rFonts w:eastAsia="Times New Roman"/>
        </w:rPr>
      </w:pPr>
    </w:p>
    <w:p w:rsidR="00000000" w:rsidRDefault="002B18C2">
      <w:pPr>
        <w:jc w:val="both"/>
        <w:rPr>
          <w:rFonts w:eastAsia="Times New Roman"/>
        </w:rPr>
      </w:pPr>
    </w:p>
    <w:p w:rsidR="00000000" w:rsidRDefault="002B18C2">
      <w:pPr>
        <w:jc w:val="center"/>
        <w:divId w:val="273901372"/>
        <w:rPr>
          <w:rFonts w:eastAsia="Times New Roman"/>
        </w:rPr>
      </w:pPr>
      <w:r>
        <w:rPr>
          <w:rFonts w:eastAsia="Times New Roman"/>
          <w:color w:val="000000"/>
          <w:sz w:val="20"/>
          <w:szCs w:val="20"/>
        </w:rPr>
        <w:t>17</w:t>
      </w:r>
    </w:p>
    <w:p w:rsidR="00000000" w:rsidRDefault="002B18C2">
      <w:pPr>
        <w:rPr>
          <w:rFonts w:eastAsia="Times New Roman"/>
        </w:rPr>
      </w:pPr>
      <w:r>
        <w:rPr>
          <w:rFonts w:eastAsia="Times New Roman"/>
        </w:rPr>
        <w:pict>
          <v:rect id="_x0000_i1041" style="width:0;height:1.5pt" o:hralign="center" o:hrstd="t" o:hr="t" fillcolor="#a0a0a0" stroked="f"/>
        </w:pict>
      </w:r>
    </w:p>
    <w:p w:rsidR="00000000" w:rsidRDefault="002B18C2">
      <w:pPr>
        <w:divId w:val="1703434705"/>
        <w:rPr>
          <w:rFonts w:eastAsia="Times New Roman"/>
        </w:rPr>
      </w:pPr>
      <w:r>
        <w:rPr>
          <w:rFonts w:eastAsia="Times New Roman"/>
          <w:color w:val="0000FF"/>
          <w:sz w:val="20"/>
          <w:szCs w:val="20"/>
          <w:u w:val="single"/>
        </w:rPr>
        <w:t>Table of contents</w:t>
      </w:r>
    </w:p>
    <w:p w:rsidR="00000000" w:rsidRDefault="002B18C2">
      <w:pPr>
        <w:divId w:val="917398277"/>
        <w:rPr>
          <w:rFonts w:eastAsia="Times New Roman"/>
        </w:rPr>
      </w:pPr>
    </w:p>
    <w:p w:rsidR="00000000" w:rsidRDefault="002B18C2">
      <w:pPr>
        <w:jc w:val="both"/>
        <w:rPr>
          <w:rFonts w:eastAsia="Times New Roman"/>
        </w:rPr>
      </w:pPr>
      <w:r>
        <w:rPr>
          <w:rFonts w:eastAsia="Times New Roman"/>
          <w:b/>
          <w:bCs/>
          <w:color w:val="000000"/>
          <w:sz w:val="20"/>
          <w:szCs w:val="20"/>
        </w:rPr>
        <w:t>8. Leases</w:t>
      </w:r>
    </w:p>
    <w:p w:rsidR="00000000" w:rsidRDefault="002B18C2">
      <w:pPr>
        <w:jc w:val="both"/>
        <w:rPr>
          <w:rFonts w:eastAsia="Times New Roman"/>
        </w:rPr>
      </w:pPr>
    </w:p>
    <w:p w:rsidR="00000000" w:rsidRDefault="002B18C2">
      <w:pPr>
        <w:jc w:val="both"/>
        <w:rPr>
          <w:rFonts w:eastAsia="Times New Roman"/>
        </w:rPr>
      </w:pPr>
      <w:r>
        <w:rPr>
          <w:rFonts w:eastAsia="Times New Roman"/>
          <w:color w:val="000000"/>
          <w:sz w:val="20"/>
          <w:szCs w:val="20"/>
        </w:rPr>
        <w:t>Our lease costs for the three months ended October 2, 2021 and September 26, 2020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538"/>
        <w:gridCol w:w="37"/>
        <w:gridCol w:w="120"/>
        <w:gridCol w:w="962"/>
        <w:gridCol w:w="36"/>
        <w:gridCol w:w="36"/>
        <w:gridCol w:w="36"/>
        <w:gridCol w:w="36"/>
        <w:gridCol w:w="121"/>
        <w:gridCol w:w="927"/>
        <w:gridCol w:w="36"/>
        <w:gridCol w:w="36"/>
        <w:gridCol w:w="36"/>
        <w:gridCol w:w="36"/>
        <w:gridCol w:w="120"/>
        <w:gridCol w:w="927"/>
        <w:gridCol w:w="36"/>
        <w:gridCol w:w="36"/>
        <w:gridCol w:w="36"/>
        <w:gridCol w:w="36"/>
        <w:gridCol w:w="121"/>
        <w:gridCol w:w="927"/>
        <w:gridCol w:w="36"/>
      </w:tblGrid>
      <w:tr w:rsidR="00000000">
        <w:trPr>
          <w:divId w:val="559219843"/>
        </w:trPr>
        <w:tc>
          <w:tcPr>
            <w:tcW w:w="50" w:type="pct"/>
            <w:vAlign w:val="center"/>
            <w:hideMark/>
          </w:tcPr>
          <w:p w:rsidR="00000000" w:rsidRDefault="002B18C2">
            <w:pPr>
              <w:jc w:val="both"/>
              <w:rPr>
                <w:rFonts w:eastAsia="Times New Roman"/>
              </w:rPr>
            </w:pPr>
          </w:p>
        </w:tc>
        <w:tc>
          <w:tcPr>
            <w:tcW w:w="2164"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1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1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1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1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559219843"/>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center"/>
            <w:hideMark/>
          </w:tcPr>
          <w:p w:rsidR="00000000" w:rsidRDefault="002B18C2">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center"/>
            <w:hideMark/>
          </w:tcPr>
          <w:p w:rsidR="00000000" w:rsidRDefault="002B18C2">
            <w:pPr>
              <w:spacing w:after="100"/>
              <w:jc w:val="center"/>
              <w:rPr>
                <w:rFonts w:eastAsia="Times New Roman"/>
              </w:rPr>
            </w:pPr>
            <w:r>
              <w:rPr>
                <w:rFonts w:eastAsia="Times New Roman"/>
                <w:color w:val="000000"/>
                <w:sz w:val="20"/>
                <w:szCs w:val="20"/>
              </w:rPr>
              <w:t>Nine Months Ended</w:t>
            </w:r>
          </w:p>
        </w:tc>
      </w:tr>
      <w:tr w:rsidR="00000000">
        <w:trPr>
          <w:divId w:val="559219843"/>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2B18C2">
            <w:pPr>
              <w:spacing w:after="100"/>
              <w:jc w:val="center"/>
              <w:rPr>
                <w:rFonts w:eastAsia="Times New Roman"/>
              </w:rPr>
            </w:pPr>
            <w:r>
              <w:rPr>
                <w:rFonts w:eastAsia="Times New Roman"/>
                <w:color w:val="000000"/>
                <w:sz w:val="20"/>
                <w:szCs w:val="20"/>
              </w:rPr>
              <w:t>September 26, 2020</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2B18C2">
            <w:pPr>
              <w:spacing w:after="100"/>
              <w:jc w:val="center"/>
              <w:rPr>
                <w:rFonts w:eastAsia="Times New Roman"/>
              </w:rPr>
            </w:pPr>
            <w:r>
              <w:rPr>
                <w:rFonts w:eastAsia="Times New Roman"/>
                <w:color w:val="000000"/>
                <w:sz w:val="20"/>
                <w:szCs w:val="20"/>
              </w:rPr>
              <w:t>September 26, 2020</w:t>
            </w:r>
          </w:p>
        </w:tc>
      </w:tr>
      <w:tr w:rsidR="00000000">
        <w:trPr>
          <w:divId w:val="559219843"/>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i/>
                <w:iCs/>
                <w:color w:val="000000"/>
                <w:sz w:val="20"/>
                <w:szCs w:val="20"/>
              </w:rPr>
              <w:t>Operating lease cost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559219843"/>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divId w:val="598224368"/>
              <w:rPr>
                <w:rFonts w:eastAsia="Times New Roman"/>
              </w:rPr>
            </w:pPr>
            <w:r>
              <w:rPr>
                <w:rFonts w:eastAsia="Times New Roman"/>
                <w:color w:val="000000"/>
                <w:sz w:val="20"/>
                <w:szCs w:val="20"/>
              </w:rPr>
              <w:t>Fixed lease cost</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21,035 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19,473 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62,589 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57,885 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59219843"/>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divId w:val="1600287328"/>
              <w:rPr>
                <w:rFonts w:eastAsia="Times New Roman"/>
              </w:rPr>
            </w:pPr>
            <w:r>
              <w:rPr>
                <w:rFonts w:eastAsia="Times New Roman"/>
                <w:color w:val="000000"/>
                <w:sz w:val="20"/>
                <w:szCs w:val="20"/>
              </w:rPr>
              <w:t>Variable lease cost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7,976 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7,203 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22,894 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20,369 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59219843"/>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divId w:val="2133818693"/>
              <w:rPr>
                <w:rFonts w:eastAsia="Times New Roman"/>
              </w:rPr>
            </w:pPr>
            <w:r>
              <w:rPr>
                <w:rFonts w:eastAsia="Times New Roman"/>
                <w:color w:val="000000"/>
                <w:sz w:val="20"/>
                <w:szCs w:val="20"/>
              </w:rPr>
              <w:t>Sublease income</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(866)</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(896)</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(2,695)</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(1,778)</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59219843"/>
          <w:trHeight w:val="300"/>
        </w:trPr>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559219843"/>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i/>
                <w:iCs/>
                <w:color w:val="000000"/>
                <w:sz w:val="20"/>
                <w:szCs w:val="20"/>
              </w:rPr>
              <w:t>Finance lease cost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559219843"/>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Amortization of finance lease assets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1,113 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1,143 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3,349 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3,424 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59219843"/>
          <w:trHeight w:val="300"/>
        </w:trPr>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559219843"/>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i/>
                <w:iCs/>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559219843"/>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Interest on finance lease liabilities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716 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826 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2,239 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2,550 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59219843"/>
          <w:trHeight w:val="300"/>
        </w:trPr>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559219843"/>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Net lease cost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29,974 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27,749 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88,376 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82,450 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59219843"/>
          <w:trHeight w:val="300"/>
        </w:trPr>
        <w:tc>
          <w:tcPr>
            <w:tcW w:w="0" w:type="auto"/>
            <w:gridSpan w:val="3"/>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559219843"/>
        </w:trPr>
        <w:tc>
          <w:tcPr>
            <w:tcW w:w="0" w:type="auto"/>
            <w:gridSpan w:val="24"/>
            <w:tcMar>
              <w:top w:w="30" w:type="dxa"/>
              <w:left w:w="20" w:type="dxa"/>
              <w:bottom w:w="30" w:type="dxa"/>
              <w:right w:w="20" w:type="dxa"/>
            </w:tcMar>
            <w:vAlign w:val="bottom"/>
            <w:hideMark/>
          </w:tcPr>
          <w:p w:rsidR="00000000" w:rsidRDefault="002B18C2">
            <w:pPr>
              <w:spacing w:after="100"/>
              <w:jc w:val="both"/>
              <w:rPr>
                <w:rFonts w:eastAsia="Times New Roman"/>
              </w:rPr>
            </w:pPr>
            <w:r>
              <w:rPr>
                <w:rFonts w:eastAsia="Times New Roman"/>
                <w:color w:val="000000"/>
                <w:sz w:val="16"/>
                <w:szCs w:val="16"/>
              </w:rPr>
              <w:t>(a) Includes short-term leases, which are immaterial.</w:t>
            </w:r>
          </w:p>
        </w:tc>
      </w:tr>
      <w:tr w:rsidR="00000000">
        <w:trPr>
          <w:divId w:val="559219843"/>
        </w:trPr>
        <w:tc>
          <w:tcPr>
            <w:tcW w:w="0" w:type="auto"/>
            <w:gridSpan w:val="24"/>
            <w:tcMar>
              <w:top w:w="30" w:type="dxa"/>
              <w:left w:w="20" w:type="dxa"/>
              <w:bottom w:w="30" w:type="dxa"/>
              <w:right w:w="20" w:type="dxa"/>
            </w:tcMar>
            <w:vAlign w:val="bottom"/>
            <w:hideMark/>
          </w:tcPr>
          <w:p w:rsidR="00000000" w:rsidRDefault="002B18C2">
            <w:pPr>
              <w:spacing w:after="100"/>
              <w:jc w:val="both"/>
              <w:rPr>
                <w:rFonts w:eastAsia="Times New Roman"/>
              </w:rPr>
            </w:pPr>
            <w:r>
              <w:rPr>
                <w:rFonts w:eastAsia="Times New Roman"/>
                <w:color w:val="000000"/>
                <w:sz w:val="16"/>
                <w:szCs w:val="16"/>
              </w:rPr>
              <w:t>(b) Includes costs for insurance, real estate taxes and common area maintenance expenses, which are variable, as are lease costs above minimum thresholds for Fred Meyer stores and lease costs for Military stores.</w:t>
            </w:r>
          </w:p>
        </w:tc>
      </w:tr>
      <w:tr w:rsidR="00000000">
        <w:trPr>
          <w:divId w:val="559219843"/>
        </w:trPr>
        <w:tc>
          <w:tcPr>
            <w:tcW w:w="0" w:type="auto"/>
            <w:gridSpan w:val="24"/>
            <w:tcMar>
              <w:top w:w="30" w:type="dxa"/>
              <w:left w:w="20" w:type="dxa"/>
              <w:bottom w:w="30" w:type="dxa"/>
              <w:right w:w="20" w:type="dxa"/>
            </w:tcMar>
            <w:vAlign w:val="bottom"/>
            <w:hideMark/>
          </w:tcPr>
          <w:p w:rsidR="00000000" w:rsidRDefault="002B18C2">
            <w:pPr>
              <w:spacing w:after="100"/>
              <w:jc w:val="both"/>
              <w:rPr>
                <w:rFonts w:eastAsia="Times New Roman"/>
              </w:rPr>
            </w:pPr>
            <w:r>
              <w:rPr>
                <w:rFonts w:eastAsia="Times New Roman"/>
                <w:color w:val="000000"/>
                <w:sz w:val="16"/>
                <w:szCs w:val="16"/>
              </w:rPr>
              <w:t>(c) Income from sub-leasing of stores includes rental income from leasing space to ophthalmologists and optometrists who are independent contractors.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5498"/>
        <w:gridCol w:w="144"/>
        <w:gridCol w:w="480"/>
        <w:gridCol w:w="1440"/>
        <w:gridCol w:w="1440"/>
        <w:gridCol w:w="144"/>
        <w:gridCol w:w="144"/>
        <w:gridCol w:w="144"/>
        <w:gridCol w:w="144"/>
        <w:gridCol w:w="1199"/>
        <w:gridCol w:w="144"/>
        <w:gridCol w:w="144"/>
        <w:gridCol w:w="144"/>
        <w:gridCol w:w="144"/>
        <w:gridCol w:w="144"/>
        <w:gridCol w:w="1199"/>
        <w:gridCol w:w="144"/>
      </w:tblGrid>
      <w:tr w:rsidR="00000000">
        <w:trPr>
          <w:jc w:val="center"/>
        </w:trPr>
        <w:tc>
          <w:tcPr>
            <w:tcW w:w="50" w:type="pct"/>
            <w:vAlign w:val="center"/>
            <w:hideMark/>
          </w:tcPr>
          <w:p w:rsidR="00000000" w:rsidRDefault="002B18C2">
            <w:pPr>
              <w:rPr>
                <w:rFonts w:eastAsia="Times New Roman"/>
              </w:rPr>
            </w:pPr>
          </w:p>
        </w:tc>
        <w:tc>
          <w:tcPr>
            <w:tcW w:w="331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72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72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Lease Term and Discount Rate</w:t>
            </w:r>
          </w:p>
        </w:tc>
        <w:tc>
          <w:tcPr>
            <w:tcW w:w="0" w:type="auto"/>
            <w:vAlign w:val="center"/>
            <w:hideMark/>
          </w:tcPr>
          <w:p w:rsidR="00000000" w:rsidRDefault="002B18C2">
            <w:pPr>
              <w:spacing w:after="100"/>
              <w:rPr>
                <w:rFonts w:eastAsia="Times New Roman"/>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October 2, 2021</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r>
            <w:r>
              <w:rPr>
                <w:rFonts w:eastAsia="Times New Roman"/>
                <w:color w:val="000000"/>
                <w:sz w:val="20"/>
                <w:szCs w:val="20"/>
              </w:rPr>
              <w:t>January 2, 2021</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Weighted average remaining lease term (months)</w:t>
            </w:r>
          </w:p>
        </w:tc>
        <w:tc>
          <w:tcPr>
            <w:tcW w:w="0" w:type="auto"/>
            <w:vAlign w:val="center"/>
            <w:hideMark/>
          </w:tcPr>
          <w:p w:rsidR="00000000" w:rsidRDefault="002B18C2">
            <w:pPr>
              <w:spacing w:after="100"/>
              <w:rPr>
                <w:rFonts w:eastAsia="Times New Roman"/>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Operating leases</w:t>
            </w:r>
          </w:p>
        </w:tc>
        <w:tc>
          <w:tcPr>
            <w:tcW w:w="0" w:type="auto"/>
            <w:vAlign w:val="center"/>
            <w:hideMark/>
          </w:tcPr>
          <w:p w:rsidR="00000000" w:rsidRDefault="002B18C2">
            <w:pPr>
              <w:spacing w:after="100"/>
              <w:rPr>
                <w:rFonts w:eastAsia="Times New Roman"/>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77</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77</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Finance leases</w:t>
            </w:r>
          </w:p>
        </w:tc>
        <w:tc>
          <w:tcPr>
            <w:tcW w:w="0" w:type="auto"/>
            <w:vAlign w:val="center"/>
            <w:hideMark/>
          </w:tcPr>
          <w:p w:rsidR="00000000" w:rsidRDefault="002B18C2">
            <w:pPr>
              <w:spacing w:after="100"/>
              <w:rPr>
                <w:rFonts w:eastAsia="Times New Roman"/>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74</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79</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divId w:val="836309425"/>
              <w:rPr>
                <w:rFonts w:eastAsia="Times New Roman"/>
              </w:rPr>
            </w:pPr>
            <w:r>
              <w:rPr>
                <w:rFonts w:eastAsia="Times New Roman"/>
                <w:i/>
                <w:iCs/>
                <w:color w:val="000000"/>
                <w:sz w:val="20"/>
                <w:szCs w:val="20"/>
              </w:rPr>
              <w:t>Weighted average discount rate</w:t>
            </w:r>
            <w:r>
              <w:rPr>
                <w:rFonts w:eastAsia="Times New Roman"/>
                <w:i/>
                <w:iCs/>
                <w:color w:val="000000"/>
                <w:sz w:val="20"/>
                <w:szCs w:val="20"/>
              </w:rPr>
              <w:t xml:space="preserve"> </w:t>
            </w:r>
            <w:r>
              <w:rPr>
                <w:rFonts w:eastAsia="Times New Roman"/>
                <w:i/>
                <w:iCs/>
                <w:color w:val="000000"/>
                <w:sz w:val="13"/>
                <w:szCs w:val="13"/>
              </w:rPr>
              <w:t>(a</w:t>
            </w:r>
            <w:r>
              <w:rPr>
                <w:rFonts w:eastAsia="Times New Roman"/>
                <w:i/>
                <w:iCs/>
                <w:color w:val="000000"/>
                <w:sz w:val="13"/>
                <w:szCs w:val="13"/>
              </w:rPr>
              <w:t>)</w:t>
            </w:r>
          </w:p>
        </w:tc>
        <w:tc>
          <w:tcPr>
            <w:tcW w:w="0" w:type="auto"/>
            <w:vAlign w:val="center"/>
            <w:hideMark/>
          </w:tcPr>
          <w:p w:rsidR="00000000" w:rsidRDefault="002B18C2">
            <w:pPr>
              <w:spacing w:after="100"/>
              <w:rPr>
                <w:rFonts w:eastAsia="Times New Roman"/>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Operating leases</w:t>
            </w:r>
          </w:p>
        </w:tc>
        <w:tc>
          <w:tcPr>
            <w:tcW w:w="0" w:type="auto"/>
            <w:vAlign w:val="center"/>
            <w:hideMark/>
          </w:tcPr>
          <w:p w:rsidR="00000000" w:rsidRDefault="002B18C2">
            <w:pPr>
              <w:spacing w:after="100"/>
              <w:rPr>
                <w:rFonts w:eastAsia="Times New Roman"/>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divId w:val="1314022275"/>
              <w:rPr>
                <w:rFonts w:eastAsia="Times New Roman"/>
              </w:rPr>
            </w:pPr>
            <w:r>
              <w:rPr>
                <w:rFonts w:eastAsia="Times New Roman"/>
                <w:color w:val="000000"/>
                <w:sz w:val="20"/>
                <w:szCs w:val="20"/>
              </w:rPr>
              <w:t>Finance leases</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vAlign w:val="center"/>
            <w:hideMark/>
          </w:tcPr>
          <w:p w:rsidR="00000000" w:rsidRDefault="002B18C2">
            <w:pPr>
              <w:spacing w:after="100"/>
              <w:rPr>
                <w:rFonts w:eastAsia="Times New Roman"/>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2B18C2">
            <w:pPr>
              <w:spacing w:after="100"/>
              <w:divId w:val="1327057187"/>
              <w:rPr>
                <w:rFonts w:eastAsia="Times New Roman"/>
              </w:rPr>
            </w:pPr>
            <w:r>
              <w:rPr>
                <w:rFonts w:eastAsia="Times New Roman"/>
                <w:color w:val="000000"/>
                <w:sz w:val="16"/>
                <w:szCs w:val="16"/>
              </w:rPr>
              <w:t>(a) The discount rate used to determine the lease assets and lease liabilities was derived upon considering (i) incremental borrowing rates on our term loan and revolving credit facility; (ii) fixed rates on interest rate swaps; (iii) LIBOR margins for iss</w:t>
            </w:r>
            <w:r>
              <w:rPr>
                <w:rFonts w:eastAsia="Times New Roman"/>
                <w:color w:val="000000"/>
                <w:sz w:val="16"/>
                <w:szCs w:val="16"/>
              </w:rPr>
              <w:t>uers of similar credit rating; and (iv) effect of collateralization. As a majority of our leases are</w:t>
            </w:r>
            <w:r>
              <w:rPr>
                <w:rFonts w:eastAsia="Times New Roman"/>
                <w:color w:val="000000"/>
                <w:sz w:val="16"/>
                <w:szCs w:val="16"/>
              </w:rPr>
              <w:t xml:space="preserve"> </w:t>
            </w:r>
            <w:r>
              <w:rPr>
                <w:rFonts w:eastAsia="Times New Roman"/>
                <w:color w:val="000000"/>
                <w:sz w:val="16"/>
                <w:szCs w:val="16"/>
              </w:rPr>
              <w:t>fiv</w:t>
            </w:r>
            <w:r>
              <w:rPr>
                <w:rFonts w:eastAsia="Times New Roman"/>
                <w:color w:val="000000"/>
                <w:sz w:val="16"/>
                <w:szCs w:val="16"/>
              </w:rPr>
              <w:t>e</w:t>
            </w:r>
            <w:r>
              <w:rPr>
                <w:rFonts w:eastAsia="Times New Roman"/>
                <w:color w:val="000000"/>
                <w:sz w:val="16"/>
                <w:szCs w:val="16"/>
              </w:rPr>
              <w:t>-year and 10-year leases, we determined a lease discount rate for such tenors and determined this discount rate is reasonable for leases that were ente</w:t>
            </w:r>
            <w:r>
              <w:rPr>
                <w:rFonts w:eastAsia="Times New Roman"/>
                <w:color w:val="000000"/>
                <w:sz w:val="16"/>
                <w:szCs w:val="16"/>
              </w:rPr>
              <w:t>red into during the period.</w:t>
            </w: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2B18C2">
            <w:pPr>
              <w:spacing w:after="100"/>
              <w:divId w:val="1440026065"/>
              <w:rPr>
                <w:rFonts w:eastAsia="Times New Roman"/>
              </w:rPr>
            </w:pPr>
            <w:r>
              <w:rPr>
                <w:rFonts w:eastAsia="Times New Roman"/>
                <w:color w:val="000000"/>
                <w:sz w:val="16"/>
                <w:szCs w:val="16"/>
              </w:rPr>
              <w:t xml:space="preserve">(b) The discount rate on finance leases is higher than operating leases because the present value of minimum lease payments was higher than the fair value of leased properties for certain leases entered into prior to adoption of ASC 842. The discount rate </w:t>
            </w:r>
            <w:r>
              <w:rPr>
                <w:rFonts w:eastAsia="Times New Roman"/>
                <w:color w:val="000000"/>
                <w:sz w:val="16"/>
                <w:szCs w:val="16"/>
              </w:rPr>
              <w:t>differential for those leases is not material to our results of operations.</w:t>
            </w: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r>
    </w:tbl>
    <w:p w:rsidR="00000000" w:rsidRDefault="002B18C2">
      <w:pPr>
        <w:jc w:val="center"/>
        <w:divId w:val="818569731"/>
        <w:rPr>
          <w:rFonts w:eastAsia="Times New Roman"/>
          <w:vanish/>
        </w:rPr>
      </w:pPr>
    </w:p>
    <w:tbl>
      <w:tblPr>
        <w:tblW w:w="4959" w:type="pct"/>
        <w:jc w:val="center"/>
        <w:tblCellMar>
          <w:top w:w="15" w:type="dxa"/>
          <w:left w:w="15" w:type="dxa"/>
          <w:bottom w:w="15" w:type="dxa"/>
          <w:right w:w="15" w:type="dxa"/>
        </w:tblCellMar>
        <w:tblLook w:val="04A0" w:firstRow="1" w:lastRow="0" w:firstColumn="1" w:lastColumn="0" w:noHBand="0" w:noVBand="1"/>
      </w:tblPr>
      <w:tblGrid>
        <w:gridCol w:w="38"/>
        <w:gridCol w:w="4927"/>
        <w:gridCol w:w="36"/>
        <w:gridCol w:w="36"/>
        <w:gridCol w:w="685"/>
        <w:gridCol w:w="46"/>
        <w:gridCol w:w="36"/>
        <w:gridCol w:w="36"/>
        <w:gridCol w:w="36"/>
        <w:gridCol w:w="121"/>
        <w:gridCol w:w="940"/>
        <w:gridCol w:w="36"/>
        <w:gridCol w:w="36"/>
        <w:gridCol w:w="36"/>
        <w:gridCol w:w="36"/>
        <w:gridCol w:w="120"/>
        <w:gridCol w:w="1001"/>
        <w:gridCol w:w="36"/>
      </w:tblGrid>
      <w:tr w:rsidR="00000000">
        <w:trPr>
          <w:divId w:val="818569731"/>
          <w:jc w:val="center"/>
        </w:trPr>
        <w:tc>
          <w:tcPr>
            <w:tcW w:w="50" w:type="pct"/>
            <w:vAlign w:val="center"/>
            <w:hideMark/>
          </w:tcPr>
          <w:p w:rsidR="00000000" w:rsidRDefault="002B18C2">
            <w:pPr>
              <w:jc w:val="center"/>
              <w:rPr>
                <w:rFonts w:eastAsia="Times New Roman"/>
              </w:rPr>
            </w:pPr>
          </w:p>
        </w:tc>
        <w:tc>
          <w:tcPr>
            <w:tcW w:w="3337"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88"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728"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818569731"/>
          <w:trHeight w:val="300"/>
          <w:jc w:val="center"/>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w:t>
            </w:r>
          </w:p>
        </w:tc>
        <w:tc>
          <w:tcPr>
            <w:tcW w:w="0" w:type="auto"/>
            <w:vAlign w:val="center"/>
            <w:hideMark/>
          </w:tcPr>
          <w:p w:rsidR="00000000" w:rsidRDefault="002B18C2">
            <w:pPr>
              <w:spacing w:after="100"/>
              <w:rPr>
                <w:rFonts w:eastAsia="Times New Roman"/>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gridSpan w:val="3"/>
            <w:vMerge w:val="restart"/>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Nine Months Ended</w:t>
            </w:r>
          </w:p>
        </w:tc>
      </w:tr>
      <w:tr w:rsidR="00000000">
        <w:trPr>
          <w:divId w:val="818569731"/>
          <w:trHeight w:val="480"/>
          <w:jc w:val="center"/>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 xml:space="preserve">Other Information </w:t>
            </w:r>
          </w:p>
        </w:tc>
        <w:tc>
          <w:tcPr>
            <w:tcW w:w="0" w:type="auto"/>
            <w:vAlign w:val="center"/>
            <w:hideMark/>
          </w:tcPr>
          <w:p w:rsidR="00000000" w:rsidRDefault="002B18C2">
            <w:pPr>
              <w:spacing w:after="100"/>
              <w:rPr>
                <w:rFonts w:eastAsia="Times New Roman"/>
              </w:rPr>
            </w:pPr>
          </w:p>
        </w:tc>
        <w:tc>
          <w:tcPr>
            <w:tcW w:w="0" w:type="auto"/>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vMerge/>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September 26, 2020</w:t>
            </w: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r>
      <w:tr w:rsidR="00000000">
        <w:trPr>
          <w:divId w:val="818569731"/>
          <w:jc w:val="center"/>
        </w:trPr>
        <w:tc>
          <w:tcPr>
            <w:tcW w:w="0" w:type="auto"/>
            <w:gridSpan w:val="3"/>
            <w:vAlign w:val="center"/>
            <w:hideMark/>
          </w:tcPr>
          <w:p w:rsidR="00000000" w:rsidRDefault="002B18C2">
            <w:pPr>
              <w:spacing w:after="100"/>
              <w:jc w:val="center"/>
              <w:rPr>
                <w:rFonts w:eastAsia="Times New Roman"/>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r>
      <w:tr w:rsidR="00000000">
        <w:trPr>
          <w:divId w:val="818569731"/>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Operating cash outflows - operating leases</w:t>
            </w:r>
          </w:p>
        </w:tc>
        <w:tc>
          <w:tcPr>
            <w:tcW w:w="0" w:type="auto"/>
            <w:vAlign w:val="center"/>
            <w:hideMark/>
          </w:tcPr>
          <w:p w:rsidR="00000000" w:rsidRDefault="002B18C2">
            <w:pPr>
              <w:spacing w:after="100"/>
              <w:rPr>
                <w:rFonts w:eastAsia="Times New Roman"/>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66,358 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53,816 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818569731"/>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Right of use assets acquired under finance leases</w:t>
            </w:r>
          </w:p>
        </w:tc>
        <w:tc>
          <w:tcPr>
            <w:tcW w:w="0" w:type="auto"/>
            <w:vAlign w:val="center"/>
            <w:hideMark/>
          </w:tcPr>
          <w:p w:rsidR="00000000" w:rsidRDefault="002B18C2">
            <w:pPr>
              <w:spacing w:after="100"/>
              <w:rPr>
                <w:rFonts w:eastAsia="Times New Roman"/>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1,257 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818569731"/>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Right of use assets acquired under operating leases</w:t>
            </w:r>
          </w:p>
        </w:tc>
        <w:tc>
          <w:tcPr>
            <w:tcW w:w="0" w:type="auto"/>
            <w:vAlign w:val="center"/>
            <w:hideMark/>
          </w:tcPr>
          <w:p w:rsidR="00000000" w:rsidRDefault="002B18C2">
            <w:pPr>
              <w:spacing w:after="100"/>
              <w:rPr>
                <w:rFonts w:eastAsia="Times New Roman"/>
              </w:rPr>
            </w:pPr>
          </w:p>
        </w:tc>
        <w:tc>
          <w:tcPr>
            <w:tcW w:w="0" w:type="auto"/>
            <w:vAlign w:val="center"/>
            <w:hideMark/>
          </w:tcPr>
          <w:p w:rsidR="00000000" w:rsidRDefault="002B18C2">
            <w:pPr>
              <w:spacing w:after="100"/>
              <w:rPr>
                <w:rFonts w:eastAsia="Times New Roman"/>
                <w:sz w:val="20"/>
                <w:szCs w:val="20"/>
              </w:rPr>
            </w:pPr>
          </w:p>
        </w:tc>
        <w:tc>
          <w:tcPr>
            <w:tcW w:w="0" w:type="auto"/>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64,260 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45,154 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bl>
    <w:p w:rsidR="00000000" w:rsidRDefault="002B18C2">
      <w:pPr>
        <w:jc w:val="center"/>
        <w:divId w:val="1104230684"/>
        <w:rPr>
          <w:rFonts w:eastAsia="Times New Roman"/>
        </w:rPr>
      </w:pPr>
      <w:r>
        <w:rPr>
          <w:rFonts w:eastAsia="Times New Roman"/>
          <w:color w:val="000000"/>
          <w:sz w:val="20"/>
          <w:szCs w:val="20"/>
        </w:rPr>
        <w:t>18</w:t>
      </w:r>
    </w:p>
    <w:p w:rsidR="00000000" w:rsidRDefault="002B18C2">
      <w:pPr>
        <w:rPr>
          <w:rFonts w:eastAsia="Times New Roman"/>
        </w:rPr>
      </w:pPr>
      <w:r>
        <w:rPr>
          <w:rFonts w:eastAsia="Times New Roman"/>
        </w:rPr>
        <w:pict>
          <v:rect id="_x0000_i1042" style="width:0;height:1.5pt" o:hralign="center" o:hrstd="t" o:hr="t" fillcolor="#a0a0a0" stroked="f"/>
        </w:pict>
      </w:r>
    </w:p>
    <w:p w:rsidR="00000000" w:rsidRDefault="002B18C2">
      <w:pPr>
        <w:divId w:val="33770724"/>
        <w:rPr>
          <w:rFonts w:eastAsia="Times New Roman"/>
        </w:rPr>
      </w:pPr>
      <w:r>
        <w:rPr>
          <w:rFonts w:eastAsia="Times New Roman"/>
          <w:color w:val="0000FF"/>
          <w:sz w:val="20"/>
          <w:szCs w:val="20"/>
          <w:u w:val="single"/>
        </w:rPr>
        <w:t>Table of contents</w:t>
      </w:r>
    </w:p>
    <w:p w:rsidR="00000000" w:rsidRDefault="002B18C2">
      <w:pPr>
        <w:jc w:val="center"/>
        <w:divId w:val="1867866737"/>
        <w:rPr>
          <w:rFonts w:eastAsia="Times New Roman"/>
        </w:rPr>
      </w:pPr>
    </w:p>
    <w:p w:rsidR="00000000" w:rsidRDefault="002B18C2">
      <w:pPr>
        <w:divId w:val="1089810826"/>
        <w:rPr>
          <w:rFonts w:eastAsia="Times New Roman"/>
        </w:rPr>
      </w:pPr>
      <w:r>
        <w:rPr>
          <w:rFonts w:eastAsia="Times New Roman"/>
          <w:color w:val="000000"/>
          <w:sz w:val="20"/>
          <w:szCs w:val="20"/>
        </w:rPr>
        <w:t>The following table summarizes the maturity of our lease liabilities as of October 2, 2021:</w:t>
      </w:r>
    </w:p>
    <w:tbl>
      <w:tblPr>
        <w:tblW w:w="4991" w:type="pct"/>
        <w:tblCellMar>
          <w:top w:w="15" w:type="dxa"/>
          <w:left w:w="15" w:type="dxa"/>
          <w:bottom w:w="15" w:type="dxa"/>
          <w:right w:w="15" w:type="dxa"/>
        </w:tblCellMar>
        <w:tblLook w:val="04A0" w:firstRow="1" w:lastRow="0" w:firstColumn="1" w:lastColumn="0" w:noHBand="0" w:noVBand="1"/>
      </w:tblPr>
      <w:tblGrid>
        <w:gridCol w:w="38"/>
        <w:gridCol w:w="4482"/>
        <w:gridCol w:w="36"/>
        <w:gridCol w:w="36"/>
        <w:gridCol w:w="36"/>
        <w:gridCol w:w="36"/>
        <w:gridCol w:w="120"/>
        <w:gridCol w:w="1603"/>
        <w:gridCol w:w="36"/>
        <w:gridCol w:w="36"/>
        <w:gridCol w:w="36"/>
        <w:gridCol w:w="36"/>
        <w:gridCol w:w="120"/>
        <w:gridCol w:w="1604"/>
        <w:gridCol w:w="36"/>
      </w:tblGrid>
      <w:tr w:rsidR="00000000">
        <w:trPr>
          <w:divId w:val="531262387"/>
        </w:trPr>
        <w:tc>
          <w:tcPr>
            <w:tcW w:w="50" w:type="pct"/>
            <w:vAlign w:val="center"/>
            <w:hideMark/>
          </w:tcPr>
          <w:p w:rsidR="00000000" w:rsidRDefault="002B18C2">
            <w:pPr>
              <w:rPr>
                <w:rFonts w:eastAsia="Times New Roman"/>
              </w:rPr>
            </w:pPr>
          </w:p>
        </w:tc>
        <w:tc>
          <w:tcPr>
            <w:tcW w:w="2729"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101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101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531262387"/>
          <w:trHeight w:val="300"/>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w:t>
            </w:r>
          </w:p>
        </w:tc>
        <w:tc>
          <w:tcPr>
            <w:tcW w:w="0" w:type="auto"/>
            <w:gridSpan w:val="3"/>
            <w:vMerge w:val="restart"/>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Operating Leases</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vMerge w:val="restart"/>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Finance Lease</w:t>
            </w:r>
            <w:r>
              <w:rPr>
                <w:rFonts w:eastAsia="Times New Roman"/>
                <w:color w:val="000000"/>
                <w:sz w:val="20"/>
                <w:szCs w:val="20"/>
              </w:rPr>
              <w:t>s</w:t>
            </w:r>
            <w:r>
              <w:rPr>
                <w:rFonts w:eastAsia="Times New Roman"/>
                <w:color w:val="000000"/>
                <w:sz w:val="13"/>
                <w:szCs w:val="13"/>
              </w:rPr>
              <w:t xml:space="preserve"> (b</w:t>
            </w:r>
            <w:r>
              <w:rPr>
                <w:rFonts w:eastAsia="Times New Roman"/>
                <w:color w:val="000000"/>
                <w:sz w:val="13"/>
                <w:szCs w:val="13"/>
              </w:rPr>
              <w:t>)</w:t>
            </w:r>
          </w:p>
        </w:tc>
      </w:tr>
      <w:tr w:rsidR="00000000">
        <w:trPr>
          <w:divId w:val="531262387"/>
          <w:trHeight w:val="280"/>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 xml:space="preserve">Fiscal Year </w:t>
            </w:r>
          </w:p>
        </w:tc>
        <w:tc>
          <w:tcPr>
            <w:tcW w:w="0" w:type="auto"/>
            <w:gridSpan w:val="3"/>
            <w:vMerge/>
            <w:vAlign w:val="center"/>
            <w:hideMark/>
          </w:tcPr>
          <w:p w:rsidR="00000000" w:rsidRDefault="002B18C2">
            <w:pPr>
              <w:spacing w:after="100"/>
              <w:rPr>
                <w:rFonts w:eastAsia="Times New Roman"/>
              </w:rPr>
            </w:pPr>
          </w:p>
        </w:tc>
        <w:tc>
          <w:tcPr>
            <w:tcW w:w="0" w:type="auto"/>
            <w:gridSpan w:val="3"/>
            <w:vMerge/>
            <w:vAlign w:val="center"/>
            <w:hideMark/>
          </w:tcPr>
          <w:p w:rsidR="00000000" w:rsidRDefault="002B18C2">
            <w:pPr>
              <w:spacing w:after="100"/>
              <w:rPr>
                <w:rFonts w:eastAsia="Times New Roman"/>
              </w:rPr>
            </w:pPr>
          </w:p>
        </w:tc>
        <w:tc>
          <w:tcPr>
            <w:tcW w:w="0" w:type="auto"/>
            <w:gridSpan w:val="3"/>
            <w:vMerge/>
            <w:vAlign w:val="center"/>
            <w:hideMark/>
          </w:tcPr>
          <w:p w:rsidR="00000000" w:rsidRDefault="002B18C2">
            <w:pPr>
              <w:spacing w:after="100"/>
              <w:rPr>
                <w:rFonts w:eastAsia="Times New Roman"/>
              </w:rPr>
            </w:pPr>
          </w:p>
        </w:tc>
        <w:tc>
          <w:tcPr>
            <w:tcW w:w="0" w:type="auto"/>
            <w:gridSpan w:val="3"/>
            <w:vMerge/>
            <w:vAlign w:val="center"/>
            <w:hideMark/>
          </w:tcPr>
          <w:p w:rsidR="00000000" w:rsidRDefault="002B18C2">
            <w:pPr>
              <w:spacing w:after="100"/>
              <w:rPr>
                <w:rFonts w:eastAsia="Times New Roman"/>
              </w:rPr>
            </w:pPr>
          </w:p>
        </w:tc>
      </w:tr>
      <w:tr w:rsidR="00000000">
        <w:trPr>
          <w:divId w:val="53126238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16,190 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31262387"/>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2022</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80,102 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6,635 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31262387"/>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79,713 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6,252 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31262387"/>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2024</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68,844 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4,753 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31262387"/>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63,581 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4,913 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31262387"/>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146,019 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11,399 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31262387"/>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454,449 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35,772 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31262387"/>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Less: Interest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63,209 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8,260 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31262387"/>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divId w:val="223491432"/>
              <w:rPr>
                <w:rFonts w:eastAsia="Times New Roman"/>
              </w:rPr>
            </w:pPr>
            <w:r>
              <w:rPr>
                <w:rFonts w:eastAsia="Times New Roman"/>
                <w:color w:val="000000"/>
                <w:sz w:val="20"/>
                <w:szCs w:val="20"/>
              </w:rPr>
              <w:t>Present value of lease liabilities</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391,240 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27,512 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531262387"/>
          <w:trHeight w:val="160"/>
        </w:trPr>
        <w:tc>
          <w:tcPr>
            <w:tcW w:w="0" w:type="auto"/>
            <w:gridSpan w:val="3"/>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531262387"/>
        </w:trPr>
        <w:tc>
          <w:tcPr>
            <w:tcW w:w="0" w:type="auto"/>
            <w:gridSpan w:val="15"/>
            <w:tcMar>
              <w:top w:w="30" w:type="dxa"/>
              <w:left w:w="20" w:type="dxa"/>
              <w:bottom w:w="30" w:type="dxa"/>
              <w:right w:w="20" w:type="dxa"/>
            </w:tcMar>
            <w:vAlign w:val="bottom"/>
            <w:hideMark/>
          </w:tcPr>
          <w:p w:rsidR="00000000" w:rsidRDefault="002B18C2">
            <w:pPr>
              <w:spacing w:after="100"/>
              <w:divId w:val="1965039042"/>
              <w:rPr>
                <w:rFonts w:eastAsia="Times New Roman"/>
              </w:rPr>
            </w:pPr>
            <w:r>
              <w:rPr>
                <w:rFonts w:eastAsia="Times New Roman"/>
                <w:color w:val="000000"/>
                <w:sz w:val="16"/>
                <w:szCs w:val="16"/>
              </w:rPr>
              <w:t>(a) Operating lease payments include $50.1 million </w:t>
            </w:r>
            <w:r>
              <w:rPr>
                <w:rFonts w:eastAsia="Times New Roman"/>
                <w:color w:val="000000"/>
                <w:sz w:val="16"/>
                <w:szCs w:val="16"/>
              </w:rPr>
              <w:t>related to options to extend lease terms that are reasonably certain of being exercised.</w:t>
            </w:r>
          </w:p>
        </w:tc>
      </w:tr>
      <w:tr w:rsidR="00000000">
        <w:trPr>
          <w:divId w:val="531262387"/>
        </w:trPr>
        <w:tc>
          <w:tcPr>
            <w:tcW w:w="0" w:type="auto"/>
            <w:gridSpan w:val="15"/>
            <w:tcMar>
              <w:top w:w="30" w:type="dxa"/>
              <w:left w:w="20" w:type="dxa"/>
              <w:bottom w:w="30" w:type="dxa"/>
              <w:right w:w="20" w:type="dxa"/>
            </w:tcMar>
            <w:vAlign w:val="bottom"/>
            <w:hideMark/>
          </w:tcPr>
          <w:p w:rsidR="00000000" w:rsidRDefault="002B18C2">
            <w:pPr>
              <w:spacing w:after="100"/>
              <w:divId w:val="1021391819"/>
              <w:rPr>
                <w:rFonts w:eastAsia="Times New Roman"/>
              </w:rPr>
            </w:pPr>
            <w:r>
              <w:rPr>
                <w:rFonts w:eastAsia="Times New Roman"/>
                <w:color w:val="000000"/>
                <w:sz w:val="16"/>
                <w:szCs w:val="16"/>
              </w:rPr>
              <w:t xml:space="preserve">(b) Finance lease payments include $1.7 </w:t>
            </w:r>
            <w:r>
              <w:rPr>
                <w:rFonts w:eastAsia="Times New Roman"/>
                <w:color w:val="000000"/>
                <w:sz w:val="16"/>
                <w:szCs w:val="16"/>
              </w:rPr>
              <w:t>million related to options to extend lease terms that are reasonably certain of being exercised.</w:t>
            </w:r>
          </w:p>
        </w:tc>
      </w:tr>
      <w:tr w:rsidR="00000000">
        <w:trPr>
          <w:divId w:val="531262387"/>
        </w:trPr>
        <w:tc>
          <w:tcPr>
            <w:tcW w:w="0" w:type="auto"/>
            <w:gridSpan w:val="15"/>
            <w:tcMar>
              <w:top w:w="30" w:type="dxa"/>
              <w:left w:w="20" w:type="dxa"/>
              <w:bottom w:w="30" w:type="dxa"/>
              <w:right w:w="20" w:type="dxa"/>
            </w:tcMar>
            <w:vAlign w:val="bottom"/>
            <w:hideMark/>
          </w:tcPr>
          <w:p w:rsidR="00000000" w:rsidRDefault="002B18C2">
            <w:pPr>
              <w:spacing w:after="100"/>
              <w:divId w:val="38093402"/>
              <w:rPr>
                <w:rFonts w:eastAsia="Times New Roman"/>
              </w:rPr>
            </w:pPr>
            <w:r>
              <w:rPr>
                <w:rFonts w:eastAsia="Times New Roman"/>
                <w:color w:val="000000"/>
                <w:sz w:val="16"/>
                <w:szCs w:val="16"/>
              </w:rPr>
              <w:t xml:space="preserve">(c) The present value of lease liabilities excludes $30.2 </w:t>
            </w:r>
            <w:r>
              <w:rPr>
                <w:rFonts w:eastAsia="Times New Roman"/>
                <w:color w:val="000000"/>
                <w:sz w:val="16"/>
                <w:szCs w:val="16"/>
              </w:rPr>
              <w:t>million of legally binding minimum lease payments for leases signed but not yet commenced.</w:t>
            </w:r>
          </w:p>
        </w:tc>
      </w:tr>
    </w:tbl>
    <w:p w:rsidR="00000000" w:rsidRDefault="002B18C2">
      <w:pPr>
        <w:divId w:val="1277758545"/>
        <w:rPr>
          <w:rFonts w:eastAsia="Times New Roman"/>
        </w:rPr>
      </w:pPr>
    </w:p>
    <w:p w:rsidR="00000000" w:rsidRDefault="002B18C2">
      <w:pPr>
        <w:jc w:val="both"/>
        <w:rPr>
          <w:rFonts w:eastAsia="Times New Roman"/>
        </w:rPr>
      </w:pPr>
      <w:r>
        <w:rPr>
          <w:rFonts w:eastAsia="Times New Roman"/>
          <w:b/>
          <w:bCs/>
          <w:color w:val="000000"/>
          <w:sz w:val="20"/>
          <w:szCs w:val="20"/>
        </w:rPr>
        <w:t>9. Commitments and Contingencies</w:t>
      </w:r>
    </w:p>
    <w:p w:rsidR="00000000" w:rsidRDefault="002B18C2">
      <w:pPr>
        <w:jc w:val="both"/>
        <w:rPr>
          <w:rFonts w:eastAsia="Times New Roman"/>
        </w:rPr>
      </w:pPr>
    </w:p>
    <w:p w:rsidR="00000000" w:rsidRDefault="002B18C2">
      <w:pPr>
        <w:divId w:val="151914587"/>
        <w:rPr>
          <w:rFonts w:eastAsia="Times New Roman"/>
        </w:rPr>
      </w:pPr>
      <w:r>
        <w:rPr>
          <w:rFonts w:eastAsia="Times New Roman"/>
          <w:i/>
          <w:iCs/>
          <w:color w:val="000000"/>
          <w:sz w:val="20"/>
          <w:szCs w:val="20"/>
          <w:shd w:val="clear" w:color="auto" w:fill="FFFFFF"/>
        </w:rPr>
        <w:t>Legal Proceedings</w:t>
      </w:r>
    </w:p>
    <w:p w:rsidR="00000000" w:rsidRDefault="002B18C2">
      <w:pPr>
        <w:divId w:val="312609052"/>
        <w:rPr>
          <w:rFonts w:eastAsia="Times New Roman"/>
        </w:rPr>
      </w:pPr>
    </w:p>
    <w:p w:rsidR="00000000" w:rsidRDefault="002B18C2">
      <w:pPr>
        <w:jc w:val="both"/>
        <w:divId w:val="2122650065"/>
        <w:rPr>
          <w:rFonts w:eastAsia="Times New Roman"/>
        </w:rPr>
      </w:pPr>
      <w:r>
        <w:rPr>
          <w:rFonts w:eastAsia="Times New Roman"/>
          <w:color w:val="000000"/>
          <w:sz w:val="20"/>
          <w:szCs w:val="20"/>
        </w:rPr>
        <w:t>From time to time, the Company is involved in various legal proceedings incidental to its business. Because of the nature and inherent uncertainties of litigation, we cannot predict with certainty</w:t>
      </w:r>
      <w:r>
        <w:rPr>
          <w:rFonts w:eastAsia="Times New Roman"/>
          <w:color w:val="000000"/>
          <w:sz w:val="20"/>
          <w:szCs w:val="20"/>
        </w:rPr>
        <w:t xml:space="preserve"> the ultimate resolution of these actions and, should the outcome of these actions be unfavorable, the Company’s business, financial position, results of operations or cash flows could be materially and adversely affected.</w:t>
      </w:r>
    </w:p>
    <w:p w:rsidR="00000000" w:rsidRDefault="002B18C2">
      <w:pPr>
        <w:jc w:val="both"/>
        <w:divId w:val="222566665"/>
        <w:rPr>
          <w:rFonts w:eastAsia="Times New Roman"/>
        </w:rPr>
      </w:pPr>
      <w:r>
        <w:rPr>
          <w:rFonts w:eastAsia="Times New Roman"/>
          <w:color w:val="000000"/>
          <w:sz w:val="20"/>
          <w:szCs w:val="20"/>
        </w:rPr>
        <w:t>The Company reviews the status of its legal proceedings and records a provision for a liability when it is considered probable that both a liability has been incurred and the amount of the loss can be reasonably estimated. This review is updated periodical</w:t>
      </w:r>
      <w:r>
        <w:rPr>
          <w:rFonts w:eastAsia="Times New Roman"/>
          <w:color w:val="000000"/>
          <w:sz w:val="20"/>
          <w:szCs w:val="20"/>
        </w:rPr>
        <w:t>ly as additional information becomes available. If either or both of the criteria are not met, we reassess whether there is at least a reasonable possibility that a loss, or additional losses, may be incurred. If there is a reasonable possibility that a lo</w:t>
      </w:r>
      <w:r>
        <w:rPr>
          <w:rFonts w:eastAsia="Times New Roman"/>
          <w:color w:val="000000"/>
          <w:sz w:val="20"/>
          <w:szCs w:val="20"/>
        </w:rPr>
        <w:t>ss may be incurred, we disclose the estimate of the amount of the loss or range of losses, or that an estimate of loss cannot be made. The Company expenses its legal fees as incurred.</w:t>
      </w:r>
    </w:p>
    <w:p w:rsidR="00000000" w:rsidRDefault="002B18C2">
      <w:pPr>
        <w:jc w:val="both"/>
        <w:divId w:val="52823628"/>
        <w:rPr>
          <w:rFonts w:eastAsia="Times New Roman"/>
        </w:rPr>
      </w:pPr>
      <w:r>
        <w:rPr>
          <w:rFonts w:eastAsia="Times New Roman"/>
          <w:color w:val="000000"/>
          <w:sz w:val="20"/>
          <w:szCs w:val="20"/>
        </w:rPr>
        <w:t xml:space="preserve">We are currently and may in the future become subject to various claims </w:t>
      </w:r>
      <w:r>
        <w:rPr>
          <w:rFonts w:eastAsia="Times New Roman"/>
          <w:color w:val="000000"/>
          <w:sz w:val="20"/>
          <w:szCs w:val="20"/>
        </w:rPr>
        <w:t>and pending or threatened lawsuits in the ordinary course of our business.</w:t>
      </w:r>
    </w:p>
    <w:p w:rsidR="00000000" w:rsidRDefault="002B18C2">
      <w:pPr>
        <w:jc w:val="both"/>
        <w:divId w:val="514996198"/>
        <w:rPr>
          <w:rFonts w:eastAsia="Times New Roman"/>
        </w:rPr>
      </w:pPr>
      <w:r>
        <w:rPr>
          <w:rFonts w:eastAsia="Times New Roman"/>
          <w:color w:val="000000"/>
          <w:sz w:val="20"/>
          <w:szCs w:val="20"/>
        </w:rPr>
        <w:t>Our subsidiary, FirstSight Vision Services, Inc. (“FirstSight”), is a defendant in a purported class action in the U.S. District Court for the Southern District of California that a</w:t>
      </w:r>
      <w:r>
        <w:rPr>
          <w:rFonts w:eastAsia="Times New Roman"/>
          <w:color w:val="000000"/>
          <w:sz w:val="20"/>
          <w:szCs w:val="20"/>
        </w:rPr>
        <w:t>lleges that FirstSight participated in arrangements that caused the illegal delivery of eye examinations and that FirstSight thereby violated, among other laws, the corporate practice of optometry and the unfair competition and false advertising laws of Ca</w:t>
      </w:r>
      <w:r>
        <w:rPr>
          <w:rFonts w:eastAsia="Times New Roman"/>
          <w:color w:val="000000"/>
          <w:sz w:val="20"/>
          <w:szCs w:val="20"/>
        </w:rPr>
        <w:t>lifornia. The lawsuit was filed in 2013 and FirstSight was added as a defendant in 2016. In March 2017, the court granted the motion to dismiss previously filed by FirstSight and dismissed the complaint with prejudice. The plaintiffs filed an appeal with t</w:t>
      </w:r>
      <w:r>
        <w:rPr>
          <w:rFonts w:eastAsia="Times New Roman"/>
          <w:color w:val="000000"/>
          <w:sz w:val="20"/>
          <w:szCs w:val="20"/>
        </w:rPr>
        <w:t>he U.S. Court of Appeals for the Ninth Circuit in April 2017. In July 2018, the U.S. Court of Appeals for the Ninth Circuit vacated in part, and reversed in part, the district court’s dismissal and remanded for further proceedings. In October 2018, the pla</w:t>
      </w:r>
      <w:r>
        <w:rPr>
          <w:rFonts w:eastAsia="Times New Roman"/>
          <w:color w:val="000000"/>
          <w:sz w:val="20"/>
          <w:szCs w:val="20"/>
        </w:rPr>
        <w:t>intiffs filed a second amended complaint with the district court, and, in November 2018, FirstSight filed a motion to dismiss. On March 23, 2020, the district court granted FirstSight’s motion to dismiss the second amended complaint. On April 24, 2020, the</w:t>
      </w:r>
      <w:r>
        <w:rPr>
          <w:rFonts w:eastAsia="Times New Roman"/>
          <w:color w:val="000000"/>
          <w:sz w:val="20"/>
          <w:szCs w:val="20"/>
        </w:rPr>
        <w:t xml:space="preserve"> plaintiffs filed a third amended complaint. FirstSight filed a motion to dismiss the third amended complaint on May 8, 2020. On February 4, 2021, the district court granted FirstSight’s motion in part and denied it in part. FirstSight’s answer to the rema</w:t>
      </w:r>
      <w:r>
        <w:rPr>
          <w:rFonts w:eastAsia="Times New Roman"/>
          <w:color w:val="000000"/>
          <w:sz w:val="20"/>
          <w:szCs w:val="20"/>
        </w:rPr>
        <w:t>ining claims was filed February 18, 2021. The parties participated in mediation on July 6, 2021 and, in order to avoid the burden and expense of litigation, agreed to a settlement of all claims alleged by the named plaintiffs for an immaterial amount. On S</w:t>
      </w:r>
      <w:r>
        <w:rPr>
          <w:rFonts w:eastAsia="Times New Roman"/>
          <w:color w:val="000000"/>
          <w:sz w:val="20"/>
          <w:szCs w:val="20"/>
        </w:rPr>
        <w:t>eptember 3, 2021, FirstSight paid the settlement amount and on September 8, 2021, the court entered an order dismissing the action with prejudice as to the named plaintiffs and without prejudice as to the putative class.</w:t>
      </w:r>
    </w:p>
    <w:p w:rsidR="00000000" w:rsidRDefault="002B18C2">
      <w:pPr>
        <w:jc w:val="center"/>
        <w:divId w:val="181819081"/>
        <w:rPr>
          <w:rFonts w:eastAsia="Times New Roman"/>
        </w:rPr>
      </w:pPr>
      <w:r>
        <w:rPr>
          <w:rFonts w:eastAsia="Times New Roman"/>
          <w:color w:val="000000"/>
          <w:sz w:val="20"/>
          <w:szCs w:val="20"/>
        </w:rPr>
        <w:t>19</w:t>
      </w:r>
    </w:p>
    <w:p w:rsidR="00000000" w:rsidRDefault="002B18C2">
      <w:pPr>
        <w:rPr>
          <w:rFonts w:eastAsia="Times New Roman"/>
        </w:rPr>
      </w:pPr>
      <w:r>
        <w:rPr>
          <w:rFonts w:eastAsia="Times New Roman"/>
        </w:rPr>
        <w:pict>
          <v:rect id="_x0000_i1043" style="width:0;height:1.5pt" o:hralign="center" o:hrstd="t" o:hr="t" fillcolor="#a0a0a0" stroked="f"/>
        </w:pict>
      </w:r>
    </w:p>
    <w:p w:rsidR="00000000" w:rsidRDefault="002B18C2">
      <w:pPr>
        <w:divId w:val="1477339143"/>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rPr>
          <w:rFonts w:eastAsia="Times New Roman"/>
        </w:rPr>
      </w:pPr>
    </w:p>
    <w:p w:rsidR="00000000" w:rsidRDefault="002B18C2">
      <w:pPr>
        <w:jc w:val="both"/>
        <w:divId w:val="837428496"/>
        <w:rPr>
          <w:rFonts w:eastAsia="Times New Roman"/>
        </w:rPr>
      </w:pPr>
      <w:r>
        <w:rPr>
          <w:rFonts w:eastAsia="Times New Roman"/>
          <w:color w:val="000000"/>
          <w:sz w:val="20"/>
          <w:szCs w:val="20"/>
        </w:rPr>
        <w:t>In November 2019, the Company agreed to enter into a pre-litigation settlement with six former associates who asserted, on behalf of themselve</w:t>
      </w:r>
      <w:r>
        <w:rPr>
          <w:rFonts w:eastAsia="Times New Roman"/>
          <w:color w:val="000000"/>
          <w:sz w:val="20"/>
          <w:szCs w:val="20"/>
        </w:rPr>
        <w:t>s and a proposed class, violations of the Fair Labor Standards Act and of California wage and hour laws. In order to avoid the burden and expense of litigation, and without admitting liability, the Company agreed to a settlement with the named claimants an</w:t>
      </w:r>
      <w:r>
        <w:rPr>
          <w:rFonts w:eastAsia="Times New Roman"/>
          <w:color w:val="000000"/>
          <w:sz w:val="20"/>
          <w:szCs w:val="20"/>
        </w:rPr>
        <w:t xml:space="preserve">d all participating class members for a maximum settlement amount of $895,000. This settlement was submitted by the parties for approval through arbitration and an order granting final approval of the settlement and dismissing the action was issued by the </w:t>
      </w:r>
      <w:r>
        <w:rPr>
          <w:rFonts w:eastAsia="Times New Roman"/>
          <w:color w:val="000000"/>
          <w:sz w:val="20"/>
          <w:szCs w:val="20"/>
        </w:rPr>
        <w:t>arbitrator on July 13, 2021. The Company paid the settlement amount on August 12, 2021.</w:t>
      </w:r>
    </w:p>
    <w:p w:rsidR="00000000" w:rsidRDefault="002B18C2">
      <w:pPr>
        <w:jc w:val="both"/>
        <w:divId w:val="1824851957"/>
        <w:rPr>
          <w:rFonts w:eastAsia="Times New Roman"/>
        </w:rPr>
      </w:pPr>
      <w:r>
        <w:rPr>
          <w:rFonts w:eastAsia="Times New Roman"/>
          <w:color w:val="000000"/>
          <w:sz w:val="20"/>
          <w:szCs w:val="20"/>
        </w:rPr>
        <w:t>Eyeglass World, LLC, which was acquired by the Company in 2009, is a defendant in a state court action filed on July 24, 2017 by a former sublease holder in Albuquerque</w:t>
      </w:r>
      <w:r>
        <w:rPr>
          <w:rFonts w:eastAsia="Times New Roman"/>
          <w:color w:val="000000"/>
          <w:sz w:val="20"/>
          <w:szCs w:val="20"/>
        </w:rPr>
        <w:t>, New Mexico. The lawsuit seeks monetary damages for claims of conversion, misappropriation of trade secrets, misrepresentation, and tortious interference with existing and prospective contractual relationships arising from the Company’s alleged unauthoriz</w:t>
      </w:r>
      <w:r>
        <w:rPr>
          <w:rFonts w:eastAsia="Times New Roman"/>
          <w:color w:val="000000"/>
          <w:sz w:val="20"/>
          <w:szCs w:val="20"/>
        </w:rPr>
        <w:t xml:space="preserve">ed use of confidential information. The parties have engaged in extensive discovery and pre-trial dispositive motions are currently pending on several material issues of liability and damages. We believe the claims are without merit and intend to continue </w:t>
      </w:r>
      <w:r>
        <w:rPr>
          <w:rFonts w:eastAsia="Times New Roman"/>
          <w:color w:val="000000"/>
          <w:sz w:val="20"/>
          <w:szCs w:val="20"/>
        </w:rPr>
        <w:t>to defend the litigation vigorously. The Company does not believe a reasonable estimate of the range of possible losses is currently possible in view of the uncertainty regarding the amount of damages, if any, that could be awarded in this matter.</w:t>
      </w:r>
    </w:p>
    <w:p w:rsidR="00000000" w:rsidRDefault="002B18C2">
      <w:pPr>
        <w:jc w:val="both"/>
        <w:rPr>
          <w:rFonts w:eastAsia="Times New Roman"/>
        </w:rPr>
      </w:pPr>
    </w:p>
    <w:p w:rsidR="00000000" w:rsidRDefault="002B18C2">
      <w:pPr>
        <w:jc w:val="both"/>
        <w:rPr>
          <w:rFonts w:eastAsia="Times New Roman"/>
        </w:rPr>
      </w:pPr>
      <w:r>
        <w:rPr>
          <w:rFonts w:eastAsia="Times New Roman"/>
          <w:b/>
          <w:bCs/>
          <w:color w:val="000000"/>
          <w:sz w:val="20"/>
          <w:szCs w:val="20"/>
        </w:rPr>
        <w:t>10. Se</w:t>
      </w:r>
      <w:r>
        <w:rPr>
          <w:rFonts w:eastAsia="Times New Roman"/>
          <w:b/>
          <w:bCs/>
          <w:color w:val="000000"/>
          <w:sz w:val="20"/>
          <w:szCs w:val="20"/>
        </w:rPr>
        <w:t>gment Reporting</w:t>
      </w:r>
    </w:p>
    <w:p w:rsidR="00000000" w:rsidRDefault="002B18C2">
      <w:pPr>
        <w:jc w:val="both"/>
        <w:rPr>
          <w:rFonts w:eastAsia="Times New Roman"/>
        </w:rPr>
      </w:pPr>
    </w:p>
    <w:p w:rsidR="00000000" w:rsidRDefault="002B18C2">
      <w:pPr>
        <w:jc w:val="both"/>
        <w:divId w:val="989015682"/>
        <w:rPr>
          <w:rFonts w:eastAsia="Times New Roman"/>
        </w:rPr>
      </w:pPr>
      <w:r>
        <w:rPr>
          <w:rFonts w:eastAsia="Times New Roman"/>
          <w:color w:val="000000"/>
          <w:sz w:val="20"/>
          <w:szCs w:val="20"/>
        </w:rPr>
        <w:t xml:space="preserve">The Company provides its principal products and services through two reportable segments: Owned &amp; Host and Legacy. The “Corporate/Other” category includes the results of operations of our other operating segments, AC Lens and FirstSight, </w:t>
      </w:r>
      <w:r>
        <w:rPr>
          <w:rFonts w:eastAsia="Times New Roman"/>
          <w:color w:val="000000"/>
          <w:sz w:val="20"/>
          <w:szCs w:val="20"/>
        </w:rPr>
        <w:t xml:space="preserve">as well as corporate overhead support. The “Reconciliations” category represents other adjustments to reportable segment results necessary for the presentation of consolidated financial results in accordance with U.S. GAAP for the two reportable segments. </w:t>
      </w:r>
      <w:r>
        <w:rPr>
          <w:rFonts w:eastAsia="Times New Roman"/>
          <w:color w:val="000000"/>
          <w:sz w:val="20"/>
          <w:szCs w:val="20"/>
        </w:rPr>
        <w:t>Beginning in the first quarter of 2021, incremental expenses related to the COVID-19 pandemic were allocated to the reportable segments but were included in the Corporate/Other category in 2020. Changes in unearned revenue and deferred revenue recognized i</w:t>
      </w:r>
      <w:r>
        <w:rPr>
          <w:rFonts w:eastAsia="Times New Roman"/>
          <w:color w:val="000000"/>
          <w:sz w:val="20"/>
          <w:szCs w:val="20"/>
        </w:rPr>
        <w:t>n the Reconciliations category reflect the effects of our stores being temporarily closed to the public for a portion of 2020.</w:t>
      </w:r>
    </w:p>
    <w:p w:rsidR="00000000" w:rsidRDefault="002B18C2">
      <w:pPr>
        <w:jc w:val="both"/>
        <w:divId w:val="1109203270"/>
        <w:rPr>
          <w:rFonts w:eastAsia="Times New Roman"/>
        </w:rPr>
      </w:pPr>
      <w:r>
        <w:rPr>
          <w:rFonts w:eastAsia="Times New Roman"/>
          <w:color w:val="000000"/>
          <w:sz w:val="20"/>
          <w:szCs w:val="20"/>
        </w:rPr>
        <w:t>Our reportable segment profit measure is earnings before interest, tax, depreciation and amortization (“EBITDA”), or net revenue,</w:t>
      </w:r>
      <w:r>
        <w:rPr>
          <w:rFonts w:eastAsia="Times New Roman"/>
          <w:color w:val="000000"/>
          <w:sz w:val="20"/>
          <w:szCs w:val="20"/>
        </w:rPr>
        <w:t xml:space="preserve"> less costs applicable to revenue, less SG&amp;A expenses. Depreciation and amortization, asset impairment, litigation settlement and other corporate costs that are not allocated to the reportable segments, including interest expense are excluded from segment </w:t>
      </w:r>
      <w:r>
        <w:rPr>
          <w:rFonts w:eastAsia="Times New Roman"/>
          <w:color w:val="000000"/>
          <w:sz w:val="20"/>
          <w:szCs w:val="20"/>
        </w:rPr>
        <w:t>EBITDA. There are no revenue transactions between our reportable segments. There are no differences between the measurement of our reportable segments’ assets and consolidated assets. There have been no changes from prior periods in the measurement methods</w:t>
      </w:r>
      <w:r>
        <w:rPr>
          <w:rFonts w:eastAsia="Times New Roman"/>
          <w:color w:val="000000"/>
          <w:sz w:val="20"/>
          <w:szCs w:val="20"/>
        </w:rPr>
        <w:t xml:space="preserve"> used to determine reportable segment profit or loss, and there have been no asymmetrical allocations to segments.</w:t>
      </w:r>
    </w:p>
    <w:p w:rsidR="00000000" w:rsidRDefault="002B18C2">
      <w:pPr>
        <w:jc w:val="both"/>
        <w:divId w:val="722562834"/>
        <w:rPr>
          <w:rFonts w:eastAsia="Times New Roman"/>
        </w:rPr>
      </w:pPr>
      <w:r>
        <w:rPr>
          <w:rFonts w:eastAsia="Times New Roman"/>
          <w:color w:val="000000"/>
          <w:sz w:val="20"/>
          <w:szCs w:val="20"/>
        </w:rPr>
        <w:t xml:space="preserve">The following is a summary of certain financial data for each of our segments. Reportable segment information is presented on the same basis </w:t>
      </w:r>
      <w:r>
        <w:rPr>
          <w:rFonts w:eastAsia="Times New Roman"/>
          <w:color w:val="000000"/>
          <w:sz w:val="20"/>
          <w:szCs w:val="20"/>
        </w:rPr>
        <w:t>as our consolidated financial statements, except for net revenue and associated costs applicable to revenue, which are presented on a cash basis, including point of sales for managed care payors and excluding the effects of unearned and deferred revenue, c</w:t>
      </w:r>
      <w:r>
        <w:rPr>
          <w:rFonts w:eastAsia="Times New Roman"/>
          <w:color w:val="000000"/>
          <w:sz w:val="20"/>
          <w:szCs w:val="20"/>
        </w:rPr>
        <w:t>onsistent with what the Chief Operating Decision Maker (“CODM”) regularly reviews.</w:t>
      </w:r>
    </w:p>
    <w:p w:rsidR="00000000" w:rsidRDefault="002B18C2">
      <w:pPr>
        <w:divId w:val="830171340"/>
        <w:rPr>
          <w:rFonts w:eastAsia="Times New Roman"/>
        </w:rPr>
      </w:pPr>
      <w:r>
        <w:rPr>
          <w:rFonts w:eastAsia="Times New Roman"/>
          <w:color w:val="000000"/>
          <w:sz w:val="20"/>
          <w:szCs w:val="20"/>
        </w:rPr>
        <w:t>Asset information is not included in the following summary since the CODM does not regularly review such information for the reportable segments.</w:t>
      </w:r>
    </w:p>
    <w:p w:rsidR="00000000" w:rsidRDefault="002B18C2">
      <w:pPr>
        <w:jc w:val="center"/>
        <w:divId w:val="41291257"/>
        <w:rPr>
          <w:rFonts w:eastAsia="Times New Roman"/>
        </w:rPr>
      </w:pPr>
      <w:r>
        <w:rPr>
          <w:rFonts w:eastAsia="Times New Roman"/>
          <w:color w:val="000000"/>
          <w:sz w:val="20"/>
          <w:szCs w:val="20"/>
        </w:rPr>
        <w:t>20</w:t>
      </w:r>
    </w:p>
    <w:p w:rsidR="00000000" w:rsidRDefault="002B18C2">
      <w:pPr>
        <w:rPr>
          <w:rFonts w:eastAsia="Times New Roman"/>
        </w:rPr>
      </w:pPr>
      <w:r>
        <w:rPr>
          <w:rFonts w:eastAsia="Times New Roman"/>
        </w:rPr>
        <w:pict>
          <v:rect id="_x0000_i1044" style="width:0;height:1.5pt" o:hralign="center" o:hrstd="t" o:hr="t" fillcolor="#a0a0a0" stroked="f"/>
        </w:pict>
      </w:r>
    </w:p>
    <w:p w:rsidR="00000000" w:rsidRDefault="002B18C2">
      <w:pPr>
        <w:divId w:val="541751291"/>
        <w:rPr>
          <w:rFonts w:eastAsia="Times New Roman"/>
        </w:rPr>
      </w:pPr>
      <w:hyperlink w:anchor="id605fff70b0446c98320e942db604017_7" w:history="1">
        <w:r>
          <w:rPr>
            <w:rStyle w:val="a3"/>
            <w:rFonts w:eastAsia="Times New Roman"/>
            <w:sz w:val="20"/>
            <w:szCs w:val="20"/>
          </w:rPr>
          <w:t>Table of contents</w:t>
        </w:r>
      </w:hyperlink>
    </w:p>
    <w:tbl>
      <w:tblPr>
        <w:tblW w:w="4991" w:type="pct"/>
        <w:jc w:val="center"/>
        <w:tblCellMar>
          <w:top w:w="15" w:type="dxa"/>
          <w:left w:w="15" w:type="dxa"/>
          <w:bottom w:w="15" w:type="dxa"/>
          <w:right w:w="15" w:type="dxa"/>
        </w:tblCellMar>
        <w:tblLook w:val="04A0" w:firstRow="1" w:lastRow="0" w:firstColumn="1" w:lastColumn="0" w:noHBand="0" w:noVBand="1"/>
      </w:tblPr>
      <w:tblGrid>
        <w:gridCol w:w="39"/>
        <w:gridCol w:w="2447"/>
        <w:gridCol w:w="38"/>
        <w:gridCol w:w="120"/>
        <w:gridCol w:w="763"/>
        <w:gridCol w:w="36"/>
        <w:gridCol w:w="36"/>
        <w:gridCol w:w="36"/>
        <w:gridCol w:w="36"/>
        <w:gridCol w:w="120"/>
        <w:gridCol w:w="672"/>
        <w:gridCol w:w="36"/>
        <w:gridCol w:w="36"/>
        <w:gridCol w:w="36"/>
        <w:gridCol w:w="36"/>
        <w:gridCol w:w="121"/>
        <w:gridCol w:w="1229"/>
        <w:gridCol w:w="36"/>
        <w:gridCol w:w="36"/>
        <w:gridCol w:w="36"/>
        <w:gridCol w:w="36"/>
        <w:gridCol w:w="121"/>
        <w:gridCol w:w="1189"/>
        <w:gridCol w:w="36"/>
        <w:gridCol w:w="36"/>
        <w:gridCol w:w="36"/>
        <w:gridCol w:w="36"/>
        <w:gridCol w:w="120"/>
        <w:gridCol w:w="700"/>
        <w:gridCol w:w="36"/>
      </w:tblGrid>
      <w:tr w:rsidR="00000000">
        <w:trPr>
          <w:divId w:val="2038041384"/>
          <w:jc w:val="center"/>
        </w:trPr>
        <w:tc>
          <w:tcPr>
            <w:tcW w:w="50" w:type="pct"/>
            <w:vAlign w:val="center"/>
            <w:hideMark/>
          </w:tcPr>
          <w:p w:rsidR="00000000" w:rsidRDefault="002B18C2">
            <w:pPr>
              <w:rPr>
                <w:rFonts w:eastAsia="Times New Roman"/>
              </w:rPr>
            </w:pPr>
          </w:p>
        </w:tc>
        <w:tc>
          <w:tcPr>
            <w:tcW w:w="1606"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54"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54"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54"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8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5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2038041384"/>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Three Months Ended October 2, 2021</w:t>
            </w:r>
          </w:p>
        </w:tc>
      </w:tr>
      <w:tr w:rsidR="00000000">
        <w:trPr>
          <w:divId w:val="2038041384"/>
          <w:jc w:val="center"/>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Total</w:t>
            </w:r>
          </w:p>
        </w:tc>
      </w:tr>
      <w:tr w:rsidR="00000000">
        <w:trPr>
          <w:divId w:val="2038041384"/>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product services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338,931 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24,934 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58,063 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3,666 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425,594 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041384"/>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77,171 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15,908 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(668)</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92,411 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041384"/>
          <w:jc w:val="center"/>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416,102 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40,842 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58,063 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2,998 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518,005 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041384"/>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Cost of products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95,004 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12,012 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50,477 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878 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158,371 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041384"/>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Cost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61,695 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6,392 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68,087 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041384"/>
          <w:jc w:val="center"/>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156,699 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18,404 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50,477 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226,458 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041384"/>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156,814 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14,363 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47,037 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218,214 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041384"/>
          <w:jc w:val="center"/>
        </w:trPr>
        <w:tc>
          <w:tcPr>
            <w:tcW w:w="0" w:type="auto"/>
            <w:gridSpan w:val="3"/>
            <w:vAlign w:val="center"/>
            <w:hideMark/>
          </w:tcPr>
          <w:p w:rsidR="00000000" w:rsidRDefault="002B18C2">
            <w:pPr>
              <w:spacing w:after="100"/>
              <w:jc w:val="right"/>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r>
      <w:tr w:rsidR="00000000">
        <w:trPr>
          <w:divId w:val="2038041384"/>
          <w:jc w:val="center"/>
        </w:trPr>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c>
          <w:tcPr>
            <w:tcW w:w="0" w:type="auto"/>
            <w:gridSpan w:val="3"/>
            <w:vAlign w:val="center"/>
            <w:hideMark/>
          </w:tcPr>
          <w:p w:rsidR="00000000" w:rsidRDefault="002B18C2">
            <w:pPr>
              <w:spacing w:after="100"/>
              <w:rPr>
                <w:rFonts w:eastAsia="Times New Roman"/>
                <w:sz w:val="20"/>
                <w:szCs w:val="20"/>
              </w:rPr>
            </w:pPr>
          </w:p>
        </w:tc>
      </w:tr>
      <w:tr w:rsidR="00000000">
        <w:trPr>
          <w:divId w:val="2038041384"/>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Other expense (income), net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(2,437)</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(2,437)</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041384"/>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102,589 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8,075 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(37,014)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2038041384"/>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25,059 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041384"/>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5,743 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038041384"/>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Earnings before income taxes</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44,968 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bl>
    <w:p w:rsidR="00000000" w:rsidRDefault="002B18C2">
      <w:pPr>
        <w:jc w:val="center"/>
        <w:divId w:val="316228855"/>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39"/>
        <w:gridCol w:w="2447"/>
        <w:gridCol w:w="38"/>
        <w:gridCol w:w="120"/>
        <w:gridCol w:w="763"/>
        <w:gridCol w:w="36"/>
        <w:gridCol w:w="36"/>
        <w:gridCol w:w="36"/>
        <w:gridCol w:w="36"/>
        <w:gridCol w:w="120"/>
        <w:gridCol w:w="672"/>
        <w:gridCol w:w="36"/>
        <w:gridCol w:w="36"/>
        <w:gridCol w:w="36"/>
        <w:gridCol w:w="36"/>
        <w:gridCol w:w="121"/>
        <w:gridCol w:w="1229"/>
        <w:gridCol w:w="36"/>
        <w:gridCol w:w="36"/>
        <w:gridCol w:w="36"/>
        <w:gridCol w:w="36"/>
        <w:gridCol w:w="121"/>
        <w:gridCol w:w="1189"/>
        <w:gridCol w:w="36"/>
        <w:gridCol w:w="36"/>
        <w:gridCol w:w="36"/>
        <w:gridCol w:w="36"/>
        <w:gridCol w:w="120"/>
        <w:gridCol w:w="700"/>
        <w:gridCol w:w="36"/>
      </w:tblGrid>
      <w:tr w:rsidR="00000000">
        <w:trPr>
          <w:divId w:val="1435394271"/>
          <w:jc w:val="center"/>
        </w:trPr>
        <w:tc>
          <w:tcPr>
            <w:tcW w:w="50" w:type="pct"/>
            <w:vAlign w:val="center"/>
            <w:hideMark/>
          </w:tcPr>
          <w:p w:rsidR="00000000" w:rsidRDefault="002B18C2">
            <w:pPr>
              <w:jc w:val="center"/>
              <w:rPr>
                <w:rFonts w:eastAsia="Times New Roman"/>
              </w:rPr>
            </w:pPr>
          </w:p>
        </w:tc>
        <w:tc>
          <w:tcPr>
            <w:tcW w:w="1606"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54"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54"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54"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8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5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1435394271"/>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Three Months Ended September 26, 2020</w:t>
            </w:r>
          </w:p>
        </w:tc>
      </w:tr>
      <w:tr w:rsidR="00000000">
        <w:trPr>
          <w:divId w:val="1435394271"/>
          <w:jc w:val="center"/>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Total</w:t>
            </w:r>
          </w:p>
        </w:tc>
      </w:tr>
      <w:tr w:rsidR="00000000">
        <w:trPr>
          <w:divId w:val="1435394271"/>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product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323,159 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24,900 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57,906 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(2,629)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403,336 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5394271"/>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73,241 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15,332 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(6,556)</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82,017 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5394271"/>
          <w:jc w:val="center"/>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396,400 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57,906 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(9,185)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485,353 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5394271"/>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Cost of products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86,945 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11,676 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50,154 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(501)</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148,274 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5394271"/>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Cost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55,680 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6,108 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747 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62,535 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5394271"/>
          <w:jc w:val="center"/>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142,625 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17,784 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50,901 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w:t>
            </w:r>
            <w:r>
              <w:rPr>
                <w:rFonts w:eastAsia="Times New Roman"/>
                <w:color w:val="000000"/>
                <w:sz w:val="20"/>
                <w:szCs w:val="20"/>
              </w:rPr>
              <w:t>501)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210,809 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5394271"/>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128,206 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13,068 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49,244 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190,518 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5394271"/>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Asset impairment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7,150 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7,150 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5394271"/>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Other expense (income), net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(154)</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(154)</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5394271"/>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125,569 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9,380 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(49,235)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(8,684)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435394271"/>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22,236 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5394271"/>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12,475 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435394271"/>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Earnings before income taxes</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42,319 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bl>
    <w:p w:rsidR="00000000" w:rsidRDefault="002B18C2">
      <w:pPr>
        <w:jc w:val="center"/>
        <w:divId w:val="1631746456"/>
        <w:rPr>
          <w:rFonts w:eastAsia="Times New Roman"/>
        </w:rPr>
      </w:pPr>
      <w:r>
        <w:rPr>
          <w:rFonts w:eastAsia="Times New Roman"/>
          <w:color w:val="000000"/>
          <w:sz w:val="20"/>
          <w:szCs w:val="20"/>
        </w:rPr>
        <w:t>21</w:t>
      </w:r>
    </w:p>
    <w:p w:rsidR="00000000" w:rsidRDefault="002B18C2">
      <w:pPr>
        <w:rPr>
          <w:rFonts w:eastAsia="Times New Roman"/>
        </w:rPr>
      </w:pPr>
      <w:r>
        <w:rPr>
          <w:rFonts w:eastAsia="Times New Roman"/>
        </w:rPr>
        <w:pict>
          <v:rect id="_x0000_i1045" style="width:0;height:1.5pt" o:hralign="center" o:hrstd="t" o:hr="t" fillcolor="#a0a0a0" stroked="f"/>
        </w:pict>
      </w:r>
    </w:p>
    <w:p w:rsidR="00000000" w:rsidRDefault="002B18C2">
      <w:pPr>
        <w:divId w:val="1500920257"/>
        <w:rPr>
          <w:rFonts w:eastAsia="Times New Roman"/>
        </w:rPr>
      </w:pPr>
      <w:hyperlink w:anchor="id605fff70b0446c98320e942db604017_7" w:history="1">
        <w:r>
          <w:rPr>
            <w:rStyle w:val="a3"/>
            <w:rFonts w:eastAsia="Times New Roman"/>
            <w:sz w:val="20"/>
            <w:szCs w:val="20"/>
          </w:rPr>
          <w:t>Table of contents</w:t>
        </w:r>
      </w:hyperlink>
    </w:p>
    <w:tbl>
      <w:tblPr>
        <w:tblW w:w="4991" w:type="pct"/>
        <w:tblCellMar>
          <w:top w:w="15" w:type="dxa"/>
          <w:left w:w="15" w:type="dxa"/>
          <w:bottom w:w="15" w:type="dxa"/>
          <w:right w:w="15" w:type="dxa"/>
        </w:tblCellMar>
        <w:tblLook w:val="04A0" w:firstRow="1" w:lastRow="0" w:firstColumn="1" w:lastColumn="0" w:noHBand="0" w:noVBand="1"/>
      </w:tblPr>
      <w:tblGrid>
        <w:gridCol w:w="39"/>
        <w:gridCol w:w="2282"/>
        <w:gridCol w:w="38"/>
        <w:gridCol w:w="120"/>
        <w:gridCol w:w="850"/>
        <w:gridCol w:w="36"/>
        <w:gridCol w:w="36"/>
        <w:gridCol w:w="36"/>
        <w:gridCol w:w="36"/>
        <w:gridCol w:w="120"/>
        <w:gridCol w:w="600"/>
        <w:gridCol w:w="36"/>
        <w:gridCol w:w="36"/>
        <w:gridCol w:w="36"/>
        <w:gridCol w:w="36"/>
        <w:gridCol w:w="121"/>
        <w:gridCol w:w="1229"/>
        <w:gridCol w:w="36"/>
        <w:gridCol w:w="36"/>
        <w:gridCol w:w="36"/>
        <w:gridCol w:w="36"/>
        <w:gridCol w:w="121"/>
        <w:gridCol w:w="1189"/>
        <w:gridCol w:w="36"/>
        <w:gridCol w:w="36"/>
        <w:gridCol w:w="36"/>
        <w:gridCol w:w="36"/>
        <w:gridCol w:w="120"/>
        <w:gridCol w:w="850"/>
        <w:gridCol w:w="36"/>
      </w:tblGrid>
      <w:tr w:rsidR="00000000">
        <w:trPr>
          <w:divId w:val="709719163"/>
        </w:trPr>
        <w:tc>
          <w:tcPr>
            <w:tcW w:w="50" w:type="pct"/>
            <w:vAlign w:val="center"/>
            <w:hideMark/>
          </w:tcPr>
          <w:p w:rsidR="00000000" w:rsidRDefault="002B18C2">
            <w:pPr>
              <w:rPr>
                <w:rFonts w:eastAsia="Times New Roman"/>
              </w:rPr>
            </w:pPr>
          </w:p>
        </w:tc>
        <w:tc>
          <w:tcPr>
            <w:tcW w:w="1606"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54"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54"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54"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8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5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709719163"/>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Nine Months Ended October 2, 2021</w:t>
            </w:r>
          </w:p>
        </w:tc>
      </w:tr>
      <w:tr w:rsidR="00000000">
        <w:trPr>
          <w:divId w:val="709719163"/>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Total</w:t>
            </w:r>
          </w:p>
        </w:tc>
      </w:tr>
      <w:tr w:rsidR="00000000">
        <w:trPr>
          <w:divId w:val="709719163"/>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product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1,069,678 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79,209 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180,801 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(2,821)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1,326,867 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709719163"/>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239,028 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48,815 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(13,036)</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274,807 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709719163"/>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1,308,706 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128,024 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180,801 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(15,857)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1,601,674 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709719163"/>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Costs of products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290,647 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37,781 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157,186 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(524)</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485,090 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709719163"/>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Costs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182,947 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19,057 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202,004 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709719163"/>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473,594 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56,838 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157,186 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687,094 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709719163"/>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465,690 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43,458 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166,894 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676,042 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709719163"/>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xml:space="preserve">Asset impairment </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1,478 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1,478 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709719163"/>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Other expense (income), net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(2,567)</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(2,567)</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709719163"/>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Debt issuance costs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709719163"/>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369,422 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27,728 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(142,282)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(15,333)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709719163"/>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72,639 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709719163"/>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22,169 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709719163"/>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Earnings before income taxes</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144,727 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bl>
    <w:tbl>
      <w:tblPr>
        <w:tblW w:w="4991" w:type="pct"/>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918"/>
        <w:gridCol w:w="144"/>
        <w:gridCol w:w="144"/>
        <w:gridCol w:w="144"/>
        <w:gridCol w:w="144"/>
        <w:gridCol w:w="144"/>
        <w:gridCol w:w="918"/>
        <w:gridCol w:w="144"/>
        <w:gridCol w:w="144"/>
        <w:gridCol w:w="144"/>
        <w:gridCol w:w="144"/>
        <w:gridCol w:w="144"/>
        <w:gridCol w:w="918"/>
        <w:gridCol w:w="144"/>
        <w:gridCol w:w="144"/>
        <w:gridCol w:w="144"/>
        <w:gridCol w:w="144"/>
        <w:gridCol w:w="144"/>
        <w:gridCol w:w="1132"/>
        <w:gridCol w:w="144"/>
        <w:gridCol w:w="144"/>
        <w:gridCol w:w="144"/>
        <w:gridCol w:w="144"/>
        <w:gridCol w:w="144"/>
        <w:gridCol w:w="920"/>
        <w:gridCol w:w="144"/>
      </w:tblGrid>
      <w:tr w:rsidR="00000000">
        <w:tc>
          <w:tcPr>
            <w:tcW w:w="50" w:type="pct"/>
            <w:vAlign w:val="center"/>
            <w:hideMark/>
          </w:tcPr>
          <w:p w:rsidR="00000000" w:rsidRDefault="002B18C2">
            <w:pPr>
              <w:rPr>
                <w:rFonts w:eastAsia="Times New Roman"/>
              </w:rPr>
            </w:pPr>
          </w:p>
        </w:tc>
        <w:tc>
          <w:tcPr>
            <w:tcW w:w="1606"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54"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54"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54"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8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5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Nine Months Ended September 26, 2020</w:t>
            </w:r>
          </w:p>
        </w:tc>
      </w:tr>
      <w:tr w:rsidR="00000000">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Total</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product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782,502 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65,572 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174,950 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(17,140)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1,005,884 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172,829 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36,530 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(179)</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209,180 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955,331 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102,102 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174,950 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(17,319)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1,215,064 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Costs of products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223,759 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32,173 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150,198 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(3,851)</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402,279 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Costs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149,847 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17,270 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747 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167,864 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373,606 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49,443 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150,945 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w:t>
            </w:r>
            <w:r>
              <w:rPr>
                <w:rFonts w:eastAsia="Times New Roman"/>
                <w:color w:val="000000"/>
                <w:sz w:val="20"/>
                <w:szCs w:val="20"/>
              </w:rPr>
              <w:t>3,851)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570,143 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349,624 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37,260 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133,957 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520,841 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Asset impairment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20,916 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20,916 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Litigation settlement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4,395 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4,395 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Other expense (income), net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(312)</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(312)</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Debt issuance costs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232,101 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15,399 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(135,087)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(13,468)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68,970 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35,432 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Earnings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(5,457)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bl>
    <w:p w:rsidR="00000000" w:rsidRDefault="002B18C2">
      <w:pPr>
        <w:jc w:val="both"/>
        <w:divId w:val="591010185"/>
        <w:rPr>
          <w:rFonts w:eastAsia="Times New Roman"/>
        </w:rPr>
      </w:pPr>
    </w:p>
    <w:p w:rsidR="00000000" w:rsidRDefault="002B18C2">
      <w:pPr>
        <w:jc w:val="both"/>
        <w:rPr>
          <w:rFonts w:eastAsia="Times New Roman"/>
        </w:rPr>
      </w:pPr>
      <w:r>
        <w:rPr>
          <w:rFonts w:eastAsia="Times New Roman"/>
          <w:b/>
          <w:bCs/>
          <w:color w:val="000000"/>
          <w:sz w:val="20"/>
          <w:szCs w:val="20"/>
        </w:rPr>
        <w:t>11. Earnings Per Share</w:t>
      </w:r>
    </w:p>
    <w:p w:rsidR="00000000" w:rsidRDefault="002B18C2">
      <w:pPr>
        <w:jc w:val="both"/>
        <w:rPr>
          <w:rFonts w:eastAsia="Times New Roman"/>
        </w:rPr>
      </w:pPr>
    </w:p>
    <w:p w:rsidR="00000000" w:rsidRDefault="002B18C2">
      <w:pPr>
        <w:jc w:val="both"/>
        <w:divId w:val="836195516"/>
        <w:rPr>
          <w:rFonts w:eastAsia="Times New Roman"/>
        </w:rPr>
      </w:pPr>
      <w:r>
        <w:rPr>
          <w:rFonts w:eastAsia="Times New Roman"/>
          <w:color w:val="000000"/>
          <w:sz w:val="20"/>
          <w:szCs w:val="20"/>
        </w:rPr>
        <w:t>Diluted EPS related to the 2025 Notes in the current year is calculated using the if-converted method; the number of dilutive shares is based on the initial conversion rate associated with the 2025 Notes. Prior to the fourth quarter of the fiscal year 2020</w:t>
      </w:r>
      <w:r>
        <w:rPr>
          <w:rFonts w:eastAsia="Times New Roman"/>
          <w:color w:val="000000"/>
          <w:sz w:val="20"/>
          <w:szCs w:val="20"/>
        </w:rPr>
        <w:t xml:space="preserve">, we intended to settle the principal amount of the outstanding 2025 Notes in cash and, therefore, used the treasury stock method for calculating the potential effect of dilutive securities related to the 2025 Notes, if applicable. A reconciliation of the </w:t>
      </w:r>
      <w:r>
        <w:rPr>
          <w:rFonts w:eastAsia="Times New Roman"/>
          <w:color w:val="000000"/>
          <w:sz w:val="20"/>
          <w:szCs w:val="20"/>
        </w:rPr>
        <w:t>numerators and denominators of the basic and diluted EPS calculations is as follows:</w:t>
      </w:r>
    </w:p>
    <w:p w:rsidR="00000000" w:rsidRDefault="002B18C2">
      <w:pPr>
        <w:jc w:val="center"/>
        <w:divId w:val="1663779517"/>
        <w:rPr>
          <w:rFonts w:eastAsia="Times New Roman"/>
        </w:rPr>
      </w:pPr>
      <w:r>
        <w:rPr>
          <w:rFonts w:eastAsia="Times New Roman"/>
          <w:color w:val="000000"/>
          <w:sz w:val="20"/>
          <w:szCs w:val="20"/>
        </w:rPr>
        <w:t>22</w:t>
      </w:r>
    </w:p>
    <w:p w:rsidR="00000000" w:rsidRDefault="002B18C2">
      <w:pPr>
        <w:rPr>
          <w:rFonts w:eastAsia="Times New Roman"/>
        </w:rPr>
      </w:pPr>
      <w:r>
        <w:rPr>
          <w:rFonts w:eastAsia="Times New Roman"/>
        </w:rPr>
        <w:pict>
          <v:rect id="_x0000_i1046" style="width:0;height:1.5pt" o:hralign="center" o:hrstd="t" o:hr="t" fillcolor="#a0a0a0" stroked="f"/>
        </w:pict>
      </w:r>
    </w:p>
    <w:p w:rsidR="00000000" w:rsidRDefault="002B18C2">
      <w:pPr>
        <w:divId w:val="2121491642"/>
        <w:rPr>
          <w:rFonts w:eastAsia="Times New Roman"/>
        </w:rPr>
      </w:pPr>
      <w:r>
        <w:rPr>
          <w:rFonts w:eastAsia="Times New Roman"/>
          <w:color w:val="0000FF"/>
          <w:sz w:val="20"/>
          <w:szCs w:val="20"/>
          <w:u w:val="single"/>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284"/>
        <w:gridCol w:w="38"/>
        <w:gridCol w:w="120"/>
        <w:gridCol w:w="962"/>
        <w:gridCol w:w="36"/>
        <w:gridCol w:w="36"/>
        <w:gridCol w:w="36"/>
        <w:gridCol w:w="36"/>
        <w:gridCol w:w="121"/>
        <w:gridCol w:w="913"/>
        <w:gridCol w:w="36"/>
        <w:gridCol w:w="36"/>
        <w:gridCol w:w="36"/>
        <w:gridCol w:w="36"/>
        <w:gridCol w:w="120"/>
        <w:gridCol w:w="1060"/>
        <w:gridCol w:w="36"/>
        <w:gridCol w:w="36"/>
        <w:gridCol w:w="36"/>
        <w:gridCol w:w="36"/>
        <w:gridCol w:w="121"/>
        <w:gridCol w:w="1060"/>
        <w:gridCol w:w="36"/>
      </w:tblGrid>
      <w:tr w:rsidR="00000000">
        <w:trPr>
          <w:divId w:val="1353218995"/>
        </w:trPr>
        <w:tc>
          <w:tcPr>
            <w:tcW w:w="50" w:type="pct"/>
            <w:vAlign w:val="center"/>
            <w:hideMark/>
          </w:tcPr>
          <w:p w:rsidR="00000000" w:rsidRDefault="002B18C2">
            <w:pPr>
              <w:rPr>
                <w:rFonts w:eastAsia="Times New Roman"/>
              </w:rPr>
            </w:pPr>
          </w:p>
        </w:tc>
        <w:tc>
          <w:tcPr>
            <w:tcW w:w="201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1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2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1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9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9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1353218995"/>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Nine Months Ended</w:t>
            </w:r>
          </w:p>
        </w:tc>
      </w:tr>
      <w:tr w:rsidR="00000000">
        <w:trPr>
          <w:divId w:val="1353218995"/>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 xml:space="preserve">In thousands, except EPS </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2B18C2">
            <w:pPr>
              <w:spacing w:after="100"/>
              <w:jc w:val="center"/>
              <w:rPr>
                <w:rFonts w:eastAsia="Times New Roman"/>
              </w:rPr>
            </w:pPr>
            <w:r>
              <w:rPr>
                <w:rFonts w:eastAsia="Times New Roman"/>
                <w:color w:val="000000"/>
                <w:sz w:val="20"/>
                <w:szCs w:val="20"/>
              </w:rPr>
              <w:t>September 26, 2020</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2B18C2">
            <w:pPr>
              <w:spacing w:after="100"/>
              <w:jc w:val="center"/>
              <w:rPr>
                <w:rFonts w:eastAsia="Times New Roman"/>
              </w:rPr>
            </w:pPr>
            <w:r>
              <w:rPr>
                <w:rFonts w:eastAsia="Times New Roman"/>
                <w:color w:val="000000"/>
                <w:sz w:val="20"/>
                <w:szCs w:val="20"/>
              </w:rPr>
              <w:t>September 26, 2020</w:t>
            </w:r>
          </w:p>
        </w:tc>
      </w:tr>
      <w:tr w:rsidR="00000000">
        <w:trPr>
          <w:divId w:val="1353218995"/>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40,992 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35,289 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122,025 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353218995"/>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After-tax interest expense for 2025 Notes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2,393 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7,087 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353218995"/>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Numerator for diluted EPS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43,385 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35,289 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129,112 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353218995"/>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Weighted average shares outstanding for basic EPS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82,290 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80,676 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81,729 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80,376 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353218995"/>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Effect of dilutive securities:</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353218995"/>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Stock options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709 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1,694 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1,107 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1,818 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353218995"/>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xml:space="preserve">Restricted stock </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597 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195 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445 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353218995"/>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2025 Notes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12,912 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1,230 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12,912 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410 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353218995"/>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Weighted average shares outstanding for diluted EPS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96,508 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83,795 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96,193 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82,718 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353218995"/>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Basic EPS</w:t>
            </w: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0.50 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0.44 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353218995"/>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Diluted EPS</w:t>
            </w: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0.45 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0.42 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353218995"/>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Anti-dilutive options and RSUs outstanding excluded from EPS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426 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516 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bl>
    <w:p w:rsidR="00000000" w:rsidRDefault="002B18C2">
      <w:pPr>
        <w:divId w:val="994141343"/>
        <w:rPr>
          <w:rFonts w:eastAsia="Times New Roman"/>
        </w:rPr>
      </w:pPr>
    </w:p>
    <w:p w:rsidR="00000000" w:rsidRDefault="002B18C2">
      <w:pPr>
        <w:jc w:val="both"/>
        <w:rPr>
          <w:rFonts w:eastAsia="Times New Roman"/>
        </w:rPr>
      </w:pPr>
    </w:p>
    <w:p w:rsidR="00000000" w:rsidRDefault="002B18C2">
      <w:pPr>
        <w:divId w:val="1279529795"/>
        <w:rPr>
          <w:rFonts w:eastAsia="Times New Roman"/>
        </w:rPr>
      </w:pPr>
      <w:r>
        <w:rPr>
          <w:rFonts w:eastAsia="Times New Roman"/>
          <w:b/>
          <w:bCs/>
          <w:color w:val="000000"/>
          <w:sz w:val="20"/>
          <w:szCs w:val="20"/>
        </w:rPr>
        <w:t xml:space="preserve">12. </w:t>
      </w:r>
      <w:r>
        <w:rPr>
          <w:rFonts w:eastAsia="Times New Roman"/>
          <w:b/>
          <w:bCs/>
          <w:color w:val="000000"/>
          <w:sz w:val="20"/>
          <w:szCs w:val="20"/>
        </w:rPr>
        <w:t>Restricted Cash</w:t>
      </w:r>
    </w:p>
    <w:p w:rsidR="00000000" w:rsidRDefault="002B18C2">
      <w:pPr>
        <w:jc w:val="both"/>
        <w:rPr>
          <w:rFonts w:eastAsia="Times New Roman"/>
        </w:rPr>
      </w:pPr>
    </w:p>
    <w:p w:rsidR="00000000" w:rsidRDefault="002B18C2">
      <w:pPr>
        <w:jc w:val="both"/>
        <w:rPr>
          <w:rFonts w:eastAsia="Times New Roman"/>
        </w:rPr>
      </w:pPr>
      <w:r>
        <w:rPr>
          <w:rFonts w:eastAsia="Times New Roman"/>
          <w:color w:val="000000"/>
          <w:sz w:val="20"/>
          <w:szCs w:val="20"/>
        </w:rPr>
        <w:t xml:space="preserve">The following table provides a reconciliation of cash and cash equivalents reported within the condensed consolidated balance sheets to the total of cash, cash equivalents and restricted cash shown in the condensed consolidated statement </w:t>
      </w:r>
      <w:r>
        <w:rPr>
          <w:rFonts w:eastAsia="Times New Roman"/>
          <w:color w:val="000000"/>
          <w:sz w:val="20"/>
          <w:szCs w:val="20"/>
        </w:rPr>
        <w:t>of cash flows:</w:t>
      </w:r>
    </w:p>
    <w:tbl>
      <w:tblPr>
        <w:tblW w:w="4991" w:type="pct"/>
        <w:tblCellMar>
          <w:top w:w="15" w:type="dxa"/>
          <w:left w:w="15" w:type="dxa"/>
          <w:bottom w:w="15" w:type="dxa"/>
          <w:right w:w="15" w:type="dxa"/>
        </w:tblCellMar>
        <w:tblLook w:val="04A0" w:firstRow="1" w:lastRow="0" w:firstColumn="1" w:lastColumn="0" w:noHBand="0" w:noVBand="1"/>
      </w:tblPr>
      <w:tblGrid>
        <w:gridCol w:w="40"/>
        <w:gridCol w:w="5616"/>
        <w:gridCol w:w="36"/>
        <w:gridCol w:w="120"/>
        <w:gridCol w:w="1103"/>
        <w:gridCol w:w="36"/>
        <w:gridCol w:w="36"/>
        <w:gridCol w:w="36"/>
        <w:gridCol w:w="36"/>
        <w:gridCol w:w="121"/>
        <w:gridCol w:w="1075"/>
        <w:gridCol w:w="36"/>
      </w:tblGrid>
      <w:tr w:rsidR="00000000">
        <w:trPr>
          <w:divId w:val="1716008662"/>
        </w:trPr>
        <w:tc>
          <w:tcPr>
            <w:tcW w:w="50" w:type="pct"/>
            <w:vAlign w:val="center"/>
            <w:hideMark/>
          </w:tcPr>
          <w:p w:rsidR="00000000" w:rsidRDefault="002B18C2">
            <w:pPr>
              <w:jc w:val="both"/>
              <w:rPr>
                <w:rFonts w:eastAsia="Times New Roman"/>
              </w:rPr>
            </w:pPr>
          </w:p>
        </w:tc>
        <w:tc>
          <w:tcPr>
            <w:tcW w:w="341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91"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91"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1716008662"/>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Nine Months Ended</w:t>
            </w:r>
          </w:p>
        </w:tc>
      </w:tr>
      <w:tr w:rsidR="00000000">
        <w:trPr>
          <w:divId w:val="1716008662"/>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September 26, 2020</w:t>
            </w:r>
          </w:p>
        </w:tc>
      </w:tr>
      <w:tr w:rsidR="00000000">
        <w:trPr>
          <w:divId w:val="1716008662"/>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439,117 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377,007 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716008662"/>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Restricted cash included in other assets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1,339 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1,408 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716008662"/>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Total cash, cash equivalents and restricted cash</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440,456 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378,415 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bl>
    <w:p w:rsidR="00000000" w:rsidRDefault="002B18C2">
      <w:pPr>
        <w:divId w:val="1448740872"/>
        <w:rPr>
          <w:rFonts w:eastAsia="Times New Roman"/>
        </w:rPr>
      </w:pPr>
    </w:p>
    <w:p w:rsidR="00000000" w:rsidRDefault="002B18C2">
      <w:pPr>
        <w:jc w:val="center"/>
        <w:divId w:val="667365586"/>
        <w:rPr>
          <w:rFonts w:eastAsia="Times New Roman"/>
        </w:rPr>
      </w:pPr>
      <w:r>
        <w:rPr>
          <w:rFonts w:eastAsia="Times New Roman"/>
          <w:color w:val="000000"/>
          <w:sz w:val="20"/>
          <w:szCs w:val="20"/>
        </w:rPr>
        <w:t>23</w:t>
      </w:r>
    </w:p>
    <w:p w:rsidR="00000000" w:rsidRDefault="002B18C2">
      <w:pPr>
        <w:rPr>
          <w:rFonts w:eastAsia="Times New Roman"/>
        </w:rPr>
      </w:pPr>
      <w:r>
        <w:rPr>
          <w:rFonts w:eastAsia="Times New Roman"/>
        </w:rPr>
        <w:pict>
          <v:rect id="_x0000_i1047" style="width:0;height:1.5pt" o:hralign="center" o:hrstd="t" o:hr="t" fillcolor="#a0a0a0" stroked="f"/>
        </w:pict>
      </w:r>
    </w:p>
    <w:p w:rsidR="00000000" w:rsidRDefault="002B18C2">
      <w:pPr>
        <w:divId w:val="61415325"/>
        <w:rPr>
          <w:rFonts w:eastAsia="Times New Roman"/>
        </w:rPr>
      </w:pPr>
      <w:r>
        <w:rPr>
          <w:rFonts w:eastAsia="Times New Roman"/>
          <w:color w:val="0000FF"/>
          <w:sz w:val="20"/>
          <w:szCs w:val="20"/>
          <w:u w:val="single"/>
        </w:rPr>
        <w:t>Table of contents</w:t>
      </w:r>
    </w:p>
    <w:p w:rsidR="00000000" w:rsidRDefault="002B18C2">
      <w:pPr>
        <w:jc w:val="both"/>
        <w:rPr>
          <w:rFonts w:eastAsia="Times New Roman"/>
        </w:rPr>
      </w:pPr>
      <w:r>
        <w:rPr>
          <w:rFonts w:eastAsia="Times New Roman"/>
          <w:b/>
          <w:bCs/>
          <w:color w:val="000000"/>
          <w:sz w:val="20"/>
          <w:szCs w:val="20"/>
        </w:rPr>
        <w:t>13. Accumulated Other Comprehensive Loss</w:t>
      </w:r>
    </w:p>
    <w:p w:rsidR="00000000" w:rsidRDefault="002B18C2">
      <w:pPr>
        <w:jc w:val="both"/>
        <w:rPr>
          <w:rFonts w:eastAsia="Times New Roman"/>
        </w:rPr>
      </w:pPr>
    </w:p>
    <w:p w:rsidR="00000000" w:rsidRDefault="002B18C2">
      <w:pPr>
        <w:jc w:val="both"/>
        <w:divId w:val="332225187"/>
        <w:rPr>
          <w:rFonts w:eastAsia="Times New Roman"/>
        </w:rPr>
      </w:pPr>
      <w:r>
        <w:rPr>
          <w:rFonts w:eastAsia="Times New Roman"/>
          <w:color w:val="000000"/>
          <w:sz w:val="20"/>
          <w:szCs w:val="20"/>
        </w:rPr>
        <w:t>Changes in the fair value of the Company’s cash flow hedge derivative instruments from their inception are recorded in AOCL if the instruments are deemed to be</w:t>
      </w:r>
      <w:r>
        <w:rPr>
          <w:rFonts w:eastAsia="Times New Roman"/>
          <w:color w:val="000000"/>
          <w:sz w:val="20"/>
          <w:szCs w:val="20"/>
        </w:rPr>
        <w:t xml:space="preserve"> highly effective as cash flow hedges. The following table presents the changes in AOCL, net of tax during the three and nine months ended October 2, 2021 and September 26, 2020, respectively:</w:t>
      </w:r>
    </w:p>
    <w:tbl>
      <w:tblPr>
        <w:tblW w:w="5000" w:type="pct"/>
        <w:tblCellMar>
          <w:top w:w="15" w:type="dxa"/>
          <w:left w:w="15" w:type="dxa"/>
          <w:bottom w:w="15" w:type="dxa"/>
          <w:right w:w="15" w:type="dxa"/>
        </w:tblCellMar>
        <w:tblLook w:val="04A0" w:firstRow="1" w:lastRow="0" w:firstColumn="1" w:lastColumn="0" w:noHBand="0" w:noVBand="1"/>
      </w:tblPr>
      <w:tblGrid>
        <w:gridCol w:w="38"/>
        <w:gridCol w:w="3192"/>
        <w:gridCol w:w="37"/>
        <w:gridCol w:w="120"/>
        <w:gridCol w:w="989"/>
        <w:gridCol w:w="36"/>
        <w:gridCol w:w="36"/>
        <w:gridCol w:w="36"/>
        <w:gridCol w:w="36"/>
        <w:gridCol w:w="121"/>
        <w:gridCol w:w="980"/>
        <w:gridCol w:w="36"/>
        <w:gridCol w:w="36"/>
        <w:gridCol w:w="36"/>
        <w:gridCol w:w="36"/>
        <w:gridCol w:w="120"/>
        <w:gridCol w:w="1060"/>
        <w:gridCol w:w="36"/>
        <w:gridCol w:w="36"/>
        <w:gridCol w:w="36"/>
        <w:gridCol w:w="36"/>
        <w:gridCol w:w="121"/>
        <w:gridCol w:w="1060"/>
        <w:gridCol w:w="36"/>
      </w:tblGrid>
      <w:tr w:rsidR="00000000">
        <w:trPr>
          <w:divId w:val="2138449957"/>
        </w:trPr>
        <w:tc>
          <w:tcPr>
            <w:tcW w:w="50" w:type="pct"/>
            <w:vAlign w:val="center"/>
            <w:hideMark/>
          </w:tcPr>
          <w:p w:rsidR="00000000" w:rsidRDefault="002B18C2">
            <w:pPr>
              <w:jc w:val="both"/>
              <w:rPr>
                <w:rFonts w:eastAsia="Times New Roman"/>
              </w:rPr>
            </w:pPr>
          </w:p>
        </w:tc>
        <w:tc>
          <w:tcPr>
            <w:tcW w:w="1956"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26"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4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9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9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2138449957"/>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center"/>
            <w:hideMark/>
          </w:tcPr>
          <w:p w:rsidR="00000000" w:rsidRDefault="002B18C2">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Nine Months Ended</w:t>
            </w:r>
          </w:p>
        </w:tc>
      </w:tr>
      <w:tr w:rsidR="00000000">
        <w:trPr>
          <w:divId w:val="2138449957"/>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September 26, 2020</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September 26, 2020</w:t>
            </w:r>
          </w:p>
        </w:tc>
      </w:tr>
      <w:tr w:rsidR="00000000">
        <w:trPr>
          <w:divId w:val="2138449957"/>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Cash flow hedging activity: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2138449957"/>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Balance at beginning of period</w:t>
            </w: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(3,093)</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(7,355)</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(4,400)</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(3,814)</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138449957"/>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Other comprehensive income (loss) before reclassification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(11,088)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138449957"/>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Tax effect of other comprehensive income (loss) before reclassification</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2,825 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138449957"/>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Amount reclassified from AOCL into interest expense</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340 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1,941 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4,959 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8,235 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138449957"/>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Tax effect of amount reclassified from AOCL into interest expense</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(87)</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(495)</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(1,267)</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(2,102)</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138449957"/>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Stranded tax effect of matured interest rate swaps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(2,125)</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138449957"/>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current period other comprehensive income (loss), net of tax</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(2,130)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2138449957"/>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Balance at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(2,840)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(5,944)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(2,840)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(5,944)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bl>
    <w:p w:rsidR="00000000" w:rsidRDefault="002B18C2">
      <w:pPr>
        <w:jc w:val="both"/>
        <w:divId w:val="670789949"/>
        <w:rPr>
          <w:rFonts w:eastAsia="Times New Roman"/>
        </w:rPr>
      </w:pPr>
      <w:r>
        <w:rPr>
          <w:rFonts w:eastAsia="Times New Roman"/>
          <w:color w:val="000000"/>
          <w:sz w:val="20"/>
          <w:szCs w:val="20"/>
        </w:rPr>
        <w:t>See Note 5. “Interest Rate Derivatives” for a description of the Company’s use of cash f</w:t>
      </w:r>
      <w:r>
        <w:rPr>
          <w:rFonts w:eastAsia="Times New Roman"/>
          <w:color w:val="000000"/>
          <w:sz w:val="20"/>
          <w:szCs w:val="20"/>
        </w:rPr>
        <w:t>low hedging derivatives.</w:t>
      </w:r>
    </w:p>
    <w:p w:rsidR="00000000" w:rsidRDefault="002B18C2">
      <w:pPr>
        <w:jc w:val="both"/>
        <w:divId w:val="1739942691"/>
        <w:rPr>
          <w:rFonts w:eastAsia="Times New Roman"/>
        </w:rPr>
      </w:pPr>
    </w:p>
    <w:p w:rsidR="00000000" w:rsidRDefault="002B18C2">
      <w:pPr>
        <w:jc w:val="both"/>
        <w:rPr>
          <w:rFonts w:eastAsia="Times New Roman"/>
        </w:rPr>
      </w:pPr>
      <w:r>
        <w:rPr>
          <w:rFonts w:eastAsia="Times New Roman"/>
          <w:b/>
          <w:bCs/>
          <w:color w:val="000000"/>
          <w:sz w:val="20"/>
          <w:szCs w:val="20"/>
        </w:rPr>
        <w:t>14. Subsequent Events</w:t>
      </w:r>
    </w:p>
    <w:p w:rsidR="00000000" w:rsidRDefault="002B18C2">
      <w:pPr>
        <w:jc w:val="both"/>
        <w:rPr>
          <w:rFonts w:eastAsia="Times New Roman"/>
        </w:rPr>
      </w:pPr>
    </w:p>
    <w:p w:rsidR="00000000" w:rsidRDefault="002B18C2">
      <w:pPr>
        <w:jc w:val="both"/>
        <w:rPr>
          <w:rFonts w:eastAsia="Times New Roman"/>
        </w:rPr>
      </w:pPr>
      <w:r>
        <w:rPr>
          <w:rFonts w:eastAsia="Times New Roman"/>
          <w:color w:val="000000"/>
          <w:sz w:val="20"/>
          <w:szCs w:val="20"/>
        </w:rPr>
        <w:t>On November 9, 2021, subsequent to the date of the financial statements, the Company voluntarily prepaid $50 million in existing Term A loans under its credit agreement; as a result, the remaining principa</w:t>
      </w:r>
      <w:r>
        <w:rPr>
          <w:rFonts w:eastAsia="Times New Roman"/>
          <w:color w:val="000000"/>
          <w:sz w:val="20"/>
          <w:szCs w:val="20"/>
        </w:rPr>
        <w:t>l balance of the Company’s term loan is now $150 million.</w:t>
      </w:r>
    </w:p>
    <w:p w:rsidR="00000000" w:rsidRDefault="002B18C2">
      <w:pPr>
        <w:jc w:val="both"/>
        <w:rPr>
          <w:rFonts w:eastAsia="Times New Roman"/>
        </w:rPr>
      </w:pPr>
    </w:p>
    <w:p w:rsidR="00000000" w:rsidRDefault="002B18C2">
      <w:pPr>
        <w:jc w:val="both"/>
        <w:divId w:val="1250190977"/>
        <w:rPr>
          <w:rFonts w:eastAsia="Times New Roman"/>
        </w:rPr>
      </w:pPr>
    </w:p>
    <w:p w:rsidR="00000000" w:rsidRDefault="002B18C2">
      <w:pPr>
        <w:jc w:val="center"/>
        <w:divId w:val="676005302"/>
        <w:rPr>
          <w:rFonts w:eastAsia="Times New Roman"/>
        </w:rPr>
      </w:pPr>
      <w:r>
        <w:rPr>
          <w:rFonts w:eastAsia="Times New Roman"/>
          <w:color w:val="000000"/>
          <w:sz w:val="20"/>
          <w:szCs w:val="20"/>
        </w:rPr>
        <w:t>24</w:t>
      </w:r>
    </w:p>
    <w:p w:rsidR="00000000" w:rsidRDefault="002B18C2">
      <w:pPr>
        <w:divId w:val="324019717"/>
        <w:rPr>
          <w:rFonts w:eastAsia="Times New Roman"/>
        </w:rPr>
      </w:pPr>
    </w:p>
    <w:p w:rsidR="00000000" w:rsidRDefault="002B18C2">
      <w:pPr>
        <w:rPr>
          <w:rFonts w:eastAsia="Times New Roman"/>
        </w:rPr>
      </w:pPr>
      <w:r>
        <w:rPr>
          <w:rFonts w:eastAsia="Times New Roman"/>
        </w:rPr>
        <w:pict>
          <v:rect id="_x0000_i1048" style="width:0;height:1.5pt" o:hralign="center" o:hrstd="t" o:hr="t" fillcolor="#a0a0a0" stroked="f"/>
        </w:pict>
      </w:r>
    </w:p>
    <w:p w:rsidR="00000000" w:rsidRDefault="002B18C2">
      <w:pPr>
        <w:divId w:val="590896174"/>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divId w:val="845048701"/>
        <w:rPr>
          <w:rFonts w:eastAsia="Times New Roman"/>
        </w:rPr>
      </w:pPr>
      <w:r>
        <w:rPr>
          <w:rFonts w:eastAsia="Times New Roman"/>
          <w:b/>
          <w:bCs/>
          <w:color w:val="000000"/>
          <w:sz w:val="20"/>
          <w:szCs w:val="20"/>
        </w:rPr>
        <w:t>Item 2. Management’</w:t>
      </w:r>
      <w:r>
        <w:rPr>
          <w:rFonts w:eastAsia="Times New Roman"/>
          <w:b/>
          <w:bCs/>
          <w:color w:val="000000"/>
          <w:sz w:val="20"/>
          <w:szCs w:val="20"/>
        </w:rPr>
        <w:t>s Discussion and Analysis of Financial Condition and Results of Operations</w:t>
      </w:r>
    </w:p>
    <w:p w:rsidR="00000000" w:rsidRDefault="002B18C2">
      <w:pPr>
        <w:jc w:val="both"/>
        <w:divId w:val="873032836"/>
        <w:rPr>
          <w:rFonts w:eastAsia="Times New Roman"/>
        </w:rPr>
      </w:pPr>
      <w:r>
        <w:rPr>
          <w:rFonts w:eastAsia="Times New Roman"/>
          <w:i/>
          <w:iCs/>
          <w:color w:val="000000"/>
          <w:sz w:val="20"/>
          <w:szCs w:val="20"/>
        </w:rPr>
        <w:t>The following contains management’s discussion and analysis of our financial condition and results of operations and should be read together with the unaudited condensed consolidate</w:t>
      </w:r>
      <w:r>
        <w:rPr>
          <w:rFonts w:eastAsia="Times New Roman"/>
          <w:i/>
          <w:iCs/>
          <w:color w:val="000000"/>
          <w:sz w:val="20"/>
          <w:szCs w:val="20"/>
        </w:rPr>
        <w:t>d financial statements and the related notes thereto included elsewhere in this Form 10-Q (this “Form 10-Q”) and the audited consolidated financial statements and “Management’s Discussion and Analysis of Financial Condition and Results of Operations” inclu</w:t>
      </w:r>
      <w:r>
        <w:rPr>
          <w:rFonts w:eastAsia="Times New Roman"/>
          <w:i/>
          <w:iCs/>
          <w:color w:val="000000"/>
          <w:sz w:val="20"/>
          <w:szCs w:val="20"/>
        </w:rPr>
        <w:t>ded in our Annual Report on Form 10-K filed with the Securities and Exchange Commission (the “SEC”) on January 2, 2021 (the “2020 Annual Report on Form 10-K”). This discussion contains forward-looking statements that reflect our plans, estimates and belief</w:t>
      </w:r>
      <w:r>
        <w:rPr>
          <w:rFonts w:eastAsia="Times New Roman"/>
          <w:i/>
          <w:iCs/>
          <w:color w:val="000000"/>
          <w:sz w:val="20"/>
          <w:szCs w:val="20"/>
        </w:rPr>
        <w:t>s and involve numerous risks and uncertainties, including, but not limited to, those described in the “Risk Factors” section of the 2020 Annual Report on Form 10-K and in the “Risk Factors” section of this Form 10-Q, as such risk factors may be updated fro</w:t>
      </w:r>
      <w:r>
        <w:rPr>
          <w:rFonts w:eastAsia="Times New Roman"/>
          <w:i/>
          <w:iCs/>
          <w:color w:val="000000"/>
          <w:sz w:val="20"/>
          <w:szCs w:val="20"/>
        </w:rPr>
        <w:t>m time to time in our periodic filings with the SEC. Actual results may differ materially from those contained in any forward-looking statements. You should carefully read “Special Note Regarding Forward-Looking Statements” in this Form 10-Q.</w:t>
      </w:r>
    </w:p>
    <w:p w:rsidR="00000000" w:rsidRDefault="002B18C2">
      <w:pPr>
        <w:jc w:val="both"/>
        <w:divId w:val="885339161"/>
        <w:rPr>
          <w:rFonts w:eastAsia="Times New Roman"/>
        </w:rPr>
      </w:pPr>
      <w:r>
        <w:rPr>
          <w:rFonts w:eastAsia="Times New Roman"/>
          <w:b/>
          <w:bCs/>
          <w:color w:val="000000"/>
          <w:sz w:val="20"/>
          <w:szCs w:val="20"/>
        </w:rPr>
        <w:t>Overview    </w:t>
      </w:r>
    </w:p>
    <w:p w:rsidR="00000000" w:rsidRDefault="002B18C2">
      <w:pPr>
        <w:jc w:val="both"/>
        <w:divId w:val="949971165"/>
        <w:rPr>
          <w:rFonts w:eastAsia="Times New Roman"/>
        </w:rPr>
      </w:pPr>
      <w:r>
        <w:rPr>
          <w:rFonts w:eastAsia="Times New Roman"/>
          <w:color w:val="000000"/>
          <w:sz w:val="20"/>
          <w:szCs w:val="20"/>
        </w:rPr>
        <w:t>We are one of the largest and fastest growing optical retailers in the United States and a leader in the attractive value segment of the U.S. optical retail industry. We believe that vision is central to quality of life and that people deserve to see their</w:t>
      </w:r>
      <w:r>
        <w:rPr>
          <w:rFonts w:eastAsia="Times New Roman"/>
          <w:color w:val="000000"/>
          <w:sz w:val="20"/>
          <w:szCs w:val="20"/>
        </w:rPr>
        <w:t xml:space="preserve"> best to live their best, regardless of their budget. Our mission is to make quality eye care and eyewear affordable and accessible to all Americans. We achieve this by providing eye exams, eyeglasses and contact lenses to value seeking and lower income co</w:t>
      </w:r>
      <w:r>
        <w:rPr>
          <w:rFonts w:eastAsia="Times New Roman"/>
          <w:color w:val="000000"/>
          <w:sz w:val="20"/>
          <w:szCs w:val="20"/>
        </w:rPr>
        <w:t>nsumers. We deliver exceptional value and convenience to our customers, with an opening price point that strives to be among the lowest in the industry, enabled by our low-cost operating platform. We reach our customers through a diverse portfolio o</w:t>
      </w:r>
      <w:r>
        <w:rPr>
          <w:rFonts w:eastAsia="Times New Roman"/>
          <w:color w:val="000000"/>
          <w:sz w:val="20"/>
          <w:szCs w:val="20"/>
          <w:shd w:val="clear" w:color="auto" w:fill="FFFFFF"/>
        </w:rPr>
        <w:t xml:space="preserve">f </w:t>
      </w:r>
      <w:r>
        <w:rPr>
          <w:rFonts w:eastAsia="Times New Roman"/>
          <w:color w:val="000000"/>
          <w:sz w:val="20"/>
          <w:szCs w:val="20"/>
        </w:rPr>
        <w:t>1,262</w:t>
      </w:r>
      <w:r>
        <w:rPr>
          <w:rFonts w:eastAsia="Times New Roman"/>
          <w:color w:val="000000"/>
          <w:sz w:val="20"/>
          <w:szCs w:val="20"/>
          <w:shd w:val="clear" w:color="auto" w:fill="FFFFFF"/>
        </w:rPr>
        <w:t xml:space="preserve"> r</w:t>
      </w:r>
      <w:r>
        <w:rPr>
          <w:rFonts w:eastAsia="Times New Roman"/>
          <w:color w:val="000000"/>
          <w:sz w:val="20"/>
          <w:szCs w:val="20"/>
        </w:rPr>
        <w:t>etail stores acros</w:t>
      </w:r>
      <w:r>
        <w:rPr>
          <w:rFonts w:eastAsia="Times New Roman"/>
          <w:color w:val="000000"/>
          <w:sz w:val="20"/>
          <w:szCs w:val="20"/>
          <w:shd w:val="clear" w:color="auto" w:fill="FFFFFF"/>
        </w:rPr>
        <w:t>s five b</w:t>
      </w:r>
      <w:r>
        <w:rPr>
          <w:rFonts w:eastAsia="Times New Roman"/>
          <w:color w:val="000000"/>
          <w:sz w:val="20"/>
          <w:szCs w:val="20"/>
        </w:rPr>
        <w:t>rands and</w:t>
      </w:r>
      <w:r>
        <w:rPr>
          <w:rFonts w:eastAsia="Times New Roman"/>
          <w:color w:val="000000"/>
          <w:sz w:val="20"/>
          <w:szCs w:val="20"/>
          <w:shd w:val="clear" w:color="auto" w:fill="FFFFFF"/>
        </w:rPr>
        <w:t xml:space="preserve"> </w:t>
      </w:r>
      <w:r>
        <w:rPr>
          <w:rFonts w:eastAsia="Times New Roman"/>
          <w:color w:val="000000"/>
          <w:sz w:val="20"/>
          <w:szCs w:val="20"/>
        </w:rPr>
        <w:t>19</w:t>
      </w:r>
      <w:r>
        <w:rPr>
          <w:rFonts w:eastAsia="Times New Roman"/>
          <w:color w:val="000000"/>
          <w:sz w:val="20"/>
          <w:szCs w:val="20"/>
          <w:shd w:val="clear" w:color="auto" w:fill="FFFFFF"/>
        </w:rPr>
        <w:t xml:space="preserve"> </w:t>
      </w:r>
      <w:r>
        <w:rPr>
          <w:rFonts w:eastAsia="Times New Roman"/>
          <w:color w:val="000000"/>
          <w:sz w:val="20"/>
          <w:szCs w:val="20"/>
        </w:rPr>
        <w:t>consumer websites as of October 2, 2021.</w:t>
      </w:r>
    </w:p>
    <w:p w:rsidR="00000000" w:rsidRDefault="002B18C2">
      <w:pPr>
        <w:jc w:val="both"/>
        <w:divId w:val="399057552"/>
        <w:rPr>
          <w:rFonts w:eastAsia="Times New Roman"/>
        </w:rPr>
      </w:pPr>
      <w:r>
        <w:rPr>
          <w:rFonts w:eastAsia="Times New Roman"/>
          <w:b/>
          <w:bCs/>
          <w:color w:val="000000"/>
          <w:sz w:val="20"/>
          <w:szCs w:val="20"/>
        </w:rPr>
        <w:t>COVID-19</w:t>
      </w:r>
    </w:p>
    <w:p w:rsidR="00000000" w:rsidRDefault="002B18C2">
      <w:pPr>
        <w:jc w:val="both"/>
        <w:divId w:val="2037927524"/>
        <w:rPr>
          <w:rFonts w:eastAsia="Times New Roman"/>
        </w:rPr>
      </w:pPr>
      <w:r>
        <w:rPr>
          <w:rFonts w:eastAsia="Times New Roman"/>
          <w:color w:val="000000"/>
          <w:sz w:val="20"/>
          <w:szCs w:val="20"/>
        </w:rPr>
        <w:t>The COVID-19 pandemic and its macroeconomic effects continue to present ongoing and evolving challenges to our business. We remain focused on our strategy to provide</w:t>
      </w:r>
      <w:r>
        <w:rPr>
          <w:rFonts w:eastAsia="Times New Roman"/>
          <w:color w:val="000000"/>
          <w:sz w:val="20"/>
          <w:szCs w:val="20"/>
        </w:rPr>
        <w:t xml:space="preserve"> our customers and patients reliable and quality low cost eye care and eyewear by prioritizing the health and safety of our associates, customers and patients. For a discussion of measures we have previously taken in response to the pandemic, and the impac</w:t>
      </w:r>
      <w:r>
        <w:rPr>
          <w:rFonts w:eastAsia="Times New Roman"/>
          <w:color w:val="000000"/>
          <w:sz w:val="20"/>
          <w:szCs w:val="20"/>
        </w:rPr>
        <w:t>t of the COVID-19 pandemic on our operations and performance, please see Part I. Item 1A. “Risk Factors” and Part II. Item 7. “Management’s Discussion and Analysis of Financial Condition and Results of Operations” in the Company’s 2020 Annual Report on For</w:t>
      </w:r>
      <w:r>
        <w:rPr>
          <w:rFonts w:eastAsia="Times New Roman"/>
          <w:color w:val="000000"/>
          <w:sz w:val="20"/>
          <w:szCs w:val="20"/>
        </w:rPr>
        <w:t>m 10-K. We continue to monitor and, where applicable, respond to the several macroeconomic effects resulting from, the pandemic, including materials and labor shortages and supply chain constraints. In particular, we are monitoring these effects in light o</w:t>
      </w:r>
      <w:r>
        <w:rPr>
          <w:rFonts w:eastAsia="Times New Roman"/>
          <w:color w:val="000000"/>
          <w:sz w:val="20"/>
          <w:szCs w:val="20"/>
        </w:rPr>
        <w:t>f variant outbreaks and governmental vaccination and testing requirements.</w:t>
      </w:r>
    </w:p>
    <w:p w:rsidR="00000000" w:rsidRDefault="002B18C2">
      <w:pPr>
        <w:jc w:val="both"/>
        <w:divId w:val="2034382599"/>
        <w:rPr>
          <w:rFonts w:eastAsia="Times New Roman"/>
        </w:rPr>
      </w:pPr>
      <w:r>
        <w:rPr>
          <w:rFonts w:eastAsia="Times New Roman"/>
          <w:color w:val="000000"/>
          <w:sz w:val="20"/>
          <w:szCs w:val="20"/>
        </w:rPr>
        <w:t>On September 9, 2021, President Biden announced the Path Out of the Pandemic: COVID-19 Action Plan. As part of the COVID-19 Action Plan, President Biden directed the Occupational Sa</w:t>
      </w:r>
      <w:r>
        <w:rPr>
          <w:rFonts w:eastAsia="Times New Roman"/>
          <w:color w:val="000000"/>
          <w:sz w:val="20"/>
          <w:szCs w:val="20"/>
        </w:rPr>
        <w:t>fety and Health Administration (“OSHA”) to develop an Emergency Temporary Standard (“ETS”) mandating either the full vaccination or weekly testing of employees for employers with 100 or more employees. On November 4, 2021, the OSHA ETS was released. Follow</w:t>
      </w:r>
      <w:r>
        <w:rPr>
          <w:rFonts w:eastAsia="Times New Roman"/>
          <w:color w:val="000000"/>
          <w:sz w:val="20"/>
          <w:szCs w:val="20"/>
        </w:rPr>
        <w:t>ing the issuance of the ETS, litigation was filed challenging the ETS, and on November 6, 2021, the U.S. Court of Appeals for the Fifth Circuit issued an order temporarily staying the effect of the ETS until a decision is reached. In addition, on September</w:t>
      </w:r>
      <w:r>
        <w:rPr>
          <w:rFonts w:eastAsia="Times New Roman"/>
          <w:color w:val="000000"/>
          <w:sz w:val="20"/>
          <w:szCs w:val="20"/>
        </w:rPr>
        <w:t xml:space="preserve"> 9, 2021, President Biden issued an executive order on ensuring adequate COVID-19 safety protocols for U.S. federal contractors as part of his COVID-19 Action Plan. On September 24, 2021, in furtherance of the executive order, the U.S. Safer Federal Workfo</w:t>
      </w:r>
      <w:r>
        <w:rPr>
          <w:rFonts w:eastAsia="Times New Roman"/>
          <w:color w:val="000000"/>
          <w:sz w:val="20"/>
          <w:szCs w:val="20"/>
        </w:rPr>
        <w:t>rce Task Force (“Task Force”) issued guidance requiring federal contractors and subcontractors to comply with certain COVID-19 safety protocols, including requiring certain employees to be fully vaccinated against COVID-19 by January 4, 2022, except in lim</w:t>
      </w:r>
      <w:r>
        <w:rPr>
          <w:rFonts w:eastAsia="Times New Roman"/>
          <w:color w:val="000000"/>
          <w:sz w:val="20"/>
          <w:szCs w:val="20"/>
        </w:rPr>
        <w:t xml:space="preserve">ited circumstances. The vaccination requirements will be incorporated in new government contracts, renewals, extensions and other modifications signed on and after October 15, 2021. </w:t>
      </w:r>
    </w:p>
    <w:p w:rsidR="00000000" w:rsidRDefault="002B18C2">
      <w:pPr>
        <w:jc w:val="both"/>
        <w:divId w:val="642587463"/>
        <w:rPr>
          <w:rFonts w:eastAsia="Times New Roman"/>
        </w:rPr>
      </w:pPr>
      <w:r>
        <w:rPr>
          <w:rFonts w:eastAsia="Times New Roman"/>
          <w:color w:val="000000"/>
          <w:sz w:val="20"/>
          <w:szCs w:val="20"/>
        </w:rPr>
        <w:t>We are evaluating the applicability, scope and potential impacts of the C</w:t>
      </w:r>
      <w:r>
        <w:rPr>
          <w:rFonts w:eastAsia="Times New Roman"/>
          <w:color w:val="000000"/>
          <w:sz w:val="20"/>
          <w:szCs w:val="20"/>
        </w:rPr>
        <w:t>OVID-19 Action Plan, the OSHA ETS and the related executive orders on our business and workforce. It is uncertain to what extent compliance with the applicable orders, regulations and guidance may result in workforce attrition. If attrition is significant,</w:t>
      </w:r>
      <w:r>
        <w:rPr>
          <w:rFonts w:eastAsia="Times New Roman"/>
          <w:color w:val="000000"/>
          <w:sz w:val="20"/>
          <w:szCs w:val="20"/>
        </w:rPr>
        <w:t xml:space="preserve"> our operations and results could be adversely affected. See Item 1A. Risk Factors in this Form 10-Q, for discussion of risks associated with the potential adverse effects on our workforce of vaccine requirements.</w:t>
      </w:r>
    </w:p>
    <w:p w:rsidR="00000000" w:rsidRDefault="002B18C2">
      <w:pPr>
        <w:jc w:val="both"/>
        <w:divId w:val="124348360"/>
        <w:rPr>
          <w:rFonts w:eastAsia="Times New Roman"/>
        </w:rPr>
      </w:pPr>
      <w:r>
        <w:rPr>
          <w:rFonts w:eastAsia="Times New Roman"/>
          <w:color w:val="000000"/>
          <w:sz w:val="20"/>
          <w:szCs w:val="20"/>
        </w:rPr>
        <w:t>In addition, we could experience potential</w:t>
      </w:r>
      <w:r>
        <w:rPr>
          <w:rFonts w:eastAsia="Times New Roman"/>
          <w:color w:val="000000"/>
          <w:sz w:val="20"/>
          <w:szCs w:val="20"/>
        </w:rPr>
        <w:t xml:space="preserve"> disruptions of product deliveries as a result of supply chain issues caused by the COVID-19 pandemic, including as a result of temporary shutdowns in countries which support our supply chain. Prolonged periods of shutdown in these countries or a deteriora</w:t>
      </w:r>
      <w:r>
        <w:rPr>
          <w:rFonts w:eastAsia="Times New Roman"/>
          <w:color w:val="000000"/>
          <w:sz w:val="20"/>
          <w:szCs w:val="20"/>
        </w:rPr>
        <w:t xml:space="preserve">tion of conditions in other countries that are part of our supply chain as well as increasing strains on international and domestic supply chain infrastructure could result in product availability delays, as well as potential increased costs to obtain and </w:t>
      </w:r>
      <w:r>
        <w:rPr>
          <w:rFonts w:eastAsia="Times New Roman"/>
          <w:color w:val="000000"/>
          <w:sz w:val="20"/>
          <w:szCs w:val="20"/>
        </w:rPr>
        <w:t xml:space="preserve">ship these products to meet </w:t>
      </w:r>
    </w:p>
    <w:p w:rsidR="00000000" w:rsidRDefault="002B18C2">
      <w:pPr>
        <w:jc w:val="center"/>
        <w:divId w:val="2013676546"/>
        <w:rPr>
          <w:rFonts w:eastAsia="Times New Roman"/>
        </w:rPr>
      </w:pPr>
      <w:r>
        <w:rPr>
          <w:rFonts w:eastAsia="Times New Roman"/>
          <w:color w:val="000000"/>
          <w:sz w:val="20"/>
          <w:szCs w:val="20"/>
        </w:rPr>
        <w:t>25</w:t>
      </w:r>
    </w:p>
    <w:p w:rsidR="00000000" w:rsidRDefault="002B18C2">
      <w:pPr>
        <w:rPr>
          <w:rFonts w:eastAsia="Times New Roman"/>
        </w:rPr>
      </w:pPr>
      <w:r>
        <w:rPr>
          <w:rFonts w:eastAsia="Times New Roman"/>
        </w:rPr>
        <w:pict>
          <v:rect id="_x0000_i1049" style="width:0;height:1.5pt" o:hralign="center" o:hrstd="t" o:hr="t" fillcolor="#a0a0a0" stroked="f"/>
        </w:pict>
      </w:r>
    </w:p>
    <w:p w:rsidR="00000000" w:rsidRDefault="002B18C2">
      <w:pPr>
        <w:divId w:val="1280987795"/>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2053190574"/>
        <w:rPr>
          <w:rFonts w:eastAsia="Times New Roman"/>
        </w:rPr>
      </w:pPr>
      <w:r>
        <w:rPr>
          <w:rFonts w:eastAsia="Times New Roman"/>
          <w:color w:val="000000"/>
          <w:sz w:val="20"/>
          <w:szCs w:val="20"/>
        </w:rPr>
        <w:t xml:space="preserve">customer demand. We have made, and may continue to make, inventory forward buys to help manage potential supply </w:t>
      </w:r>
      <w:r>
        <w:rPr>
          <w:rFonts w:eastAsia="Times New Roman"/>
          <w:color w:val="000000"/>
          <w:sz w:val="20"/>
          <w:szCs w:val="20"/>
        </w:rPr>
        <w:t>chain disruptions. We will continue to evaluate additional measures that we may elect to take as a response to the COVID-19 pandemic, including, where appropriate, future action to reduce store hours and patient appointments, temporarily close stores or ma</w:t>
      </w:r>
      <w:r>
        <w:rPr>
          <w:rFonts w:eastAsia="Times New Roman"/>
          <w:color w:val="000000"/>
          <w:sz w:val="20"/>
          <w:szCs w:val="20"/>
        </w:rPr>
        <w:t xml:space="preserve">ke additional forward buys. There can be no assurance whether or when any such measures will be adopted. </w:t>
      </w:r>
    </w:p>
    <w:p w:rsidR="00000000" w:rsidRDefault="002B18C2">
      <w:pPr>
        <w:jc w:val="both"/>
        <w:divId w:val="787236851"/>
        <w:rPr>
          <w:rFonts w:eastAsia="Times New Roman"/>
        </w:rPr>
      </w:pPr>
      <w:r>
        <w:rPr>
          <w:rFonts w:eastAsia="Times New Roman"/>
          <w:color w:val="000000"/>
          <w:sz w:val="20"/>
          <w:szCs w:val="20"/>
        </w:rPr>
        <w:t xml:space="preserve">Our net revenue in the nine months ended October 2, 2021 increased compared to the nine months ended September 26, 2020 due in part to the effects of </w:t>
      </w:r>
      <w:r>
        <w:rPr>
          <w:rFonts w:eastAsia="Times New Roman"/>
          <w:color w:val="000000"/>
          <w:sz w:val="20"/>
          <w:szCs w:val="20"/>
        </w:rPr>
        <w:t>our stores being temporarily closed to the public in fiscal year 2020 and government stimulus as a result of COVID-</w:t>
      </w:r>
      <w:r>
        <w:rPr>
          <w:rFonts w:eastAsia="Times New Roman"/>
          <w:color w:val="000000"/>
          <w:sz w:val="20"/>
          <w:szCs w:val="20"/>
          <w:shd w:val="clear" w:color="auto" w:fill="FFFFFF"/>
        </w:rPr>
        <w:t>19. As a result, comparability of our financial performance between these periods may be impacted and our rate of growth should not be viewed</w:t>
      </w:r>
      <w:r>
        <w:rPr>
          <w:rFonts w:eastAsia="Times New Roman"/>
          <w:color w:val="000000"/>
          <w:sz w:val="20"/>
          <w:szCs w:val="20"/>
          <w:shd w:val="clear" w:color="auto" w:fill="FFFFFF"/>
        </w:rPr>
        <w:t xml:space="preserve"> as indicative of our potential results in future periods. </w:t>
      </w:r>
    </w:p>
    <w:p w:rsidR="00000000" w:rsidRDefault="002B18C2">
      <w:pPr>
        <w:jc w:val="both"/>
        <w:divId w:val="1200389757"/>
        <w:rPr>
          <w:rFonts w:eastAsia="Times New Roman"/>
        </w:rPr>
      </w:pPr>
      <w:r>
        <w:rPr>
          <w:rFonts w:eastAsia="Times New Roman"/>
          <w:color w:val="000000"/>
          <w:sz w:val="20"/>
          <w:szCs w:val="20"/>
        </w:rPr>
        <w:t>The disclosures contained in this Form 10-Q are made only as of the date hereof, and we undertake no obligation to publicly update or revise any forward-looking statement as a result of new inform</w:t>
      </w:r>
      <w:r>
        <w:rPr>
          <w:rFonts w:eastAsia="Times New Roman"/>
          <w:color w:val="000000"/>
          <w:sz w:val="20"/>
          <w:szCs w:val="20"/>
        </w:rPr>
        <w:t>ation, future events or otherwise, except as required by law. For further information, please see “Forward-Looking Statements.”</w:t>
      </w:r>
    </w:p>
    <w:p w:rsidR="00000000" w:rsidRDefault="002B18C2">
      <w:pPr>
        <w:divId w:val="522283073"/>
        <w:rPr>
          <w:rFonts w:eastAsia="Times New Roman"/>
        </w:rPr>
      </w:pPr>
      <w:r>
        <w:rPr>
          <w:rFonts w:eastAsia="Times New Roman"/>
          <w:b/>
          <w:bCs/>
          <w:color w:val="000000"/>
          <w:sz w:val="20"/>
          <w:szCs w:val="20"/>
        </w:rPr>
        <w:t>Brand and Segment Information</w:t>
      </w:r>
    </w:p>
    <w:p w:rsidR="00000000" w:rsidRDefault="002B18C2">
      <w:pPr>
        <w:divId w:val="656690368"/>
        <w:rPr>
          <w:rFonts w:eastAsia="Times New Roman"/>
        </w:rPr>
      </w:pPr>
      <w:r>
        <w:rPr>
          <w:rFonts w:eastAsia="Times New Roman"/>
          <w:color w:val="000000"/>
          <w:sz w:val="20"/>
          <w:szCs w:val="20"/>
        </w:rPr>
        <w:t>Our operations consi</w:t>
      </w:r>
      <w:r>
        <w:rPr>
          <w:rFonts w:eastAsia="Times New Roman"/>
          <w:color w:val="000000"/>
          <w:sz w:val="20"/>
          <w:szCs w:val="20"/>
          <w:shd w:val="clear" w:color="auto" w:fill="FFFFFF"/>
        </w:rPr>
        <w:t>st of two rep</w:t>
      </w:r>
      <w:r>
        <w:rPr>
          <w:rFonts w:eastAsia="Times New Roman"/>
          <w:color w:val="000000"/>
          <w:sz w:val="20"/>
          <w:szCs w:val="20"/>
        </w:rPr>
        <w:t>ortable segments:</w:t>
      </w:r>
    </w:p>
    <w:p w:rsidR="00000000" w:rsidRDefault="002B18C2">
      <w:pPr>
        <w:ind w:hanging="360"/>
        <w:jc w:val="both"/>
        <w:divId w:val="2109812874"/>
        <w:rPr>
          <w:rFonts w:eastAsia="Times New Roman"/>
        </w:rPr>
      </w:pPr>
      <w:r>
        <w:rPr>
          <w:rFonts w:eastAsia="Times New Roman"/>
          <w:color w:val="000000"/>
          <w:sz w:val="20"/>
          <w:szCs w:val="20"/>
        </w:rPr>
        <w:t xml:space="preserve">•Owned &amp; </w:t>
      </w:r>
      <w:r>
        <w:rPr>
          <w:rFonts w:eastAsia="Times New Roman"/>
          <w:color w:val="000000"/>
          <w:sz w:val="20"/>
          <w:szCs w:val="20"/>
        </w:rPr>
        <w:t>Host - As of October 2, 2021, our owned brands consisted</w:t>
      </w:r>
      <w:r>
        <w:rPr>
          <w:rFonts w:eastAsia="Times New Roman"/>
          <w:color w:val="000000"/>
          <w:sz w:val="20"/>
          <w:szCs w:val="20"/>
          <w:shd w:val="clear" w:color="auto" w:fill="FFFFFF"/>
        </w:rPr>
        <w:t xml:space="preserve"> of </w:t>
      </w:r>
      <w:r>
        <w:rPr>
          <w:rFonts w:eastAsia="Times New Roman"/>
          <w:color w:val="000000"/>
          <w:sz w:val="20"/>
          <w:szCs w:val="20"/>
        </w:rPr>
        <w:t>826</w:t>
      </w:r>
      <w:r>
        <w:rPr>
          <w:rFonts w:eastAsia="Times New Roman"/>
          <w:color w:val="000000"/>
          <w:sz w:val="20"/>
          <w:szCs w:val="20"/>
          <w:shd w:val="clear" w:color="auto" w:fill="FFFFFF"/>
        </w:rPr>
        <w:t xml:space="preserve"> A</w:t>
      </w:r>
      <w:r>
        <w:rPr>
          <w:rFonts w:eastAsia="Times New Roman"/>
          <w:color w:val="000000"/>
          <w:sz w:val="20"/>
          <w:szCs w:val="20"/>
        </w:rPr>
        <w:t>merica’s Best Contacts and Eyeglasses retail stores</w:t>
      </w:r>
      <w:r>
        <w:rPr>
          <w:rFonts w:eastAsia="Times New Roman"/>
          <w:color w:val="000000"/>
          <w:sz w:val="20"/>
          <w:szCs w:val="20"/>
          <w:shd w:val="clear" w:color="auto" w:fill="FFFFFF"/>
        </w:rPr>
        <w:t xml:space="preserve"> and </w:t>
      </w:r>
      <w:r>
        <w:rPr>
          <w:rFonts w:eastAsia="Times New Roman"/>
          <w:color w:val="000000"/>
          <w:sz w:val="20"/>
          <w:szCs w:val="20"/>
        </w:rPr>
        <w:t>123</w:t>
      </w:r>
      <w:r>
        <w:rPr>
          <w:rFonts w:eastAsia="Times New Roman"/>
          <w:color w:val="000000"/>
          <w:sz w:val="20"/>
          <w:szCs w:val="20"/>
          <w:shd w:val="clear" w:color="auto" w:fill="FFFFFF"/>
        </w:rPr>
        <w:t xml:space="preserve"> Eye</w:t>
      </w:r>
      <w:r>
        <w:rPr>
          <w:rFonts w:eastAsia="Times New Roman"/>
          <w:color w:val="000000"/>
          <w:sz w:val="20"/>
          <w:szCs w:val="20"/>
        </w:rPr>
        <w:t>glass World retail stores. In America’</w:t>
      </w:r>
      <w:r>
        <w:rPr>
          <w:rFonts w:eastAsia="Times New Roman"/>
          <w:color w:val="000000"/>
          <w:sz w:val="20"/>
          <w:szCs w:val="20"/>
        </w:rPr>
        <w:t>s Best stores, vision care services are provided by optometrists employed by us or by independent professional corporations or similar entities. America’s Best stores are primarily located in high-traffic strip centers next to value-focused retailers. Eyeg</w:t>
      </w:r>
      <w:r>
        <w:rPr>
          <w:rFonts w:eastAsia="Times New Roman"/>
          <w:color w:val="000000"/>
          <w:sz w:val="20"/>
          <w:szCs w:val="20"/>
        </w:rPr>
        <w:t>lass World locations primarily feature eye care services provided by independent optometrists and optometrists employed by independent professional corporations or similar entities and on-site optical laboratories that enable stores to quickly fulfill many</w:t>
      </w:r>
      <w:r>
        <w:rPr>
          <w:rFonts w:eastAsia="Times New Roman"/>
          <w:color w:val="000000"/>
          <w:sz w:val="20"/>
          <w:szCs w:val="20"/>
        </w:rPr>
        <w:t xml:space="preserve"> customer orders and make repairs on site. Eyeglass World stores are primarily located in freestanding or in-line locations near high-foot-traffic shopping centers. Our host brands consisted </w:t>
      </w:r>
      <w:r>
        <w:rPr>
          <w:rFonts w:eastAsia="Times New Roman"/>
          <w:color w:val="000000"/>
          <w:sz w:val="20"/>
          <w:szCs w:val="20"/>
          <w:shd w:val="clear" w:color="auto" w:fill="FFFFFF"/>
        </w:rPr>
        <w:t xml:space="preserve">of </w:t>
      </w:r>
      <w:r>
        <w:rPr>
          <w:rFonts w:eastAsia="Times New Roman"/>
          <w:color w:val="000000"/>
          <w:sz w:val="20"/>
          <w:szCs w:val="20"/>
        </w:rPr>
        <w:t>54</w:t>
      </w:r>
      <w:r>
        <w:rPr>
          <w:rFonts w:eastAsia="Times New Roman"/>
          <w:color w:val="000000"/>
          <w:sz w:val="20"/>
          <w:szCs w:val="20"/>
          <w:shd w:val="clear" w:color="auto" w:fill="FFFFFF"/>
        </w:rPr>
        <w:t xml:space="preserve"> Vista </w:t>
      </w:r>
      <w:r>
        <w:rPr>
          <w:rFonts w:eastAsia="Times New Roman"/>
          <w:color w:val="000000"/>
          <w:sz w:val="20"/>
          <w:szCs w:val="20"/>
        </w:rPr>
        <w:t>Optical locations on select military ba</w:t>
      </w:r>
      <w:r>
        <w:rPr>
          <w:rFonts w:eastAsia="Times New Roman"/>
          <w:color w:val="000000"/>
          <w:sz w:val="20"/>
          <w:szCs w:val="20"/>
          <w:shd w:val="clear" w:color="auto" w:fill="FFFFFF"/>
        </w:rPr>
        <w:t xml:space="preserve">ses and </w:t>
      </w:r>
      <w:r>
        <w:rPr>
          <w:rFonts w:eastAsia="Times New Roman"/>
          <w:color w:val="000000"/>
          <w:sz w:val="20"/>
          <w:szCs w:val="20"/>
        </w:rPr>
        <w:t>29</w:t>
      </w:r>
      <w:r>
        <w:rPr>
          <w:rFonts w:eastAsia="Times New Roman"/>
          <w:color w:val="000000"/>
          <w:sz w:val="20"/>
          <w:szCs w:val="20"/>
          <w:shd w:val="clear" w:color="auto" w:fill="FFFFFF"/>
        </w:rPr>
        <w:t xml:space="preserve"> </w:t>
      </w:r>
      <w:r>
        <w:rPr>
          <w:rFonts w:eastAsia="Times New Roman"/>
          <w:color w:val="000000"/>
          <w:sz w:val="20"/>
          <w:szCs w:val="20"/>
        </w:rPr>
        <w:t>Vis</w:t>
      </w:r>
      <w:r>
        <w:rPr>
          <w:rFonts w:eastAsia="Times New Roman"/>
          <w:color w:val="000000"/>
          <w:sz w:val="20"/>
          <w:szCs w:val="20"/>
        </w:rPr>
        <w:t>ta Optical locations within select Fred Meyer stores as of October 2, 2021. We have strong, long-standing relationships with our host partners and have maintained each partnership for over 21 years. These brands provide eye exams primarily by independent o</w:t>
      </w:r>
      <w:r>
        <w:rPr>
          <w:rFonts w:eastAsia="Times New Roman"/>
          <w:color w:val="000000"/>
          <w:sz w:val="20"/>
          <w:szCs w:val="20"/>
        </w:rPr>
        <w:t>ptometrists. All brands utilize our centralized laboratories. This segment also includes sales from our America’s Best, Eyeglass World, and Military omni-channel websites.</w:t>
      </w:r>
    </w:p>
    <w:p w:rsidR="00000000" w:rsidRDefault="002B18C2">
      <w:pPr>
        <w:ind w:hanging="360"/>
        <w:jc w:val="both"/>
        <w:divId w:val="926380717"/>
        <w:rPr>
          <w:rFonts w:eastAsia="Times New Roman"/>
        </w:rPr>
      </w:pPr>
      <w:r>
        <w:rPr>
          <w:rFonts w:eastAsia="Times New Roman"/>
          <w:color w:val="000000"/>
          <w:sz w:val="20"/>
          <w:szCs w:val="20"/>
        </w:rPr>
        <w:t>•Legacy - We manage the operations of, and supply inventory and laboratory processin</w:t>
      </w:r>
      <w:r>
        <w:rPr>
          <w:rFonts w:eastAsia="Times New Roman"/>
          <w:color w:val="000000"/>
          <w:sz w:val="20"/>
          <w:szCs w:val="20"/>
        </w:rPr>
        <w:t>g service</w:t>
      </w:r>
      <w:r>
        <w:rPr>
          <w:rFonts w:eastAsia="Times New Roman"/>
          <w:color w:val="000000"/>
          <w:sz w:val="20"/>
          <w:szCs w:val="20"/>
          <w:shd w:val="clear" w:color="auto" w:fill="FFFFFF"/>
        </w:rPr>
        <w:t xml:space="preserve">s to, </w:t>
      </w:r>
      <w:r>
        <w:rPr>
          <w:rFonts w:eastAsia="Times New Roman"/>
          <w:color w:val="000000"/>
          <w:sz w:val="20"/>
          <w:szCs w:val="20"/>
        </w:rPr>
        <w:t>230</w:t>
      </w:r>
      <w:r>
        <w:rPr>
          <w:rFonts w:eastAsia="Times New Roman"/>
          <w:color w:val="000000"/>
          <w:sz w:val="20"/>
          <w:szCs w:val="20"/>
          <w:shd w:val="clear" w:color="auto" w:fill="FFFFFF"/>
        </w:rPr>
        <w:t xml:space="preserve"> </w:t>
      </w:r>
      <w:r>
        <w:rPr>
          <w:rFonts w:eastAsia="Times New Roman"/>
          <w:color w:val="000000"/>
          <w:sz w:val="20"/>
          <w:szCs w:val="20"/>
        </w:rPr>
        <w:t>Vision Centers in Walmart retail locations as of October 2, 2021. This strategic relationship with Walmart is in its 3</w:t>
      </w:r>
      <w:r>
        <w:rPr>
          <w:rFonts w:eastAsia="Times New Roman"/>
          <w:color w:val="000000"/>
          <w:sz w:val="20"/>
          <w:szCs w:val="20"/>
        </w:rPr>
        <w:t>1</w:t>
      </w:r>
      <w:r>
        <w:rPr>
          <w:rFonts w:eastAsia="Times New Roman"/>
          <w:color w:val="000000"/>
          <w:sz w:val="13"/>
          <w:szCs w:val="13"/>
        </w:rPr>
        <w:t>s</w:t>
      </w:r>
      <w:r>
        <w:rPr>
          <w:rFonts w:eastAsia="Times New Roman"/>
          <w:color w:val="000000"/>
          <w:sz w:val="13"/>
          <w:szCs w:val="13"/>
        </w:rPr>
        <w:t>t</w:t>
      </w:r>
      <w:r>
        <w:rPr>
          <w:rFonts w:eastAsia="Times New Roman"/>
          <w:color w:val="000000"/>
          <w:sz w:val="20"/>
          <w:szCs w:val="20"/>
        </w:rPr>
        <w:t xml:space="preserve"> year. Pursuant to a January 2020 amendment to our management &amp; services agreement with Walmart, we added five addit</w:t>
      </w:r>
      <w:r>
        <w:rPr>
          <w:rFonts w:eastAsia="Times New Roman"/>
          <w:color w:val="000000"/>
          <w:sz w:val="20"/>
          <w:szCs w:val="20"/>
        </w:rPr>
        <w:t>ional Vision Centers in Walmart stores in fiscal year 2020. On July 17, 2020, NVI and Walmart extended the current term and economics of the management &amp; services agreement by three years to February 23, 2024. Under the management &amp; services agreement, our</w:t>
      </w:r>
      <w:r>
        <w:rPr>
          <w:rFonts w:eastAsia="Times New Roman"/>
          <w:color w:val="000000"/>
          <w:sz w:val="20"/>
          <w:szCs w:val="20"/>
        </w:rPr>
        <w:t xml:space="preserve"> responsibilities include ordering and maintaining merchandise inventory; arranging the provision of optometry services; providing managers and staff at each location; training personnel; providing sales receipts to customers; maintaining necessary insuran</w:t>
      </w:r>
      <w:r>
        <w:rPr>
          <w:rFonts w:eastAsia="Times New Roman"/>
          <w:color w:val="000000"/>
          <w:sz w:val="20"/>
          <w:szCs w:val="20"/>
        </w:rPr>
        <w:t>ce; obtaining and holding required licenses, permits and accreditations; owning and maintaining store furniture, fixtures and equipment; and developing annual operating budgets and reporting. We earn management fees as a result of providing such services a</w:t>
      </w:r>
      <w:r>
        <w:rPr>
          <w:rFonts w:eastAsia="Times New Roman"/>
          <w:color w:val="000000"/>
          <w:sz w:val="20"/>
          <w:szCs w:val="20"/>
        </w:rPr>
        <w:t xml:space="preserve">nd therefore we record revenue related to sales of products and product protection plans to our legacy partner’s customers on a net basis. Our management &amp; services agreement also allows our legacy partner to collect penalties if the Vision Centers do not </w:t>
      </w:r>
      <w:r>
        <w:rPr>
          <w:rFonts w:eastAsia="Times New Roman"/>
          <w:color w:val="000000"/>
          <w:sz w:val="20"/>
          <w:szCs w:val="20"/>
        </w:rPr>
        <w:t>generate a requisite amount of revenues. No such penalties have been assessed under our current arrangement, which began in 2012. We also sell to our legacy partner merchandise that is stocked in retail locations we manage pursuant to a separate supplier a</w:t>
      </w:r>
      <w:r>
        <w:rPr>
          <w:rFonts w:eastAsia="Times New Roman"/>
          <w:color w:val="000000"/>
          <w:sz w:val="20"/>
          <w:szCs w:val="20"/>
        </w:rPr>
        <w:t>greement, and provide centralized laboratory services for the finished eyeglasses for our legacy partner’s customers in stores that we manage. We lease space from Walmart within or adjacent to each of the locations we manage and use this space for vision c</w:t>
      </w:r>
      <w:r>
        <w:rPr>
          <w:rFonts w:eastAsia="Times New Roman"/>
          <w:color w:val="000000"/>
          <w:sz w:val="20"/>
          <w:szCs w:val="20"/>
        </w:rPr>
        <w:t>are services provided by independent optometrists or optometrists employed by us or by independent professional corporations or similar entities. During the nine months ended October 2, 2021, sales associated with this arrangement repre</w:t>
      </w:r>
      <w:r>
        <w:rPr>
          <w:rFonts w:eastAsia="Times New Roman"/>
          <w:color w:val="000000"/>
          <w:sz w:val="20"/>
          <w:szCs w:val="20"/>
          <w:shd w:val="clear" w:color="auto" w:fill="FFFFFF"/>
        </w:rPr>
        <w:t xml:space="preserve">sented </w:t>
      </w:r>
      <w:r>
        <w:rPr>
          <w:rFonts w:eastAsia="Times New Roman"/>
          <w:color w:val="000000"/>
          <w:sz w:val="20"/>
          <w:szCs w:val="20"/>
        </w:rPr>
        <w:t>8.0%</w:t>
      </w:r>
      <w:r>
        <w:rPr>
          <w:rFonts w:eastAsia="Times New Roman"/>
          <w:color w:val="000000"/>
          <w:sz w:val="20"/>
          <w:szCs w:val="20"/>
          <w:shd w:val="clear" w:color="auto" w:fill="FFFFFF"/>
        </w:rPr>
        <w:t xml:space="preserve"> of co</w:t>
      </w:r>
      <w:r>
        <w:rPr>
          <w:rFonts w:eastAsia="Times New Roman"/>
          <w:color w:val="000000"/>
          <w:sz w:val="20"/>
          <w:szCs w:val="20"/>
        </w:rPr>
        <w:t>nso</w:t>
      </w:r>
      <w:r>
        <w:rPr>
          <w:rFonts w:eastAsia="Times New Roman"/>
          <w:color w:val="000000"/>
          <w:sz w:val="20"/>
          <w:szCs w:val="20"/>
        </w:rPr>
        <w:t>lidated net revenue. This exposes us to concentration of customer risk.</w:t>
      </w:r>
    </w:p>
    <w:p w:rsidR="00000000" w:rsidRDefault="002B18C2">
      <w:pPr>
        <w:jc w:val="both"/>
        <w:divId w:val="1998223292"/>
        <w:rPr>
          <w:rFonts w:eastAsia="Times New Roman"/>
        </w:rPr>
      </w:pPr>
    </w:p>
    <w:p w:rsidR="00000000" w:rsidRDefault="002B18C2">
      <w:pPr>
        <w:jc w:val="center"/>
        <w:divId w:val="443034310"/>
        <w:rPr>
          <w:rFonts w:eastAsia="Times New Roman"/>
        </w:rPr>
      </w:pPr>
      <w:r>
        <w:rPr>
          <w:rFonts w:eastAsia="Times New Roman"/>
          <w:color w:val="000000"/>
          <w:sz w:val="20"/>
          <w:szCs w:val="20"/>
        </w:rPr>
        <w:t>26</w:t>
      </w:r>
    </w:p>
    <w:p w:rsidR="00000000" w:rsidRDefault="002B18C2">
      <w:pPr>
        <w:rPr>
          <w:rFonts w:eastAsia="Times New Roman"/>
        </w:rPr>
      </w:pPr>
      <w:r>
        <w:rPr>
          <w:rFonts w:eastAsia="Times New Roman"/>
        </w:rPr>
        <w:pict>
          <v:rect id="_x0000_i1050" style="width:0;height:1.5pt" o:hralign="center" o:hrstd="t" o:hr="t" fillcolor="#a0a0a0" stroked="f"/>
        </w:pict>
      </w:r>
    </w:p>
    <w:p w:rsidR="00000000" w:rsidRDefault="002B18C2">
      <w:pPr>
        <w:divId w:val="1961105751"/>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1421100835"/>
        <w:rPr>
          <w:rFonts w:eastAsia="Times New Roman"/>
        </w:rPr>
      </w:pPr>
      <w:r>
        <w:rPr>
          <w:rFonts w:eastAsia="Times New Roman"/>
          <w:color w:val="000000"/>
          <w:sz w:val="20"/>
          <w:szCs w:val="20"/>
        </w:rPr>
        <w:t>Our consolidated results also include the following activity recor</w:t>
      </w:r>
      <w:r>
        <w:rPr>
          <w:rFonts w:eastAsia="Times New Roman"/>
          <w:color w:val="000000"/>
          <w:sz w:val="20"/>
          <w:szCs w:val="20"/>
        </w:rPr>
        <w:t>ded in our Corporate/Other category:</w:t>
      </w:r>
    </w:p>
    <w:p w:rsidR="00000000" w:rsidRDefault="002B18C2">
      <w:pPr>
        <w:ind w:hanging="360"/>
        <w:jc w:val="both"/>
        <w:divId w:val="740180094"/>
        <w:rPr>
          <w:rFonts w:eastAsia="Times New Roman"/>
        </w:rPr>
      </w:pPr>
      <w:r>
        <w:rPr>
          <w:rFonts w:eastAsia="Times New Roman"/>
          <w:color w:val="000000"/>
          <w:sz w:val="20"/>
          <w:szCs w:val="20"/>
        </w:rPr>
        <w:t>•Our e-commerce platform of</w:t>
      </w:r>
      <w:r>
        <w:rPr>
          <w:rFonts w:eastAsia="Times New Roman"/>
          <w:color w:val="000000"/>
          <w:sz w:val="20"/>
          <w:szCs w:val="20"/>
          <w:shd w:val="clear" w:color="auto" w:fill="FFFFFF"/>
        </w:rPr>
        <w:t xml:space="preserve"> </w:t>
      </w:r>
      <w:r>
        <w:rPr>
          <w:rFonts w:eastAsia="Times New Roman"/>
          <w:color w:val="000000"/>
          <w:sz w:val="20"/>
          <w:szCs w:val="20"/>
        </w:rPr>
        <w:t>15</w:t>
      </w:r>
      <w:r>
        <w:rPr>
          <w:rFonts w:eastAsia="Times New Roman"/>
          <w:color w:val="000000"/>
          <w:sz w:val="20"/>
          <w:szCs w:val="20"/>
          <w:shd w:val="clear" w:color="auto" w:fill="FFFFFF"/>
        </w:rPr>
        <w:t xml:space="preserve"> </w:t>
      </w:r>
      <w:r>
        <w:rPr>
          <w:rFonts w:eastAsia="Times New Roman"/>
          <w:color w:val="000000"/>
          <w:sz w:val="20"/>
          <w:szCs w:val="20"/>
        </w:rPr>
        <w:t>dedicated websites managed by AC Lens. Our e-commerce business consists of</w:t>
      </w:r>
      <w:r>
        <w:rPr>
          <w:rFonts w:eastAsia="Times New Roman"/>
          <w:color w:val="000000"/>
          <w:sz w:val="20"/>
          <w:szCs w:val="20"/>
          <w:shd w:val="clear" w:color="auto" w:fill="FFFFFF"/>
        </w:rPr>
        <w:t xml:space="preserve"> </w:t>
      </w:r>
      <w:r>
        <w:rPr>
          <w:rFonts w:eastAsia="Times New Roman"/>
          <w:color w:val="000000"/>
          <w:sz w:val="20"/>
          <w:szCs w:val="20"/>
        </w:rPr>
        <w:t>six proprietary branded websites, including aclens.com, discountglasses.com and discountcontactlenses.com, a</w:t>
      </w:r>
      <w:r>
        <w:rPr>
          <w:rFonts w:eastAsia="Times New Roman"/>
          <w:color w:val="000000"/>
          <w:sz w:val="20"/>
          <w:szCs w:val="20"/>
          <w:shd w:val="clear" w:color="auto" w:fill="FFFFFF"/>
        </w:rPr>
        <w:t xml:space="preserve">nd </w:t>
      </w:r>
      <w:r>
        <w:rPr>
          <w:rFonts w:eastAsia="Times New Roman"/>
          <w:color w:val="000000"/>
          <w:sz w:val="20"/>
          <w:szCs w:val="20"/>
        </w:rPr>
        <w:t>ni</w:t>
      </w:r>
      <w:r>
        <w:rPr>
          <w:rFonts w:eastAsia="Times New Roman"/>
          <w:color w:val="000000"/>
          <w:sz w:val="20"/>
          <w:szCs w:val="20"/>
        </w:rPr>
        <w:t>ne</w:t>
      </w:r>
      <w:r>
        <w:rPr>
          <w:rFonts w:eastAsia="Times New Roman"/>
          <w:color w:val="000000"/>
          <w:sz w:val="20"/>
          <w:szCs w:val="20"/>
          <w:shd w:val="clear" w:color="auto" w:fill="FFFFFF"/>
        </w:rPr>
        <w:t xml:space="preserve"> th</w:t>
      </w:r>
      <w:r>
        <w:rPr>
          <w:rFonts w:eastAsia="Times New Roman"/>
          <w:color w:val="000000"/>
          <w:sz w:val="20"/>
          <w:szCs w:val="20"/>
        </w:rPr>
        <w:t>ird-party websites with established retailers, such as Walmart, Sam’s Club and Giant Eagle as well as mid-sized vision insurance providers. AC Lens handles site management, customer relationship management and order fulfillment and also sells a wide v</w:t>
      </w:r>
      <w:r>
        <w:rPr>
          <w:rFonts w:eastAsia="Times New Roman"/>
          <w:color w:val="000000"/>
          <w:sz w:val="20"/>
          <w:szCs w:val="20"/>
        </w:rPr>
        <w:t>ariety of contact lenses, eyeglasses and eye care accessories.</w:t>
      </w:r>
    </w:p>
    <w:p w:rsidR="00000000" w:rsidRDefault="002B18C2">
      <w:pPr>
        <w:ind w:hanging="360"/>
        <w:jc w:val="both"/>
        <w:divId w:val="940380521"/>
        <w:rPr>
          <w:rFonts w:eastAsia="Times New Roman"/>
        </w:rPr>
      </w:pPr>
      <w:r>
        <w:rPr>
          <w:rFonts w:eastAsia="Times New Roman"/>
          <w:color w:val="000000"/>
          <w:sz w:val="20"/>
          <w:szCs w:val="20"/>
        </w:rPr>
        <w:t>•AC Lens also distributes contact lenses wholesale to Walmart and Sam’s Club. We incur costs at a higher percentage of sales than other product categories. AC Lens sales associated with Walmart</w:t>
      </w:r>
      <w:r>
        <w:rPr>
          <w:rFonts w:eastAsia="Times New Roman"/>
          <w:color w:val="000000"/>
          <w:sz w:val="20"/>
          <w:szCs w:val="20"/>
        </w:rPr>
        <w:t xml:space="preserve"> and Sam’s Club contact lenses distribution arrangements represente</w:t>
      </w:r>
      <w:r>
        <w:rPr>
          <w:rFonts w:eastAsia="Times New Roman"/>
          <w:color w:val="000000"/>
          <w:sz w:val="20"/>
          <w:szCs w:val="20"/>
          <w:shd w:val="clear" w:color="auto" w:fill="FFFFFF"/>
        </w:rPr>
        <w:t xml:space="preserve">d 6.4% of </w:t>
      </w:r>
      <w:r>
        <w:rPr>
          <w:rFonts w:eastAsia="Times New Roman"/>
          <w:color w:val="000000"/>
          <w:sz w:val="20"/>
          <w:szCs w:val="20"/>
        </w:rPr>
        <w:t>consolidated net revenue.</w:t>
      </w:r>
    </w:p>
    <w:p w:rsidR="00000000" w:rsidRDefault="002B18C2">
      <w:pPr>
        <w:ind w:hanging="360"/>
        <w:jc w:val="both"/>
        <w:divId w:val="112790789"/>
        <w:rPr>
          <w:rFonts w:eastAsia="Times New Roman"/>
        </w:rPr>
      </w:pPr>
      <w:r>
        <w:rPr>
          <w:rFonts w:eastAsia="Times New Roman"/>
          <w:color w:val="000000"/>
          <w:sz w:val="20"/>
          <w:szCs w:val="20"/>
        </w:rPr>
        <w:t xml:space="preserve">•Managed care business conducted by FirstSight, our wholly-owned subsidiary that is licensed as a single-service health plan under California law, which </w:t>
      </w:r>
      <w:r>
        <w:rPr>
          <w:rFonts w:eastAsia="Times New Roman"/>
          <w:color w:val="000000"/>
          <w:sz w:val="20"/>
          <w:szCs w:val="20"/>
        </w:rPr>
        <w:t>arranges for the provision of optometric services at the offices next to certain Walmart stores throughout California, and also issues individual vision plans in connection with our America’s Best operations in California.</w:t>
      </w:r>
    </w:p>
    <w:p w:rsidR="00000000" w:rsidRDefault="002B18C2">
      <w:pPr>
        <w:ind w:hanging="360"/>
        <w:jc w:val="both"/>
        <w:divId w:val="2100902520"/>
        <w:rPr>
          <w:rFonts w:eastAsia="Times New Roman"/>
        </w:rPr>
      </w:pPr>
      <w:r>
        <w:rPr>
          <w:rFonts w:eastAsia="Times New Roman"/>
          <w:color w:val="000000"/>
          <w:sz w:val="20"/>
          <w:szCs w:val="20"/>
        </w:rPr>
        <w:t>•Unallocated corporate overhead e</w:t>
      </w:r>
      <w:r>
        <w:rPr>
          <w:rFonts w:eastAsia="Times New Roman"/>
          <w:color w:val="000000"/>
          <w:sz w:val="20"/>
          <w:szCs w:val="20"/>
        </w:rPr>
        <w:t>xpenses, which are a component of selling, general and administrative expenses and are comprised of various home office expenses such as payroll, occupancy costs, and consulting and professional fees. Corporate overhead expenses also include field services</w:t>
      </w:r>
      <w:r>
        <w:rPr>
          <w:rFonts w:eastAsia="Times New Roman"/>
          <w:color w:val="000000"/>
          <w:sz w:val="20"/>
          <w:szCs w:val="20"/>
        </w:rPr>
        <w:t xml:space="preserve"> fo</w:t>
      </w:r>
      <w:r>
        <w:rPr>
          <w:rFonts w:eastAsia="Times New Roman"/>
          <w:color w:val="000000"/>
          <w:sz w:val="20"/>
          <w:szCs w:val="20"/>
          <w:shd w:val="clear" w:color="auto" w:fill="FFFFFF"/>
        </w:rPr>
        <w:t>r our five re</w:t>
      </w:r>
      <w:r>
        <w:rPr>
          <w:rFonts w:eastAsia="Times New Roman"/>
          <w:color w:val="000000"/>
          <w:sz w:val="20"/>
          <w:szCs w:val="20"/>
        </w:rPr>
        <w:t>tail brands.</w:t>
      </w:r>
    </w:p>
    <w:p w:rsidR="00000000" w:rsidRDefault="002B18C2">
      <w:pPr>
        <w:jc w:val="both"/>
        <w:divId w:val="676157394"/>
        <w:rPr>
          <w:rFonts w:eastAsia="Times New Roman"/>
        </w:rPr>
      </w:pPr>
      <w:r>
        <w:rPr>
          <w:rFonts w:eastAsia="Times New Roman"/>
          <w:color w:val="000000"/>
          <w:sz w:val="20"/>
          <w:szCs w:val="20"/>
        </w:rPr>
        <w:t>Reportable segment information is presented on the same basis as our condensed consolidated financial statements, except reportable segment sales which are presented on a cash basis including point of sales for managed care pay</w:t>
      </w:r>
      <w:r>
        <w:rPr>
          <w:rFonts w:eastAsia="Times New Roman"/>
          <w:color w:val="000000"/>
          <w:sz w:val="20"/>
          <w:szCs w:val="20"/>
        </w:rPr>
        <w:t>ors and excluding the effects of unearned and deferred revenue, consistent with what our CODM regularly reviews. Reconciliations of segment results to consolidated results include financial information necessary to adjust reportable segment revenues to a c</w:t>
      </w:r>
      <w:r>
        <w:rPr>
          <w:rFonts w:eastAsia="Times New Roman"/>
          <w:color w:val="000000"/>
          <w:sz w:val="20"/>
          <w:szCs w:val="20"/>
        </w:rPr>
        <w:t>onsolidated basis in accordance with U.S. GAAP, specifically the change in unearned and deferred revenues during the period. There are no revenue transactions between reportable segments, and there are no other items in the reconciliations other than the e</w:t>
      </w:r>
      <w:r>
        <w:rPr>
          <w:rFonts w:eastAsia="Times New Roman"/>
          <w:color w:val="000000"/>
          <w:sz w:val="20"/>
          <w:szCs w:val="20"/>
        </w:rPr>
        <w:t>ffects of unearned and deferred revenue. See Note 10. “Segment Reporting” in our condensed consolidated financial statements included in Part I. Item 1. of this Form 10-Q.</w:t>
      </w:r>
    </w:p>
    <w:p w:rsidR="00000000" w:rsidRDefault="002B18C2">
      <w:pPr>
        <w:jc w:val="both"/>
        <w:divId w:val="825703730"/>
        <w:rPr>
          <w:rFonts w:eastAsia="Times New Roman"/>
        </w:rPr>
      </w:pPr>
      <w:r>
        <w:rPr>
          <w:rFonts w:eastAsia="Times New Roman"/>
          <w:color w:val="000000"/>
          <w:sz w:val="20"/>
          <w:szCs w:val="20"/>
        </w:rPr>
        <w:t>Deferred revenue represents the timing difference of when we collect the cash from t</w:t>
      </w:r>
      <w:r>
        <w:rPr>
          <w:rFonts w:eastAsia="Times New Roman"/>
          <w:color w:val="000000"/>
          <w:sz w:val="20"/>
          <w:szCs w:val="20"/>
        </w:rPr>
        <w:t>he customer and when services related to product protection plans and eye care club memberships are performed. Increases or decreases in deferred revenue during the reporting period represent cash collections in excess of or below the recognition of previo</w:t>
      </w:r>
      <w:r>
        <w:rPr>
          <w:rFonts w:eastAsia="Times New Roman"/>
          <w:color w:val="000000"/>
          <w:sz w:val="20"/>
          <w:szCs w:val="20"/>
        </w:rPr>
        <w:t>us deferrals. Unearned revenue represents the timing difference of when we collect cash from the customer and delivery/customer acceptance, and includes sales of prescription eyewear during approximately the last seven to 10 days of the reporting period.</w:t>
      </w:r>
    </w:p>
    <w:p w:rsidR="00000000" w:rsidRDefault="002B18C2">
      <w:pPr>
        <w:jc w:val="both"/>
        <w:divId w:val="781462932"/>
        <w:rPr>
          <w:rFonts w:eastAsia="Times New Roman"/>
        </w:rPr>
      </w:pPr>
      <w:r>
        <w:rPr>
          <w:rFonts w:eastAsia="Times New Roman"/>
          <w:b/>
          <w:bCs/>
          <w:color w:val="000000"/>
          <w:sz w:val="20"/>
          <w:szCs w:val="20"/>
        </w:rPr>
        <w:t>T</w:t>
      </w:r>
      <w:r>
        <w:rPr>
          <w:rFonts w:eastAsia="Times New Roman"/>
          <w:b/>
          <w:bCs/>
          <w:color w:val="000000"/>
          <w:sz w:val="20"/>
          <w:szCs w:val="20"/>
        </w:rPr>
        <w:t>rends and Other Factors Affecting Our Business</w:t>
      </w:r>
    </w:p>
    <w:p w:rsidR="00000000" w:rsidRDefault="002B18C2">
      <w:pPr>
        <w:jc w:val="both"/>
        <w:divId w:val="623586200"/>
        <w:rPr>
          <w:rFonts w:eastAsia="Times New Roman"/>
        </w:rPr>
      </w:pPr>
      <w:r>
        <w:rPr>
          <w:rFonts w:eastAsia="Times New Roman"/>
          <w:color w:val="000000"/>
          <w:sz w:val="20"/>
          <w:szCs w:val="20"/>
        </w:rPr>
        <w:t>Various trends and other factors will affect or have affected our operating results, including:</w:t>
      </w:r>
    </w:p>
    <w:p w:rsidR="00000000" w:rsidRDefault="002B18C2">
      <w:pPr>
        <w:jc w:val="both"/>
        <w:divId w:val="1778017853"/>
        <w:rPr>
          <w:rFonts w:eastAsia="Times New Roman"/>
        </w:rPr>
      </w:pPr>
      <w:r>
        <w:rPr>
          <w:rFonts w:eastAsia="Times New Roman"/>
          <w:i/>
          <w:iCs/>
          <w:color w:val="000000"/>
          <w:sz w:val="20"/>
          <w:szCs w:val="20"/>
        </w:rPr>
        <w:t>Impact of COVID-19</w:t>
      </w:r>
    </w:p>
    <w:p w:rsidR="00000000" w:rsidRDefault="002B18C2">
      <w:pPr>
        <w:jc w:val="both"/>
        <w:divId w:val="1354456446"/>
        <w:rPr>
          <w:rFonts w:eastAsia="Times New Roman"/>
        </w:rPr>
      </w:pPr>
      <w:r>
        <w:rPr>
          <w:rFonts w:eastAsia="Times New Roman"/>
          <w:color w:val="000000"/>
          <w:sz w:val="20"/>
          <w:szCs w:val="20"/>
        </w:rPr>
        <w:t>The COVID-19 pandemic has had far-reaching impacts, directly and indirectly, on our operations. We continue to monitor the evolving situation as there remain many uncertainties regarding the pandemic and more recent outbreaks of variants, including anticip</w:t>
      </w:r>
      <w:r>
        <w:rPr>
          <w:rFonts w:eastAsia="Times New Roman"/>
          <w:color w:val="000000"/>
          <w:sz w:val="20"/>
          <w:szCs w:val="20"/>
        </w:rPr>
        <w:t>ated duration, related healthcare authority guidelines and efficacy of vaccination initiatives, including the impact of, and associated risks regarding, federal, state and local vaccination and testing programs. We also continue to monitor potential impact</w:t>
      </w:r>
      <w:r>
        <w:rPr>
          <w:rFonts w:eastAsia="Times New Roman"/>
          <w:color w:val="000000"/>
          <w:sz w:val="20"/>
          <w:szCs w:val="20"/>
        </w:rPr>
        <w:t>s on our lab network and potential disruptions of product deliveries. To date, we have been able to meet customer demand with operations at our laboratories and our supply chain partners. However, prolonged shutdowns in countries which support our supply c</w:t>
      </w:r>
      <w:r>
        <w:rPr>
          <w:rFonts w:eastAsia="Times New Roman"/>
          <w:color w:val="000000"/>
          <w:sz w:val="20"/>
          <w:szCs w:val="20"/>
        </w:rPr>
        <w:t xml:space="preserve">hain or a deterioration of conditions in such countries and others or increasing strains on international and domestic supply chain infrastructure could result in product availability delays in the future. We could experience further material impacts as a </w:t>
      </w:r>
      <w:r>
        <w:rPr>
          <w:rFonts w:eastAsia="Times New Roman"/>
          <w:color w:val="000000"/>
          <w:sz w:val="20"/>
          <w:szCs w:val="20"/>
        </w:rPr>
        <w:t>result of COVID-19, including, but not limited to, charges from additional asset impairments and deferred tax valuation allowances. We will continue to evaluate additional measures that we may elect to take as a response to the pandemic, including, where a</w:t>
      </w:r>
      <w:r>
        <w:rPr>
          <w:rFonts w:eastAsia="Times New Roman"/>
          <w:color w:val="000000"/>
          <w:sz w:val="20"/>
          <w:szCs w:val="20"/>
        </w:rPr>
        <w:t>ppropriate, future action to reduce store hours and patient appointments, temporarily close stores or make additional forward buys. There can be no assurance whether or when any such measures will be adopted. For a discussion of significant risks that have</w:t>
      </w:r>
      <w:r>
        <w:rPr>
          <w:rFonts w:eastAsia="Times New Roman"/>
          <w:color w:val="000000"/>
          <w:sz w:val="20"/>
          <w:szCs w:val="20"/>
        </w:rPr>
        <w:t xml:space="preserve"> the potential to cause our actual results to differ materially from our expectations, refer to Part II. Item 1A. “Risk Factors” in this Form 10-Q and Part I. Item 1A. “Risk Factors,” included in our 2020 Annual Report on Form 10-K.</w:t>
      </w:r>
    </w:p>
    <w:p w:rsidR="00000000" w:rsidRDefault="002B18C2">
      <w:pPr>
        <w:jc w:val="center"/>
        <w:divId w:val="1003241610"/>
        <w:rPr>
          <w:rFonts w:eastAsia="Times New Roman"/>
        </w:rPr>
      </w:pPr>
      <w:r>
        <w:rPr>
          <w:rFonts w:eastAsia="Times New Roman"/>
          <w:color w:val="000000"/>
          <w:sz w:val="20"/>
          <w:szCs w:val="20"/>
        </w:rPr>
        <w:t>27</w:t>
      </w:r>
    </w:p>
    <w:p w:rsidR="00000000" w:rsidRDefault="002B18C2">
      <w:pPr>
        <w:rPr>
          <w:rFonts w:eastAsia="Times New Roman"/>
        </w:rPr>
      </w:pPr>
      <w:r>
        <w:rPr>
          <w:rFonts w:eastAsia="Times New Roman"/>
        </w:rPr>
        <w:pict>
          <v:rect id="_x0000_i1051" style="width:0;height:1.5pt" o:hralign="center" o:hrstd="t" o:hr="t" fillcolor="#a0a0a0" stroked="f"/>
        </w:pict>
      </w:r>
    </w:p>
    <w:p w:rsidR="00000000" w:rsidRDefault="002B18C2">
      <w:pPr>
        <w:divId w:val="249389823"/>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2022706280"/>
        <w:rPr>
          <w:rFonts w:eastAsia="Times New Roman"/>
        </w:rPr>
      </w:pPr>
      <w:r>
        <w:rPr>
          <w:rFonts w:eastAsia="Times New Roman"/>
          <w:i/>
          <w:iCs/>
          <w:color w:val="000000"/>
          <w:sz w:val="20"/>
          <w:szCs w:val="20"/>
        </w:rPr>
        <w:t>Comparable store sales growth</w:t>
      </w:r>
    </w:p>
    <w:p w:rsidR="00000000" w:rsidRDefault="002B18C2">
      <w:pPr>
        <w:jc w:val="both"/>
        <w:divId w:val="2138571128"/>
        <w:rPr>
          <w:rFonts w:eastAsia="Times New Roman"/>
        </w:rPr>
      </w:pPr>
      <w:r>
        <w:rPr>
          <w:rFonts w:eastAsia="Times New Roman"/>
          <w:color w:val="000000"/>
          <w:sz w:val="20"/>
          <w:szCs w:val="20"/>
        </w:rPr>
        <w:t>Comparable store sales growth is a key driver of our business. The comparable store sales growth and Adjusted Comparable Store Sales G</w:t>
      </w:r>
      <w:r>
        <w:rPr>
          <w:rFonts w:eastAsia="Times New Roman"/>
          <w:color w:val="000000"/>
          <w:sz w:val="20"/>
          <w:szCs w:val="20"/>
        </w:rPr>
        <w:t xml:space="preserve">rowth for the nine months ended October 2, 2021 were impacted by our stores being temporarily closed to the public in the prior year due to the COVID-19 pandemic, and also include the effect of pent-up demand for our products and services after our stores </w:t>
      </w:r>
      <w:r>
        <w:rPr>
          <w:rFonts w:eastAsia="Times New Roman"/>
          <w:color w:val="000000"/>
          <w:sz w:val="20"/>
          <w:szCs w:val="20"/>
        </w:rPr>
        <w:t>reopened. The impact of the COVID-19 pandemic on our comparable store sales growth remains uncertain, and effects and relevant risk exposures may be exacerbated by the immediate and ongoing threat of the COVID-19 pandemic.</w:t>
      </w:r>
    </w:p>
    <w:p w:rsidR="00000000" w:rsidRDefault="002B18C2">
      <w:pPr>
        <w:jc w:val="both"/>
        <w:divId w:val="1625699339"/>
        <w:rPr>
          <w:rFonts w:eastAsia="Times New Roman"/>
        </w:rPr>
      </w:pPr>
      <w:r>
        <w:rPr>
          <w:rFonts w:eastAsia="Times New Roman"/>
          <w:i/>
          <w:iCs/>
          <w:color w:val="000000"/>
          <w:sz w:val="20"/>
          <w:szCs w:val="20"/>
        </w:rPr>
        <w:t>Interim results and seasonality</w:t>
      </w:r>
    </w:p>
    <w:p w:rsidR="00000000" w:rsidRDefault="002B18C2">
      <w:pPr>
        <w:jc w:val="both"/>
        <w:divId w:val="441537200"/>
        <w:rPr>
          <w:rFonts w:eastAsia="Times New Roman"/>
        </w:rPr>
      </w:pPr>
      <w:r>
        <w:rPr>
          <w:rFonts w:eastAsia="Times New Roman"/>
          <w:color w:val="000000"/>
          <w:sz w:val="20"/>
          <w:szCs w:val="20"/>
        </w:rPr>
        <w:t>H</w:t>
      </w:r>
      <w:r>
        <w:rPr>
          <w:rFonts w:eastAsia="Times New Roman"/>
          <w:color w:val="000000"/>
          <w:sz w:val="20"/>
          <w:szCs w:val="20"/>
        </w:rPr>
        <w:t>istorically, our business has realized a higher portion of net revenue, operating income, and cash flows from operations in the first half of the fiscal year, and a lower portion of net revenue, operating income, and cash flows from operations in the fourt</w:t>
      </w:r>
      <w:r>
        <w:rPr>
          <w:rFonts w:eastAsia="Times New Roman"/>
          <w:color w:val="000000"/>
          <w:sz w:val="20"/>
          <w:szCs w:val="20"/>
        </w:rPr>
        <w:t>h fiscal quarter. This seasonality, and our interim results were impacted during fiscal year 2020 because our stores were temporarily closed to the public for a portion of the first half of the year due to the COVID-19 pandemic. Our net r</w:t>
      </w:r>
      <w:r>
        <w:rPr>
          <w:rFonts w:eastAsia="Times New Roman"/>
          <w:color w:val="000000"/>
          <w:sz w:val="20"/>
          <w:szCs w:val="20"/>
          <w:shd w:val="clear" w:color="auto" w:fill="FFFFFF"/>
        </w:rPr>
        <w:t>evenue in the curr</w:t>
      </w:r>
      <w:r>
        <w:rPr>
          <w:rFonts w:eastAsia="Times New Roman"/>
          <w:color w:val="000000"/>
          <w:sz w:val="20"/>
          <w:szCs w:val="20"/>
          <w:shd w:val="clear" w:color="auto" w:fill="FFFFFF"/>
        </w:rPr>
        <w:t>ent fiscal period is higher compared to the sales prior to the pandemic due to new store openings and strong customer demand, including the likely effects of our stores being temporarily closed to the public in fiscal year 2020 and government stimulus.</w:t>
      </w:r>
    </w:p>
    <w:p w:rsidR="00000000" w:rsidRDefault="002B18C2">
      <w:pPr>
        <w:jc w:val="both"/>
        <w:divId w:val="1162429976"/>
        <w:rPr>
          <w:rFonts w:eastAsia="Times New Roman"/>
        </w:rPr>
      </w:pPr>
      <w:r>
        <w:rPr>
          <w:rFonts w:eastAsia="Times New Roman"/>
          <w:i/>
          <w:iCs/>
          <w:color w:val="000000"/>
          <w:sz w:val="20"/>
          <w:szCs w:val="20"/>
        </w:rPr>
        <w:t>Oth</w:t>
      </w:r>
      <w:r>
        <w:rPr>
          <w:rFonts w:eastAsia="Times New Roman"/>
          <w:i/>
          <w:iCs/>
          <w:color w:val="000000"/>
          <w:sz w:val="20"/>
          <w:szCs w:val="20"/>
        </w:rPr>
        <w:t>er factors</w:t>
      </w:r>
    </w:p>
    <w:p w:rsidR="00000000" w:rsidRDefault="002B18C2">
      <w:pPr>
        <w:jc w:val="both"/>
        <w:divId w:val="530535306"/>
        <w:rPr>
          <w:rFonts w:eastAsia="Times New Roman"/>
        </w:rPr>
      </w:pPr>
      <w:r>
        <w:rPr>
          <w:rFonts w:eastAsia="Times New Roman"/>
          <w:color w:val="000000"/>
          <w:sz w:val="20"/>
          <w:szCs w:val="20"/>
        </w:rPr>
        <w:t>We remain committed to our long-term vision and continue to position ourselves to make progress against our key initiatives while balancing the near-term challenges and uncertainty presented by the COVID-19 pandemic. We believe the following factors may co</w:t>
      </w:r>
      <w:r>
        <w:rPr>
          <w:rFonts w:eastAsia="Times New Roman"/>
          <w:color w:val="000000"/>
          <w:sz w:val="20"/>
          <w:szCs w:val="20"/>
        </w:rPr>
        <w:t>ntinue to influence our short-term and long-term results:</w:t>
      </w:r>
    </w:p>
    <w:p w:rsidR="00000000" w:rsidRDefault="002B18C2">
      <w:pPr>
        <w:ind w:hanging="360"/>
        <w:jc w:val="both"/>
        <w:divId w:val="67925822"/>
        <w:rPr>
          <w:rFonts w:eastAsia="Times New Roman"/>
        </w:rPr>
      </w:pPr>
      <w:r>
        <w:rPr>
          <w:rFonts w:eastAsia="Times New Roman"/>
          <w:color w:val="000000"/>
          <w:sz w:val="20"/>
          <w:szCs w:val="20"/>
        </w:rPr>
        <w:t>•New store openings;</w:t>
      </w:r>
    </w:p>
    <w:p w:rsidR="00000000" w:rsidRDefault="002B18C2">
      <w:pPr>
        <w:ind w:hanging="360"/>
        <w:jc w:val="both"/>
        <w:divId w:val="900096185"/>
        <w:rPr>
          <w:rFonts w:eastAsia="Times New Roman"/>
        </w:rPr>
      </w:pPr>
      <w:r>
        <w:rPr>
          <w:rFonts w:eastAsia="Times New Roman"/>
          <w:color w:val="000000"/>
          <w:sz w:val="20"/>
          <w:szCs w:val="20"/>
        </w:rPr>
        <w:t>•Managed care and insurance;</w:t>
      </w:r>
    </w:p>
    <w:p w:rsidR="00000000" w:rsidRDefault="002B18C2">
      <w:pPr>
        <w:ind w:hanging="360"/>
        <w:jc w:val="both"/>
        <w:divId w:val="785009134"/>
        <w:rPr>
          <w:rFonts w:eastAsia="Times New Roman"/>
        </w:rPr>
      </w:pPr>
      <w:r>
        <w:rPr>
          <w:rFonts w:eastAsia="Times New Roman"/>
          <w:color w:val="000000"/>
          <w:sz w:val="20"/>
          <w:szCs w:val="20"/>
        </w:rPr>
        <w:t>•Vision care professional recruitment and coverage;</w:t>
      </w:r>
    </w:p>
    <w:p w:rsidR="00000000" w:rsidRDefault="002B18C2">
      <w:pPr>
        <w:ind w:hanging="360"/>
        <w:jc w:val="both"/>
        <w:divId w:val="1130636181"/>
        <w:rPr>
          <w:rFonts w:eastAsia="Times New Roman"/>
        </w:rPr>
      </w:pPr>
      <w:r>
        <w:rPr>
          <w:rFonts w:eastAsia="Times New Roman"/>
          <w:color w:val="000000"/>
          <w:sz w:val="20"/>
          <w:szCs w:val="20"/>
        </w:rPr>
        <w:t>•Overall economic trends;</w:t>
      </w:r>
    </w:p>
    <w:p w:rsidR="00000000" w:rsidRDefault="002B18C2">
      <w:pPr>
        <w:ind w:hanging="360"/>
        <w:jc w:val="both"/>
        <w:divId w:val="372652857"/>
        <w:rPr>
          <w:rFonts w:eastAsia="Times New Roman"/>
        </w:rPr>
      </w:pPr>
      <w:r>
        <w:rPr>
          <w:rFonts w:eastAsia="Times New Roman"/>
          <w:color w:val="000000"/>
          <w:sz w:val="20"/>
          <w:szCs w:val="20"/>
        </w:rPr>
        <w:t>•Consumer preferences and demand;</w:t>
      </w:r>
    </w:p>
    <w:p w:rsidR="00000000" w:rsidRDefault="002B18C2">
      <w:pPr>
        <w:ind w:hanging="360"/>
        <w:jc w:val="both"/>
        <w:divId w:val="111363080"/>
        <w:rPr>
          <w:rFonts w:eastAsia="Times New Roman"/>
        </w:rPr>
      </w:pPr>
      <w:r>
        <w:rPr>
          <w:rFonts w:eastAsia="Times New Roman"/>
          <w:color w:val="000000"/>
          <w:sz w:val="20"/>
          <w:szCs w:val="20"/>
        </w:rPr>
        <w:t>•Infrastructure and investment;</w:t>
      </w:r>
    </w:p>
    <w:p w:rsidR="00000000" w:rsidRDefault="002B18C2">
      <w:pPr>
        <w:ind w:hanging="360"/>
        <w:jc w:val="both"/>
        <w:divId w:val="2078353238"/>
        <w:rPr>
          <w:rFonts w:eastAsia="Times New Roman"/>
        </w:rPr>
      </w:pPr>
      <w:r>
        <w:rPr>
          <w:rFonts w:eastAsia="Times New Roman"/>
          <w:color w:val="000000"/>
          <w:sz w:val="20"/>
          <w:szCs w:val="20"/>
        </w:rPr>
        <w:t>•Pri</w:t>
      </w:r>
      <w:r>
        <w:rPr>
          <w:rFonts w:eastAsia="Times New Roman"/>
          <w:color w:val="000000"/>
          <w:sz w:val="20"/>
          <w:szCs w:val="20"/>
        </w:rPr>
        <w:t>cing strategy;</w:t>
      </w:r>
    </w:p>
    <w:p w:rsidR="00000000" w:rsidRDefault="002B18C2">
      <w:pPr>
        <w:ind w:hanging="360"/>
        <w:jc w:val="both"/>
        <w:divId w:val="497967660"/>
        <w:rPr>
          <w:rFonts w:eastAsia="Times New Roman"/>
        </w:rPr>
      </w:pPr>
      <w:r>
        <w:rPr>
          <w:rFonts w:eastAsia="Times New Roman"/>
          <w:color w:val="000000"/>
          <w:sz w:val="20"/>
          <w:szCs w:val="20"/>
        </w:rPr>
        <w:t>•Our ability to source and distribute products effectively;</w:t>
      </w:r>
    </w:p>
    <w:p w:rsidR="00000000" w:rsidRDefault="002B18C2">
      <w:pPr>
        <w:ind w:hanging="360"/>
        <w:jc w:val="both"/>
        <w:divId w:val="1174226373"/>
        <w:rPr>
          <w:rFonts w:eastAsia="Times New Roman"/>
        </w:rPr>
      </w:pPr>
      <w:r>
        <w:rPr>
          <w:rFonts w:eastAsia="Times New Roman"/>
          <w:color w:val="000000"/>
          <w:sz w:val="20"/>
          <w:szCs w:val="20"/>
        </w:rPr>
        <w:t>•Inflation;</w:t>
      </w:r>
    </w:p>
    <w:p w:rsidR="00000000" w:rsidRDefault="002B18C2">
      <w:pPr>
        <w:ind w:hanging="360"/>
        <w:jc w:val="both"/>
        <w:divId w:val="611981526"/>
        <w:rPr>
          <w:rFonts w:eastAsia="Times New Roman"/>
        </w:rPr>
      </w:pPr>
      <w:r>
        <w:rPr>
          <w:rFonts w:eastAsia="Times New Roman"/>
          <w:color w:val="000000"/>
          <w:sz w:val="20"/>
          <w:szCs w:val="20"/>
        </w:rPr>
        <w:t>•Competition;</w:t>
      </w:r>
    </w:p>
    <w:p w:rsidR="00000000" w:rsidRDefault="002B18C2">
      <w:pPr>
        <w:ind w:hanging="360"/>
        <w:jc w:val="both"/>
        <w:divId w:val="1437099312"/>
        <w:rPr>
          <w:rFonts w:eastAsia="Times New Roman"/>
        </w:rPr>
      </w:pPr>
      <w:r>
        <w:rPr>
          <w:rFonts w:eastAsia="Times New Roman"/>
          <w:color w:val="000000"/>
          <w:sz w:val="20"/>
          <w:szCs w:val="20"/>
        </w:rPr>
        <w:t>•Market wage pressure and unemployment levels; and</w:t>
      </w:r>
    </w:p>
    <w:p w:rsidR="00000000" w:rsidRDefault="002B18C2">
      <w:pPr>
        <w:ind w:hanging="360"/>
        <w:jc w:val="both"/>
        <w:divId w:val="48304342"/>
        <w:rPr>
          <w:rFonts w:eastAsia="Times New Roman"/>
        </w:rPr>
      </w:pPr>
      <w:r>
        <w:rPr>
          <w:rFonts w:eastAsia="Times New Roman"/>
          <w:color w:val="000000"/>
          <w:sz w:val="20"/>
          <w:szCs w:val="20"/>
        </w:rPr>
        <w:t>•Consolidation in the industry</w:t>
      </w:r>
    </w:p>
    <w:p w:rsidR="00000000" w:rsidRDefault="002B18C2">
      <w:pPr>
        <w:jc w:val="both"/>
        <w:divId w:val="1647854018"/>
        <w:rPr>
          <w:rFonts w:eastAsia="Times New Roman"/>
        </w:rPr>
      </w:pPr>
      <w:r>
        <w:rPr>
          <w:rFonts w:eastAsia="Times New Roman"/>
          <w:b/>
          <w:bCs/>
          <w:color w:val="000000"/>
          <w:sz w:val="20"/>
          <w:szCs w:val="20"/>
        </w:rPr>
        <w:t>How We Assess the Performance of Our Business</w:t>
      </w:r>
    </w:p>
    <w:p w:rsidR="00000000" w:rsidRDefault="002B18C2">
      <w:pPr>
        <w:jc w:val="both"/>
        <w:divId w:val="1464540335"/>
        <w:rPr>
          <w:rFonts w:eastAsia="Times New Roman"/>
        </w:rPr>
      </w:pPr>
      <w:r>
        <w:rPr>
          <w:rFonts w:eastAsia="Times New Roman"/>
          <w:color w:val="000000"/>
          <w:sz w:val="20"/>
          <w:szCs w:val="20"/>
        </w:rPr>
        <w:t>We consider a variety of fi</w:t>
      </w:r>
      <w:r>
        <w:rPr>
          <w:rFonts w:eastAsia="Times New Roman"/>
          <w:color w:val="000000"/>
          <w:sz w:val="20"/>
          <w:szCs w:val="20"/>
        </w:rPr>
        <w:t>nancial and operating measures in assessing the performance of our business. The key measures we use to determine how our consolidated business and operating segments are performing are net revenue, costs applicable to revenue, and selling, general, and ad</w:t>
      </w:r>
      <w:r>
        <w:rPr>
          <w:rFonts w:eastAsia="Times New Roman"/>
          <w:color w:val="000000"/>
          <w:sz w:val="20"/>
          <w:szCs w:val="20"/>
        </w:rPr>
        <w:t>ministrative expenses. In addition, we also review store growth, Adjusted Comparable Store Sales Growth, Adjusted Operating Income, Adjusted Operating Margin, Adjusted EBITDA, Adjusted EBITDA Margin and Adjusted Diluted EPS.</w:t>
      </w:r>
    </w:p>
    <w:p w:rsidR="00000000" w:rsidRDefault="002B18C2">
      <w:pPr>
        <w:jc w:val="both"/>
        <w:divId w:val="1883244018"/>
        <w:rPr>
          <w:rFonts w:eastAsia="Times New Roman"/>
        </w:rPr>
      </w:pPr>
      <w:r>
        <w:rPr>
          <w:rFonts w:eastAsia="Times New Roman"/>
          <w:i/>
          <w:iCs/>
          <w:color w:val="000000"/>
          <w:sz w:val="20"/>
          <w:szCs w:val="20"/>
        </w:rPr>
        <w:t>Net Revenue</w:t>
      </w:r>
    </w:p>
    <w:p w:rsidR="00000000" w:rsidRDefault="002B18C2">
      <w:pPr>
        <w:jc w:val="both"/>
        <w:divId w:val="487138296"/>
        <w:rPr>
          <w:rFonts w:eastAsia="Times New Roman"/>
        </w:rPr>
      </w:pPr>
      <w:r>
        <w:rPr>
          <w:rFonts w:eastAsia="Times New Roman"/>
          <w:color w:val="000000"/>
          <w:sz w:val="20"/>
          <w:szCs w:val="20"/>
        </w:rPr>
        <w:t>We report as net revenue amounts generated in transactions with retail customers who are the end users of our products, services, and plans. Net product sales include sales of prescription and non-prescription eyewear, contact lenses, and related accessori</w:t>
      </w:r>
      <w:r>
        <w:rPr>
          <w:rFonts w:eastAsia="Times New Roman"/>
          <w:color w:val="000000"/>
          <w:sz w:val="20"/>
          <w:szCs w:val="20"/>
        </w:rPr>
        <w:t>es as well as eye exam services associated with our America’s Best brand’s signature offer of two pairs of eyeglasses and a free eye exam for one low price (“two-pair offer”) to retail customers and sales of inventory in which our customer is another retai</w:t>
      </w:r>
      <w:r>
        <w:rPr>
          <w:rFonts w:eastAsia="Times New Roman"/>
          <w:color w:val="000000"/>
          <w:sz w:val="20"/>
          <w:szCs w:val="20"/>
        </w:rPr>
        <w:t>l entity. Net sales of services and plans include sales of eye exams, eye care club memberships, product protection plans (i.e., warranties), and single service eye care plans in California. Net sales of services and plans also include fees we earn for man</w:t>
      </w:r>
      <w:r>
        <w:rPr>
          <w:rFonts w:eastAsia="Times New Roman"/>
          <w:color w:val="000000"/>
          <w:sz w:val="20"/>
          <w:szCs w:val="20"/>
        </w:rPr>
        <w:t>aging certain Vision Centers located in Walmart stores and for laboratory services provided to Walmart.</w:t>
      </w:r>
    </w:p>
    <w:p w:rsidR="00000000" w:rsidRDefault="002B18C2">
      <w:pPr>
        <w:jc w:val="center"/>
        <w:divId w:val="1952319643"/>
        <w:rPr>
          <w:rFonts w:eastAsia="Times New Roman"/>
        </w:rPr>
      </w:pPr>
      <w:r>
        <w:rPr>
          <w:rFonts w:eastAsia="Times New Roman"/>
          <w:color w:val="000000"/>
          <w:sz w:val="20"/>
          <w:szCs w:val="20"/>
        </w:rPr>
        <w:t>28</w:t>
      </w:r>
    </w:p>
    <w:p w:rsidR="00000000" w:rsidRDefault="002B18C2">
      <w:pPr>
        <w:rPr>
          <w:rFonts w:eastAsia="Times New Roman"/>
        </w:rPr>
      </w:pPr>
      <w:r>
        <w:rPr>
          <w:rFonts w:eastAsia="Times New Roman"/>
        </w:rPr>
        <w:pict>
          <v:rect id="_x0000_i1052" style="width:0;height:1.5pt" o:hralign="center" o:hrstd="t" o:hr="t" fillcolor="#a0a0a0" stroked="f"/>
        </w:pict>
      </w:r>
    </w:p>
    <w:p w:rsidR="00000000" w:rsidRDefault="002B18C2">
      <w:pPr>
        <w:divId w:val="1585604852"/>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649484156"/>
        <w:rPr>
          <w:rFonts w:eastAsia="Times New Roman"/>
        </w:rPr>
      </w:pPr>
      <w:r>
        <w:rPr>
          <w:rFonts w:eastAsia="Times New Roman"/>
          <w:i/>
          <w:iCs/>
          <w:color w:val="000000"/>
          <w:sz w:val="20"/>
          <w:szCs w:val="20"/>
        </w:rPr>
        <w:t>Costs Applicable to Revenue</w:t>
      </w:r>
    </w:p>
    <w:p w:rsidR="00000000" w:rsidRDefault="002B18C2">
      <w:pPr>
        <w:jc w:val="both"/>
        <w:divId w:val="1306473328"/>
        <w:rPr>
          <w:rFonts w:eastAsia="Times New Roman"/>
        </w:rPr>
      </w:pPr>
      <w:r>
        <w:rPr>
          <w:rFonts w:eastAsia="Times New Roman"/>
          <w:color w:val="000000"/>
          <w:sz w:val="20"/>
          <w:szCs w:val="20"/>
        </w:rPr>
        <w:t>Costs ap</w:t>
      </w:r>
      <w:r>
        <w:rPr>
          <w:rFonts w:eastAsia="Times New Roman"/>
          <w:color w:val="000000"/>
          <w:sz w:val="20"/>
          <w:szCs w:val="20"/>
        </w:rPr>
        <w:t>plicable to revenue include both costs of net product sales and costs of net sales of services and plans. Costs of net product sales include (i) costs to procure non-prescription eyewear, contact lenses, and accessories, which we purchase and sell in finis</w:t>
      </w:r>
      <w:r>
        <w:rPr>
          <w:rFonts w:eastAsia="Times New Roman"/>
          <w:color w:val="000000"/>
          <w:sz w:val="20"/>
          <w:szCs w:val="20"/>
        </w:rPr>
        <w:t>hed form, (ii) costs to manufacture finished prescription eyeglasses, including direct materials, labor, and overhead, and (iii) remake costs, warehousing and distribution expenses, and internal transfer costs. Costs of services and plans include costs ass</w:t>
      </w:r>
      <w:r>
        <w:rPr>
          <w:rFonts w:eastAsia="Times New Roman"/>
          <w:color w:val="000000"/>
          <w:sz w:val="20"/>
          <w:szCs w:val="20"/>
        </w:rPr>
        <w:t xml:space="preserve">ociated with product protection plan programs, eye care club memberships, single service eye care plans in California, eye care practitioner and eye exam technician payroll, taxes and benefits and optometric service costs. Customer tastes and preferences, </w:t>
      </w:r>
      <w:r>
        <w:rPr>
          <w:rFonts w:eastAsia="Times New Roman"/>
          <w:color w:val="000000"/>
          <w:sz w:val="20"/>
          <w:szCs w:val="20"/>
        </w:rPr>
        <w:t>product mix, changes in technology, significant increases or slowdowns in production, and other factors impact costs applicable to revenue. The components of our costs applicable to revenue may not be comparable to other retailers.</w:t>
      </w:r>
    </w:p>
    <w:p w:rsidR="00000000" w:rsidRDefault="002B18C2">
      <w:pPr>
        <w:jc w:val="both"/>
        <w:divId w:val="1661887055"/>
        <w:rPr>
          <w:rFonts w:eastAsia="Times New Roman"/>
        </w:rPr>
      </w:pPr>
      <w:r>
        <w:rPr>
          <w:rFonts w:eastAsia="Times New Roman"/>
          <w:i/>
          <w:iCs/>
          <w:color w:val="000000"/>
          <w:sz w:val="20"/>
          <w:szCs w:val="20"/>
        </w:rPr>
        <w:t>Selling, General and Adm</w:t>
      </w:r>
      <w:r>
        <w:rPr>
          <w:rFonts w:eastAsia="Times New Roman"/>
          <w:i/>
          <w:iCs/>
          <w:color w:val="000000"/>
          <w:sz w:val="20"/>
          <w:szCs w:val="20"/>
        </w:rPr>
        <w:t>inistrative</w:t>
      </w:r>
    </w:p>
    <w:p w:rsidR="00000000" w:rsidRDefault="002B18C2">
      <w:pPr>
        <w:jc w:val="both"/>
        <w:divId w:val="141428197"/>
        <w:rPr>
          <w:rFonts w:eastAsia="Times New Roman"/>
        </w:rPr>
      </w:pPr>
      <w:r>
        <w:rPr>
          <w:rFonts w:eastAsia="Times New Roman"/>
          <w:color w:val="000000"/>
          <w:sz w:val="20"/>
          <w:szCs w:val="20"/>
        </w:rPr>
        <w:t>Selling, general and administrative expenses, or SG&amp;A, include store associate (including optician) payroll, taxes and benefits, occupancy, advertising and promotion, field services, corporate support and other costs associated with the provisi</w:t>
      </w:r>
      <w:r>
        <w:rPr>
          <w:rFonts w:eastAsia="Times New Roman"/>
          <w:color w:val="000000"/>
          <w:sz w:val="20"/>
          <w:szCs w:val="20"/>
        </w:rPr>
        <w:t>on of vision care services. SG&amp;A generally fluctuates consistently with revenue due to the variable store, field office and corporate support costs; however, some fixed costs slightly improve as a percentage of net revenue as our net revenues grow over tim</w:t>
      </w:r>
      <w:r>
        <w:rPr>
          <w:rFonts w:eastAsia="Times New Roman"/>
          <w:color w:val="000000"/>
          <w:sz w:val="20"/>
          <w:szCs w:val="20"/>
        </w:rPr>
        <w:t>e.</w:t>
      </w:r>
    </w:p>
    <w:p w:rsidR="00000000" w:rsidRDefault="002B18C2">
      <w:pPr>
        <w:jc w:val="both"/>
        <w:divId w:val="962612758"/>
        <w:rPr>
          <w:rFonts w:eastAsia="Times New Roman"/>
        </w:rPr>
      </w:pPr>
      <w:r>
        <w:rPr>
          <w:rFonts w:eastAsia="Times New Roman"/>
          <w:i/>
          <w:iCs/>
          <w:color w:val="000000"/>
          <w:sz w:val="20"/>
          <w:szCs w:val="20"/>
        </w:rPr>
        <w:t>New Store Openings</w:t>
      </w:r>
    </w:p>
    <w:p w:rsidR="00000000" w:rsidRDefault="002B18C2">
      <w:pPr>
        <w:jc w:val="both"/>
        <w:divId w:val="1266229787"/>
        <w:rPr>
          <w:rFonts w:eastAsia="Times New Roman"/>
        </w:rPr>
      </w:pPr>
      <w:r>
        <w:rPr>
          <w:rFonts w:eastAsia="Times New Roman"/>
          <w:color w:val="000000"/>
          <w:sz w:val="20"/>
          <w:szCs w:val="20"/>
        </w:rPr>
        <w:t>The total number of new stores per year and the timing of store openings has, and will continue to have, an impact on our re</w:t>
      </w:r>
      <w:r>
        <w:rPr>
          <w:rFonts w:eastAsia="Times New Roman"/>
          <w:color w:val="000000"/>
          <w:sz w:val="20"/>
          <w:szCs w:val="20"/>
          <w:shd w:val="clear" w:color="auto" w:fill="FFFFFF"/>
        </w:rPr>
        <w:t>sults.</w:t>
      </w:r>
      <w:r>
        <w:rPr>
          <w:rFonts w:eastAsia="Times New Roman"/>
          <w:color w:val="000000"/>
          <w:sz w:val="20"/>
          <w:szCs w:val="20"/>
        </w:rPr>
        <w:t xml:space="preserve"> In an effort to conserve cash early in the COVID-19 pandemic, we temporarily paused new store openings </w:t>
      </w:r>
      <w:r>
        <w:rPr>
          <w:rFonts w:eastAsia="Times New Roman"/>
          <w:color w:val="000000"/>
          <w:sz w:val="20"/>
          <w:szCs w:val="20"/>
        </w:rPr>
        <w:t>during a portion of the fiscal year 2020. We expect to open approximate</w:t>
      </w:r>
      <w:r>
        <w:rPr>
          <w:rFonts w:eastAsia="Times New Roman"/>
          <w:color w:val="000000"/>
          <w:sz w:val="20"/>
          <w:szCs w:val="20"/>
          <w:shd w:val="clear" w:color="auto" w:fill="FFFFFF"/>
        </w:rPr>
        <w:t>ly 75</w:t>
      </w:r>
      <w:r>
        <w:rPr>
          <w:rFonts w:eastAsia="Times New Roman"/>
          <w:color w:val="000000"/>
          <w:sz w:val="20"/>
          <w:szCs w:val="20"/>
        </w:rPr>
        <w:t xml:space="preserve"> stores in the current year. We will continue to monitor and determine our plans for future new store openings based on based</w:t>
      </w:r>
      <w:r>
        <w:rPr>
          <w:rFonts w:eastAsia="Times New Roman"/>
          <w:color w:val="000000"/>
          <w:sz w:val="20"/>
          <w:szCs w:val="20"/>
          <w:shd w:val="clear" w:color="auto" w:fill="FFFFFF"/>
        </w:rPr>
        <w:t xml:space="preserve"> on health, safety and economic conditions.</w:t>
      </w:r>
    </w:p>
    <w:p w:rsidR="00000000" w:rsidRDefault="002B18C2">
      <w:pPr>
        <w:jc w:val="both"/>
        <w:divId w:val="60833442"/>
        <w:rPr>
          <w:rFonts w:eastAsia="Times New Roman"/>
        </w:rPr>
      </w:pPr>
      <w:r>
        <w:rPr>
          <w:rFonts w:eastAsia="Times New Roman"/>
          <w:i/>
          <w:iCs/>
          <w:color w:val="000000"/>
          <w:sz w:val="20"/>
          <w:szCs w:val="20"/>
        </w:rPr>
        <w:t>Adjusted Co</w:t>
      </w:r>
      <w:r>
        <w:rPr>
          <w:rFonts w:eastAsia="Times New Roman"/>
          <w:i/>
          <w:iCs/>
          <w:color w:val="000000"/>
          <w:sz w:val="20"/>
          <w:szCs w:val="20"/>
        </w:rPr>
        <w:t>mparable Store Sales Growth</w:t>
      </w:r>
    </w:p>
    <w:p w:rsidR="00000000" w:rsidRDefault="002B18C2">
      <w:pPr>
        <w:jc w:val="both"/>
        <w:divId w:val="1439257511"/>
        <w:rPr>
          <w:rFonts w:eastAsia="Times New Roman"/>
        </w:rPr>
      </w:pPr>
      <w:r>
        <w:rPr>
          <w:rFonts w:eastAsia="Times New Roman"/>
          <w:color w:val="000000"/>
          <w:sz w:val="20"/>
          <w:szCs w:val="20"/>
        </w:rPr>
        <w:t xml:space="preserve">We measure Adjusted Comparable Store Sales Growth as the increase or decrease in sales recorded by the comparable store base in any reporting period, compared to sales recorded by the comparable store base in the prior reporting period, which we calculate </w:t>
      </w:r>
      <w:r>
        <w:rPr>
          <w:rFonts w:eastAsia="Times New Roman"/>
          <w:color w:val="000000"/>
          <w:sz w:val="20"/>
          <w:szCs w:val="20"/>
        </w:rPr>
        <w:t>as follows: (i) sales are recorded on a cash basis (i.e., when the order is placed and paid for or submitted to a managed care payor, compared to when the order is delivered), utilizing cash basis point of sale information from stores; (ii) stores are adde</w:t>
      </w:r>
      <w:r>
        <w:rPr>
          <w:rFonts w:eastAsia="Times New Roman"/>
          <w:color w:val="000000"/>
          <w:sz w:val="20"/>
          <w:szCs w:val="20"/>
        </w:rPr>
        <w:t>d to the calculation during the 13th full fiscal month following the store’s opening; (iii) closed stores are removed from the calculation for time periods that are not comparable; (iv) sales from partial months of operation are excluded when stores do not</w:t>
      </w:r>
      <w:r>
        <w:rPr>
          <w:rFonts w:eastAsia="Times New Roman"/>
          <w:color w:val="000000"/>
          <w:sz w:val="20"/>
          <w:szCs w:val="20"/>
        </w:rPr>
        <w:t xml:space="preserve"> open or close on the first day of the month; and (v) when applicable, we adjust for the effect of the 53rd week. Quarterly, year-to-date and annual adjusted comparable store sales are aggregated using only sales from all whole months of operation included</w:t>
      </w:r>
      <w:r>
        <w:rPr>
          <w:rFonts w:eastAsia="Times New Roman"/>
          <w:color w:val="000000"/>
          <w:sz w:val="20"/>
          <w:szCs w:val="20"/>
        </w:rPr>
        <w:t xml:space="preserve"> in both the current reporting period and the prior reporting period. When a partial month is excluded from the calculation, the corresponding month in the subsequent period is also excluded from the calculation. There may be variations in the way in which</w:t>
      </w:r>
      <w:r>
        <w:rPr>
          <w:rFonts w:eastAsia="Times New Roman"/>
          <w:color w:val="000000"/>
          <w:sz w:val="20"/>
          <w:szCs w:val="20"/>
        </w:rPr>
        <w:t xml:space="preserve"> some of our competitors and other retailers calculate comparable store sales. As a result, our adjusted comparable store sales may not be comparable to similar data made available by other retailers. We did not revise our calculation of Adjusted Comparabl</w:t>
      </w:r>
      <w:r>
        <w:rPr>
          <w:rFonts w:eastAsia="Times New Roman"/>
          <w:color w:val="000000"/>
          <w:sz w:val="20"/>
          <w:szCs w:val="20"/>
        </w:rPr>
        <w:t>e Store Sales Growth for the temporary closure of our stores to the public as a result of the COVID-19 pandemic.</w:t>
      </w:r>
    </w:p>
    <w:p w:rsidR="00000000" w:rsidRDefault="002B18C2">
      <w:pPr>
        <w:jc w:val="both"/>
        <w:divId w:val="1048457001"/>
        <w:rPr>
          <w:rFonts w:eastAsia="Times New Roman"/>
        </w:rPr>
      </w:pPr>
      <w:r>
        <w:rPr>
          <w:rFonts w:eastAsia="Times New Roman"/>
          <w:color w:val="000000"/>
          <w:sz w:val="20"/>
          <w:szCs w:val="20"/>
        </w:rPr>
        <w:t>Adjusted Comparable Store Sales Growth is a non-GAAP financial measure, which we believe is useful because it provides timely and accurate info</w:t>
      </w:r>
      <w:r>
        <w:rPr>
          <w:rFonts w:eastAsia="Times New Roman"/>
          <w:color w:val="000000"/>
          <w:sz w:val="20"/>
          <w:szCs w:val="20"/>
        </w:rPr>
        <w:t xml:space="preserve">rmation relating to the two core metrics of retail sales: number of transactions and value of transactions. We use Adjusted Comparable Store Sales Growth as the basis for key operating decisions, such as allocation of advertising to particular markets and </w:t>
      </w:r>
      <w:r>
        <w:rPr>
          <w:rFonts w:eastAsia="Times New Roman"/>
          <w:color w:val="000000"/>
          <w:sz w:val="20"/>
          <w:szCs w:val="20"/>
        </w:rPr>
        <w:t>implementation of special marketing programs. Accordingly, we believe that Adjusted Comparable Store Sales Growth provides timely and accurate information relating to the operational health and overall performance of each brand. We also believe that, for t</w:t>
      </w:r>
      <w:r>
        <w:rPr>
          <w:rFonts w:eastAsia="Times New Roman"/>
          <w:color w:val="000000"/>
          <w:sz w:val="20"/>
          <w:szCs w:val="20"/>
        </w:rPr>
        <w:t>he same reasons, investors find our calculation of Adjusted Comparable Stores Sales Growth to be meaningful.</w:t>
      </w:r>
    </w:p>
    <w:p w:rsidR="00000000" w:rsidRDefault="002B18C2">
      <w:pPr>
        <w:jc w:val="center"/>
        <w:divId w:val="1085152947"/>
        <w:rPr>
          <w:rFonts w:eastAsia="Times New Roman"/>
        </w:rPr>
      </w:pPr>
      <w:r>
        <w:rPr>
          <w:rFonts w:eastAsia="Times New Roman"/>
          <w:color w:val="000000"/>
          <w:sz w:val="20"/>
          <w:szCs w:val="20"/>
        </w:rPr>
        <w:t>29</w:t>
      </w:r>
    </w:p>
    <w:p w:rsidR="00000000" w:rsidRDefault="002B18C2">
      <w:pPr>
        <w:rPr>
          <w:rFonts w:eastAsia="Times New Roman"/>
        </w:rPr>
      </w:pPr>
      <w:r>
        <w:rPr>
          <w:rFonts w:eastAsia="Times New Roman"/>
        </w:rPr>
        <w:pict>
          <v:rect id="_x0000_i1053" style="width:0;height:1.5pt" o:hralign="center" o:hrstd="t" o:hr="t" fillcolor="#a0a0a0" stroked="f"/>
        </w:pict>
      </w:r>
    </w:p>
    <w:p w:rsidR="00000000" w:rsidRDefault="002B18C2">
      <w:pPr>
        <w:divId w:val="1058944049"/>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682634917"/>
        <w:rPr>
          <w:rFonts w:eastAsia="Times New Roman"/>
        </w:rPr>
      </w:pPr>
      <w:r>
        <w:rPr>
          <w:rFonts w:eastAsia="Times New Roman"/>
          <w:i/>
          <w:iCs/>
          <w:color w:val="000000"/>
          <w:sz w:val="20"/>
          <w:szCs w:val="20"/>
        </w:rPr>
        <w:t>Adjusted Operating Income, Adjus</w:t>
      </w:r>
      <w:r>
        <w:rPr>
          <w:rFonts w:eastAsia="Times New Roman"/>
          <w:i/>
          <w:iCs/>
          <w:color w:val="000000"/>
          <w:sz w:val="20"/>
          <w:szCs w:val="20"/>
        </w:rPr>
        <w:t>ted Operating Margin, Adjusted EBITDA, Adjusted EBITDA Margin and Adjusted Diluted EPS (collectively, the “Company Non-GAAP Measures”)</w:t>
      </w:r>
    </w:p>
    <w:p w:rsidR="00000000" w:rsidRDefault="002B18C2">
      <w:pPr>
        <w:jc w:val="both"/>
        <w:divId w:val="2128423792"/>
        <w:rPr>
          <w:rFonts w:eastAsia="Times New Roman"/>
        </w:rPr>
      </w:pPr>
      <w:r>
        <w:rPr>
          <w:rFonts w:eastAsia="Times New Roman"/>
          <w:color w:val="000000"/>
          <w:sz w:val="20"/>
          <w:szCs w:val="20"/>
        </w:rPr>
        <w:t>The Company Non-GAAP Measures are key measures used by management to assess our financial performance. The Company Non-GA</w:t>
      </w:r>
      <w:r>
        <w:rPr>
          <w:rFonts w:eastAsia="Times New Roman"/>
          <w:color w:val="000000"/>
          <w:sz w:val="20"/>
          <w:szCs w:val="20"/>
        </w:rPr>
        <w:t>AP Measures are also frequently used by analysts, investors and other interested parties. We use the Company Non-GAAP Measures to supplement U.S. GAAP measures of performance to evaluate the effectiveness of our business strategies, to make budgeting decis</w:t>
      </w:r>
      <w:r>
        <w:rPr>
          <w:rFonts w:eastAsia="Times New Roman"/>
          <w:color w:val="000000"/>
          <w:sz w:val="20"/>
          <w:szCs w:val="20"/>
        </w:rPr>
        <w:t>ions, to establish discretionary annual incentive compensation and to compare our performance against that of other peer companies using similar measures. See “Non-GAAP Financial Measures” for definitions of the Company Non-GAAP Measures and for additional</w:t>
      </w:r>
      <w:r>
        <w:rPr>
          <w:rFonts w:eastAsia="Times New Roman"/>
          <w:color w:val="000000"/>
          <w:sz w:val="20"/>
          <w:szCs w:val="20"/>
        </w:rPr>
        <w:t xml:space="preserve"> information.</w:t>
      </w:r>
    </w:p>
    <w:p w:rsidR="00000000" w:rsidRDefault="002B18C2">
      <w:pPr>
        <w:jc w:val="center"/>
        <w:divId w:val="186986240"/>
        <w:rPr>
          <w:rFonts w:eastAsia="Times New Roman"/>
        </w:rPr>
      </w:pPr>
      <w:r>
        <w:rPr>
          <w:rFonts w:eastAsia="Times New Roman"/>
          <w:color w:val="000000"/>
          <w:sz w:val="20"/>
          <w:szCs w:val="20"/>
        </w:rPr>
        <w:t>30</w:t>
      </w:r>
    </w:p>
    <w:p w:rsidR="00000000" w:rsidRDefault="002B18C2">
      <w:pPr>
        <w:rPr>
          <w:rFonts w:eastAsia="Times New Roman"/>
        </w:rPr>
      </w:pPr>
      <w:r>
        <w:rPr>
          <w:rFonts w:eastAsia="Times New Roman"/>
        </w:rPr>
        <w:pict>
          <v:rect id="_x0000_i1054" style="width:0;height:1.5pt" o:hralign="center" o:hrstd="t" o:hr="t" fillcolor="#a0a0a0" stroked="f"/>
        </w:pict>
      </w:r>
    </w:p>
    <w:p w:rsidR="00000000" w:rsidRDefault="002B18C2">
      <w:pPr>
        <w:divId w:val="1817992838"/>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175273917"/>
        <w:rPr>
          <w:rFonts w:eastAsia="Times New Roman"/>
        </w:rPr>
      </w:pPr>
      <w:r>
        <w:rPr>
          <w:rFonts w:eastAsia="Times New Roman"/>
          <w:b/>
          <w:bCs/>
          <w:color w:val="000000"/>
          <w:sz w:val="20"/>
          <w:szCs w:val="20"/>
        </w:rPr>
        <w:t>Results of Operations</w:t>
      </w:r>
    </w:p>
    <w:p w:rsidR="00000000" w:rsidRDefault="002B18C2">
      <w:pPr>
        <w:jc w:val="both"/>
        <w:divId w:val="1192186516"/>
        <w:rPr>
          <w:rFonts w:eastAsia="Times New Roman"/>
        </w:rPr>
      </w:pPr>
      <w:r>
        <w:rPr>
          <w:rFonts w:eastAsia="Times New Roman"/>
          <w:color w:val="000000"/>
          <w:sz w:val="20"/>
          <w:szCs w:val="20"/>
        </w:rPr>
        <w:t>The following table summarizes key components of our results of operations for the periods indicated, both in dollars and as a percentage of our net revenue.</w:t>
      </w:r>
    </w:p>
    <w:tbl>
      <w:tblPr>
        <w:tblW w:w="5000" w:type="pct"/>
        <w:tblCellMar>
          <w:top w:w="15" w:type="dxa"/>
          <w:left w:w="15" w:type="dxa"/>
          <w:bottom w:w="15" w:type="dxa"/>
          <w:right w:w="15" w:type="dxa"/>
        </w:tblCellMar>
        <w:tblLook w:val="04A0" w:firstRow="1" w:lastRow="0" w:firstColumn="1" w:lastColumn="0" w:noHBand="0" w:noVBand="1"/>
      </w:tblPr>
      <w:tblGrid>
        <w:gridCol w:w="40"/>
        <w:gridCol w:w="3230"/>
        <w:gridCol w:w="39"/>
        <w:gridCol w:w="121"/>
        <w:gridCol w:w="858"/>
        <w:gridCol w:w="188"/>
        <w:gridCol w:w="36"/>
        <w:gridCol w:w="36"/>
        <w:gridCol w:w="36"/>
        <w:gridCol w:w="121"/>
        <w:gridCol w:w="824"/>
        <w:gridCol w:w="187"/>
        <w:gridCol w:w="36"/>
        <w:gridCol w:w="36"/>
        <w:gridCol w:w="36"/>
        <w:gridCol w:w="121"/>
        <w:gridCol w:w="932"/>
        <w:gridCol w:w="189"/>
        <w:gridCol w:w="36"/>
        <w:gridCol w:w="36"/>
        <w:gridCol w:w="36"/>
        <w:gridCol w:w="121"/>
        <w:gridCol w:w="824"/>
        <w:gridCol w:w="187"/>
      </w:tblGrid>
      <w:tr w:rsidR="00000000">
        <w:trPr>
          <w:divId w:val="60300451"/>
        </w:trPr>
        <w:tc>
          <w:tcPr>
            <w:tcW w:w="50" w:type="pct"/>
            <w:vAlign w:val="center"/>
            <w:hideMark/>
          </w:tcPr>
          <w:p w:rsidR="00000000" w:rsidRDefault="002B18C2">
            <w:pPr>
              <w:jc w:val="both"/>
              <w:rPr>
                <w:rFonts w:eastAsia="Times New Roman"/>
              </w:rPr>
            </w:pPr>
          </w:p>
        </w:tc>
        <w:tc>
          <w:tcPr>
            <w:tcW w:w="210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26"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26"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26"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626"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60300451"/>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Nine Months Ended</w:t>
            </w:r>
          </w:p>
        </w:tc>
      </w:tr>
      <w:tr w:rsidR="00000000">
        <w:trPr>
          <w:divId w:val="60300451"/>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 except earnings per share, percentage and store data</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September 26, 2020</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September 26, 2020</w:t>
            </w:r>
          </w:p>
        </w:tc>
      </w:tr>
      <w:tr w:rsidR="00000000">
        <w:trPr>
          <w:divId w:val="60300451"/>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60300451"/>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product sales</w:t>
            </w: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425,594</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403,336</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1,326,867</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1,005,884</w:t>
            </w:r>
          </w:p>
        </w:tc>
      </w:tr>
      <w:tr w:rsidR="00000000">
        <w:trPr>
          <w:divId w:val="60300451"/>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xml:space="preserve">Net sales of services and plans </w:t>
            </w: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92,411</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82,017</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274,807</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209,180</w:t>
            </w:r>
          </w:p>
        </w:tc>
      </w:tr>
      <w:tr w:rsidR="00000000">
        <w:trPr>
          <w:divId w:val="60300451"/>
        </w:trPr>
        <w:tc>
          <w:tcPr>
            <w:tcW w:w="0" w:type="auto"/>
            <w:gridSpan w:val="3"/>
            <w:shd w:val="clear" w:color="auto" w:fill="FFFFFF"/>
            <w:tcMar>
              <w:top w:w="30" w:type="dxa"/>
              <w:left w:w="38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Total net revenue</w:t>
            </w: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518,005</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485,353</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1,601,674</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1,215,064</w:t>
            </w:r>
          </w:p>
        </w:tc>
      </w:tr>
      <w:tr w:rsidR="00000000">
        <w:trPr>
          <w:divId w:val="60300451"/>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Costs applicable to revenue (exclusive of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60300451"/>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Products</w:t>
            </w: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158,371</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148,274</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485,090</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402,279</w:t>
            </w:r>
          </w:p>
        </w:tc>
      </w:tr>
      <w:tr w:rsidR="00000000">
        <w:trPr>
          <w:divId w:val="60300451"/>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Services and plans</w:t>
            </w: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68,087</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62,535</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202,004</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167,864</w:t>
            </w:r>
          </w:p>
        </w:tc>
      </w:tr>
      <w:tr w:rsidR="00000000">
        <w:trPr>
          <w:divId w:val="60300451"/>
        </w:trPr>
        <w:tc>
          <w:tcPr>
            <w:tcW w:w="0" w:type="auto"/>
            <w:gridSpan w:val="3"/>
            <w:shd w:val="clear" w:color="auto" w:fill="FFFFFF"/>
            <w:tcMar>
              <w:top w:w="30" w:type="dxa"/>
              <w:left w:w="38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Total costs applicable to revenue</w:t>
            </w: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226,458</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210,809</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687,094</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570,143</w:t>
            </w:r>
          </w:p>
        </w:tc>
      </w:tr>
      <w:tr w:rsidR="00000000">
        <w:trPr>
          <w:divId w:val="60300451"/>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60300451"/>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218,214</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190,518</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676,042</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520,841</w:t>
            </w:r>
          </w:p>
        </w:tc>
      </w:tr>
      <w:tr w:rsidR="00000000">
        <w:trPr>
          <w:divId w:val="60300451"/>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25,059</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22,236</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72,639</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68,970</w:t>
            </w:r>
          </w:p>
        </w:tc>
      </w:tr>
      <w:tr w:rsidR="00000000">
        <w:trPr>
          <w:divId w:val="60300451"/>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Asset impairment</w:t>
            </w: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7,150</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1,478</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20,916</w:t>
            </w:r>
          </w:p>
        </w:tc>
      </w:tr>
      <w:tr w:rsidR="00000000">
        <w:trPr>
          <w:divId w:val="60300451"/>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Litigation settlement</w:t>
            </w: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4,395</w:t>
            </w:r>
          </w:p>
        </w:tc>
      </w:tr>
      <w:tr w:rsidR="00000000">
        <w:trPr>
          <w:divId w:val="60300451"/>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Other expense (income), net</w:t>
            </w: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(2,437)</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(154)</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(2,567)</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(312)</w:t>
            </w:r>
          </w:p>
        </w:tc>
      </w:tr>
      <w:tr w:rsidR="00000000">
        <w:trPr>
          <w:divId w:val="60300451"/>
        </w:trPr>
        <w:tc>
          <w:tcPr>
            <w:tcW w:w="0" w:type="auto"/>
            <w:gridSpan w:val="3"/>
            <w:shd w:val="clear" w:color="auto" w:fill="CCEEFF"/>
            <w:tcMar>
              <w:top w:w="30" w:type="dxa"/>
              <w:left w:w="38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xml:space="preserve">Total operating expenses </w:t>
            </w: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240,836</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219,750</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747,592</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614,810</w:t>
            </w:r>
          </w:p>
        </w:tc>
      </w:tr>
      <w:tr w:rsidR="00000000">
        <w:trPr>
          <w:divId w:val="60300451"/>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Income from operations</w:t>
            </w: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50,711</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54,794</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166,988</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30,111</w:t>
            </w:r>
          </w:p>
        </w:tc>
      </w:tr>
      <w:tr w:rsidR="00000000">
        <w:trPr>
          <w:divId w:val="60300451"/>
        </w:trPr>
        <w:tc>
          <w:tcPr>
            <w:tcW w:w="0" w:type="auto"/>
            <w:gridSpan w:val="3"/>
            <w:shd w:val="clear" w:color="auto" w:fill="CCEE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Interest expense, net</w:t>
            </w: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5,743</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12,475</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22,169</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35,432</w:t>
            </w:r>
          </w:p>
        </w:tc>
      </w:tr>
      <w:tr w:rsidR="00000000">
        <w:trPr>
          <w:divId w:val="60300451"/>
        </w:trPr>
        <w:tc>
          <w:tcPr>
            <w:tcW w:w="0" w:type="auto"/>
            <w:gridSpan w:val="3"/>
            <w:shd w:val="clear" w:color="auto" w:fill="FFFFFF"/>
            <w:tcMar>
              <w:top w:w="30" w:type="dxa"/>
              <w:left w:w="24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Debt issuance costs</w:t>
            </w: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92</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136</w:t>
            </w:r>
          </w:p>
        </w:tc>
      </w:tr>
      <w:tr w:rsidR="00000000">
        <w:trPr>
          <w:divId w:val="60300451"/>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Earnings (loss) before income taxes</w:t>
            </w: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44,968</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42,319</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144,727</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(5,457)</w:t>
            </w:r>
          </w:p>
        </w:tc>
      </w:tr>
      <w:tr w:rsidR="00000000">
        <w:trPr>
          <w:divId w:val="60300451"/>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Income tax provision (benefit)</w:t>
            </w: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3,976</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7,030</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22,702</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(6,655)</w:t>
            </w:r>
          </w:p>
        </w:tc>
      </w:tr>
      <w:tr w:rsidR="00000000">
        <w:trPr>
          <w:divId w:val="60300451"/>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40,992</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35,289</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122,025</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1,198</w:t>
            </w:r>
          </w:p>
        </w:tc>
      </w:tr>
      <w:tr w:rsidR="00000000">
        <w:trPr>
          <w:divId w:val="60300451"/>
          <w:trHeight w:val="180"/>
        </w:trPr>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60300451"/>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Operating data:</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60300451"/>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Number of stores open at end of period</w:t>
            </w: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1,262</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1,201</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1,262</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1,201</w:t>
            </w:r>
          </w:p>
        </w:tc>
      </w:tr>
      <w:tr w:rsidR="00000000">
        <w:trPr>
          <w:divId w:val="60300451"/>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New stores opened during the period</w:t>
            </w: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14</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18</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59</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57</w:t>
            </w:r>
          </w:p>
        </w:tc>
      </w:tr>
      <w:tr w:rsidR="00000000">
        <w:trPr>
          <w:divId w:val="60300451"/>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Adjusted Operating Income</w:t>
            </w: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54,736</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67,742</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187,985</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71,381</w:t>
            </w:r>
          </w:p>
        </w:tc>
      </w:tr>
      <w:tr w:rsidR="00000000">
        <w:trPr>
          <w:divId w:val="60300451"/>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Diluted EPS</w:t>
            </w: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0.45</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0.42</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1.34</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0.01</w:t>
            </w:r>
          </w:p>
        </w:tc>
      </w:tr>
      <w:tr w:rsidR="00000000">
        <w:trPr>
          <w:divId w:val="60300451"/>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Adjusted Diluted EPS</w:t>
            </w: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0.38</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0.54</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1.35</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0.42</w:t>
            </w:r>
          </w:p>
        </w:tc>
      </w:tr>
      <w:tr w:rsidR="00000000">
        <w:trPr>
          <w:divId w:val="60300451"/>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xml:space="preserve">Adjusted EBITDA </w:t>
            </w: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77,923</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88,127</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255,008</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2B18C2">
            <w:pPr>
              <w:spacing w:after="100"/>
              <w:jc w:val="right"/>
              <w:rPr>
                <w:rFonts w:eastAsia="Times New Roman"/>
              </w:rPr>
            </w:pPr>
            <w:r>
              <w:rPr>
                <w:rFonts w:eastAsia="Times New Roman"/>
                <w:color w:val="000000"/>
                <w:sz w:val="20"/>
                <w:szCs w:val="20"/>
              </w:rPr>
              <w:t>134,797</w:t>
            </w:r>
          </w:p>
        </w:tc>
      </w:tr>
      <w:tr w:rsidR="00000000">
        <w:trPr>
          <w:divId w:val="60300451"/>
          <w:trHeight w:val="480"/>
        </w:trPr>
        <w:tc>
          <w:tcPr>
            <w:tcW w:w="0" w:type="auto"/>
            <w:gridSpan w:val="24"/>
            <w:tcMar>
              <w:top w:w="0" w:type="dxa"/>
              <w:left w:w="20" w:type="dxa"/>
              <w:bottom w:w="0" w:type="dxa"/>
              <w:right w:w="20" w:type="dxa"/>
            </w:tcMar>
            <w:vAlign w:val="center"/>
            <w:hideMark/>
          </w:tcPr>
          <w:p w:rsidR="00000000" w:rsidRDefault="002B18C2">
            <w:pPr>
              <w:spacing w:after="100"/>
              <w:divId w:val="204609713"/>
              <w:rPr>
                <w:rFonts w:eastAsia="Times New Roman"/>
              </w:rPr>
            </w:pPr>
          </w:p>
        </w:tc>
      </w:tr>
      <w:tr w:rsidR="00000000">
        <w:trPr>
          <w:divId w:val="60300451"/>
          <w:trHeight w:val="300"/>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60300451"/>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Percentage of net revenue:</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60300451"/>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Total costs applicable to revenue</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43.7 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43.4 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42.9 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46.9 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60300451"/>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Selling, 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42.1 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39.3 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42.2 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42.9 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60300451"/>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Total operating expenses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46.5 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45.3 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46.7 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50.6 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60300451"/>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Income from operations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60300451"/>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60300451"/>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Adjusted Operating Income</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60300451"/>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Adjusted EBITDA</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18.2 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bl>
    <w:p w:rsidR="00000000" w:rsidRDefault="002B18C2">
      <w:pPr>
        <w:jc w:val="center"/>
        <w:divId w:val="435517764"/>
        <w:rPr>
          <w:rFonts w:eastAsia="Times New Roman"/>
        </w:rPr>
      </w:pPr>
      <w:r>
        <w:rPr>
          <w:rFonts w:eastAsia="Times New Roman"/>
          <w:color w:val="000000"/>
          <w:sz w:val="20"/>
          <w:szCs w:val="20"/>
        </w:rPr>
        <w:t>31</w:t>
      </w:r>
    </w:p>
    <w:p w:rsidR="00000000" w:rsidRDefault="002B18C2">
      <w:pPr>
        <w:rPr>
          <w:rFonts w:eastAsia="Times New Roman"/>
        </w:rPr>
      </w:pPr>
      <w:r>
        <w:rPr>
          <w:rFonts w:eastAsia="Times New Roman"/>
        </w:rPr>
        <w:pict>
          <v:rect id="_x0000_i1055" style="width:0;height:1.5pt" o:hralign="center" o:hrstd="t" o:hr="t" fillcolor="#a0a0a0" stroked="f"/>
        </w:pict>
      </w:r>
    </w:p>
    <w:p w:rsidR="00000000" w:rsidRDefault="002B18C2">
      <w:pPr>
        <w:divId w:val="899631779"/>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1608005934"/>
        <w:rPr>
          <w:rFonts w:eastAsia="Times New Roman"/>
        </w:rPr>
      </w:pPr>
      <w:r>
        <w:rPr>
          <w:rFonts w:eastAsia="Times New Roman"/>
          <w:b/>
          <w:bCs/>
          <w:color w:val="000000"/>
          <w:sz w:val="20"/>
          <w:szCs w:val="20"/>
        </w:rPr>
        <w:t>Three Months Ended October 2, 2021 compared to Three Months Ended September 26, 2020</w:t>
      </w:r>
    </w:p>
    <w:p w:rsidR="00000000" w:rsidRDefault="002B18C2">
      <w:pPr>
        <w:jc w:val="both"/>
        <w:divId w:val="549456798"/>
        <w:rPr>
          <w:rFonts w:eastAsia="Times New Roman"/>
        </w:rPr>
      </w:pPr>
      <w:r>
        <w:rPr>
          <w:rFonts w:eastAsia="Times New Roman"/>
          <w:color w:val="000000"/>
          <w:sz w:val="20"/>
          <w:szCs w:val="20"/>
        </w:rPr>
        <w:t>As a result of the COVID-19 pandemic, our retail stores were temporarily closed to the public beginning on March 19, 2020. We began reopening our stores to the public on A</w:t>
      </w:r>
      <w:r>
        <w:rPr>
          <w:rFonts w:eastAsia="Times New Roman"/>
          <w:color w:val="000000"/>
          <w:sz w:val="20"/>
          <w:szCs w:val="20"/>
        </w:rPr>
        <w:t>pril 27, 2020, and on June 8, 2020, we announced the successful completion of the reopening process. Comparisons of current year results to prior year results reflect the material and unprecedented impact of these temporary store closures.</w:t>
      </w:r>
    </w:p>
    <w:p w:rsidR="00000000" w:rsidRDefault="002B18C2">
      <w:pPr>
        <w:jc w:val="both"/>
        <w:divId w:val="1054043774"/>
        <w:rPr>
          <w:rFonts w:eastAsia="Times New Roman"/>
        </w:rPr>
      </w:pPr>
      <w:r>
        <w:rPr>
          <w:rFonts w:eastAsia="Times New Roman"/>
          <w:i/>
          <w:iCs/>
          <w:color w:val="000000"/>
          <w:sz w:val="20"/>
          <w:szCs w:val="20"/>
        </w:rPr>
        <w:t>Net revenue</w:t>
      </w:r>
    </w:p>
    <w:p w:rsidR="00000000" w:rsidRDefault="002B18C2">
      <w:pPr>
        <w:jc w:val="both"/>
        <w:divId w:val="184639288"/>
        <w:rPr>
          <w:rFonts w:eastAsia="Times New Roman"/>
        </w:rPr>
      </w:pPr>
      <w:r>
        <w:rPr>
          <w:rFonts w:eastAsia="Times New Roman"/>
          <w:color w:val="000000"/>
          <w:sz w:val="20"/>
          <w:szCs w:val="20"/>
        </w:rPr>
        <w:t xml:space="preserve">The </w:t>
      </w:r>
      <w:r>
        <w:rPr>
          <w:rFonts w:eastAsia="Times New Roman"/>
          <w:color w:val="000000"/>
          <w:sz w:val="20"/>
          <w:szCs w:val="20"/>
        </w:rPr>
        <w:t>following presents, by segment and by brand, comparable store sales growth, stores open at the end of the period and net revenue for the three months ended October 2, 2021 compared to the three months ended September 26, 2020.</w:t>
      </w:r>
    </w:p>
    <w:tbl>
      <w:tblPr>
        <w:tblW w:w="5000" w:type="pct"/>
        <w:tblCellMar>
          <w:top w:w="15" w:type="dxa"/>
          <w:left w:w="15" w:type="dxa"/>
          <w:bottom w:w="15" w:type="dxa"/>
          <w:right w:w="15" w:type="dxa"/>
        </w:tblCellMar>
        <w:tblLook w:val="04A0" w:firstRow="1" w:lastRow="0" w:firstColumn="1" w:lastColumn="0" w:noHBand="0" w:noVBand="1"/>
      </w:tblPr>
      <w:tblGrid>
        <w:gridCol w:w="57"/>
        <w:gridCol w:w="1583"/>
        <w:gridCol w:w="38"/>
        <w:gridCol w:w="36"/>
        <w:gridCol w:w="36"/>
        <w:gridCol w:w="36"/>
        <w:gridCol w:w="66"/>
        <w:gridCol w:w="528"/>
        <w:gridCol w:w="172"/>
        <w:gridCol w:w="37"/>
        <w:gridCol w:w="37"/>
        <w:gridCol w:w="37"/>
        <w:gridCol w:w="85"/>
        <w:gridCol w:w="684"/>
        <w:gridCol w:w="171"/>
        <w:gridCol w:w="36"/>
        <w:gridCol w:w="36"/>
        <w:gridCol w:w="36"/>
        <w:gridCol w:w="67"/>
        <w:gridCol w:w="527"/>
        <w:gridCol w:w="38"/>
        <w:gridCol w:w="37"/>
        <w:gridCol w:w="36"/>
        <w:gridCol w:w="36"/>
        <w:gridCol w:w="84"/>
        <w:gridCol w:w="685"/>
        <w:gridCol w:w="37"/>
        <w:gridCol w:w="36"/>
        <w:gridCol w:w="36"/>
        <w:gridCol w:w="36"/>
        <w:gridCol w:w="110"/>
        <w:gridCol w:w="630"/>
        <w:gridCol w:w="36"/>
        <w:gridCol w:w="55"/>
        <w:gridCol w:w="415"/>
        <w:gridCol w:w="170"/>
        <w:gridCol w:w="36"/>
        <w:gridCol w:w="36"/>
        <w:gridCol w:w="36"/>
        <w:gridCol w:w="110"/>
        <w:gridCol w:w="630"/>
        <w:gridCol w:w="36"/>
        <w:gridCol w:w="59"/>
        <w:gridCol w:w="411"/>
        <w:gridCol w:w="170"/>
      </w:tblGrid>
      <w:tr w:rsidR="00000000">
        <w:trPr>
          <w:divId w:val="633877112"/>
        </w:trPr>
        <w:tc>
          <w:tcPr>
            <w:tcW w:w="50" w:type="pct"/>
            <w:vAlign w:val="center"/>
            <w:hideMark/>
          </w:tcPr>
          <w:p w:rsidR="00000000" w:rsidRDefault="002B18C2">
            <w:pPr>
              <w:jc w:val="both"/>
              <w:rPr>
                <w:rFonts w:eastAsia="Times New Roman"/>
              </w:rPr>
            </w:pPr>
          </w:p>
        </w:tc>
        <w:tc>
          <w:tcPr>
            <w:tcW w:w="11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01"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01"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39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09"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38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38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01"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35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633877112"/>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6"/>
                <w:szCs w:val="16"/>
              </w:rPr>
              <w:t>Comparable store sales growt</w:t>
            </w:r>
            <w:r>
              <w:rPr>
                <w:rFonts w:eastAsia="Times New Roman"/>
                <w:b/>
                <w:bCs/>
                <w:color w:val="000000"/>
                <w:sz w:val="16"/>
                <w:szCs w:val="16"/>
              </w:rPr>
              <w:t>h</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6"/>
                <w:szCs w:val="16"/>
              </w:rPr>
              <w:t>Stores open at end of period</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6"/>
                <w:szCs w:val="16"/>
              </w:rPr>
              <w:t>Net revenu</w:t>
            </w:r>
            <w:r>
              <w:rPr>
                <w:rFonts w:eastAsia="Times New Roman"/>
                <w:b/>
                <w:bCs/>
                <w:color w:val="000000"/>
                <w:sz w:val="16"/>
                <w:szCs w:val="16"/>
              </w:rPr>
              <w:t>e</w:t>
            </w:r>
            <w:r>
              <w:rPr>
                <w:rFonts w:eastAsia="Times New Roman"/>
                <w:b/>
                <w:bCs/>
                <w:color w:val="000000"/>
                <w:sz w:val="10"/>
                <w:szCs w:val="10"/>
              </w:rPr>
              <w:t>(2</w:t>
            </w:r>
            <w:r>
              <w:rPr>
                <w:rFonts w:eastAsia="Times New Roman"/>
                <w:b/>
                <w:bCs/>
                <w:color w:val="000000"/>
                <w:sz w:val="10"/>
                <w:szCs w:val="10"/>
              </w:rPr>
              <w:t>)</w:t>
            </w:r>
          </w:p>
        </w:tc>
      </w:tr>
      <w:tr w:rsidR="00000000">
        <w:trPr>
          <w:divId w:val="633877112"/>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16"/>
                <w:szCs w:val="16"/>
              </w:rPr>
              <w:t>In thousands, except percentage and store data</w:t>
            </w: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September 26, 2020</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6"/>
                <w:szCs w:val="16"/>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6"/>
                <w:szCs w:val="16"/>
              </w:rPr>
              <w:t>September 26, 2020</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September 26, 2020</w:t>
            </w:r>
          </w:p>
        </w:tc>
      </w:tr>
      <w:tr w:rsidR="00000000">
        <w:trPr>
          <w:divId w:val="63387711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18"/>
                <w:szCs w:val="18"/>
              </w:rPr>
              <w:t>Owned &amp; Host segment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633877112"/>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America’</w:t>
            </w:r>
            <w:r>
              <w:rPr>
                <w:rFonts w:eastAsia="Times New Roman"/>
                <w:color w:val="000000"/>
                <w:sz w:val="18"/>
                <w:szCs w:val="18"/>
              </w:rPr>
              <w:t>s Best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0.0 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13.6 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826 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769 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351,706 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67.9 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334,716 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69.0 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r>
      <w:tr w:rsidR="00000000">
        <w:trPr>
          <w:divId w:val="633877112"/>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Eyeglass World</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18.4 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123 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119 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55,520 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10.7 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52,837 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10.9 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r>
      <w:tr w:rsidR="00000000">
        <w:trPr>
          <w:divId w:val="633877112"/>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Military</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(0.6)</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(4.6)</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5,865 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5,820 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r>
      <w:tr w:rsidR="00000000">
        <w:trPr>
          <w:divId w:val="633877112"/>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Fred Meyer</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(7.8)</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3,011 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3,027 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r>
      <w:tr w:rsidR="00000000">
        <w:trPr>
          <w:divId w:val="633877112"/>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Owned &amp; Host segment total</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1,032 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971 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416,102 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80.3 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396,400 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81.7 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r>
      <w:tr w:rsidR="00000000">
        <w:trPr>
          <w:divId w:val="633877112"/>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18"/>
                <w:szCs w:val="18"/>
              </w:rPr>
              <w:t>Legacy segment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0.0 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230 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230 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40,842 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7.9 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40,232 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8.3 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r>
      <w:tr w:rsidR="00000000">
        <w:trPr>
          <w:divId w:val="633877112"/>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18"/>
                <w:szCs w:val="18"/>
              </w:rPr>
              <w:t>Corporate/Other</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58,063 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11.2 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57,906 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11.9 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r>
      <w:tr w:rsidR="00000000">
        <w:trPr>
          <w:divId w:val="633877112"/>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18"/>
                <w:szCs w:val="18"/>
              </w:rPr>
              <w:t>Reconciliations</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2,998 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(9,185)</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(1.9)</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r>
      <w:tr w:rsidR="00000000">
        <w:trPr>
          <w:divId w:val="633877112"/>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11.6 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1,262 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1,201 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518,005 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485,353 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r>
      <w:tr w:rsidR="00000000">
        <w:trPr>
          <w:divId w:val="633877112"/>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divId w:val="163083808"/>
              <w:rPr>
                <w:rFonts w:eastAsia="Times New Roman"/>
              </w:rPr>
            </w:pPr>
            <w:r>
              <w:rPr>
                <w:rFonts w:eastAsia="Times New Roman"/>
                <w:color w:val="000000"/>
                <w:sz w:val="18"/>
                <w:szCs w:val="18"/>
              </w:rPr>
              <w:t>Adjusted Comparable Store Sales Growt</w:t>
            </w:r>
            <w:r>
              <w:rPr>
                <w:rFonts w:eastAsia="Times New Roman"/>
                <w:color w:val="000000"/>
                <w:sz w:val="18"/>
                <w:szCs w:val="18"/>
              </w:rPr>
              <w:t>h</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8"/>
                <w:szCs w:val="18"/>
              </w:rPr>
              <w:t>12.4 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bl>
    <w:p w:rsidR="00000000" w:rsidRDefault="002B18C2">
      <w:pPr>
        <w:ind w:hanging="360"/>
        <w:jc w:val="both"/>
        <w:rPr>
          <w:rFonts w:eastAsia="Times New Roman"/>
        </w:rPr>
      </w:pPr>
      <w:r>
        <w:rPr>
          <w:rFonts w:eastAsia="Times New Roman"/>
          <w:color w:val="000000"/>
          <w:sz w:val="16"/>
          <w:szCs w:val="16"/>
        </w:rPr>
        <w:t>(1)We calculate total comparable store sales based on consolidated net revenue excluding the impact of (i) Corporate/Other segment net revenue, (ii) sales from stores opened less than 13 months, (iii) stores closed in t</w:t>
      </w:r>
      <w:r>
        <w:rPr>
          <w:rFonts w:eastAsia="Times New Roman"/>
          <w:color w:val="000000"/>
          <w:sz w:val="16"/>
          <w:szCs w:val="16"/>
        </w:rPr>
        <w:t>he periods presented, (iv) sales from partial months of operation when stores do not open or close on the first day of the month and (v) if applicable, the impact of a 53rd week in a fiscal year. Brand-level comparable store sales growth is calculated base</w:t>
      </w:r>
      <w:r>
        <w:rPr>
          <w:rFonts w:eastAsia="Times New Roman"/>
          <w:color w:val="000000"/>
          <w:sz w:val="16"/>
          <w:szCs w:val="16"/>
        </w:rPr>
        <w:t xml:space="preserve">d on cash basis revenues consistent with what the CODM reviews, and consistent with reportable segment revenues presented in Note 10. “Segment Reporting” in our unaudited condensed consolidated financial statements included in Part I. Item 1. of this Form </w:t>
      </w:r>
      <w:r>
        <w:rPr>
          <w:rFonts w:eastAsia="Times New Roman"/>
          <w:color w:val="000000"/>
          <w:sz w:val="16"/>
          <w:szCs w:val="16"/>
        </w:rPr>
        <w:t xml:space="preserve">10-Q, with the exception of the Legacy segment, which is adjusted as noted in clause (ii) of footnote (3) below. </w:t>
      </w:r>
    </w:p>
    <w:p w:rsidR="00000000" w:rsidRDefault="002B18C2">
      <w:pPr>
        <w:ind w:hanging="360"/>
        <w:jc w:val="both"/>
        <w:rPr>
          <w:rFonts w:eastAsia="Times New Roman"/>
        </w:rPr>
      </w:pPr>
      <w:r>
        <w:rPr>
          <w:rFonts w:eastAsia="Times New Roman"/>
          <w:color w:val="000000"/>
          <w:sz w:val="16"/>
          <w:szCs w:val="16"/>
        </w:rPr>
        <w:t>(2)Percentages reflect line item as a percentage of net revenue, adjusted for rounding.</w:t>
      </w:r>
    </w:p>
    <w:p w:rsidR="00000000" w:rsidRDefault="002B18C2">
      <w:pPr>
        <w:ind w:hanging="360"/>
        <w:jc w:val="both"/>
        <w:divId w:val="797722982"/>
        <w:rPr>
          <w:rFonts w:eastAsia="Times New Roman"/>
        </w:rPr>
      </w:pPr>
      <w:r>
        <w:rPr>
          <w:rFonts w:eastAsia="Times New Roman"/>
          <w:color w:val="000000"/>
          <w:sz w:val="16"/>
          <w:szCs w:val="16"/>
        </w:rPr>
        <w:t xml:space="preserve">(3)There are two differences between total comparable </w:t>
      </w:r>
      <w:r>
        <w:rPr>
          <w:rFonts w:eastAsia="Times New Roman"/>
          <w:color w:val="000000"/>
          <w:sz w:val="16"/>
          <w:szCs w:val="16"/>
        </w:rPr>
        <w:t>store sales growth based on consolidated net revenue and Adjusted Comparable Store Sales Growth: (i) Adjusted Comparable Store Sales Growth includes the effect of deferred and unearned revenue as if such revenues were earned at the point of sale, resulting</w:t>
      </w:r>
      <w:r>
        <w:rPr>
          <w:rFonts w:eastAsia="Times New Roman"/>
          <w:color w:val="000000"/>
          <w:sz w:val="16"/>
          <w:szCs w:val="16"/>
        </w:rPr>
        <w:t xml:space="preserve"> in a decrease of 3.0% and an increase of 0.9% from total comparable store sales growth based on consolidated net revenue for the three months ended October 2, 2021 and September 26, 2020, respectively, and (ii) Adjusted Comparable Store Sales Growth inclu</w:t>
      </w:r>
      <w:r>
        <w:rPr>
          <w:rFonts w:eastAsia="Times New Roman"/>
          <w:color w:val="000000"/>
          <w:sz w:val="16"/>
          <w:szCs w:val="16"/>
        </w:rPr>
        <w:t>des retail sales to the legacy partner’s customers (rather than the revenues recognized consistent with the management &amp; services agreement with the legacy partner), resulting in a decrease of 0.2% and a decrease of 0.1% from total comparable store sales g</w:t>
      </w:r>
      <w:r>
        <w:rPr>
          <w:rFonts w:eastAsia="Times New Roman"/>
          <w:color w:val="000000"/>
          <w:sz w:val="16"/>
          <w:szCs w:val="16"/>
        </w:rPr>
        <w:t>rowth based on consolidated net revenue for the three months ended October 2, 2021 and September 26, 2020, respectively.</w:t>
      </w:r>
    </w:p>
    <w:p w:rsidR="00000000" w:rsidRDefault="002B18C2">
      <w:pPr>
        <w:jc w:val="both"/>
        <w:divId w:val="1736119471"/>
        <w:rPr>
          <w:rFonts w:eastAsia="Times New Roman"/>
        </w:rPr>
      </w:pPr>
      <w:r>
        <w:rPr>
          <w:rFonts w:eastAsia="Times New Roman"/>
          <w:color w:val="000000"/>
          <w:sz w:val="20"/>
          <w:szCs w:val="20"/>
        </w:rPr>
        <w:t>Total net revenue of $518.0 million for the three months ended October 2, 2021 increased $32.7 million, or 6.7%, from $485.4 million fo</w:t>
      </w:r>
      <w:r>
        <w:rPr>
          <w:rFonts w:eastAsia="Times New Roman"/>
          <w:color w:val="000000"/>
          <w:sz w:val="20"/>
          <w:szCs w:val="20"/>
        </w:rPr>
        <w:t>r the three months ended September 26, 2020.</w:t>
      </w:r>
      <w:r>
        <w:rPr>
          <w:rFonts w:eastAsia="Times New Roman"/>
          <w:color w:val="000000"/>
          <w:sz w:val="20"/>
          <w:szCs w:val="20"/>
          <w:shd w:val="clear" w:color="auto" w:fill="FFFFFF"/>
        </w:rPr>
        <w:t xml:space="preserve"> Of the increase, approximately 50% was driven by new stores, approximately 40% was driven by changes in unearned revenue and recognition of deferred revenue, and approximately 10% was driven by comparable store </w:t>
      </w:r>
      <w:r>
        <w:rPr>
          <w:rFonts w:eastAsia="Times New Roman"/>
          <w:color w:val="000000"/>
          <w:sz w:val="20"/>
          <w:szCs w:val="20"/>
          <w:shd w:val="clear" w:color="auto" w:fill="FFFFFF"/>
        </w:rPr>
        <w:t>sales and wholesale fulfillment.</w:t>
      </w:r>
    </w:p>
    <w:p w:rsidR="00000000" w:rsidRDefault="002B18C2">
      <w:pPr>
        <w:jc w:val="both"/>
        <w:divId w:val="454639516"/>
        <w:rPr>
          <w:rFonts w:eastAsia="Times New Roman"/>
        </w:rPr>
      </w:pPr>
      <w:r>
        <w:rPr>
          <w:rFonts w:eastAsia="Times New Roman"/>
          <w:color w:val="000000"/>
          <w:sz w:val="20"/>
          <w:szCs w:val="20"/>
        </w:rPr>
        <w:t>In the three months ended October 2, 2021, we opened 14 America’s Best stores and closed one America’</w:t>
      </w:r>
      <w:r>
        <w:rPr>
          <w:rFonts w:eastAsia="Times New Roman"/>
          <w:color w:val="000000"/>
          <w:sz w:val="20"/>
          <w:szCs w:val="20"/>
        </w:rPr>
        <w:t xml:space="preserve">s Best store. Overall, store count grew 5.1% from September 26, 2020 to October 2, 2021 (57 and four net new America’s Best and Eyeglass World were added, respectively). </w:t>
      </w:r>
    </w:p>
    <w:p w:rsidR="00000000" w:rsidRDefault="002B18C2">
      <w:pPr>
        <w:jc w:val="center"/>
        <w:divId w:val="1377781215"/>
        <w:rPr>
          <w:rFonts w:eastAsia="Times New Roman"/>
        </w:rPr>
      </w:pPr>
      <w:r>
        <w:rPr>
          <w:rFonts w:eastAsia="Times New Roman"/>
          <w:color w:val="000000"/>
          <w:sz w:val="20"/>
          <w:szCs w:val="20"/>
        </w:rPr>
        <w:t>32</w:t>
      </w:r>
    </w:p>
    <w:p w:rsidR="00000000" w:rsidRDefault="002B18C2">
      <w:pPr>
        <w:rPr>
          <w:rFonts w:eastAsia="Times New Roman"/>
        </w:rPr>
      </w:pPr>
      <w:r>
        <w:rPr>
          <w:rFonts w:eastAsia="Times New Roman"/>
        </w:rPr>
        <w:pict>
          <v:rect id="_x0000_i1056" style="width:0;height:1.5pt" o:hralign="center" o:hrstd="t" o:hr="t" fillcolor="#a0a0a0" stroked="f"/>
        </w:pict>
      </w:r>
    </w:p>
    <w:p w:rsidR="00000000" w:rsidRDefault="002B18C2">
      <w:pPr>
        <w:divId w:val="409039927"/>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1149520442"/>
        <w:rPr>
          <w:rFonts w:eastAsia="Times New Roman"/>
        </w:rPr>
      </w:pPr>
      <w:r>
        <w:rPr>
          <w:rFonts w:eastAsia="Times New Roman"/>
          <w:color w:val="000000"/>
          <w:sz w:val="20"/>
          <w:szCs w:val="20"/>
        </w:rPr>
        <w:t xml:space="preserve">Comparable store sales growth and Adjusted Comparable Store Sales Growth for the three months ended October 2, 2021 were 3.4% and 0.2%, respectively and were driven by an increase in customer transactions, partially offset by </w:t>
      </w:r>
      <w:r>
        <w:rPr>
          <w:rFonts w:eastAsia="Times New Roman"/>
          <w:color w:val="000000"/>
          <w:sz w:val="20"/>
          <w:szCs w:val="20"/>
        </w:rPr>
        <w:t>lower average ticket.</w:t>
      </w:r>
    </w:p>
    <w:p w:rsidR="00000000" w:rsidRDefault="002B18C2">
      <w:pPr>
        <w:jc w:val="both"/>
        <w:divId w:val="549265522"/>
        <w:rPr>
          <w:rFonts w:eastAsia="Times New Roman"/>
        </w:rPr>
      </w:pPr>
      <w:r>
        <w:rPr>
          <w:rFonts w:eastAsia="Times New Roman"/>
          <w:color w:val="000000"/>
          <w:sz w:val="20"/>
          <w:szCs w:val="20"/>
        </w:rPr>
        <w:t>Net product sales comprised 82.2% and 83.1% of total net revenue for the three months ended October 2, 2021 and September 26, 2020, respectively. Net product sales increased $22.3 million, or 5.5%, in the three months ended October 2,</w:t>
      </w:r>
      <w:r>
        <w:rPr>
          <w:rFonts w:eastAsia="Times New Roman"/>
          <w:color w:val="000000"/>
          <w:sz w:val="20"/>
          <w:szCs w:val="20"/>
        </w:rPr>
        <w:t xml:space="preserve"> 2021 compared to the three months ended September 26, 2020, driven primarily by eyeglass sales and to a lesser extent, contact lens sales. Net sales of services</w:t>
      </w:r>
      <w:r>
        <w:rPr>
          <w:rFonts w:eastAsia="Times New Roman"/>
          <w:color w:val="000000"/>
          <w:sz w:val="20"/>
          <w:szCs w:val="20"/>
          <w:shd w:val="clear" w:color="auto" w:fill="FFFFFF"/>
        </w:rPr>
        <w:t xml:space="preserve"> and plans increased $10.4 million, or 12.7%, driven primarily by higher product protection pla</w:t>
      </w:r>
      <w:r>
        <w:rPr>
          <w:rFonts w:eastAsia="Times New Roman"/>
          <w:color w:val="000000"/>
          <w:sz w:val="20"/>
          <w:szCs w:val="20"/>
          <w:shd w:val="clear" w:color="auto" w:fill="FFFFFF"/>
        </w:rPr>
        <w:t>n revenue and eye exam revenue.</w:t>
      </w:r>
    </w:p>
    <w:p w:rsidR="00000000" w:rsidRDefault="002B18C2">
      <w:pPr>
        <w:jc w:val="both"/>
        <w:divId w:val="1288776610"/>
        <w:rPr>
          <w:rFonts w:eastAsia="Times New Roman"/>
        </w:rPr>
      </w:pPr>
      <w:r>
        <w:rPr>
          <w:rFonts w:eastAsia="Times New Roman"/>
          <w:i/>
          <w:iCs/>
          <w:color w:val="000000"/>
          <w:sz w:val="20"/>
          <w:szCs w:val="20"/>
        </w:rPr>
        <w:t>Owned &amp; Host segment net revenue.</w:t>
      </w:r>
      <w:r>
        <w:rPr>
          <w:rFonts w:eastAsia="Times New Roman"/>
          <w:color w:val="000000"/>
          <w:sz w:val="20"/>
          <w:szCs w:val="20"/>
        </w:rPr>
        <w:t xml:space="preserve"> Net revenue increased $19.7 million, or 5.0%, driven primarily by new store openings.</w:t>
      </w:r>
    </w:p>
    <w:p w:rsidR="00000000" w:rsidRDefault="002B18C2">
      <w:pPr>
        <w:jc w:val="both"/>
        <w:divId w:val="2006979404"/>
        <w:rPr>
          <w:rFonts w:eastAsia="Times New Roman"/>
        </w:rPr>
      </w:pPr>
      <w:r>
        <w:rPr>
          <w:rFonts w:eastAsia="Times New Roman"/>
          <w:i/>
          <w:iCs/>
          <w:color w:val="000000"/>
          <w:sz w:val="20"/>
          <w:szCs w:val="20"/>
        </w:rPr>
        <w:t xml:space="preserve">Legacy segment net revenue. </w:t>
      </w:r>
      <w:r>
        <w:rPr>
          <w:rFonts w:eastAsia="Times New Roman"/>
          <w:color w:val="000000"/>
          <w:sz w:val="20"/>
          <w:szCs w:val="20"/>
        </w:rPr>
        <w:t>Net revenue increased $0.6 million, or 1.5%, driven by higher management fee</w:t>
      </w:r>
      <w:r>
        <w:rPr>
          <w:rFonts w:eastAsia="Times New Roman"/>
          <w:color w:val="000000"/>
          <w:sz w:val="20"/>
          <w:szCs w:val="20"/>
        </w:rPr>
        <w:t>s from our Legacy partner.</w:t>
      </w:r>
    </w:p>
    <w:p w:rsidR="00000000" w:rsidRDefault="002B18C2">
      <w:pPr>
        <w:jc w:val="both"/>
        <w:divId w:val="1195189563"/>
        <w:rPr>
          <w:rFonts w:eastAsia="Times New Roman"/>
        </w:rPr>
      </w:pPr>
      <w:r>
        <w:rPr>
          <w:rFonts w:eastAsia="Times New Roman"/>
          <w:i/>
          <w:iCs/>
          <w:color w:val="000000"/>
          <w:sz w:val="20"/>
          <w:szCs w:val="20"/>
        </w:rPr>
        <w:t xml:space="preserve">Corporate/Other segment net revenue. </w:t>
      </w:r>
      <w:r>
        <w:rPr>
          <w:rFonts w:eastAsia="Times New Roman"/>
          <w:color w:val="000000"/>
          <w:sz w:val="20"/>
          <w:szCs w:val="20"/>
        </w:rPr>
        <w:t>Net revenue increased $0.2 million, or 0.3%, driven primarily by increases in wholesale fulfillment, partially offset by lower online retail business.</w:t>
      </w:r>
    </w:p>
    <w:p w:rsidR="00000000" w:rsidRDefault="002B18C2">
      <w:pPr>
        <w:jc w:val="both"/>
        <w:rPr>
          <w:rFonts w:eastAsia="Times New Roman"/>
        </w:rPr>
      </w:pPr>
      <w:r>
        <w:rPr>
          <w:rFonts w:eastAsia="Times New Roman"/>
          <w:i/>
          <w:iCs/>
          <w:color w:val="000000"/>
          <w:sz w:val="20"/>
          <w:szCs w:val="20"/>
        </w:rPr>
        <w:t xml:space="preserve">Net revenue reconciliations. </w:t>
      </w:r>
      <w:r>
        <w:rPr>
          <w:rFonts w:eastAsia="Times New Roman"/>
          <w:color w:val="000000"/>
          <w:sz w:val="20"/>
          <w:szCs w:val="20"/>
        </w:rPr>
        <w:t xml:space="preserve">Net revenue </w:t>
      </w:r>
      <w:r>
        <w:rPr>
          <w:rFonts w:eastAsia="Times New Roman"/>
          <w:color w:val="000000"/>
          <w:sz w:val="20"/>
          <w:szCs w:val="20"/>
        </w:rPr>
        <w:t xml:space="preserve">was positively impacted by $12.2 million due to the timing of unearned revenue and recognition of deferred revenue for the three months ended October 2, 2021 compared to the three months ended September 26, 2020. </w:t>
      </w:r>
      <w:r>
        <w:rPr>
          <w:rFonts w:eastAsia="Times New Roman"/>
          <w:color w:val="000000"/>
          <w:sz w:val="20"/>
          <w:szCs w:val="20"/>
          <w:shd w:val="clear" w:color="auto" w:fill="FFFFFF"/>
        </w:rPr>
        <w:t>Net revenue was positively impacted by $6.3</w:t>
      </w:r>
      <w:r>
        <w:rPr>
          <w:rFonts w:eastAsia="Times New Roman"/>
          <w:color w:val="000000"/>
          <w:sz w:val="20"/>
          <w:szCs w:val="20"/>
          <w:shd w:val="clear" w:color="auto" w:fill="FFFFFF"/>
        </w:rPr>
        <w:t xml:space="preserve"> million as the Company experienced a decrease in unearned revenue during the three months ended </w:t>
      </w:r>
      <w:r>
        <w:rPr>
          <w:rFonts w:eastAsia="Times New Roman"/>
          <w:color w:val="000000"/>
          <w:sz w:val="20"/>
          <w:szCs w:val="20"/>
        </w:rPr>
        <w:t>October 2, 2021</w:t>
      </w:r>
      <w:r>
        <w:rPr>
          <w:rFonts w:eastAsia="Times New Roman"/>
          <w:color w:val="000000"/>
          <w:sz w:val="20"/>
          <w:szCs w:val="20"/>
          <w:shd w:val="clear" w:color="auto" w:fill="FFFFFF"/>
        </w:rPr>
        <w:t xml:space="preserve">, compared to an increase in unearned revenue during the three months ended </w:t>
      </w:r>
      <w:r>
        <w:rPr>
          <w:rFonts w:eastAsia="Times New Roman"/>
          <w:color w:val="000000"/>
          <w:sz w:val="20"/>
          <w:szCs w:val="20"/>
        </w:rPr>
        <w:t>September 26, 2020</w:t>
      </w:r>
      <w:r>
        <w:rPr>
          <w:rFonts w:eastAsia="Times New Roman"/>
          <w:color w:val="000000"/>
          <w:sz w:val="20"/>
          <w:szCs w:val="20"/>
          <w:shd w:val="clear" w:color="auto" w:fill="FFFFFF"/>
        </w:rPr>
        <w:t>. The decrease in unearned revenue primarily resul</w:t>
      </w:r>
      <w:r>
        <w:rPr>
          <w:rFonts w:eastAsia="Times New Roman"/>
          <w:color w:val="000000"/>
          <w:sz w:val="20"/>
          <w:szCs w:val="20"/>
          <w:shd w:val="clear" w:color="auto" w:fill="FFFFFF"/>
        </w:rPr>
        <w:t>ted from higher sales at the end of the third quarter of 2020, compared to sales at the end of the current fiscal period. Additionally, net revenue was positively impacted by $5.9 million due to higher recognition of deferred revenue related to our product</w:t>
      </w:r>
      <w:r>
        <w:rPr>
          <w:rFonts w:eastAsia="Times New Roman"/>
          <w:color w:val="000000"/>
          <w:sz w:val="20"/>
          <w:szCs w:val="20"/>
          <w:shd w:val="clear" w:color="auto" w:fill="FFFFFF"/>
        </w:rPr>
        <w:t xml:space="preserve"> protection plans in the current period, compared to prior period; the higher deferred revenue recognition is a result of increased sales of product protection plans in periods after our stores reopened to the public in the second quarter of 2020.</w:t>
      </w:r>
    </w:p>
    <w:p w:rsidR="00000000" w:rsidRDefault="002B18C2">
      <w:pPr>
        <w:divId w:val="1314262286"/>
        <w:rPr>
          <w:rFonts w:eastAsia="Times New Roman"/>
        </w:rPr>
      </w:pPr>
    </w:p>
    <w:p w:rsidR="00000000" w:rsidRDefault="002B18C2">
      <w:pPr>
        <w:jc w:val="both"/>
        <w:divId w:val="1411266525"/>
        <w:rPr>
          <w:rFonts w:eastAsia="Times New Roman"/>
        </w:rPr>
      </w:pPr>
      <w:r>
        <w:rPr>
          <w:rFonts w:eastAsia="Times New Roman"/>
          <w:i/>
          <w:iCs/>
          <w:color w:val="000000"/>
          <w:sz w:val="20"/>
          <w:szCs w:val="20"/>
        </w:rPr>
        <w:t>Costs applicable to revenue</w:t>
      </w:r>
    </w:p>
    <w:p w:rsidR="00000000" w:rsidRDefault="002B18C2">
      <w:pPr>
        <w:jc w:val="both"/>
        <w:divId w:val="843932963"/>
        <w:rPr>
          <w:rFonts w:eastAsia="Times New Roman"/>
        </w:rPr>
      </w:pPr>
      <w:r>
        <w:rPr>
          <w:rFonts w:eastAsia="Times New Roman"/>
          <w:color w:val="000000"/>
          <w:sz w:val="20"/>
          <w:szCs w:val="20"/>
        </w:rPr>
        <w:t xml:space="preserve">Costs applicable to revenue of $226.5 million for the three months ended October 2, 2021 increased $15.6 million, or 7.4%, from $210.8 million for the three months ended September 26, 2020. As a percentage of net revenue, costs </w:t>
      </w:r>
      <w:r>
        <w:rPr>
          <w:rFonts w:eastAsia="Times New Roman"/>
          <w:color w:val="000000"/>
          <w:sz w:val="20"/>
          <w:szCs w:val="20"/>
        </w:rPr>
        <w:t>applicable to revenue increased from 43.4% for the three months ended September 26, 2020 to 43.7% for the three months ended October 2, 2021. This increase as a percentage of net revenue was primarily driven by higher optometrist-related costs and, to a le</w:t>
      </w:r>
      <w:r>
        <w:rPr>
          <w:rFonts w:eastAsia="Times New Roman"/>
          <w:color w:val="000000"/>
          <w:sz w:val="20"/>
          <w:szCs w:val="20"/>
        </w:rPr>
        <w:t>sser extent, freight costs partially offset by higher deferred revenue.</w:t>
      </w:r>
    </w:p>
    <w:p w:rsidR="00000000" w:rsidRDefault="002B18C2">
      <w:pPr>
        <w:jc w:val="both"/>
        <w:divId w:val="252396741"/>
        <w:rPr>
          <w:rFonts w:eastAsia="Times New Roman"/>
        </w:rPr>
      </w:pPr>
      <w:r>
        <w:rPr>
          <w:rFonts w:eastAsia="Times New Roman"/>
          <w:color w:val="000000"/>
          <w:sz w:val="20"/>
          <w:szCs w:val="20"/>
        </w:rPr>
        <w:t>Costs of products as a percentage of net product sales increased from 36.8% for the three months ended September 26, 2020 to 37.2% for the three months ended October 2, 2021, primarily</w:t>
      </w:r>
      <w:r>
        <w:rPr>
          <w:rFonts w:eastAsia="Times New Roman"/>
          <w:color w:val="000000"/>
          <w:sz w:val="20"/>
          <w:szCs w:val="20"/>
        </w:rPr>
        <w:t xml:space="preserve"> driven by higher freight costs partially offset by higher contact lens margin.</w:t>
      </w:r>
    </w:p>
    <w:p w:rsidR="00000000" w:rsidRDefault="002B18C2">
      <w:pPr>
        <w:jc w:val="both"/>
        <w:divId w:val="1352417961"/>
        <w:rPr>
          <w:rFonts w:eastAsia="Times New Roman"/>
        </w:rPr>
      </w:pPr>
      <w:r>
        <w:rPr>
          <w:rFonts w:eastAsia="Times New Roman"/>
          <w:i/>
          <w:iCs/>
          <w:color w:val="000000"/>
          <w:sz w:val="20"/>
          <w:szCs w:val="20"/>
        </w:rPr>
        <w:t xml:space="preserve">Owned &amp; Host segment costs of products. </w:t>
      </w:r>
      <w:r>
        <w:rPr>
          <w:rFonts w:eastAsia="Times New Roman"/>
          <w:color w:val="000000"/>
          <w:sz w:val="20"/>
          <w:szCs w:val="20"/>
        </w:rPr>
        <w:t>Costs of products as a percentage of net product sales increased from 26.9% for the three months ended September 26, 2020 to 28.0% for t</w:t>
      </w:r>
      <w:r>
        <w:rPr>
          <w:rFonts w:eastAsia="Times New Roman"/>
          <w:color w:val="000000"/>
          <w:sz w:val="20"/>
          <w:szCs w:val="20"/>
        </w:rPr>
        <w:t>he three months ended October 2, 2021. The increase was primarily driven by increased contact lens mix, lower eyeglass and contact lens margin, and higher freight costs.</w:t>
      </w:r>
    </w:p>
    <w:p w:rsidR="00000000" w:rsidRDefault="002B18C2">
      <w:pPr>
        <w:jc w:val="both"/>
        <w:divId w:val="1599363820"/>
        <w:rPr>
          <w:rFonts w:eastAsia="Times New Roman"/>
        </w:rPr>
      </w:pPr>
      <w:r>
        <w:rPr>
          <w:rFonts w:eastAsia="Times New Roman"/>
          <w:i/>
          <w:iCs/>
          <w:color w:val="000000"/>
          <w:sz w:val="20"/>
          <w:szCs w:val="20"/>
        </w:rPr>
        <w:t xml:space="preserve">Legacy segment costs of products. </w:t>
      </w:r>
      <w:r>
        <w:rPr>
          <w:rFonts w:eastAsia="Times New Roman"/>
          <w:color w:val="000000"/>
          <w:sz w:val="20"/>
          <w:szCs w:val="20"/>
        </w:rPr>
        <w:t>Costs of products as a percentage of net product sal</w:t>
      </w:r>
      <w:r>
        <w:rPr>
          <w:rFonts w:eastAsia="Times New Roman"/>
          <w:color w:val="000000"/>
          <w:sz w:val="20"/>
          <w:szCs w:val="20"/>
        </w:rPr>
        <w:t>es increased from 46.9% for the three months ended September 26, 2020 to 48.2% for the three months ended October 2, 2021. The increase was primarily driven by lower contact lens margin and a lower mix of managed care customer transactions versus non-manag</w:t>
      </w:r>
      <w:r>
        <w:rPr>
          <w:rFonts w:eastAsia="Times New Roman"/>
          <w:color w:val="000000"/>
          <w:sz w:val="20"/>
          <w:szCs w:val="20"/>
        </w:rPr>
        <w:t>ed care customer transactions. Legacy segment managed care net product revenue is recorded in net product sales while revenue associated with servicing non-managed care customers is recorded in net sales of services and plans. Eyeglass and contact lens pro</w:t>
      </w:r>
      <w:r>
        <w:rPr>
          <w:rFonts w:eastAsia="Times New Roman"/>
          <w:color w:val="000000"/>
          <w:sz w:val="20"/>
          <w:szCs w:val="20"/>
        </w:rPr>
        <w:t>duct costs for both managed care and non-managed care net revenue are recorded in costs of products. Increases in managed care mix decrease costs of products as a percentage of net product sales and have a corresponding negative impact on costs of services</w:t>
      </w:r>
      <w:r>
        <w:rPr>
          <w:rFonts w:eastAsia="Times New Roman"/>
          <w:color w:val="000000"/>
          <w:sz w:val="20"/>
          <w:szCs w:val="20"/>
        </w:rPr>
        <w:t xml:space="preserve"> as a percentage of net sales of services and plans in our Legacy segment.</w:t>
      </w:r>
    </w:p>
    <w:p w:rsidR="00000000" w:rsidRDefault="002B18C2">
      <w:pPr>
        <w:jc w:val="both"/>
        <w:divId w:val="627929646"/>
        <w:rPr>
          <w:rFonts w:eastAsia="Times New Roman"/>
        </w:rPr>
      </w:pPr>
      <w:r>
        <w:rPr>
          <w:rFonts w:eastAsia="Times New Roman"/>
          <w:color w:val="000000"/>
          <w:sz w:val="20"/>
          <w:szCs w:val="20"/>
        </w:rPr>
        <w:t>Costs of services and plans as a percentage of net sales of services and plans decreased from 76.2% for the three months ended September 26, 2020 to 73.7% for the three months ended</w:t>
      </w:r>
      <w:r>
        <w:rPr>
          <w:rFonts w:eastAsia="Times New Roman"/>
          <w:color w:val="000000"/>
          <w:sz w:val="20"/>
          <w:szCs w:val="20"/>
        </w:rPr>
        <w:t xml:space="preserve"> October 2, 2021. The decrease was primarily driven b</w:t>
      </w:r>
      <w:r>
        <w:rPr>
          <w:rFonts w:eastAsia="Times New Roman"/>
          <w:color w:val="000000"/>
          <w:sz w:val="20"/>
          <w:szCs w:val="20"/>
          <w:shd w:val="clear" w:color="auto" w:fill="FFFFFF"/>
        </w:rPr>
        <w:t>y higher deferred revenue, partially offset by higher optometrist-related costs.</w:t>
      </w:r>
    </w:p>
    <w:p w:rsidR="00000000" w:rsidRDefault="002B18C2">
      <w:pPr>
        <w:jc w:val="center"/>
        <w:divId w:val="1893156495"/>
        <w:rPr>
          <w:rFonts w:eastAsia="Times New Roman"/>
        </w:rPr>
      </w:pPr>
      <w:r>
        <w:rPr>
          <w:rFonts w:eastAsia="Times New Roman"/>
          <w:color w:val="000000"/>
          <w:sz w:val="20"/>
          <w:szCs w:val="20"/>
        </w:rPr>
        <w:t>33</w:t>
      </w:r>
    </w:p>
    <w:p w:rsidR="00000000" w:rsidRDefault="002B18C2">
      <w:pPr>
        <w:rPr>
          <w:rFonts w:eastAsia="Times New Roman"/>
        </w:rPr>
      </w:pPr>
      <w:r>
        <w:rPr>
          <w:rFonts w:eastAsia="Times New Roman"/>
        </w:rPr>
        <w:pict>
          <v:rect id="_x0000_i1057" style="width:0;height:1.5pt" o:hralign="center" o:hrstd="t" o:hr="t" fillcolor="#a0a0a0" stroked="f"/>
        </w:pict>
      </w:r>
    </w:p>
    <w:p w:rsidR="00000000" w:rsidRDefault="002B18C2">
      <w:pPr>
        <w:divId w:val="1716346923"/>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1208645544"/>
        <w:rPr>
          <w:rFonts w:eastAsia="Times New Roman"/>
        </w:rPr>
      </w:pPr>
      <w:r>
        <w:rPr>
          <w:rFonts w:eastAsia="Times New Roman"/>
          <w:i/>
          <w:iCs/>
          <w:color w:val="000000"/>
          <w:sz w:val="20"/>
          <w:szCs w:val="20"/>
        </w:rPr>
        <w:t xml:space="preserve">Owned </w:t>
      </w:r>
      <w:r>
        <w:rPr>
          <w:rFonts w:eastAsia="Times New Roman"/>
          <w:i/>
          <w:iCs/>
          <w:color w:val="000000"/>
          <w:sz w:val="20"/>
          <w:szCs w:val="20"/>
        </w:rPr>
        <w:t xml:space="preserve">&amp; Host segment costs of services and plans. </w:t>
      </w:r>
      <w:r>
        <w:rPr>
          <w:rFonts w:eastAsia="Times New Roman"/>
          <w:color w:val="000000"/>
          <w:sz w:val="20"/>
          <w:szCs w:val="20"/>
        </w:rPr>
        <w:t>Costs of services and plans as a percentage of net sales of services and plans in the Owned &amp; Host segment increased from 76.0% for the three months ended September 26, 2020 to 79.9% for the three months</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ended October 2, 2021. The increase was primarily driven by higher optometrist-related costs.</w:t>
      </w:r>
    </w:p>
    <w:p w:rsidR="00000000" w:rsidRDefault="002B18C2">
      <w:pPr>
        <w:jc w:val="both"/>
        <w:divId w:val="182865424"/>
        <w:rPr>
          <w:rFonts w:eastAsia="Times New Roman"/>
        </w:rPr>
      </w:pPr>
      <w:r>
        <w:rPr>
          <w:rFonts w:eastAsia="Times New Roman"/>
          <w:i/>
          <w:iCs/>
          <w:color w:val="000000"/>
          <w:sz w:val="20"/>
          <w:szCs w:val="20"/>
        </w:rPr>
        <w:t xml:space="preserve">Legacy segment costs of services and plans. </w:t>
      </w:r>
      <w:r>
        <w:rPr>
          <w:rFonts w:eastAsia="Times New Roman"/>
          <w:color w:val="000000"/>
          <w:sz w:val="20"/>
          <w:szCs w:val="20"/>
        </w:rPr>
        <w:t>Costs of services and plans as a percentage of net sales of services and plans in the Legacy segment increased $0.3 mi</w:t>
      </w:r>
      <w:r>
        <w:rPr>
          <w:rFonts w:eastAsia="Times New Roman"/>
          <w:color w:val="000000"/>
          <w:sz w:val="20"/>
          <w:szCs w:val="20"/>
        </w:rPr>
        <w:t xml:space="preserve">llion from 39.8% for the three months ended September 26, 2020 to 40.2% for the three months ended October 2, 2021. </w:t>
      </w:r>
    </w:p>
    <w:p w:rsidR="00000000" w:rsidRDefault="002B18C2">
      <w:pPr>
        <w:jc w:val="both"/>
        <w:divId w:val="1779762017"/>
        <w:rPr>
          <w:rFonts w:eastAsia="Times New Roman"/>
        </w:rPr>
      </w:pPr>
      <w:r>
        <w:rPr>
          <w:rFonts w:eastAsia="Times New Roman"/>
          <w:i/>
          <w:iCs/>
          <w:color w:val="000000"/>
          <w:sz w:val="20"/>
          <w:szCs w:val="20"/>
        </w:rPr>
        <w:t>Selling, general and administrative</w:t>
      </w:r>
    </w:p>
    <w:p w:rsidR="00000000" w:rsidRDefault="002B18C2">
      <w:pPr>
        <w:jc w:val="both"/>
        <w:divId w:val="788814556"/>
        <w:rPr>
          <w:rFonts w:eastAsia="Times New Roman"/>
        </w:rPr>
      </w:pPr>
      <w:r>
        <w:rPr>
          <w:rFonts w:eastAsia="Times New Roman"/>
          <w:color w:val="000000"/>
          <w:sz w:val="20"/>
          <w:szCs w:val="20"/>
        </w:rPr>
        <w:t>SG&amp;A of $218.2 million for the three months ended October 2, 2021 increased $27.7 million, or 14.5%, fr</w:t>
      </w:r>
      <w:r>
        <w:rPr>
          <w:rFonts w:eastAsia="Times New Roman"/>
          <w:color w:val="000000"/>
          <w:sz w:val="20"/>
          <w:szCs w:val="20"/>
        </w:rPr>
        <w:t>om the three months ended September 26, 2020. As a percentage of net revenue, SG&amp;A increased from 39.3% for the three months ended September 26, 2020 to 42.1% for the three months ended October 2, 2021. The increase in SG&amp;A as a percentage of net revenue w</w:t>
      </w:r>
      <w:r>
        <w:rPr>
          <w:rFonts w:eastAsia="Times New Roman"/>
          <w:color w:val="000000"/>
          <w:sz w:val="20"/>
          <w:szCs w:val="20"/>
        </w:rPr>
        <w:t>as primarily driven by higher advertising expenses, partially offset by recognition of performance-based incentive compensation and corporate payroll leverage. SG&amp;A for the three months ended October 2, 2021 and September 26, 2020 includes $0.7 million</w:t>
      </w:r>
      <w:r>
        <w:rPr>
          <w:rFonts w:eastAsia="Times New Roman"/>
          <w:color w:val="000000"/>
          <w:sz w:val="20"/>
          <w:szCs w:val="20"/>
          <w:shd w:val="clear" w:color="auto" w:fill="FFFFFF"/>
        </w:rPr>
        <w:t xml:space="preserve"> a</w:t>
      </w:r>
      <w:r>
        <w:rPr>
          <w:rFonts w:eastAsia="Times New Roman"/>
          <w:color w:val="000000"/>
          <w:sz w:val="20"/>
          <w:szCs w:val="20"/>
        </w:rPr>
        <w:t>nd</w:t>
      </w:r>
      <w:r>
        <w:rPr>
          <w:rFonts w:eastAsia="Times New Roman"/>
          <w:color w:val="000000"/>
          <w:sz w:val="20"/>
          <w:szCs w:val="20"/>
        </w:rPr>
        <w:t xml:space="preserve"> $4.7 million, respectively, of incremental costs directly related to adapting the Company’s operations during the COVID-19 pandemic; these costs were not reflected as adjustments for the Company’s presentation of non-GAAP measures below.</w:t>
      </w:r>
    </w:p>
    <w:p w:rsidR="00000000" w:rsidRDefault="002B18C2">
      <w:pPr>
        <w:jc w:val="both"/>
        <w:divId w:val="1443069337"/>
        <w:rPr>
          <w:rFonts w:eastAsia="Times New Roman"/>
        </w:rPr>
      </w:pPr>
      <w:r>
        <w:rPr>
          <w:rFonts w:eastAsia="Times New Roman"/>
          <w:i/>
          <w:iCs/>
          <w:color w:val="000000"/>
          <w:sz w:val="20"/>
          <w:szCs w:val="20"/>
        </w:rPr>
        <w:t>Owned &amp; Host SG&amp;A</w:t>
      </w:r>
      <w:r>
        <w:rPr>
          <w:rFonts w:eastAsia="Times New Roman"/>
          <w:i/>
          <w:iCs/>
          <w:color w:val="000000"/>
          <w:sz w:val="20"/>
          <w:szCs w:val="20"/>
        </w:rPr>
        <w:t xml:space="preserve">. </w:t>
      </w:r>
      <w:r>
        <w:rPr>
          <w:rFonts w:eastAsia="Times New Roman"/>
          <w:color w:val="000000"/>
          <w:sz w:val="20"/>
          <w:szCs w:val="20"/>
        </w:rPr>
        <w:t>SG&amp;A as a percentage of net revenue increased from 32.3% for the three months ended September 26, 2020 to 37.7% for the three months ended October 2, 2021, driven primarily by increases in advertising, payroll and occupancy expenses.</w:t>
      </w:r>
    </w:p>
    <w:p w:rsidR="00000000" w:rsidRDefault="002B18C2">
      <w:pPr>
        <w:jc w:val="both"/>
        <w:divId w:val="383913616"/>
        <w:rPr>
          <w:rFonts w:eastAsia="Times New Roman"/>
        </w:rPr>
      </w:pPr>
      <w:r>
        <w:rPr>
          <w:rFonts w:eastAsia="Times New Roman"/>
          <w:i/>
          <w:iCs/>
          <w:color w:val="000000"/>
          <w:sz w:val="20"/>
          <w:szCs w:val="20"/>
        </w:rPr>
        <w:t>Legacy segment SG&amp;A.</w:t>
      </w:r>
      <w:r>
        <w:rPr>
          <w:rFonts w:eastAsia="Times New Roman"/>
          <w:i/>
          <w:iCs/>
          <w:color w:val="000000"/>
          <w:sz w:val="20"/>
          <w:szCs w:val="20"/>
        </w:rPr>
        <w:t xml:space="preserve"> </w:t>
      </w:r>
      <w:r>
        <w:rPr>
          <w:rFonts w:eastAsia="Times New Roman"/>
          <w:color w:val="000000"/>
          <w:sz w:val="20"/>
          <w:szCs w:val="20"/>
        </w:rPr>
        <w:t>SG&amp;A as a percentage of net revenue increased from 32.5% for the three months ended September 26, 2020 to 35.2% for the three months ended October 2, 2021, driven primarily by higher payroll expenses.</w:t>
      </w:r>
    </w:p>
    <w:p w:rsidR="00000000" w:rsidRDefault="002B18C2">
      <w:pPr>
        <w:jc w:val="both"/>
        <w:divId w:val="902368084"/>
        <w:rPr>
          <w:rFonts w:eastAsia="Times New Roman"/>
        </w:rPr>
      </w:pPr>
      <w:r>
        <w:rPr>
          <w:rFonts w:eastAsia="Times New Roman"/>
          <w:i/>
          <w:iCs/>
          <w:color w:val="000000"/>
          <w:sz w:val="20"/>
          <w:szCs w:val="20"/>
        </w:rPr>
        <w:t>Depreciation and amortization</w:t>
      </w:r>
    </w:p>
    <w:p w:rsidR="00000000" w:rsidRDefault="002B18C2">
      <w:pPr>
        <w:jc w:val="both"/>
        <w:divId w:val="670453713"/>
        <w:rPr>
          <w:rFonts w:eastAsia="Times New Roman"/>
        </w:rPr>
      </w:pPr>
      <w:r>
        <w:rPr>
          <w:rFonts w:eastAsia="Times New Roman"/>
          <w:color w:val="000000"/>
          <w:sz w:val="20"/>
          <w:szCs w:val="20"/>
        </w:rPr>
        <w:t>Depreciation and amortiz</w:t>
      </w:r>
      <w:r>
        <w:rPr>
          <w:rFonts w:eastAsia="Times New Roman"/>
          <w:color w:val="000000"/>
          <w:sz w:val="20"/>
          <w:szCs w:val="20"/>
        </w:rPr>
        <w:t xml:space="preserve">ation expense of $25.1 million for the three months ended October 2, 2021 increased $2.8 million, or 12.7%, from $22.2 million for the three months ended September 26, 2020 primarily driven by new store openings. </w:t>
      </w:r>
    </w:p>
    <w:p w:rsidR="00000000" w:rsidRDefault="002B18C2">
      <w:pPr>
        <w:jc w:val="both"/>
        <w:divId w:val="766849980"/>
        <w:rPr>
          <w:rFonts w:eastAsia="Times New Roman"/>
        </w:rPr>
      </w:pPr>
      <w:r>
        <w:rPr>
          <w:rFonts w:eastAsia="Times New Roman"/>
          <w:i/>
          <w:iCs/>
          <w:color w:val="000000"/>
          <w:sz w:val="20"/>
          <w:szCs w:val="20"/>
        </w:rPr>
        <w:t>Asset Impairment</w:t>
      </w:r>
    </w:p>
    <w:p w:rsidR="00000000" w:rsidRDefault="002B18C2">
      <w:pPr>
        <w:jc w:val="both"/>
        <w:divId w:val="946229700"/>
        <w:rPr>
          <w:rFonts w:eastAsia="Times New Roman"/>
        </w:rPr>
      </w:pPr>
      <w:r>
        <w:rPr>
          <w:rFonts w:eastAsia="Times New Roman"/>
          <w:color w:val="000000"/>
          <w:sz w:val="20"/>
          <w:szCs w:val="20"/>
        </w:rPr>
        <w:t>We recognized no impairme</w:t>
      </w:r>
      <w:r>
        <w:rPr>
          <w:rFonts w:eastAsia="Times New Roman"/>
          <w:color w:val="000000"/>
          <w:sz w:val="20"/>
          <w:szCs w:val="20"/>
        </w:rPr>
        <w:t>nt of tangible long-lived assets and ROU assets associated with our retail stores during the three months ended October 2, 2021, compared to $7.2 million recognized during the three months ended September 26, 2020. The store asset impairment charge is prim</w:t>
      </w:r>
      <w:r>
        <w:rPr>
          <w:rFonts w:eastAsia="Times New Roman"/>
          <w:color w:val="000000"/>
          <w:sz w:val="20"/>
          <w:szCs w:val="20"/>
        </w:rPr>
        <w:t>arily related to our Owned &amp; Host segment and is driven by lower than projected customer sales volume in certain stores, and other entity-specific assumptions. We considered multiple factors including, but not limited to: forecasted scenarios related to st</w:t>
      </w:r>
      <w:r>
        <w:rPr>
          <w:rFonts w:eastAsia="Times New Roman"/>
          <w:color w:val="000000"/>
          <w:sz w:val="20"/>
          <w:szCs w:val="20"/>
        </w:rPr>
        <w:t>ore performance and the likelihood that these scenarios would be ultimately realized; and the remaining useful lives of the assets. Asset impairment expenses were recognized in Corporate/Other.</w:t>
      </w:r>
    </w:p>
    <w:p w:rsidR="00000000" w:rsidRDefault="002B18C2">
      <w:pPr>
        <w:jc w:val="both"/>
        <w:divId w:val="1655718408"/>
        <w:rPr>
          <w:rFonts w:eastAsia="Times New Roman"/>
        </w:rPr>
      </w:pPr>
      <w:r>
        <w:rPr>
          <w:rFonts w:eastAsia="Times New Roman"/>
          <w:i/>
          <w:iCs/>
          <w:color w:val="000000"/>
          <w:sz w:val="20"/>
          <w:szCs w:val="20"/>
        </w:rPr>
        <w:t>Other expense (income), net</w:t>
      </w:r>
    </w:p>
    <w:p w:rsidR="00000000" w:rsidRDefault="002B18C2">
      <w:pPr>
        <w:jc w:val="both"/>
        <w:divId w:val="1142772008"/>
        <w:rPr>
          <w:rFonts w:eastAsia="Times New Roman"/>
        </w:rPr>
      </w:pPr>
      <w:r>
        <w:rPr>
          <w:rFonts w:eastAsia="Times New Roman"/>
          <w:color w:val="000000"/>
          <w:sz w:val="20"/>
          <w:szCs w:val="20"/>
        </w:rPr>
        <w:t>The Company recorded a gain of $2.</w:t>
      </w:r>
      <w:r>
        <w:rPr>
          <w:rFonts w:eastAsia="Times New Roman"/>
          <w:color w:val="000000"/>
          <w:sz w:val="20"/>
          <w:szCs w:val="20"/>
        </w:rPr>
        <w:t>4 million in Other expense (income), net for the three months ended October 2, 2021 in connection with the acquisition of its equity method investee by a third party. See Note 1. “Business and Basis of Presentation” for further details.</w:t>
      </w:r>
    </w:p>
    <w:p w:rsidR="00000000" w:rsidRDefault="002B18C2">
      <w:pPr>
        <w:jc w:val="both"/>
        <w:divId w:val="430273066"/>
        <w:rPr>
          <w:rFonts w:eastAsia="Times New Roman"/>
        </w:rPr>
      </w:pPr>
      <w:r>
        <w:rPr>
          <w:rFonts w:eastAsia="Times New Roman"/>
          <w:i/>
          <w:iCs/>
          <w:color w:val="000000"/>
          <w:sz w:val="20"/>
          <w:szCs w:val="20"/>
        </w:rPr>
        <w:t>Interest expense, n</w:t>
      </w:r>
      <w:r>
        <w:rPr>
          <w:rFonts w:eastAsia="Times New Roman"/>
          <w:i/>
          <w:iCs/>
          <w:color w:val="000000"/>
          <w:sz w:val="20"/>
          <w:szCs w:val="20"/>
        </w:rPr>
        <w:t xml:space="preserve">et </w:t>
      </w:r>
    </w:p>
    <w:p w:rsidR="00000000" w:rsidRDefault="002B18C2">
      <w:pPr>
        <w:jc w:val="both"/>
        <w:divId w:val="1677460340"/>
        <w:rPr>
          <w:rFonts w:eastAsia="Times New Roman"/>
        </w:rPr>
      </w:pPr>
      <w:r>
        <w:rPr>
          <w:rFonts w:eastAsia="Times New Roman"/>
          <w:color w:val="000000"/>
          <w:sz w:val="20"/>
          <w:szCs w:val="20"/>
        </w:rPr>
        <w:t>Interest expense, net, of $5.7 million for the three months ended October 2, 2021 decreased $6.7 million, or 54.0%, from $12.5 million for the three months ended September 26, 2020. The decrease was primarily driven by lower interest expense on the 202</w:t>
      </w:r>
      <w:r>
        <w:rPr>
          <w:rFonts w:eastAsia="Times New Roman"/>
          <w:color w:val="000000"/>
          <w:sz w:val="20"/>
          <w:szCs w:val="20"/>
        </w:rPr>
        <w:t>5 Notes of $3.7 million as a result of the adoption of ASU 2020-06, lower term loan outstanding balance as a result of voluntary prepayment and lower derivative costs.</w:t>
      </w:r>
    </w:p>
    <w:p w:rsidR="00000000" w:rsidRDefault="002B18C2">
      <w:pPr>
        <w:jc w:val="both"/>
        <w:divId w:val="72556669"/>
        <w:rPr>
          <w:rFonts w:eastAsia="Times New Roman"/>
        </w:rPr>
      </w:pPr>
      <w:r>
        <w:rPr>
          <w:rFonts w:eastAsia="Times New Roman"/>
          <w:i/>
          <w:iCs/>
          <w:color w:val="000000"/>
          <w:sz w:val="20"/>
          <w:szCs w:val="20"/>
        </w:rPr>
        <w:t>Income tax provision (benefit)</w:t>
      </w:r>
    </w:p>
    <w:p w:rsidR="00000000" w:rsidRDefault="002B18C2">
      <w:pPr>
        <w:jc w:val="both"/>
        <w:divId w:val="1815758375"/>
        <w:rPr>
          <w:rFonts w:eastAsia="Times New Roman"/>
        </w:rPr>
      </w:pPr>
      <w:r>
        <w:rPr>
          <w:rFonts w:eastAsia="Times New Roman"/>
          <w:color w:val="000000"/>
          <w:sz w:val="20"/>
          <w:szCs w:val="20"/>
          <w:shd w:val="clear" w:color="auto" w:fill="FFFFFF"/>
        </w:rPr>
        <w:t xml:space="preserve">Our income tax provision for the three </w:t>
      </w:r>
      <w:r>
        <w:rPr>
          <w:rFonts w:eastAsia="Times New Roman"/>
          <w:color w:val="000000"/>
          <w:sz w:val="20"/>
          <w:szCs w:val="20"/>
        </w:rPr>
        <w:t>months ended Octob</w:t>
      </w:r>
      <w:r>
        <w:rPr>
          <w:rFonts w:eastAsia="Times New Roman"/>
          <w:color w:val="000000"/>
          <w:sz w:val="20"/>
          <w:szCs w:val="20"/>
        </w:rPr>
        <w:t>er 2, 2021 reflected our statutory federal and state rate of 25.5%</w:t>
      </w:r>
      <w:r>
        <w:rPr>
          <w:rFonts w:eastAsia="Times New Roman"/>
          <w:color w:val="000000"/>
          <w:sz w:val="20"/>
          <w:szCs w:val="20"/>
          <w:shd w:val="clear" w:color="auto" w:fill="FFFFFF"/>
        </w:rPr>
        <w:t xml:space="preserve">, offset by a discrete benefit of </w:t>
      </w:r>
      <w:r>
        <w:rPr>
          <w:rFonts w:eastAsia="Times New Roman"/>
          <w:color w:val="000000"/>
          <w:sz w:val="20"/>
          <w:szCs w:val="20"/>
        </w:rPr>
        <w:t>$9.1 million</w:t>
      </w:r>
      <w:r>
        <w:rPr>
          <w:rFonts w:eastAsia="Times New Roman"/>
          <w:color w:val="000000"/>
          <w:sz w:val="20"/>
          <w:szCs w:val="20"/>
          <w:shd w:val="clear" w:color="auto" w:fill="FFFFFF"/>
        </w:rPr>
        <w:t xml:space="preserve"> associated primarily with the exercise of stock options. I</w:t>
      </w:r>
      <w:r>
        <w:rPr>
          <w:rFonts w:eastAsia="Times New Roman"/>
          <w:color w:val="000000"/>
          <w:sz w:val="20"/>
          <w:szCs w:val="20"/>
        </w:rPr>
        <w:t>n comparison, the income tax provision associated with the three months ended Septemb</w:t>
      </w:r>
      <w:r>
        <w:rPr>
          <w:rFonts w:eastAsia="Times New Roman"/>
          <w:color w:val="000000"/>
          <w:sz w:val="20"/>
          <w:szCs w:val="20"/>
        </w:rPr>
        <w:t>er 26, 2020 reflected income tax expense at our statutory federal and state rate of 25.5% offset by a discrete benefit of $3.0 million resulting from stock option exercises.</w:t>
      </w:r>
    </w:p>
    <w:p w:rsidR="00000000" w:rsidRDefault="002B18C2">
      <w:pPr>
        <w:jc w:val="center"/>
        <w:divId w:val="1827092817"/>
        <w:rPr>
          <w:rFonts w:eastAsia="Times New Roman"/>
        </w:rPr>
      </w:pPr>
      <w:r>
        <w:rPr>
          <w:rFonts w:eastAsia="Times New Roman"/>
          <w:color w:val="000000"/>
          <w:sz w:val="20"/>
          <w:szCs w:val="20"/>
        </w:rPr>
        <w:t>34</w:t>
      </w:r>
    </w:p>
    <w:p w:rsidR="00000000" w:rsidRDefault="002B18C2">
      <w:pPr>
        <w:rPr>
          <w:rFonts w:eastAsia="Times New Roman"/>
        </w:rPr>
      </w:pPr>
      <w:r>
        <w:rPr>
          <w:rFonts w:eastAsia="Times New Roman"/>
        </w:rPr>
        <w:pict>
          <v:rect id="_x0000_i1058" style="width:0;height:1.5pt" o:hralign="center" o:hrstd="t" o:hr="t" fillcolor="#a0a0a0" stroked="f"/>
        </w:pict>
      </w:r>
    </w:p>
    <w:p w:rsidR="00000000" w:rsidRDefault="002B18C2">
      <w:pPr>
        <w:divId w:val="2092695782"/>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1082414663"/>
        <w:rPr>
          <w:rFonts w:eastAsia="Times New Roman"/>
        </w:rPr>
      </w:pPr>
      <w:r>
        <w:rPr>
          <w:rFonts w:eastAsia="Times New Roman"/>
          <w:b/>
          <w:bCs/>
          <w:color w:val="000000"/>
          <w:sz w:val="20"/>
          <w:szCs w:val="20"/>
        </w:rPr>
        <w:t>Nine Months Ended October 2, 2021 compared to Nine Months Ended September 26, 2020</w:t>
      </w:r>
    </w:p>
    <w:p w:rsidR="00000000" w:rsidRDefault="002B18C2">
      <w:pPr>
        <w:jc w:val="both"/>
        <w:divId w:val="2104257598"/>
        <w:rPr>
          <w:rFonts w:eastAsia="Times New Roman"/>
        </w:rPr>
      </w:pPr>
      <w:r>
        <w:rPr>
          <w:rFonts w:eastAsia="Times New Roman"/>
          <w:color w:val="000000"/>
          <w:sz w:val="20"/>
          <w:szCs w:val="20"/>
        </w:rPr>
        <w:t>As a result of the COVID-19 pandemic, our retail stores were temporarily closed to the public beg</w:t>
      </w:r>
      <w:r>
        <w:rPr>
          <w:rFonts w:eastAsia="Times New Roman"/>
          <w:color w:val="000000"/>
          <w:sz w:val="20"/>
          <w:szCs w:val="20"/>
        </w:rPr>
        <w:t>inning on March 19, 2020. We began reopening our stores to the public on April 27, 2020, and on June 8, 2020, we announced the successful completion of the reopening process. Comparisons of current year results to prior year results reflect the material an</w:t>
      </w:r>
      <w:r>
        <w:rPr>
          <w:rFonts w:eastAsia="Times New Roman"/>
          <w:color w:val="000000"/>
          <w:sz w:val="20"/>
          <w:szCs w:val="20"/>
        </w:rPr>
        <w:t>d unprecedented impact of these temporary store closures.</w:t>
      </w:r>
    </w:p>
    <w:p w:rsidR="00000000" w:rsidRDefault="002B18C2">
      <w:pPr>
        <w:jc w:val="both"/>
        <w:divId w:val="1031761287"/>
        <w:rPr>
          <w:rFonts w:eastAsia="Times New Roman"/>
        </w:rPr>
      </w:pPr>
      <w:r>
        <w:rPr>
          <w:rFonts w:eastAsia="Times New Roman"/>
          <w:i/>
          <w:iCs/>
          <w:color w:val="000000"/>
          <w:sz w:val="20"/>
          <w:szCs w:val="20"/>
        </w:rPr>
        <w:t>Net revenue</w:t>
      </w:r>
    </w:p>
    <w:p w:rsidR="00000000" w:rsidRDefault="002B18C2">
      <w:pPr>
        <w:jc w:val="both"/>
        <w:divId w:val="5062807"/>
        <w:rPr>
          <w:rFonts w:eastAsia="Times New Roman"/>
        </w:rPr>
      </w:pPr>
      <w:r>
        <w:rPr>
          <w:rFonts w:eastAsia="Times New Roman"/>
          <w:color w:val="000000"/>
          <w:sz w:val="20"/>
          <w:szCs w:val="20"/>
        </w:rPr>
        <w:t>The following presents, by segment and by brand, comparable store sales growth, stores open at the end of the period and net revenue for the nine months ended October 2, 2021 compared to the nine months ended September 26,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57"/>
        <w:gridCol w:w="1490"/>
        <w:gridCol w:w="37"/>
        <w:gridCol w:w="36"/>
        <w:gridCol w:w="36"/>
        <w:gridCol w:w="36"/>
        <w:gridCol w:w="62"/>
        <w:gridCol w:w="533"/>
        <w:gridCol w:w="164"/>
        <w:gridCol w:w="36"/>
        <w:gridCol w:w="36"/>
        <w:gridCol w:w="36"/>
        <w:gridCol w:w="79"/>
        <w:gridCol w:w="690"/>
        <w:gridCol w:w="164"/>
        <w:gridCol w:w="36"/>
        <w:gridCol w:w="36"/>
        <w:gridCol w:w="36"/>
        <w:gridCol w:w="66"/>
        <w:gridCol w:w="528"/>
        <w:gridCol w:w="38"/>
        <w:gridCol w:w="37"/>
        <w:gridCol w:w="36"/>
        <w:gridCol w:w="36"/>
        <w:gridCol w:w="86"/>
        <w:gridCol w:w="684"/>
        <w:gridCol w:w="37"/>
        <w:gridCol w:w="36"/>
        <w:gridCol w:w="36"/>
        <w:gridCol w:w="36"/>
        <w:gridCol w:w="105"/>
        <w:gridCol w:w="723"/>
        <w:gridCol w:w="36"/>
        <w:gridCol w:w="56"/>
        <w:gridCol w:w="389"/>
        <w:gridCol w:w="162"/>
        <w:gridCol w:w="36"/>
        <w:gridCol w:w="36"/>
        <w:gridCol w:w="36"/>
        <w:gridCol w:w="105"/>
        <w:gridCol w:w="723"/>
        <w:gridCol w:w="36"/>
        <w:gridCol w:w="56"/>
        <w:gridCol w:w="389"/>
        <w:gridCol w:w="162"/>
      </w:tblGrid>
      <w:tr w:rsidR="00000000">
        <w:trPr>
          <w:divId w:val="1202866693"/>
          <w:jc w:val="center"/>
        </w:trPr>
        <w:tc>
          <w:tcPr>
            <w:tcW w:w="50" w:type="pct"/>
            <w:vAlign w:val="center"/>
            <w:hideMark/>
          </w:tcPr>
          <w:p w:rsidR="00000000" w:rsidRDefault="002B18C2">
            <w:pPr>
              <w:jc w:val="both"/>
              <w:rPr>
                <w:rFonts w:eastAsia="Times New Roman"/>
              </w:rPr>
            </w:pPr>
          </w:p>
        </w:tc>
        <w:tc>
          <w:tcPr>
            <w:tcW w:w="1066"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2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3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2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3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01"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01"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2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2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35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2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2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35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1202866693"/>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6"/>
                <w:szCs w:val="16"/>
              </w:rPr>
              <w:t>Comparable store sales growt</w:t>
            </w:r>
            <w:r>
              <w:rPr>
                <w:rFonts w:eastAsia="Times New Roman"/>
                <w:b/>
                <w:bCs/>
                <w:color w:val="000000"/>
                <w:sz w:val="16"/>
                <w:szCs w:val="16"/>
              </w:rPr>
              <w:t>h</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6"/>
                <w:szCs w:val="16"/>
              </w:rPr>
              <w:t>Stores open at end of period</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6"/>
                <w:szCs w:val="16"/>
              </w:rPr>
              <w:t>Net revenu</w:t>
            </w:r>
            <w:r>
              <w:rPr>
                <w:rFonts w:eastAsia="Times New Roman"/>
                <w:b/>
                <w:bCs/>
                <w:color w:val="000000"/>
                <w:sz w:val="16"/>
                <w:szCs w:val="16"/>
              </w:rPr>
              <w:t>e</w:t>
            </w:r>
            <w:r>
              <w:rPr>
                <w:rFonts w:eastAsia="Times New Roman"/>
                <w:b/>
                <w:bCs/>
                <w:color w:val="000000"/>
                <w:sz w:val="10"/>
                <w:szCs w:val="10"/>
              </w:rPr>
              <w:t>(2</w:t>
            </w:r>
            <w:r>
              <w:rPr>
                <w:rFonts w:eastAsia="Times New Roman"/>
                <w:b/>
                <w:bCs/>
                <w:color w:val="000000"/>
                <w:sz w:val="10"/>
                <w:szCs w:val="10"/>
              </w:rPr>
              <w:t>)</w:t>
            </w:r>
          </w:p>
        </w:tc>
      </w:tr>
      <w:tr w:rsidR="00000000">
        <w:trPr>
          <w:divId w:val="1202866693"/>
          <w:jc w:val="center"/>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16"/>
                <w:szCs w:val="16"/>
              </w:rPr>
              <w:t>In thousands, except percentage and store data</w:t>
            </w: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26, 2020</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6"/>
                <w:szCs w:val="16"/>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6"/>
                <w:szCs w:val="16"/>
              </w:rPr>
              <w:t>September 26, 2020</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26, 2020</w:t>
            </w:r>
          </w:p>
        </w:tc>
      </w:tr>
      <w:tr w:rsidR="00000000">
        <w:trPr>
          <w:divId w:val="1202866693"/>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17"/>
                <w:szCs w:val="17"/>
              </w:rPr>
              <w:t>Owned &amp; Host segment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202866693"/>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7"/>
                <w:szCs w:val="17"/>
              </w:rPr>
              <w:t>America’</w:t>
            </w:r>
            <w:r>
              <w:rPr>
                <w:rFonts w:eastAsia="Times New Roman"/>
                <w:color w:val="000000"/>
                <w:sz w:val="17"/>
                <w:szCs w:val="17"/>
              </w:rPr>
              <w:t>s Best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31.8 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(10.4)</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826 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769 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1,106,907 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69.1 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805,081 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66.3 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r>
      <w:tr w:rsidR="00000000">
        <w:trPr>
          <w:divId w:val="120286669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7"/>
                <w:szCs w:val="17"/>
              </w:rPr>
              <w:t>Eyeglass World</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33.9 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(8.6)</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123 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119 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174,356 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10.9 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127,680 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10.5 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r>
      <w:tr w:rsidR="00000000">
        <w:trPr>
          <w:divId w:val="1202866693"/>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7"/>
                <w:szCs w:val="17"/>
              </w:rPr>
              <w:t>Military</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22.6 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(20.2)</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54 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54 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18,112 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14,790 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r>
      <w:tr w:rsidR="00000000">
        <w:trPr>
          <w:divId w:val="120286669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7"/>
                <w:szCs w:val="17"/>
              </w:rPr>
              <w:t>Fred Meyer</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21.2 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(24.6)</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29 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29 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9,331 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0.6 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7,780 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0.6 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r>
      <w:tr w:rsidR="00000000">
        <w:trPr>
          <w:divId w:val="1202866693"/>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7"/>
                <w:szCs w:val="17"/>
              </w:rPr>
              <w:t>Owned &amp; Host segment total</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1,032 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971 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1,308,706 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81.7 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955,331 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78.6 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r>
      <w:tr w:rsidR="00000000">
        <w:trPr>
          <w:divId w:val="120286669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17"/>
                <w:szCs w:val="17"/>
              </w:rPr>
              <w:t>Legacy segment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25.5 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(15.4)</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230 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230 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128,024 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8.0 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102,102 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8.4 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r>
      <w:tr w:rsidR="00000000">
        <w:trPr>
          <w:divId w:val="1202866693"/>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17"/>
                <w:szCs w:val="17"/>
              </w:rPr>
              <w:t>Corporate/Other</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180,801 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11.3 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174,950 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14.4 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r>
      <w:tr w:rsidR="00000000">
        <w:trPr>
          <w:divId w:val="120286669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17"/>
                <w:szCs w:val="17"/>
              </w:rPr>
              <w:t>Reconciliations</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(15,857)</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(1.0)</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(17,319)</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(1.4)</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r>
      <w:tr w:rsidR="00000000">
        <w:trPr>
          <w:divId w:val="1202866693"/>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7"/>
                <w:szCs w:val="17"/>
              </w:rPr>
              <w:t>Total</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30.3 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(11.7)</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1,262 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1,201 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1,601,674 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1,215,064 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r>
      <w:tr w:rsidR="00000000">
        <w:trPr>
          <w:divId w:val="1202866693"/>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divId w:val="84619971"/>
              <w:rPr>
                <w:rFonts w:eastAsia="Times New Roman"/>
              </w:rPr>
            </w:pPr>
            <w:r>
              <w:rPr>
                <w:rFonts w:eastAsia="Times New Roman"/>
                <w:color w:val="000000"/>
                <w:sz w:val="17"/>
                <w:szCs w:val="17"/>
              </w:rPr>
              <w:t>Adjusted Comparable Store Sales Growt</w:t>
            </w:r>
            <w:r>
              <w:rPr>
                <w:rFonts w:eastAsia="Times New Roman"/>
                <w:color w:val="000000"/>
                <w:sz w:val="17"/>
                <w:szCs w:val="17"/>
              </w:rPr>
              <w:t>h</w:t>
            </w:r>
            <w:r>
              <w:rPr>
                <w:rFonts w:eastAsia="Times New Roman"/>
                <w:color w:val="000000"/>
                <w:sz w:val="11"/>
                <w:szCs w:val="11"/>
              </w:rPr>
              <w:t>(3</w:t>
            </w:r>
            <w:r>
              <w:rPr>
                <w:rFonts w:eastAsia="Times New Roman"/>
                <w:color w:val="000000"/>
                <w:sz w:val="11"/>
                <w:szCs w:val="11"/>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31.1 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17"/>
                <w:szCs w:val="17"/>
              </w:rPr>
              <w:t>(11.1)</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bl>
    <w:p w:rsidR="00000000" w:rsidRDefault="002B18C2">
      <w:pPr>
        <w:ind w:hanging="360"/>
        <w:jc w:val="both"/>
        <w:rPr>
          <w:rFonts w:eastAsia="Times New Roman"/>
        </w:rPr>
      </w:pPr>
      <w:r>
        <w:rPr>
          <w:rFonts w:eastAsia="Times New Roman"/>
          <w:color w:val="000000"/>
          <w:sz w:val="16"/>
          <w:szCs w:val="16"/>
        </w:rPr>
        <w:t xml:space="preserve">(1)We calculate total comparable store sales based on consolidated net revenue excluding the impact of (i) Corporate/Other segment net revenue, (ii) sales from stores </w:t>
      </w:r>
      <w:r>
        <w:rPr>
          <w:rFonts w:eastAsia="Times New Roman"/>
          <w:color w:val="000000"/>
          <w:sz w:val="16"/>
          <w:szCs w:val="16"/>
        </w:rPr>
        <w:t>opened less than 13 months, (iii) stores closed in the periods presented, (iv) sales from partial months of operation when stores do not open or close on the first day of the month and (v) if applicable, the impact of a 53rd week in a fiscal year. Brand-le</w:t>
      </w:r>
      <w:r>
        <w:rPr>
          <w:rFonts w:eastAsia="Times New Roman"/>
          <w:color w:val="000000"/>
          <w:sz w:val="16"/>
          <w:szCs w:val="16"/>
        </w:rPr>
        <w:t xml:space="preserve">vel comparable store sales growth is calculated based on cash basis revenues consistent with what the CODM reviews, and consistent with reportable segment revenues presented in Note 10. “Segment Reporting” in our unaudited condensed consolidated financial </w:t>
      </w:r>
      <w:r>
        <w:rPr>
          <w:rFonts w:eastAsia="Times New Roman"/>
          <w:color w:val="000000"/>
          <w:sz w:val="16"/>
          <w:szCs w:val="16"/>
        </w:rPr>
        <w:t xml:space="preserve">statements included in Part I. Item 1. of this Form 10-Q, with the exception of the Legacy segment, which is adjusted as noted in clause (ii) of footnote (3) below. </w:t>
      </w:r>
    </w:p>
    <w:p w:rsidR="00000000" w:rsidRDefault="002B18C2">
      <w:pPr>
        <w:ind w:hanging="360"/>
        <w:jc w:val="both"/>
        <w:rPr>
          <w:rFonts w:eastAsia="Times New Roman"/>
        </w:rPr>
      </w:pPr>
      <w:r>
        <w:rPr>
          <w:rFonts w:eastAsia="Times New Roman"/>
          <w:color w:val="000000"/>
          <w:sz w:val="16"/>
          <w:szCs w:val="16"/>
        </w:rPr>
        <w:t>(2)Percentages reflect line item as a percentage of net revenue, adjusted for rounding.</w:t>
      </w:r>
    </w:p>
    <w:p w:rsidR="00000000" w:rsidRDefault="002B18C2">
      <w:pPr>
        <w:ind w:hanging="360"/>
        <w:jc w:val="both"/>
        <w:divId w:val="910384145"/>
        <w:rPr>
          <w:rFonts w:eastAsia="Times New Roman"/>
        </w:rPr>
      </w:pPr>
      <w:r>
        <w:rPr>
          <w:rFonts w:eastAsia="Times New Roman"/>
          <w:color w:val="000000"/>
          <w:sz w:val="16"/>
          <w:szCs w:val="16"/>
        </w:rPr>
        <w:t>(3</w:t>
      </w:r>
      <w:r>
        <w:rPr>
          <w:rFonts w:eastAsia="Times New Roman"/>
          <w:color w:val="000000"/>
          <w:sz w:val="16"/>
          <w:szCs w:val="16"/>
        </w:rPr>
        <w:t xml:space="preserve">)There are two differences between total comparable store sales growth based on consolidated net revenue and Adjusted Comparable Store Sales Growth: (i) Adjusted Comparable Store Sales Growth includes the effect of deferred and unearned revenue as if such </w:t>
      </w:r>
      <w:r>
        <w:rPr>
          <w:rFonts w:eastAsia="Times New Roman"/>
          <w:color w:val="000000"/>
          <w:sz w:val="16"/>
          <w:szCs w:val="16"/>
        </w:rPr>
        <w:t>revenues were earned at the point of sale, resulting in an increase of 0.9% and an increase of 0.5% from total comparable store sales growth based on consolidated net revenue for the nine months ended October 2, 2021 and September 26, 2020, respectively, a</w:t>
      </w:r>
      <w:r>
        <w:rPr>
          <w:rFonts w:eastAsia="Times New Roman"/>
          <w:color w:val="000000"/>
          <w:sz w:val="16"/>
          <w:szCs w:val="16"/>
        </w:rPr>
        <w:t>nd (ii) Adjusted Comparable Store Sales Growth includes retail sales to the legacy partner’s customers (rather than the revenues recognized consistent with the management &amp; services agreement with the legacy partner), resulting in a decrease of 0.1% and an</w:t>
      </w:r>
      <w:r>
        <w:rPr>
          <w:rFonts w:eastAsia="Times New Roman"/>
          <w:color w:val="000000"/>
          <w:sz w:val="16"/>
          <w:szCs w:val="16"/>
        </w:rPr>
        <w:t xml:space="preserve"> increase of 0.1% from total comparable store sales growth based on consolidated net revenue for the nine months ended October 2, 2021 and September 26, 2020, respectively.</w:t>
      </w:r>
    </w:p>
    <w:p w:rsidR="00000000" w:rsidRDefault="002B18C2">
      <w:pPr>
        <w:jc w:val="both"/>
        <w:divId w:val="747768500"/>
        <w:rPr>
          <w:rFonts w:eastAsia="Times New Roman"/>
        </w:rPr>
      </w:pPr>
      <w:r>
        <w:rPr>
          <w:rFonts w:eastAsia="Times New Roman"/>
          <w:color w:val="000000"/>
          <w:sz w:val="20"/>
          <w:szCs w:val="20"/>
        </w:rPr>
        <w:t>Total net revenue of $1,601.7 million for the nine months ended October 2, 2021 inc</w:t>
      </w:r>
      <w:r>
        <w:rPr>
          <w:rFonts w:eastAsia="Times New Roman"/>
          <w:color w:val="000000"/>
          <w:sz w:val="20"/>
          <w:szCs w:val="20"/>
        </w:rPr>
        <w:t xml:space="preserve">reased $386.6 million, or 31.8%, from $1,215.1 million for the nine months ended September 26, 2020. This increase was primarily driven by comparable store sales growth driven by strong customer demand, including the effect of our stores being temporarily </w:t>
      </w:r>
      <w:r>
        <w:rPr>
          <w:rFonts w:eastAsia="Times New Roman"/>
          <w:color w:val="000000"/>
          <w:sz w:val="20"/>
          <w:szCs w:val="20"/>
        </w:rPr>
        <w:t>closed to the public for a portion of the nine months ended September 26, 2020, government stimulus, and new store growth and maturation. Total net revenue was also positively impacted by changes in unearned revenue.</w:t>
      </w:r>
    </w:p>
    <w:p w:rsidR="00000000" w:rsidRDefault="002B18C2">
      <w:pPr>
        <w:jc w:val="both"/>
        <w:divId w:val="763957197"/>
        <w:rPr>
          <w:rFonts w:eastAsia="Times New Roman"/>
        </w:rPr>
      </w:pPr>
      <w:r>
        <w:rPr>
          <w:rFonts w:eastAsia="Times New Roman"/>
          <w:color w:val="000000"/>
          <w:sz w:val="20"/>
          <w:szCs w:val="20"/>
        </w:rPr>
        <w:t>In the nine months ended October 2, 202</w:t>
      </w:r>
      <w:r>
        <w:rPr>
          <w:rFonts w:eastAsia="Times New Roman"/>
          <w:color w:val="000000"/>
          <w:sz w:val="20"/>
          <w:szCs w:val="20"/>
        </w:rPr>
        <w:t>1, we opened 55 new America’s Best stores and four Eyeglass World stores and closed two America’s Best stores; Overall, store count grew 5.1% from September 26, 2020 to October 2, 2021 (57, and four net new America’s Best and Eyeglass World stores were add</w:t>
      </w:r>
      <w:r>
        <w:rPr>
          <w:rFonts w:eastAsia="Times New Roman"/>
          <w:color w:val="000000"/>
          <w:sz w:val="20"/>
          <w:szCs w:val="20"/>
        </w:rPr>
        <w:t xml:space="preserve">ed, respectively). </w:t>
      </w:r>
    </w:p>
    <w:p w:rsidR="00000000" w:rsidRDefault="002B18C2">
      <w:pPr>
        <w:jc w:val="both"/>
        <w:divId w:val="1172374146"/>
        <w:rPr>
          <w:rFonts w:eastAsia="Times New Roman"/>
        </w:rPr>
      </w:pPr>
      <w:r>
        <w:rPr>
          <w:rFonts w:eastAsia="Times New Roman"/>
          <w:color w:val="000000"/>
          <w:sz w:val="20"/>
          <w:szCs w:val="20"/>
        </w:rPr>
        <w:t>Comparable store sales growth and Adjusted Comparable Store Sales Growth for the nine months ended October 2, 2021 were 30.3% and 31.1%, respectively. The increases in comparable store sales growth and Adjusted Comparable Store Sales Gr</w:t>
      </w:r>
      <w:r>
        <w:rPr>
          <w:rFonts w:eastAsia="Times New Roman"/>
          <w:color w:val="000000"/>
          <w:sz w:val="20"/>
          <w:szCs w:val="20"/>
        </w:rPr>
        <w:t>owth were primarily driven by strong customer demand, including the effect of our stores being temporarily closed for a portion of the nine months ended September 26, 2020 and government stimulus.</w:t>
      </w:r>
    </w:p>
    <w:p w:rsidR="00000000" w:rsidRDefault="002B18C2">
      <w:pPr>
        <w:jc w:val="center"/>
        <w:divId w:val="1198814361"/>
        <w:rPr>
          <w:rFonts w:eastAsia="Times New Roman"/>
        </w:rPr>
      </w:pPr>
      <w:r>
        <w:rPr>
          <w:rFonts w:eastAsia="Times New Roman"/>
          <w:color w:val="000000"/>
          <w:sz w:val="20"/>
          <w:szCs w:val="20"/>
        </w:rPr>
        <w:t>35</w:t>
      </w:r>
    </w:p>
    <w:p w:rsidR="00000000" w:rsidRDefault="002B18C2">
      <w:pPr>
        <w:rPr>
          <w:rFonts w:eastAsia="Times New Roman"/>
        </w:rPr>
      </w:pPr>
      <w:r>
        <w:rPr>
          <w:rFonts w:eastAsia="Times New Roman"/>
        </w:rPr>
        <w:pict>
          <v:rect id="_x0000_i1059" style="width:0;height:1.5pt" o:hralign="center" o:hrstd="t" o:hr="t" fillcolor="#a0a0a0" stroked="f"/>
        </w:pict>
      </w:r>
    </w:p>
    <w:p w:rsidR="00000000" w:rsidRDefault="002B18C2">
      <w:pPr>
        <w:divId w:val="1024095691"/>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297299171"/>
        <w:rPr>
          <w:rFonts w:eastAsia="Times New Roman"/>
        </w:rPr>
      </w:pPr>
      <w:r>
        <w:rPr>
          <w:rFonts w:eastAsia="Times New Roman"/>
          <w:color w:val="000000"/>
          <w:sz w:val="20"/>
          <w:szCs w:val="20"/>
        </w:rPr>
        <w:t xml:space="preserve">Net product sales comprised 82.8% and 82.8% of total net revenue for the nine months ended October 2, 2021 and September 26, 2020, respectively. Net product sales increased $321.0 million, or 31.9%, in the nine months ended October 2, 2021 compared to the </w:t>
      </w:r>
      <w:r>
        <w:rPr>
          <w:rFonts w:eastAsia="Times New Roman"/>
          <w:color w:val="000000"/>
          <w:sz w:val="20"/>
          <w:szCs w:val="20"/>
        </w:rPr>
        <w:t>nine months ended September 26, 2020, primarily due to increased eyeglass sales and to a lesser extent increased contact lens sales. Net sales of services and plans increased $65.6 million, or 31.4%, primarily driven by eye exam revenue.</w:t>
      </w:r>
    </w:p>
    <w:p w:rsidR="00000000" w:rsidRDefault="002B18C2">
      <w:pPr>
        <w:jc w:val="both"/>
        <w:divId w:val="1703244562"/>
        <w:rPr>
          <w:rFonts w:eastAsia="Times New Roman"/>
        </w:rPr>
      </w:pPr>
      <w:r>
        <w:rPr>
          <w:rFonts w:eastAsia="Times New Roman"/>
          <w:i/>
          <w:iCs/>
          <w:color w:val="000000"/>
          <w:sz w:val="20"/>
          <w:szCs w:val="20"/>
        </w:rPr>
        <w:t>Owned &amp; Host segme</w:t>
      </w:r>
      <w:r>
        <w:rPr>
          <w:rFonts w:eastAsia="Times New Roman"/>
          <w:i/>
          <w:iCs/>
          <w:color w:val="000000"/>
          <w:sz w:val="20"/>
          <w:szCs w:val="20"/>
        </w:rPr>
        <w:t>nt net revenue.</w:t>
      </w:r>
      <w:r>
        <w:rPr>
          <w:rFonts w:eastAsia="Times New Roman"/>
          <w:color w:val="000000"/>
          <w:sz w:val="20"/>
          <w:szCs w:val="20"/>
        </w:rPr>
        <w:t xml:space="preserve"> Net revenue increased $353.4 million, or 37.0%, driven primarily by comparable store sales growth and new store openings.</w:t>
      </w:r>
    </w:p>
    <w:p w:rsidR="00000000" w:rsidRDefault="002B18C2">
      <w:pPr>
        <w:jc w:val="both"/>
        <w:divId w:val="771899678"/>
        <w:rPr>
          <w:rFonts w:eastAsia="Times New Roman"/>
        </w:rPr>
      </w:pPr>
      <w:r>
        <w:rPr>
          <w:rFonts w:eastAsia="Times New Roman"/>
          <w:i/>
          <w:iCs/>
          <w:color w:val="000000"/>
          <w:sz w:val="20"/>
          <w:szCs w:val="20"/>
        </w:rPr>
        <w:t xml:space="preserve">Legacy segment net revenue. </w:t>
      </w:r>
      <w:r>
        <w:rPr>
          <w:rFonts w:eastAsia="Times New Roman"/>
          <w:color w:val="000000"/>
          <w:sz w:val="20"/>
          <w:szCs w:val="20"/>
        </w:rPr>
        <w:t>Net revenue increased $25.9 million, or 25.4%, driven by comparable store sales growth and</w:t>
      </w:r>
      <w:r>
        <w:rPr>
          <w:rFonts w:eastAsia="Times New Roman"/>
          <w:color w:val="000000"/>
          <w:sz w:val="20"/>
          <w:szCs w:val="20"/>
        </w:rPr>
        <w:t xml:space="preserve"> higher management fees from our Legacy partner.</w:t>
      </w:r>
    </w:p>
    <w:p w:rsidR="00000000" w:rsidRDefault="002B18C2">
      <w:pPr>
        <w:jc w:val="both"/>
        <w:divId w:val="662510955"/>
        <w:rPr>
          <w:rFonts w:eastAsia="Times New Roman"/>
        </w:rPr>
      </w:pPr>
      <w:r>
        <w:rPr>
          <w:rFonts w:eastAsia="Times New Roman"/>
          <w:i/>
          <w:iCs/>
          <w:color w:val="000000"/>
          <w:sz w:val="20"/>
          <w:szCs w:val="20"/>
        </w:rPr>
        <w:t xml:space="preserve">Corporate/Other segment net revenue. </w:t>
      </w:r>
      <w:r>
        <w:rPr>
          <w:rFonts w:eastAsia="Times New Roman"/>
          <w:color w:val="000000"/>
          <w:sz w:val="20"/>
          <w:szCs w:val="20"/>
        </w:rPr>
        <w:t>Net revenue increased $5.9 million, or 3.3%, due to increases in wholesale fulfillment.</w:t>
      </w:r>
    </w:p>
    <w:p w:rsidR="00000000" w:rsidRDefault="002B18C2">
      <w:pPr>
        <w:jc w:val="both"/>
        <w:divId w:val="734012646"/>
        <w:rPr>
          <w:rFonts w:eastAsia="Times New Roman"/>
        </w:rPr>
      </w:pPr>
      <w:r>
        <w:rPr>
          <w:rFonts w:eastAsia="Times New Roman"/>
          <w:i/>
          <w:iCs/>
          <w:color w:val="000000"/>
          <w:sz w:val="20"/>
          <w:szCs w:val="20"/>
          <w:shd w:val="clear" w:color="auto" w:fill="FFFFFF"/>
        </w:rPr>
        <w:t xml:space="preserve">Net revenue reconciliations. </w:t>
      </w:r>
      <w:r>
        <w:rPr>
          <w:rFonts w:eastAsia="Times New Roman"/>
          <w:color w:val="000000"/>
          <w:sz w:val="20"/>
          <w:szCs w:val="20"/>
          <w:shd w:val="clear" w:color="auto" w:fill="FFFFFF"/>
        </w:rPr>
        <w:t>The impact of reconciliations positively impacted net revenue by $1.5 million in the nine months ended October 2, 2021 compared to the nine</w:t>
      </w:r>
      <w:r>
        <w:rPr>
          <w:rFonts w:eastAsia="Times New Roman"/>
          <w:color w:val="000000"/>
          <w:sz w:val="20"/>
          <w:szCs w:val="20"/>
          <w:shd w:val="clear" w:color="auto" w:fill="FFFFFF"/>
        </w:rPr>
        <w:t xml:space="preserve"> months ended September 26, 2020. Net revenue was positively impacted by $14.4 million due to the timing of unearned revenue. The balance of unearned revenue as of September 26, 2020 reflected pent-up demand following the temporary closure of our stores to</w:t>
      </w:r>
      <w:r>
        <w:rPr>
          <w:rFonts w:eastAsia="Times New Roman"/>
          <w:color w:val="000000"/>
          <w:sz w:val="20"/>
          <w:szCs w:val="20"/>
          <w:shd w:val="clear" w:color="auto" w:fill="FFFFFF"/>
        </w:rPr>
        <w:t xml:space="preserve"> the public. Net revenue was negatively impacted by $12.9 million due to higher product protection plan and club membership deferred revenue balances in current period compared to the prior year period. Product protection plan and club membership deferred </w:t>
      </w:r>
      <w:r>
        <w:rPr>
          <w:rFonts w:eastAsia="Times New Roman"/>
          <w:color w:val="000000"/>
          <w:sz w:val="20"/>
          <w:szCs w:val="20"/>
          <w:shd w:val="clear" w:color="auto" w:fill="FFFFFF"/>
        </w:rPr>
        <w:t>revenue balances were lower in the prior year period due to store closures.</w:t>
      </w:r>
    </w:p>
    <w:p w:rsidR="00000000" w:rsidRDefault="002B18C2">
      <w:pPr>
        <w:jc w:val="both"/>
        <w:divId w:val="401486726"/>
        <w:rPr>
          <w:rFonts w:eastAsia="Times New Roman"/>
        </w:rPr>
      </w:pPr>
      <w:r>
        <w:rPr>
          <w:rFonts w:eastAsia="Times New Roman"/>
          <w:i/>
          <w:iCs/>
          <w:color w:val="000000"/>
          <w:sz w:val="20"/>
          <w:szCs w:val="20"/>
        </w:rPr>
        <w:t>Costs applicable to revenue</w:t>
      </w:r>
    </w:p>
    <w:p w:rsidR="00000000" w:rsidRDefault="002B18C2">
      <w:pPr>
        <w:jc w:val="both"/>
        <w:divId w:val="884026641"/>
        <w:rPr>
          <w:rFonts w:eastAsia="Times New Roman"/>
        </w:rPr>
      </w:pPr>
      <w:r>
        <w:rPr>
          <w:rFonts w:eastAsia="Times New Roman"/>
          <w:color w:val="000000"/>
          <w:sz w:val="20"/>
          <w:szCs w:val="20"/>
        </w:rPr>
        <w:t xml:space="preserve">Costs applicable to revenue of $687.1 million for the nine months ended October 2, 2021 increased $117.0 million, or 20.5%, from $570.1 million for the </w:t>
      </w:r>
      <w:r>
        <w:rPr>
          <w:rFonts w:eastAsia="Times New Roman"/>
          <w:color w:val="000000"/>
          <w:sz w:val="20"/>
          <w:szCs w:val="20"/>
        </w:rPr>
        <w:t>nine months ended September 26, 2020. As a percentage of net revenue, costs applicable to revenue decreased from 46.9% for the nine months ended September 26, 2020 to 42.9% for the nine months ended October 2, 2021. This decrease as a percentage of net rev</w:t>
      </w:r>
      <w:r>
        <w:rPr>
          <w:rFonts w:eastAsia="Times New Roman"/>
          <w:color w:val="000000"/>
          <w:sz w:val="20"/>
          <w:szCs w:val="20"/>
        </w:rPr>
        <w:t>enue was primarily driven by negative margin impacts from the temporary closure of our stores in the prior year that were not experienced in the 2021 period, lower growth in optometrist-related costs, increased eyeglass mix and higher eyeglass margin.</w:t>
      </w:r>
    </w:p>
    <w:p w:rsidR="00000000" w:rsidRDefault="002B18C2">
      <w:pPr>
        <w:jc w:val="both"/>
        <w:divId w:val="113600142"/>
        <w:rPr>
          <w:rFonts w:eastAsia="Times New Roman"/>
        </w:rPr>
      </w:pPr>
      <w:r>
        <w:rPr>
          <w:rFonts w:eastAsia="Times New Roman"/>
          <w:color w:val="000000"/>
          <w:sz w:val="20"/>
          <w:szCs w:val="20"/>
        </w:rPr>
        <w:t>Cost</w:t>
      </w:r>
      <w:r>
        <w:rPr>
          <w:rFonts w:eastAsia="Times New Roman"/>
          <w:color w:val="000000"/>
          <w:sz w:val="20"/>
          <w:szCs w:val="20"/>
        </w:rPr>
        <w:t>s of products as a percentage of net product sales decreased from 40.0% for the nine months ended September 26, 2020 to 36.6% for the nine months ended October 2, 2021, primarily driven</w:t>
      </w:r>
      <w:r>
        <w:rPr>
          <w:rFonts w:eastAsia="Times New Roman"/>
          <w:color w:val="FF0000"/>
          <w:sz w:val="20"/>
          <w:szCs w:val="20"/>
        </w:rPr>
        <w:t xml:space="preserve"> </w:t>
      </w:r>
      <w:r>
        <w:rPr>
          <w:rFonts w:eastAsia="Times New Roman"/>
          <w:color w:val="000000"/>
          <w:sz w:val="20"/>
          <w:szCs w:val="20"/>
        </w:rPr>
        <w:t>by the impact of the temporary store closures in fiscal year 2020, inc</w:t>
      </w:r>
      <w:r>
        <w:rPr>
          <w:rFonts w:eastAsia="Times New Roman"/>
          <w:color w:val="000000"/>
          <w:sz w:val="20"/>
          <w:szCs w:val="20"/>
        </w:rPr>
        <w:t>reased eyeglass mix and higher eyeglass margin.</w:t>
      </w:r>
    </w:p>
    <w:p w:rsidR="00000000" w:rsidRDefault="002B18C2">
      <w:pPr>
        <w:jc w:val="both"/>
        <w:divId w:val="140393361"/>
        <w:rPr>
          <w:rFonts w:eastAsia="Times New Roman"/>
        </w:rPr>
      </w:pPr>
      <w:r>
        <w:rPr>
          <w:rFonts w:eastAsia="Times New Roman"/>
          <w:i/>
          <w:iCs/>
          <w:color w:val="000000"/>
          <w:sz w:val="20"/>
          <w:szCs w:val="20"/>
        </w:rPr>
        <w:t xml:space="preserve">Owned &amp; Host segment costs of products. </w:t>
      </w:r>
      <w:r>
        <w:rPr>
          <w:rFonts w:eastAsia="Times New Roman"/>
          <w:color w:val="000000"/>
          <w:sz w:val="20"/>
          <w:szCs w:val="20"/>
        </w:rPr>
        <w:t>Costs of products as a percentage of net product sales decreased from 28.6% for the nine months ended September 26, 2020 to 27.2% for the nine months ended October 2, 2</w:t>
      </w:r>
      <w:r>
        <w:rPr>
          <w:rFonts w:eastAsia="Times New Roman"/>
          <w:color w:val="000000"/>
          <w:sz w:val="20"/>
          <w:szCs w:val="20"/>
        </w:rPr>
        <w:t>021 driven by the impact of the temporary store closures in fiscal year 2020, increased eyeglass mix and higher eyeglass margin.</w:t>
      </w:r>
    </w:p>
    <w:p w:rsidR="00000000" w:rsidRDefault="002B18C2">
      <w:pPr>
        <w:jc w:val="both"/>
        <w:divId w:val="844174333"/>
        <w:rPr>
          <w:rFonts w:eastAsia="Times New Roman"/>
        </w:rPr>
      </w:pPr>
      <w:r>
        <w:rPr>
          <w:rFonts w:eastAsia="Times New Roman"/>
          <w:i/>
          <w:iCs/>
          <w:color w:val="000000"/>
          <w:sz w:val="20"/>
          <w:szCs w:val="20"/>
        </w:rPr>
        <w:t xml:space="preserve">Legacy segment costs of products. </w:t>
      </w:r>
      <w:r>
        <w:rPr>
          <w:rFonts w:eastAsia="Times New Roman"/>
          <w:color w:val="000000"/>
          <w:sz w:val="20"/>
          <w:szCs w:val="20"/>
        </w:rPr>
        <w:t>Costs of products as a percentage of net product sales decreased from 49.1% for the nine mont</w:t>
      </w:r>
      <w:r>
        <w:rPr>
          <w:rFonts w:eastAsia="Times New Roman"/>
          <w:color w:val="000000"/>
          <w:sz w:val="20"/>
          <w:szCs w:val="20"/>
        </w:rPr>
        <w:t>hs ended September 26, 2020 to 47.7% for the nine months ended October 2, 2021. The decrease was primarily driven by impact of the temporary store closures in fiscal year 2020 and a higher mix of managed care customer transactions versus non-managed care c</w:t>
      </w:r>
      <w:r>
        <w:rPr>
          <w:rFonts w:eastAsia="Times New Roman"/>
          <w:color w:val="000000"/>
          <w:sz w:val="20"/>
          <w:szCs w:val="20"/>
        </w:rPr>
        <w:t>ustomer transactions. Legacy segment managed care net product revenue is recorded in net product sales while revenue associated with servicing non-managed care customers is recorded in net sales of services and plans. Eyeglass and contact lens product cost</w:t>
      </w:r>
      <w:r>
        <w:rPr>
          <w:rFonts w:eastAsia="Times New Roman"/>
          <w:color w:val="000000"/>
          <w:sz w:val="20"/>
          <w:szCs w:val="20"/>
        </w:rPr>
        <w:t>s for both managed care and non-managed care net revenue are recorded in costs of products. Increases in managed care mix decrease costs of products as a percentage of net product sales and have a corresponding negative impact on costs of services as a per</w:t>
      </w:r>
      <w:r>
        <w:rPr>
          <w:rFonts w:eastAsia="Times New Roman"/>
          <w:color w:val="000000"/>
          <w:sz w:val="20"/>
          <w:szCs w:val="20"/>
        </w:rPr>
        <w:t>centage of net sales of services and plans in our Legacy segment.</w:t>
      </w:r>
    </w:p>
    <w:p w:rsidR="00000000" w:rsidRDefault="002B18C2">
      <w:pPr>
        <w:jc w:val="both"/>
        <w:divId w:val="1744377592"/>
        <w:rPr>
          <w:rFonts w:eastAsia="Times New Roman"/>
        </w:rPr>
      </w:pPr>
      <w:r>
        <w:rPr>
          <w:rFonts w:eastAsia="Times New Roman"/>
          <w:color w:val="000000"/>
          <w:sz w:val="20"/>
          <w:szCs w:val="20"/>
        </w:rPr>
        <w:t>Costs of services and plans as a percentage of net sales of services and plans decreased from 80.2% for the nine months ended September 26, 2020 to 73.5% for the nine months ended October 2,</w:t>
      </w:r>
      <w:r>
        <w:rPr>
          <w:rFonts w:eastAsia="Times New Roman"/>
          <w:color w:val="000000"/>
          <w:sz w:val="20"/>
          <w:szCs w:val="20"/>
        </w:rPr>
        <w:t xml:space="preserve"> 2021. The decrease was primarily driven by the impact of the temporary store closures in fiscal year 2020, lower growth in optometrist-related costs and higher eye exam revenue.</w:t>
      </w:r>
    </w:p>
    <w:p w:rsidR="00000000" w:rsidRDefault="002B18C2">
      <w:pPr>
        <w:jc w:val="both"/>
        <w:divId w:val="694620634"/>
        <w:rPr>
          <w:rFonts w:eastAsia="Times New Roman"/>
        </w:rPr>
      </w:pPr>
      <w:r>
        <w:rPr>
          <w:rFonts w:eastAsia="Times New Roman"/>
          <w:i/>
          <w:iCs/>
          <w:color w:val="000000"/>
          <w:sz w:val="20"/>
          <w:szCs w:val="20"/>
        </w:rPr>
        <w:t xml:space="preserve">Owned &amp; Host segment costs of services and plans. </w:t>
      </w:r>
      <w:r>
        <w:rPr>
          <w:rFonts w:eastAsia="Times New Roman"/>
          <w:color w:val="000000"/>
          <w:sz w:val="20"/>
          <w:szCs w:val="20"/>
        </w:rPr>
        <w:t>Costs of services and plans</w:t>
      </w:r>
      <w:r>
        <w:rPr>
          <w:rFonts w:eastAsia="Times New Roman"/>
          <w:color w:val="000000"/>
          <w:sz w:val="20"/>
          <w:szCs w:val="20"/>
        </w:rPr>
        <w:t xml:space="preserve"> as a percentage of net sales of services and plans decreased from 86.7% for the nine months ended September 26, 2020 to 76.5% for the nine months ended October 2, 2021. The decrease was primarily driven by the impact of the temporary store closures in fis</w:t>
      </w:r>
      <w:r>
        <w:rPr>
          <w:rFonts w:eastAsia="Times New Roman"/>
          <w:color w:val="000000"/>
          <w:sz w:val="20"/>
          <w:szCs w:val="20"/>
        </w:rPr>
        <w:t>cal year 2020, lower growth in optometrist-related costs and higher eye exam revenue.</w:t>
      </w:r>
    </w:p>
    <w:p w:rsidR="00000000" w:rsidRDefault="002B18C2">
      <w:pPr>
        <w:jc w:val="center"/>
        <w:divId w:val="1611743574"/>
        <w:rPr>
          <w:rFonts w:eastAsia="Times New Roman"/>
        </w:rPr>
      </w:pPr>
      <w:r>
        <w:rPr>
          <w:rFonts w:eastAsia="Times New Roman"/>
          <w:color w:val="000000"/>
          <w:sz w:val="20"/>
          <w:szCs w:val="20"/>
        </w:rPr>
        <w:t>36</w:t>
      </w:r>
    </w:p>
    <w:p w:rsidR="00000000" w:rsidRDefault="002B18C2">
      <w:pPr>
        <w:rPr>
          <w:rFonts w:eastAsia="Times New Roman"/>
        </w:rPr>
      </w:pPr>
      <w:r>
        <w:rPr>
          <w:rFonts w:eastAsia="Times New Roman"/>
        </w:rPr>
        <w:pict>
          <v:rect id="_x0000_i1060" style="width:0;height:1.5pt" o:hralign="center" o:hrstd="t" o:hr="t" fillcolor="#a0a0a0" stroked="f"/>
        </w:pict>
      </w:r>
    </w:p>
    <w:p w:rsidR="00000000" w:rsidRDefault="002B18C2">
      <w:pPr>
        <w:divId w:val="1528710861"/>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2074572410"/>
        <w:rPr>
          <w:rFonts w:eastAsia="Times New Roman"/>
        </w:rPr>
      </w:pPr>
      <w:r>
        <w:rPr>
          <w:rFonts w:eastAsia="Times New Roman"/>
          <w:i/>
          <w:iCs/>
          <w:color w:val="000000"/>
          <w:sz w:val="20"/>
          <w:szCs w:val="20"/>
        </w:rPr>
        <w:t xml:space="preserve">Legacy segment costs of services and plans. </w:t>
      </w:r>
      <w:r>
        <w:rPr>
          <w:rFonts w:eastAsia="Times New Roman"/>
          <w:color w:val="000000"/>
          <w:sz w:val="20"/>
          <w:szCs w:val="20"/>
        </w:rPr>
        <w:t>Costs of s</w:t>
      </w:r>
      <w:r>
        <w:rPr>
          <w:rFonts w:eastAsia="Times New Roman"/>
          <w:color w:val="000000"/>
          <w:sz w:val="20"/>
          <w:szCs w:val="20"/>
        </w:rPr>
        <w:t>ervices and plans as a percentage of net sales of services and plans decreased from 47.3% for the nine months ended September 26, 2020 to 39.0% for the nine months ended October 2, 2021. The decrease was primarily driven by the impact of the temporary stor</w:t>
      </w:r>
      <w:r>
        <w:rPr>
          <w:rFonts w:eastAsia="Times New Roman"/>
          <w:color w:val="000000"/>
          <w:sz w:val="20"/>
          <w:szCs w:val="20"/>
        </w:rPr>
        <w:t>e closures in fiscal year 2020, higher management fees from our Legacy partner and lower growth in optometrist-related costs.</w:t>
      </w:r>
    </w:p>
    <w:p w:rsidR="00000000" w:rsidRDefault="002B18C2">
      <w:pPr>
        <w:jc w:val="both"/>
        <w:divId w:val="1663241992"/>
        <w:rPr>
          <w:rFonts w:eastAsia="Times New Roman"/>
        </w:rPr>
      </w:pPr>
      <w:r>
        <w:rPr>
          <w:rFonts w:eastAsia="Times New Roman"/>
          <w:i/>
          <w:iCs/>
          <w:color w:val="000000"/>
          <w:sz w:val="20"/>
          <w:szCs w:val="20"/>
        </w:rPr>
        <w:t>Selling, general and administrative</w:t>
      </w:r>
    </w:p>
    <w:p w:rsidR="00000000" w:rsidRDefault="002B18C2">
      <w:pPr>
        <w:jc w:val="both"/>
        <w:divId w:val="966425135"/>
        <w:rPr>
          <w:rFonts w:eastAsia="Times New Roman"/>
        </w:rPr>
      </w:pPr>
      <w:r>
        <w:rPr>
          <w:rFonts w:eastAsia="Times New Roman"/>
          <w:color w:val="000000"/>
          <w:sz w:val="20"/>
          <w:szCs w:val="20"/>
        </w:rPr>
        <w:t>SG&amp;</w:t>
      </w:r>
      <w:r>
        <w:rPr>
          <w:rFonts w:eastAsia="Times New Roman"/>
          <w:color w:val="000000"/>
          <w:sz w:val="20"/>
          <w:szCs w:val="20"/>
        </w:rPr>
        <w:t>A of $676.0 million for the nine months ended October 2, 2021 increased $155.2 million, or 29.8%, from the nine months ended September 26, 2020. As a percentage of net revenue, SG&amp;A decreased from 42.9% for the nine months ended September 26, 2020 to 42.2%</w:t>
      </w:r>
      <w:r>
        <w:rPr>
          <w:rFonts w:eastAsia="Times New Roman"/>
          <w:color w:val="000000"/>
          <w:sz w:val="20"/>
          <w:szCs w:val="20"/>
        </w:rPr>
        <w:t xml:space="preserve"> for the nine months ended October 2, 2021. The decrease in SG&amp;A as a percentage of net revenue was primarily driven by negative impacts from the temporary closure of our stores in the prior year that were not experienced in the 2021 period and leverage of</w:t>
      </w:r>
      <w:r>
        <w:rPr>
          <w:rFonts w:eastAsia="Times New Roman"/>
          <w:color w:val="000000"/>
          <w:sz w:val="20"/>
          <w:szCs w:val="20"/>
        </w:rPr>
        <w:t xml:space="preserve"> store payroll and occupancy expenses, partially offset by higher advertising expenses and higher performance-ba</w:t>
      </w:r>
      <w:r>
        <w:rPr>
          <w:rFonts w:eastAsia="Times New Roman"/>
          <w:color w:val="000000"/>
          <w:sz w:val="20"/>
          <w:szCs w:val="20"/>
          <w:shd w:val="clear" w:color="auto" w:fill="FFFFFF"/>
        </w:rPr>
        <w:t>sed incentive compensation. SG&amp;A for the nine months ended October 2, 2021 and September 26, 2020 includes</w:t>
      </w:r>
      <w:r>
        <w:rPr>
          <w:rFonts w:eastAsia="Times New Roman"/>
          <w:color w:val="000000"/>
          <w:sz w:val="20"/>
          <w:szCs w:val="20"/>
        </w:rPr>
        <w:t xml:space="preserve"> $1.4 million and $7.8 million, respec</w:t>
      </w:r>
      <w:r>
        <w:rPr>
          <w:rFonts w:eastAsia="Times New Roman"/>
          <w:color w:val="000000"/>
          <w:sz w:val="20"/>
          <w:szCs w:val="20"/>
        </w:rPr>
        <w:t xml:space="preserve">tively, of incremental costs directly related to adapting the Company’s operations during the COVID-19 pandemic; of these costs, $0.6 million were reflected as adjustments for the Company’s presentation of non-GAAP measures below for the nine months ended </w:t>
      </w:r>
      <w:r>
        <w:rPr>
          <w:rFonts w:eastAsia="Times New Roman"/>
          <w:color w:val="000000"/>
          <w:sz w:val="20"/>
          <w:szCs w:val="20"/>
        </w:rPr>
        <w:t>September 26, 2020.</w:t>
      </w:r>
    </w:p>
    <w:p w:rsidR="00000000" w:rsidRDefault="002B18C2">
      <w:pPr>
        <w:jc w:val="both"/>
        <w:divId w:val="53740810"/>
        <w:rPr>
          <w:rFonts w:eastAsia="Times New Roman"/>
        </w:rPr>
      </w:pPr>
      <w:r>
        <w:rPr>
          <w:rFonts w:eastAsia="Times New Roman"/>
          <w:i/>
          <w:iCs/>
          <w:color w:val="000000"/>
          <w:sz w:val="20"/>
          <w:szCs w:val="20"/>
        </w:rPr>
        <w:t xml:space="preserve">Owned &amp; Host SG&amp;A. </w:t>
      </w:r>
      <w:r>
        <w:rPr>
          <w:rFonts w:eastAsia="Times New Roman"/>
          <w:color w:val="000000"/>
          <w:sz w:val="20"/>
          <w:szCs w:val="20"/>
        </w:rPr>
        <w:t xml:space="preserve">SG&amp;A as a percentage of net revenue decreased from 36.6% for the nine months ended September 26, 2020 to 35.6% for the nine months ended October 2, 2021, driven primarily by the impact of the temporary store closures </w:t>
      </w:r>
      <w:r>
        <w:rPr>
          <w:rFonts w:eastAsia="Times New Roman"/>
          <w:color w:val="000000"/>
          <w:sz w:val="20"/>
          <w:szCs w:val="20"/>
        </w:rPr>
        <w:t>in fiscal year 2020 and payroll and occupancy leverage, partially offset by higher advertising expense.</w:t>
      </w:r>
    </w:p>
    <w:p w:rsidR="00000000" w:rsidRDefault="002B18C2">
      <w:pPr>
        <w:jc w:val="both"/>
        <w:divId w:val="1614021860"/>
        <w:rPr>
          <w:rFonts w:eastAsia="Times New Roman"/>
        </w:rPr>
      </w:pPr>
      <w:r>
        <w:rPr>
          <w:rFonts w:eastAsia="Times New Roman"/>
          <w:i/>
          <w:iCs/>
          <w:color w:val="000000"/>
          <w:sz w:val="20"/>
          <w:szCs w:val="20"/>
        </w:rPr>
        <w:t xml:space="preserve">Legacy segment SG&amp;A. </w:t>
      </w:r>
      <w:r>
        <w:rPr>
          <w:rFonts w:eastAsia="Times New Roman"/>
          <w:color w:val="000000"/>
          <w:sz w:val="20"/>
          <w:szCs w:val="20"/>
        </w:rPr>
        <w:t xml:space="preserve">SG&amp;A as a percentage of net revenue decreased from 36.5% for the nine months ended September 26, 2020 to 33.9% for the nine months </w:t>
      </w:r>
      <w:r>
        <w:rPr>
          <w:rFonts w:eastAsia="Times New Roman"/>
          <w:color w:val="000000"/>
          <w:sz w:val="20"/>
          <w:szCs w:val="20"/>
        </w:rPr>
        <w:t>ended October 2, 2021 primarily driven by the impact of the temporary store closures in fiscal year 2020 and payroll and occupancy leverage.</w:t>
      </w:r>
    </w:p>
    <w:p w:rsidR="00000000" w:rsidRDefault="002B18C2">
      <w:pPr>
        <w:jc w:val="both"/>
        <w:divId w:val="775254484"/>
        <w:rPr>
          <w:rFonts w:eastAsia="Times New Roman"/>
        </w:rPr>
      </w:pPr>
      <w:r>
        <w:rPr>
          <w:rFonts w:eastAsia="Times New Roman"/>
          <w:i/>
          <w:iCs/>
          <w:color w:val="000000"/>
          <w:sz w:val="20"/>
          <w:szCs w:val="20"/>
        </w:rPr>
        <w:t>Depreciation and amortization</w:t>
      </w:r>
    </w:p>
    <w:p w:rsidR="00000000" w:rsidRDefault="002B18C2">
      <w:pPr>
        <w:jc w:val="both"/>
        <w:divId w:val="1989825523"/>
        <w:rPr>
          <w:rFonts w:eastAsia="Times New Roman"/>
        </w:rPr>
      </w:pPr>
      <w:r>
        <w:rPr>
          <w:rFonts w:eastAsia="Times New Roman"/>
          <w:color w:val="000000"/>
          <w:sz w:val="20"/>
          <w:szCs w:val="20"/>
        </w:rPr>
        <w:t>Depreciation and amortization expense of $72.6 million for the nine months ended Octo</w:t>
      </w:r>
      <w:r>
        <w:rPr>
          <w:rFonts w:eastAsia="Times New Roman"/>
          <w:color w:val="000000"/>
          <w:sz w:val="20"/>
          <w:szCs w:val="20"/>
        </w:rPr>
        <w:t xml:space="preserve">ber 2, 2021 increased $3.7 million, or 5.3%, from $69.0 million for the nine months ended September 26, 2020 primarily driven by new store openings. </w:t>
      </w:r>
    </w:p>
    <w:p w:rsidR="00000000" w:rsidRDefault="002B18C2">
      <w:pPr>
        <w:jc w:val="both"/>
        <w:divId w:val="1075906131"/>
        <w:rPr>
          <w:rFonts w:eastAsia="Times New Roman"/>
        </w:rPr>
      </w:pPr>
      <w:r>
        <w:rPr>
          <w:rFonts w:eastAsia="Times New Roman"/>
          <w:i/>
          <w:iCs/>
          <w:color w:val="000000"/>
          <w:sz w:val="20"/>
          <w:szCs w:val="20"/>
        </w:rPr>
        <w:t>Asset impairment</w:t>
      </w:r>
    </w:p>
    <w:p w:rsidR="00000000" w:rsidRDefault="002B18C2">
      <w:pPr>
        <w:jc w:val="both"/>
        <w:divId w:val="454720125"/>
        <w:rPr>
          <w:rFonts w:eastAsia="Times New Roman"/>
        </w:rPr>
      </w:pPr>
      <w:r>
        <w:rPr>
          <w:rFonts w:eastAsia="Times New Roman"/>
          <w:color w:val="000000"/>
          <w:sz w:val="20"/>
          <w:szCs w:val="20"/>
        </w:rPr>
        <w:t>We recognized $1.5 million for impairment of tangible long-lived assets and ROU assets as</w:t>
      </w:r>
      <w:r>
        <w:rPr>
          <w:rFonts w:eastAsia="Times New Roman"/>
          <w:color w:val="000000"/>
          <w:sz w:val="20"/>
          <w:szCs w:val="20"/>
        </w:rPr>
        <w:t>sociated with our retail stores during the nine months ended October 2, 2021 compared to $20.9 million recognized during the nine months ended September 26, 2020. The store asset impairment charge is primarily related to our Owned &amp; Host segment and is dri</w:t>
      </w:r>
      <w:r>
        <w:rPr>
          <w:rFonts w:eastAsia="Times New Roman"/>
          <w:color w:val="000000"/>
          <w:sz w:val="20"/>
          <w:szCs w:val="20"/>
        </w:rPr>
        <w:t>ven by lower than projected customer sales volume in certain stores, and other entity-specific assumptions. We considered multiple factors including, but not limited to: forecasted scenarios related to store performance and the likelihood that these scenar</w:t>
      </w:r>
      <w:r>
        <w:rPr>
          <w:rFonts w:eastAsia="Times New Roman"/>
          <w:color w:val="000000"/>
          <w:sz w:val="20"/>
          <w:szCs w:val="20"/>
        </w:rPr>
        <w:t>ios would be ultimately realized; and the remaining useful lives of the assets. Asset impairment expenses were recognized in Corporate/Other.</w:t>
      </w:r>
    </w:p>
    <w:p w:rsidR="00000000" w:rsidRDefault="002B18C2">
      <w:pPr>
        <w:jc w:val="both"/>
        <w:divId w:val="806582942"/>
        <w:rPr>
          <w:rFonts w:eastAsia="Times New Roman"/>
        </w:rPr>
      </w:pPr>
      <w:r>
        <w:rPr>
          <w:rFonts w:eastAsia="Times New Roman"/>
          <w:i/>
          <w:iCs/>
          <w:color w:val="000000"/>
          <w:sz w:val="20"/>
          <w:szCs w:val="20"/>
        </w:rPr>
        <w:t>Other expense (income), net</w:t>
      </w:r>
    </w:p>
    <w:p w:rsidR="00000000" w:rsidRDefault="002B18C2">
      <w:pPr>
        <w:jc w:val="both"/>
        <w:divId w:val="687370987"/>
        <w:rPr>
          <w:rFonts w:eastAsia="Times New Roman"/>
        </w:rPr>
      </w:pPr>
      <w:r>
        <w:rPr>
          <w:rFonts w:eastAsia="Times New Roman"/>
          <w:color w:val="000000"/>
          <w:sz w:val="20"/>
          <w:szCs w:val="20"/>
        </w:rPr>
        <w:t>The Company recorded a gain of $2.4 million in Other expense (income), net for the nin</w:t>
      </w:r>
      <w:r>
        <w:rPr>
          <w:rFonts w:eastAsia="Times New Roman"/>
          <w:color w:val="000000"/>
          <w:sz w:val="20"/>
          <w:szCs w:val="20"/>
        </w:rPr>
        <w:t>e months ended October 2, 2021 in connection with the acquisition of its equity method investee by a third party. See Note 1. “Business and Basis of Presentation” for further details.</w:t>
      </w:r>
    </w:p>
    <w:p w:rsidR="00000000" w:rsidRDefault="002B18C2">
      <w:pPr>
        <w:jc w:val="both"/>
        <w:divId w:val="1183470903"/>
        <w:rPr>
          <w:rFonts w:eastAsia="Times New Roman"/>
        </w:rPr>
      </w:pPr>
      <w:r>
        <w:rPr>
          <w:rFonts w:eastAsia="Times New Roman"/>
          <w:i/>
          <w:iCs/>
          <w:color w:val="000000"/>
          <w:sz w:val="20"/>
          <w:szCs w:val="20"/>
        </w:rPr>
        <w:t>Interest expense, net</w:t>
      </w:r>
    </w:p>
    <w:p w:rsidR="00000000" w:rsidRDefault="002B18C2">
      <w:pPr>
        <w:jc w:val="both"/>
        <w:divId w:val="1333601316"/>
        <w:rPr>
          <w:rFonts w:eastAsia="Times New Roman"/>
        </w:rPr>
      </w:pPr>
      <w:r>
        <w:rPr>
          <w:rFonts w:eastAsia="Times New Roman"/>
          <w:color w:val="000000"/>
          <w:sz w:val="20"/>
          <w:szCs w:val="20"/>
        </w:rPr>
        <w:t>Interest expense, net, of $22.2 million for the ni</w:t>
      </w:r>
      <w:r>
        <w:rPr>
          <w:rFonts w:eastAsia="Times New Roman"/>
          <w:color w:val="000000"/>
          <w:sz w:val="20"/>
          <w:szCs w:val="20"/>
        </w:rPr>
        <w:t>ne months ended October 2, 2021 decreased $13.3 million, or 37.4%, from $35.4 million for the nine months ended September 26, 2020. The decrease was primarily driven by lower derivative costs of $7.2 million, reduced term loan outstanding balance and credi</w:t>
      </w:r>
      <w:r>
        <w:rPr>
          <w:rFonts w:eastAsia="Times New Roman"/>
          <w:color w:val="000000"/>
          <w:sz w:val="20"/>
          <w:szCs w:val="20"/>
        </w:rPr>
        <w:t>t facility utilization, and lower interest expense on the 2025 Notes as a result of the adoption of ASU 2020-06.</w:t>
      </w:r>
    </w:p>
    <w:p w:rsidR="00000000" w:rsidRDefault="002B18C2">
      <w:pPr>
        <w:divId w:val="109402862"/>
        <w:rPr>
          <w:rFonts w:eastAsia="Times New Roman"/>
        </w:rPr>
      </w:pPr>
      <w:r>
        <w:rPr>
          <w:rFonts w:eastAsia="Times New Roman"/>
          <w:i/>
          <w:iCs/>
          <w:color w:val="000000"/>
          <w:sz w:val="20"/>
          <w:szCs w:val="20"/>
        </w:rPr>
        <w:t>Income tax provision (benefit)</w:t>
      </w:r>
    </w:p>
    <w:p w:rsidR="00000000" w:rsidRDefault="002B18C2">
      <w:pPr>
        <w:jc w:val="both"/>
        <w:rPr>
          <w:rFonts w:eastAsia="Times New Roman"/>
        </w:rPr>
      </w:pPr>
      <w:r>
        <w:rPr>
          <w:rFonts w:eastAsia="Times New Roman"/>
          <w:color w:val="000000"/>
          <w:sz w:val="20"/>
          <w:szCs w:val="20"/>
        </w:rPr>
        <w:t>Our income tax provision for the nine months ended October 2, 2021 reflected our statutory federal and state rat</w:t>
      </w:r>
      <w:r>
        <w:rPr>
          <w:rFonts w:eastAsia="Times New Roman"/>
          <w:color w:val="000000"/>
          <w:sz w:val="20"/>
          <w:szCs w:val="20"/>
        </w:rPr>
        <w:t>e of 25.5%, combined with a benefit of $15.7 million primarily from the exercise of stock options and for the stranded tax effect associated with our interest rate swaps that matured in the first quarter of 2021. In comparison, the income tax benefit for t</w:t>
      </w:r>
      <w:r>
        <w:rPr>
          <w:rFonts w:eastAsia="Times New Roman"/>
          <w:color w:val="000000"/>
          <w:sz w:val="20"/>
          <w:szCs w:val="20"/>
        </w:rPr>
        <w:t>he nine months ended September 26, 2020 reflected our statutory federal and state rate of 25.5% combined with a benefit of $6.0 million resulting from stock option exercises.</w:t>
      </w:r>
    </w:p>
    <w:p w:rsidR="00000000" w:rsidRDefault="002B18C2">
      <w:pPr>
        <w:jc w:val="both"/>
        <w:rPr>
          <w:rFonts w:eastAsia="Times New Roman"/>
        </w:rPr>
      </w:pPr>
    </w:p>
    <w:p w:rsidR="00000000" w:rsidRDefault="002B18C2">
      <w:pPr>
        <w:jc w:val="center"/>
        <w:divId w:val="22024287"/>
        <w:rPr>
          <w:rFonts w:eastAsia="Times New Roman"/>
        </w:rPr>
      </w:pPr>
      <w:r>
        <w:rPr>
          <w:rFonts w:eastAsia="Times New Roman"/>
          <w:color w:val="000000"/>
          <w:sz w:val="20"/>
          <w:szCs w:val="20"/>
        </w:rPr>
        <w:t>37</w:t>
      </w:r>
    </w:p>
    <w:p w:rsidR="00000000" w:rsidRDefault="002B18C2">
      <w:pPr>
        <w:rPr>
          <w:rFonts w:eastAsia="Times New Roman"/>
        </w:rPr>
      </w:pPr>
      <w:r>
        <w:rPr>
          <w:rFonts w:eastAsia="Times New Roman"/>
        </w:rPr>
        <w:pict>
          <v:rect id="_x0000_i1061" style="width:0;height:1.5pt" o:hralign="center" o:hrstd="t" o:hr="t" fillcolor="#a0a0a0" stroked="f"/>
        </w:pict>
      </w:r>
    </w:p>
    <w:p w:rsidR="00000000" w:rsidRDefault="002B18C2">
      <w:pPr>
        <w:divId w:val="841436775"/>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330987766"/>
        <w:rPr>
          <w:rFonts w:eastAsia="Times New Roman"/>
        </w:rPr>
      </w:pPr>
      <w:r>
        <w:rPr>
          <w:rFonts w:eastAsia="Times New Roman"/>
          <w:b/>
          <w:bCs/>
          <w:color w:val="000000"/>
          <w:sz w:val="20"/>
          <w:szCs w:val="20"/>
        </w:rPr>
        <w:t>Non-GAAP Financial Measures</w:t>
      </w:r>
    </w:p>
    <w:p w:rsidR="00000000" w:rsidRDefault="002B18C2">
      <w:pPr>
        <w:jc w:val="both"/>
        <w:divId w:val="296228372"/>
        <w:rPr>
          <w:rFonts w:eastAsia="Times New Roman"/>
        </w:rPr>
      </w:pPr>
      <w:r>
        <w:rPr>
          <w:rFonts w:eastAsia="Times New Roman"/>
          <w:i/>
          <w:iCs/>
          <w:color w:val="000000"/>
          <w:sz w:val="20"/>
          <w:szCs w:val="20"/>
        </w:rPr>
        <w:t>Adjusted Operating Income, Adjusted Operating Margin, EBITDA, Adjusted EBITDA, Adjusted EBITDA Margin and Adjusted D</w:t>
      </w:r>
      <w:r>
        <w:rPr>
          <w:rFonts w:eastAsia="Times New Roman"/>
          <w:i/>
          <w:iCs/>
          <w:color w:val="000000"/>
          <w:sz w:val="20"/>
          <w:szCs w:val="20"/>
        </w:rPr>
        <w:t>iluted EPS</w:t>
      </w:r>
    </w:p>
    <w:p w:rsidR="00000000" w:rsidRDefault="002B18C2">
      <w:pPr>
        <w:jc w:val="both"/>
        <w:divId w:val="2065132097"/>
        <w:rPr>
          <w:rFonts w:eastAsia="Times New Roman"/>
        </w:rPr>
      </w:pPr>
      <w:r>
        <w:rPr>
          <w:rFonts w:eastAsia="Times New Roman"/>
          <w:color w:val="000000"/>
          <w:sz w:val="20"/>
          <w:szCs w:val="20"/>
        </w:rPr>
        <w:t>We define Adjusted Operating Income as net income, plus interest expense and income tax provision (benefit), further adjusted to exclude stock compensation expense, asset impairment, litigation settlement, amortization of acquisition intangibles</w:t>
      </w:r>
      <w:r>
        <w:rPr>
          <w:rFonts w:eastAsia="Times New Roman"/>
          <w:color w:val="000000"/>
          <w:sz w:val="20"/>
          <w:szCs w:val="20"/>
        </w:rPr>
        <w:t>, and other expenses. We define Adjusted Operating Margin as Adjusted Operating Income as a percentage of net revenue. We define EBITDA as net income, plus interest expense, income tax provision (benefit) and depreciation and amortization. We define Adjust</w:t>
      </w:r>
      <w:r>
        <w:rPr>
          <w:rFonts w:eastAsia="Times New Roman"/>
          <w:color w:val="000000"/>
          <w:sz w:val="20"/>
          <w:szCs w:val="20"/>
        </w:rPr>
        <w:t>ed EBITDA as net income, plus interest expense, income tax provision (benefit) and depreciation and amortization, further adjusted to exclude stock compensation expense, asset impairment, litigation settlement, and other expenses. We define Adjusted EBITDA</w:t>
      </w:r>
      <w:r>
        <w:rPr>
          <w:rFonts w:eastAsia="Times New Roman"/>
          <w:color w:val="000000"/>
          <w:sz w:val="20"/>
          <w:szCs w:val="20"/>
        </w:rPr>
        <w:t xml:space="preserve"> Margin as Adjusted EBITDA as a percentage of net revenue. We define Adjusted Diluted EPS as diluted earnings per share, adjusted for the per share impact of stock compensation expense, asset impairment, litigation settlement, amortization of acquisition i</w:t>
      </w:r>
      <w:r>
        <w:rPr>
          <w:rFonts w:eastAsia="Times New Roman"/>
          <w:color w:val="000000"/>
          <w:sz w:val="20"/>
          <w:szCs w:val="20"/>
        </w:rPr>
        <w:t>ntangibles, amortization of debt discounts and deferred financing costs of our term loan borrowings, amortization of costs related to our 2025 Notes, losses (gains) on change in fair value of derivatives, other expenses, and tax benefit of stock option exe</w:t>
      </w:r>
      <w:r>
        <w:rPr>
          <w:rFonts w:eastAsia="Times New Roman"/>
          <w:color w:val="000000"/>
          <w:sz w:val="20"/>
          <w:szCs w:val="20"/>
        </w:rPr>
        <w:t>rcises, less the tax effect of these adjustments. We adjust for amortization of costs related to the 2025 Notes only when adjustment for these costs is not required in the calculation of diluted earnings per share according to U.S. GAAP.</w:t>
      </w:r>
    </w:p>
    <w:p w:rsidR="00000000" w:rsidRDefault="002B18C2">
      <w:pPr>
        <w:jc w:val="both"/>
        <w:divId w:val="2050033047"/>
        <w:rPr>
          <w:rFonts w:eastAsia="Times New Roman"/>
        </w:rPr>
      </w:pPr>
      <w:r>
        <w:rPr>
          <w:rFonts w:eastAsia="Times New Roman"/>
          <w:color w:val="000000"/>
          <w:sz w:val="20"/>
          <w:szCs w:val="20"/>
        </w:rPr>
        <w:t>EBITDA and the Com</w:t>
      </w:r>
      <w:r>
        <w:rPr>
          <w:rFonts w:eastAsia="Times New Roman"/>
          <w:color w:val="000000"/>
          <w:sz w:val="20"/>
          <w:szCs w:val="20"/>
        </w:rPr>
        <w:t>pany Non-GAAP Measures can vary substantially in size from one period to the next, and certain types of expenses are non-recurring in nature and consequently may not have been incurred in any of the periods presented below.</w:t>
      </w:r>
    </w:p>
    <w:p w:rsidR="00000000" w:rsidRDefault="002B18C2">
      <w:pPr>
        <w:jc w:val="both"/>
        <w:divId w:val="1844011107"/>
        <w:rPr>
          <w:rFonts w:eastAsia="Times New Roman"/>
        </w:rPr>
      </w:pPr>
      <w:r>
        <w:rPr>
          <w:rFonts w:eastAsia="Times New Roman"/>
          <w:color w:val="000000"/>
          <w:sz w:val="20"/>
          <w:szCs w:val="20"/>
        </w:rPr>
        <w:t xml:space="preserve">EBITDA and the Company Non-GAAP </w:t>
      </w:r>
      <w:r>
        <w:rPr>
          <w:rFonts w:eastAsia="Times New Roman"/>
          <w:color w:val="000000"/>
          <w:sz w:val="20"/>
          <w:szCs w:val="20"/>
        </w:rPr>
        <w:t>Measures have been presented as supplemental measures of financial performance that are not required by, or presented in accordance with U.S. GAAP, because we believe they assist investors and analysts in comparing our operating performance across reportin</w:t>
      </w:r>
      <w:r>
        <w:rPr>
          <w:rFonts w:eastAsia="Times New Roman"/>
          <w:color w:val="000000"/>
          <w:sz w:val="20"/>
          <w:szCs w:val="20"/>
        </w:rPr>
        <w:t>g periods on a consistent basis by excluding items that we do not believe are indicative of our core operating performance. Management believes EBITDA, and the Company Non-GAAP Measures are useful to investors in highlighting trends in our operating perfor</w:t>
      </w:r>
      <w:r>
        <w:rPr>
          <w:rFonts w:eastAsia="Times New Roman"/>
          <w:color w:val="000000"/>
          <w:sz w:val="20"/>
          <w:szCs w:val="20"/>
        </w:rPr>
        <w:t>mance, while other measures can differ significantly depending on long-term strategic decisions regarding capital structure, the tax jurisdictions in which we operate and capital investments. We also use EBITDA and the Company Non-GAAP Measures to suppleme</w:t>
      </w:r>
      <w:r>
        <w:rPr>
          <w:rFonts w:eastAsia="Times New Roman"/>
          <w:color w:val="000000"/>
          <w:sz w:val="20"/>
          <w:szCs w:val="20"/>
        </w:rPr>
        <w:t>nt U.S. GAAP measures of performance in the evaluation of the effectiveness of our business strategies, to make budgeting decisions, to establish discretionary annual incentive compensation and to compare our performance against that of other peer companie</w:t>
      </w:r>
      <w:r>
        <w:rPr>
          <w:rFonts w:eastAsia="Times New Roman"/>
          <w:color w:val="000000"/>
          <w:sz w:val="20"/>
          <w:szCs w:val="20"/>
        </w:rPr>
        <w:t>s using similar measures. Management supplements U.S. GAAP results with Non-GAAP financial measures to provide a more complete understanding of the factors and trends affecting the business than U.S. GAAP results alone.</w:t>
      </w:r>
    </w:p>
    <w:p w:rsidR="00000000" w:rsidRDefault="002B18C2">
      <w:pPr>
        <w:jc w:val="both"/>
        <w:divId w:val="1314288337"/>
        <w:rPr>
          <w:rFonts w:eastAsia="Times New Roman"/>
        </w:rPr>
      </w:pPr>
      <w:r>
        <w:rPr>
          <w:rFonts w:eastAsia="Times New Roman"/>
          <w:color w:val="000000"/>
          <w:sz w:val="20"/>
          <w:szCs w:val="20"/>
        </w:rPr>
        <w:t>EBITDA and the Company Non-GAAP Meas</w:t>
      </w:r>
      <w:r>
        <w:rPr>
          <w:rFonts w:eastAsia="Times New Roman"/>
          <w:color w:val="000000"/>
          <w:sz w:val="20"/>
          <w:szCs w:val="20"/>
        </w:rPr>
        <w:t>ures are not recognized terms under U.S. GAAP and should not be considered as an alternative to net income or income from operations as a measure of financial performance or cash flows provided by operating activities as a measure of liquidity, or any othe</w:t>
      </w:r>
      <w:r>
        <w:rPr>
          <w:rFonts w:eastAsia="Times New Roman"/>
          <w:color w:val="000000"/>
          <w:sz w:val="20"/>
          <w:szCs w:val="20"/>
        </w:rPr>
        <w:t>r performance measure derived in accordance with U.S. GAAP. Additionally, these measures are not intended to be a measure of free cash flow available for management’s discretionary use as they do not consider certain cash requirements such as interest paym</w:t>
      </w:r>
      <w:r>
        <w:rPr>
          <w:rFonts w:eastAsia="Times New Roman"/>
          <w:color w:val="000000"/>
          <w:sz w:val="20"/>
          <w:szCs w:val="20"/>
        </w:rPr>
        <w:t>ents, tax payments and debt service requirements. In evaluating EBITDA and the Company Non-GAAP Measures, we may incur expenses in the future that are the same as or similar to some of the adjustments in this presentation. Our presentation of EBITDA and th</w:t>
      </w:r>
      <w:r>
        <w:rPr>
          <w:rFonts w:eastAsia="Times New Roman"/>
          <w:color w:val="000000"/>
          <w:sz w:val="20"/>
          <w:szCs w:val="20"/>
        </w:rPr>
        <w:t xml:space="preserve">e Company Non-GAAP Measures should not be construed to imply that our future results will be unaffected by any such adjustments. Management compensates for these limitations by primarily relying on our U.S. GAAP results in addition to using EBITDA and the </w:t>
      </w:r>
      <w:r>
        <w:rPr>
          <w:rFonts w:eastAsia="Times New Roman"/>
          <w:color w:val="000000"/>
          <w:sz w:val="20"/>
          <w:szCs w:val="20"/>
        </w:rPr>
        <w:t>Company Non-GAAP Measures.</w:t>
      </w:r>
    </w:p>
    <w:p w:rsidR="00000000" w:rsidRDefault="002B18C2">
      <w:pPr>
        <w:jc w:val="center"/>
        <w:divId w:val="1634477959"/>
        <w:rPr>
          <w:rFonts w:eastAsia="Times New Roman"/>
        </w:rPr>
      </w:pPr>
      <w:r>
        <w:rPr>
          <w:rFonts w:eastAsia="Times New Roman"/>
          <w:color w:val="000000"/>
          <w:sz w:val="20"/>
          <w:szCs w:val="20"/>
        </w:rPr>
        <w:t>38</w:t>
      </w:r>
    </w:p>
    <w:p w:rsidR="00000000" w:rsidRDefault="002B18C2">
      <w:pPr>
        <w:rPr>
          <w:rFonts w:eastAsia="Times New Roman"/>
        </w:rPr>
      </w:pPr>
      <w:r>
        <w:rPr>
          <w:rFonts w:eastAsia="Times New Roman"/>
        </w:rPr>
        <w:pict>
          <v:rect id="_x0000_i1062" style="width:0;height:1.5pt" o:hralign="center" o:hrstd="t" o:hr="t" fillcolor="#a0a0a0" stroked="f"/>
        </w:pict>
      </w:r>
    </w:p>
    <w:p w:rsidR="00000000" w:rsidRDefault="002B18C2">
      <w:pPr>
        <w:divId w:val="860900003"/>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320891751"/>
        <w:rPr>
          <w:rFonts w:eastAsia="Times New Roman"/>
        </w:rPr>
      </w:pPr>
      <w:r>
        <w:rPr>
          <w:rFonts w:eastAsia="Times New Roman"/>
          <w:color w:val="000000"/>
          <w:sz w:val="20"/>
          <w:szCs w:val="20"/>
        </w:rPr>
        <w:t>The presentations of these measures have limitations as analytical tools and should not be considered in isolation, or as a substitute for analysis of our results as reported under U.S. GAAP. Some of these limitations are:</w:t>
      </w:r>
    </w:p>
    <w:p w:rsidR="00000000" w:rsidRDefault="002B18C2">
      <w:pPr>
        <w:ind w:hanging="360"/>
        <w:jc w:val="both"/>
        <w:rPr>
          <w:rFonts w:eastAsia="Times New Roman"/>
        </w:rPr>
      </w:pPr>
      <w:r>
        <w:rPr>
          <w:rFonts w:eastAsia="Times New Roman"/>
          <w:color w:val="000000"/>
          <w:sz w:val="20"/>
          <w:szCs w:val="20"/>
        </w:rPr>
        <w:t>•they do not reflect costs or cas</w:t>
      </w:r>
      <w:r>
        <w:rPr>
          <w:rFonts w:eastAsia="Times New Roman"/>
          <w:color w:val="000000"/>
          <w:sz w:val="20"/>
          <w:szCs w:val="20"/>
        </w:rPr>
        <w:t>h outlays for capital expenditures or contractual commitments;</w:t>
      </w:r>
    </w:p>
    <w:p w:rsidR="00000000" w:rsidRDefault="002B18C2">
      <w:pPr>
        <w:ind w:hanging="360"/>
        <w:jc w:val="both"/>
        <w:rPr>
          <w:rFonts w:eastAsia="Times New Roman"/>
        </w:rPr>
      </w:pPr>
      <w:r>
        <w:rPr>
          <w:rFonts w:eastAsia="Times New Roman"/>
          <w:color w:val="000000"/>
          <w:sz w:val="20"/>
          <w:szCs w:val="20"/>
        </w:rPr>
        <w:t>•they do not reflect changes in, or cash requirements for, our working capital needs;</w:t>
      </w:r>
    </w:p>
    <w:p w:rsidR="00000000" w:rsidRDefault="002B18C2">
      <w:pPr>
        <w:ind w:hanging="360"/>
        <w:jc w:val="both"/>
        <w:rPr>
          <w:rFonts w:eastAsia="Times New Roman"/>
        </w:rPr>
      </w:pPr>
      <w:r>
        <w:rPr>
          <w:rFonts w:eastAsia="Times New Roman"/>
          <w:color w:val="000000"/>
          <w:sz w:val="20"/>
          <w:szCs w:val="20"/>
        </w:rPr>
        <w:t>•EBITDA, Adjusted EBITDA and Adjusted Operating Income do not reflect the interest expense, or the cash req</w:t>
      </w:r>
      <w:r>
        <w:rPr>
          <w:rFonts w:eastAsia="Times New Roman"/>
          <w:color w:val="000000"/>
          <w:sz w:val="20"/>
          <w:szCs w:val="20"/>
        </w:rPr>
        <w:t>uirements necessary to service interest or principal payments, on our debt;</w:t>
      </w:r>
    </w:p>
    <w:p w:rsidR="00000000" w:rsidRDefault="002B18C2">
      <w:pPr>
        <w:ind w:hanging="360"/>
        <w:jc w:val="both"/>
        <w:rPr>
          <w:rFonts w:eastAsia="Times New Roman"/>
        </w:rPr>
      </w:pPr>
      <w:r>
        <w:rPr>
          <w:rFonts w:eastAsia="Times New Roman"/>
          <w:color w:val="000000"/>
          <w:sz w:val="20"/>
          <w:szCs w:val="20"/>
        </w:rPr>
        <w:t>•EBITDA, Adjusted EBITDA and Adjusted Operating Income do not reflect period to period changes in taxes, income tax expense or the cash necessary to pay income taxes;</w:t>
      </w:r>
    </w:p>
    <w:p w:rsidR="00000000" w:rsidRDefault="002B18C2">
      <w:pPr>
        <w:ind w:hanging="360"/>
        <w:jc w:val="both"/>
        <w:rPr>
          <w:rFonts w:eastAsia="Times New Roman"/>
        </w:rPr>
      </w:pPr>
      <w:r>
        <w:rPr>
          <w:rFonts w:eastAsia="Times New Roman"/>
          <w:color w:val="000000"/>
          <w:sz w:val="20"/>
          <w:szCs w:val="20"/>
        </w:rPr>
        <w:t xml:space="preserve">•they do not </w:t>
      </w:r>
      <w:r>
        <w:rPr>
          <w:rFonts w:eastAsia="Times New Roman"/>
          <w:color w:val="000000"/>
          <w:sz w:val="20"/>
          <w:szCs w:val="20"/>
        </w:rPr>
        <w:t>reflect the impact of earnings or charges resulting from matters we consider not to be indicative of our ongoing operations;</w:t>
      </w:r>
    </w:p>
    <w:p w:rsidR="00000000" w:rsidRDefault="002B18C2">
      <w:pPr>
        <w:ind w:hanging="360"/>
        <w:jc w:val="both"/>
        <w:rPr>
          <w:rFonts w:eastAsia="Times New Roman"/>
        </w:rPr>
      </w:pPr>
      <w:r>
        <w:rPr>
          <w:rFonts w:eastAsia="Times New Roman"/>
          <w:color w:val="000000"/>
          <w:sz w:val="20"/>
          <w:szCs w:val="20"/>
        </w:rPr>
        <w:t>•although depreciation and amortization are non-cash charges, the assets being depreciated and amortized will often have to be repl</w:t>
      </w:r>
      <w:r>
        <w:rPr>
          <w:rFonts w:eastAsia="Times New Roman"/>
          <w:color w:val="000000"/>
          <w:sz w:val="20"/>
          <w:szCs w:val="20"/>
        </w:rPr>
        <w:t>aced in the future, and EBITDA and Adjusted EBITDA do not reflect cash requirements for such replacements; and</w:t>
      </w:r>
    </w:p>
    <w:p w:rsidR="00000000" w:rsidRDefault="002B18C2">
      <w:pPr>
        <w:ind w:hanging="360"/>
        <w:jc w:val="both"/>
        <w:divId w:val="2059668219"/>
        <w:rPr>
          <w:rFonts w:eastAsia="Times New Roman"/>
        </w:rPr>
      </w:pPr>
      <w:r>
        <w:rPr>
          <w:rFonts w:eastAsia="Times New Roman"/>
          <w:color w:val="000000"/>
          <w:sz w:val="20"/>
          <w:szCs w:val="20"/>
        </w:rPr>
        <w:t>•other companies in our industry may calculate these measures differently than we do, limiting their usefulness as comparative measures.</w:t>
      </w:r>
    </w:p>
    <w:p w:rsidR="00000000" w:rsidRDefault="002B18C2">
      <w:pPr>
        <w:jc w:val="both"/>
        <w:divId w:val="1406877304"/>
        <w:rPr>
          <w:rFonts w:eastAsia="Times New Roman"/>
        </w:rPr>
      </w:pPr>
      <w:r>
        <w:rPr>
          <w:rFonts w:eastAsia="Times New Roman"/>
          <w:color w:val="000000"/>
          <w:sz w:val="20"/>
          <w:szCs w:val="20"/>
        </w:rPr>
        <w:t xml:space="preserve">Because </w:t>
      </w:r>
      <w:r>
        <w:rPr>
          <w:rFonts w:eastAsia="Times New Roman"/>
          <w:color w:val="000000"/>
          <w:sz w:val="20"/>
          <w:szCs w:val="20"/>
        </w:rPr>
        <w:t>of these limitations, EBITDA and the Company Non-GAAP Measures should not be considered as measures of discretionary cash available to invest in business growth or to reduce indebtedness.</w:t>
      </w:r>
    </w:p>
    <w:p w:rsidR="00000000" w:rsidRDefault="002B18C2">
      <w:pPr>
        <w:divId w:val="470901328"/>
        <w:rPr>
          <w:rFonts w:eastAsia="Times New Roman"/>
        </w:rPr>
      </w:pPr>
      <w:r>
        <w:rPr>
          <w:rFonts w:eastAsia="Times New Roman"/>
          <w:color w:val="000000"/>
          <w:sz w:val="20"/>
          <w:szCs w:val="20"/>
        </w:rPr>
        <w:t>The following table reconciles our Adjusted Operating Income, Adjust</w:t>
      </w:r>
      <w:r>
        <w:rPr>
          <w:rFonts w:eastAsia="Times New Roman"/>
          <w:color w:val="000000"/>
          <w:sz w:val="20"/>
          <w:szCs w:val="20"/>
        </w:rPr>
        <w:t>ed Operating Margin, EBITDA, Adjusted EBITDA, Adjusted EBITDA Margin to net income; and Adjusted Diluted EPS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250"/>
        <w:gridCol w:w="37"/>
        <w:gridCol w:w="120"/>
        <w:gridCol w:w="615"/>
        <w:gridCol w:w="36"/>
        <w:gridCol w:w="53"/>
        <w:gridCol w:w="464"/>
        <w:gridCol w:w="187"/>
        <w:gridCol w:w="36"/>
        <w:gridCol w:w="36"/>
        <w:gridCol w:w="36"/>
        <w:gridCol w:w="120"/>
        <w:gridCol w:w="600"/>
        <w:gridCol w:w="36"/>
        <w:gridCol w:w="57"/>
        <w:gridCol w:w="370"/>
        <w:gridCol w:w="187"/>
        <w:gridCol w:w="36"/>
        <w:gridCol w:w="36"/>
        <w:gridCol w:w="36"/>
        <w:gridCol w:w="120"/>
        <w:gridCol w:w="700"/>
        <w:gridCol w:w="36"/>
        <w:gridCol w:w="57"/>
        <w:gridCol w:w="363"/>
        <w:gridCol w:w="187"/>
        <w:gridCol w:w="36"/>
        <w:gridCol w:w="36"/>
        <w:gridCol w:w="36"/>
        <w:gridCol w:w="120"/>
        <w:gridCol w:w="600"/>
        <w:gridCol w:w="36"/>
        <w:gridCol w:w="59"/>
        <w:gridCol w:w="345"/>
        <w:gridCol w:w="187"/>
      </w:tblGrid>
      <w:tr w:rsidR="00000000">
        <w:trPr>
          <w:divId w:val="1663241405"/>
        </w:trPr>
        <w:tc>
          <w:tcPr>
            <w:tcW w:w="50" w:type="pct"/>
            <w:vAlign w:val="center"/>
            <w:hideMark/>
          </w:tcPr>
          <w:p w:rsidR="00000000" w:rsidRDefault="002B18C2">
            <w:pPr>
              <w:rPr>
                <w:rFonts w:eastAsia="Times New Roman"/>
              </w:rPr>
            </w:pPr>
          </w:p>
        </w:tc>
        <w:tc>
          <w:tcPr>
            <w:tcW w:w="1419"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17"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35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17"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321"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17"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321"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17"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297"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1663241405"/>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Nine Months Ended</w:t>
            </w:r>
          </w:p>
        </w:tc>
      </w:tr>
      <w:tr w:rsidR="00000000">
        <w:trPr>
          <w:divId w:val="1663241405"/>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w:t>
            </w: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September 26, 2020</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September 26, 2020</w:t>
            </w:r>
          </w:p>
        </w:tc>
      </w:tr>
      <w:tr w:rsidR="00000000">
        <w:trPr>
          <w:divId w:val="1663241405"/>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40,992 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35,289 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122,025 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1663241405"/>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5,743 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12,475 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22,169 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35,432 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1663241405"/>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Income tax provision (benefit)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3,976 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7,030 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22,702 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(6,655)</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(0.5)</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1663241405"/>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divId w:val="764425325"/>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3,665 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2,890 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13,866 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8,335 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1663241405"/>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divId w:val="1204557911"/>
              <w:rPr>
                <w:rFonts w:eastAsia="Times New Roman"/>
              </w:rPr>
            </w:pPr>
            <w:r>
              <w:rPr>
                <w:rFonts w:eastAsia="Times New Roman"/>
                <w:color w:val="000000"/>
                <w:sz w:val="20"/>
                <w:szCs w:val="20"/>
              </w:rPr>
              <w:t>Asset impairment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7,150 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1,478 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20,916 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1663241405"/>
        </w:trPr>
        <w:tc>
          <w:tcPr>
            <w:tcW w:w="0" w:type="auto"/>
            <w:gridSpan w:val="3"/>
            <w:shd w:val="clear" w:color="auto" w:fill="FFFFFF"/>
            <w:tcMar>
              <w:top w:w="30" w:type="dxa"/>
              <w:left w:w="20" w:type="dxa"/>
              <w:bottom w:w="30" w:type="dxa"/>
              <w:right w:w="20" w:type="dxa"/>
            </w:tcMar>
            <w:hideMark/>
          </w:tcPr>
          <w:p w:rsidR="00000000" w:rsidRDefault="002B18C2">
            <w:pPr>
              <w:spacing w:after="100"/>
              <w:divId w:val="1354766358"/>
              <w:rPr>
                <w:rFonts w:eastAsia="Times New Roman"/>
              </w:rPr>
            </w:pPr>
            <w:r>
              <w:rPr>
                <w:rFonts w:eastAsia="Times New Roman"/>
                <w:color w:val="000000"/>
                <w:sz w:val="20"/>
                <w:szCs w:val="20"/>
              </w:rPr>
              <w:t>Litigation settlemen</w:t>
            </w:r>
            <w:r>
              <w:rPr>
                <w:rFonts w:eastAsia="Times New Roman"/>
                <w:color w:val="000000"/>
                <w:sz w:val="20"/>
                <w:szCs w:val="20"/>
              </w:rPr>
              <w:t>t</w:t>
            </w:r>
            <w:r>
              <w:rPr>
                <w:rFonts w:eastAsia="Times New Roman"/>
                <w:color w:val="000000"/>
                <w:sz w:val="13"/>
                <w:szCs w:val="13"/>
              </w:rPr>
              <w:t xml:space="preserve"> (c</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4,395 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1663241405"/>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divId w:val="153420793"/>
              <w:rPr>
                <w:rFonts w:eastAsia="Times New Roman"/>
              </w:rPr>
            </w:pPr>
            <w:r>
              <w:rPr>
                <w:rFonts w:eastAsia="Times New Roman"/>
                <w:color w:val="000000"/>
                <w:sz w:val="20"/>
                <w:szCs w:val="20"/>
              </w:rPr>
              <w:t>Amortization of acquisition intangibles</w:t>
            </w:r>
            <w:r>
              <w:rPr>
                <w:rFonts w:eastAsia="Times New Roman"/>
                <w:color w:val="000000"/>
                <w:sz w:val="20"/>
                <w:szCs w:val="20"/>
              </w:rPr>
              <w:t xml:space="preserve"> </w:t>
            </w:r>
            <w:r>
              <w:rPr>
                <w:rFonts w:eastAsia="Times New Roman"/>
                <w:color w:val="000000"/>
                <w:sz w:val="13"/>
                <w:szCs w:val="13"/>
              </w:rPr>
              <w:t>(d</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1,872 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1,851 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5,616 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5,554 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1663241405"/>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divId w:val="4282800"/>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(g</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(1,512)</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(0.3)</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1,057 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2,206 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1663241405"/>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Adjusted Operating Income / Adjusted Operating Margin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54,736 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67,742 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187,985 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71,381 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1663241405"/>
        </w:trPr>
        <w:tc>
          <w:tcPr>
            <w:tcW w:w="0" w:type="auto"/>
            <w:gridSpan w:val="36"/>
            <w:shd w:val="clear" w:color="auto" w:fill="FFFFFF"/>
            <w:tcMar>
              <w:top w:w="30" w:type="dxa"/>
              <w:left w:w="20" w:type="dxa"/>
              <w:bottom w:w="30" w:type="dxa"/>
              <w:right w:w="20" w:type="dxa"/>
            </w:tcMar>
            <w:hideMark/>
          </w:tcPr>
          <w:p w:rsidR="00000000" w:rsidRDefault="002B18C2">
            <w:pPr>
              <w:spacing w:after="100"/>
              <w:divId w:val="1159268495"/>
              <w:rPr>
                <w:rFonts w:eastAsia="Times New Roman"/>
              </w:rPr>
            </w:pPr>
            <w:r>
              <w:rPr>
                <w:rFonts w:eastAsia="Times New Roman"/>
                <w:color w:val="000000"/>
                <w:sz w:val="16"/>
                <w:szCs w:val="16"/>
              </w:rPr>
              <w:t> </w:t>
            </w:r>
            <w:r>
              <w:rPr>
                <w:rFonts w:eastAsia="Times New Roman"/>
                <w:color w:val="000000"/>
                <w:sz w:val="16"/>
                <w:szCs w:val="16"/>
              </w:rPr>
              <w:t>Note: Percentages reflect line item as a percentage of net revenue, adjusted for rounding</w:t>
            </w:r>
          </w:p>
          <w:p w:rsidR="00000000" w:rsidRDefault="002B18C2">
            <w:pPr>
              <w:spacing w:after="100"/>
              <w:divId w:val="1522625444"/>
              <w:rPr>
                <w:rFonts w:eastAsia="Times New Roman"/>
              </w:rPr>
            </w:pPr>
            <w:r>
              <w:rPr>
                <w:rFonts w:eastAsia="Times New Roman"/>
                <w:color w:val="000000"/>
                <w:sz w:val="16"/>
                <w:szCs w:val="16"/>
              </w:rPr>
              <w:t> Some of the percentage totals in the table above do not foot due to rounding differences</w:t>
            </w:r>
          </w:p>
        </w:tc>
      </w:tr>
    </w:tbl>
    <w:p w:rsidR="00000000" w:rsidRDefault="002B18C2">
      <w:pPr>
        <w:jc w:val="center"/>
        <w:divId w:val="850947485"/>
        <w:rPr>
          <w:rFonts w:eastAsia="Times New Roman"/>
        </w:rPr>
      </w:pPr>
      <w:r>
        <w:rPr>
          <w:rFonts w:eastAsia="Times New Roman"/>
          <w:color w:val="000000"/>
          <w:sz w:val="20"/>
          <w:szCs w:val="20"/>
        </w:rPr>
        <w:t>39</w:t>
      </w:r>
    </w:p>
    <w:p w:rsidR="00000000" w:rsidRDefault="002B18C2">
      <w:pPr>
        <w:rPr>
          <w:rFonts w:eastAsia="Times New Roman"/>
        </w:rPr>
      </w:pPr>
      <w:r>
        <w:rPr>
          <w:rFonts w:eastAsia="Times New Roman"/>
        </w:rPr>
        <w:pict>
          <v:rect id="_x0000_i1063" style="width:0;height:1.5pt" o:hralign="center" o:hrstd="t" o:hr="t" fillcolor="#a0a0a0" stroked="f"/>
        </w:pict>
      </w:r>
    </w:p>
    <w:p w:rsidR="00000000" w:rsidRDefault="002B18C2">
      <w:pPr>
        <w:divId w:val="1079671752"/>
        <w:rPr>
          <w:rFonts w:eastAsia="Times New Roman"/>
        </w:rPr>
      </w:pPr>
      <w:hyperlink w:anchor="id605fff70b0446c98320e942db604017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2210"/>
        <w:gridCol w:w="38"/>
        <w:gridCol w:w="120"/>
        <w:gridCol w:w="600"/>
        <w:gridCol w:w="36"/>
        <w:gridCol w:w="53"/>
        <w:gridCol w:w="409"/>
        <w:gridCol w:w="187"/>
        <w:gridCol w:w="36"/>
        <w:gridCol w:w="36"/>
        <w:gridCol w:w="36"/>
        <w:gridCol w:w="120"/>
        <w:gridCol w:w="600"/>
        <w:gridCol w:w="36"/>
        <w:gridCol w:w="53"/>
        <w:gridCol w:w="367"/>
        <w:gridCol w:w="187"/>
        <w:gridCol w:w="36"/>
        <w:gridCol w:w="36"/>
        <w:gridCol w:w="36"/>
        <w:gridCol w:w="120"/>
        <w:gridCol w:w="700"/>
        <w:gridCol w:w="36"/>
        <w:gridCol w:w="60"/>
        <w:gridCol w:w="360"/>
        <w:gridCol w:w="187"/>
        <w:gridCol w:w="36"/>
        <w:gridCol w:w="36"/>
        <w:gridCol w:w="36"/>
        <w:gridCol w:w="120"/>
        <w:gridCol w:w="700"/>
        <w:gridCol w:w="36"/>
        <w:gridCol w:w="61"/>
        <w:gridCol w:w="359"/>
        <w:gridCol w:w="187"/>
      </w:tblGrid>
      <w:tr w:rsidR="00000000">
        <w:trPr>
          <w:divId w:val="1377123747"/>
        </w:trPr>
        <w:tc>
          <w:tcPr>
            <w:tcW w:w="50" w:type="pct"/>
            <w:vAlign w:val="center"/>
            <w:hideMark/>
          </w:tcPr>
          <w:p w:rsidR="00000000" w:rsidRDefault="002B18C2">
            <w:pPr>
              <w:rPr>
                <w:rFonts w:eastAsia="Times New Roman"/>
              </w:rPr>
            </w:pPr>
          </w:p>
        </w:tc>
        <w:tc>
          <w:tcPr>
            <w:tcW w:w="1419"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17"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35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01"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353"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17"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30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17"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297"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1377123747"/>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Nine Months Ended</w:t>
            </w:r>
          </w:p>
        </w:tc>
      </w:tr>
      <w:tr w:rsidR="00000000">
        <w:trPr>
          <w:divId w:val="1377123747"/>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w:t>
            </w: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September 26, 2020</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September 26, 2020</w:t>
            </w:r>
          </w:p>
        </w:tc>
      </w:tr>
      <w:tr w:rsidR="00000000">
        <w:trPr>
          <w:divId w:val="1377123747"/>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40,992 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35,289 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122,025 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1377123747"/>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5,743 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12,475 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22,169 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35,432 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1377123747"/>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Income tax provision (benefit)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3,976 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7,030 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22,702 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(6,655)</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(0.5)</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1377123747"/>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25,059 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22,236 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72,639 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68,970 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1377123747"/>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EBITDA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75,770 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77,030 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239,535 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98,945 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1377123747"/>
          <w:trHeight w:val="300"/>
        </w:trPr>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377123747"/>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divId w:val="1648318430"/>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3,665 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2,890 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13,866 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8,335 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1377123747"/>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divId w:val="1984845070"/>
              <w:rPr>
                <w:rFonts w:eastAsia="Times New Roman"/>
              </w:rPr>
            </w:pPr>
            <w:r>
              <w:rPr>
                <w:rFonts w:eastAsia="Times New Roman"/>
                <w:color w:val="000000"/>
                <w:sz w:val="20"/>
                <w:szCs w:val="20"/>
              </w:rPr>
              <w:t>Asset impairment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7,150 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1,478 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20,916 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1377123747"/>
        </w:trPr>
        <w:tc>
          <w:tcPr>
            <w:tcW w:w="0" w:type="auto"/>
            <w:gridSpan w:val="3"/>
            <w:shd w:val="clear" w:color="auto" w:fill="CCEEFF"/>
            <w:tcMar>
              <w:top w:w="30" w:type="dxa"/>
              <w:left w:w="20" w:type="dxa"/>
              <w:bottom w:w="30" w:type="dxa"/>
              <w:right w:w="20" w:type="dxa"/>
            </w:tcMar>
            <w:hideMark/>
          </w:tcPr>
          <w:p w:rsidR="00000000" w:rsidRDefault="002B18C2">
            <w:pPr>
              <w:spacing w:after="100"/>
              <w:divId w:val="366177080"/>
              <w:rPr>
                <w:rFonts w:eastAsia="Times New Roman"/>
              </w:rPr>
            </w:pPr>
            <w:r>
              <w:rPr>
                <w:rFonts w:eastAsia="Times New Roman"/>
                <w:color w:val="000000"/>
                <w:sz w:val="20"/>
                <w:szCs w:val="20"/>
              </w:rPr>
              <w:t>Litigation settlemen</w:t>
            </w:r>
            <w:r>
              <w:rPr>
                <w:rFonts w:eastAsia="Times New Roman"/>
                <w:color w:val="000000"/>
                <w:sz w:val="20"/>
                <w:szCs w:val="20"/>
              </w:rPr>
              <w:t>t</w:t>
            </w:r>
            <w:r>
              <w:rPr>
                <w:rFonts w:eastAsia="Times New Roman"/>
                <w:color w:val="000000"/>
                <w:sz w:val="13"/>
                <w:szCs w:val="13"/>
              </w:rPr>
              <w:t xml:space="preserve"> (c</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4,395 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1377123747"/>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divId w:val="1805389787"/>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(g</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(1,512)</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(0.3)</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1,057 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2,206 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1377123747"/>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Adjusted EBITDA / Adjusted EBITDA Margin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77,923 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88,127 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255,008 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15.9 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134,797 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r>
              <w:rPr>
                <w:rFonts w:eastAsia="Times New Roman"/>
                <w:color w:val="000000"/>
                <w:sz w:val="20"/>
                <w:szCs w:val="20"/>
              </w:rPr>
              <w:t>%</w:t>
            </w:r>
          </w:p>
        </w:tc>
      </w:tr>
      <w:tr w:rsidR="00000000">
        <w:trPr>
          <w:divId w:val="1377123747"/>
        </w:trPr>
        <w:tc>
          <w:tcPr>
            <w:tcW w:w="0" w:type="auto"/>
            <w:gridSpan w:val="36"/>
            <w:tcMar>
              <w:top w:w="30" w:type="dxa"/>
              <w:left w:w="155" w:type="dxa"/>
              <w:bottom w:w="30" w:type="dxa"/>
              <w:right w:w="20" w:type="dxa"/>
            </w:tcMar>
            <w:hideMark/>
          </w:tcPr>
          <w:p w:rsidR="00000000" w:rsidRDefault="002B18C2">
            <w:pPr>
              <w:spacing w:after="100"/>
              <w:rPr>
                <w:rFonts w:eastAsia="Times New Roman"/>
              </w:rPr>
            </w:pPr>
            <w:r>
              <w:rPr>
                <w:rFonts w:eastAsia="Times New Roman"/>
                <w:color w:val="000000"/>
                <w:sz w:val="16"/>
                <w:szCs w:val="16"/>
              </w:rPr>
              <w:t>Note: Percentages reflect line item as a percentage of net revenue, adjusted for rounding</w:t>
            </w:r>
            <w:r>
              <w:rPr>
                <w:rFonts w:eastAsia="Times New Roman"/>
                <w:color w:val="000000"/>
                <w:sz w:val="16"/>
                <w:szCs w:val="16"/>
              </w:rPr>
              <w:br/>
            </w:r>
            <w:r>
              <w:rPr>
                <w:rFonts w:eastAsia="Times New Roman"/>
                <w:color w:val="000000"/>
                <w:sz w:val="16"/>
                <w:szCs w:val="16"/>
              </w:rPr>
              <w:t>Some of the percentage totals in the table above do not foot due to rounding differences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3900"/>
        <w:gridCol w:w="144"/>
        <w:gridCol w:w="144"/>
        <w:gridCol w:w="931"/>
        <w:gridCol w:w="144"/>
        <w:gridCol w:w="144"/>
        <w:gridCol w:w="144"/>
        <w:gridCol w:w="144"/>
        <w:gridCol w:w="144"/>
        <w:gridCol w:w="960"/>
        <w:gridCol w:w="144"/>
        <w:gridCol w:w="144"/>
        <w:gridCol w:w="144"/>
        <w:gridCol w:w="144"/>
        <w:gridCol w:w="144"/>
        <w:gridCol w:w="931"/>
        <w:gridCol w:w="144"/>
        <w:gridCol w:w="144"/>
        <w:gridCol w:w="144"/>
        <w:gridCol w:w="144"/>
        <w:gridCol w:w="144"/>
        <w:gridCol w:w="933"/>
        <w:gridCol w:w="144"/>
      </w:tblGrid>
      <w:tr w:rsidR="00000000">
        <w:trPr>
          <w:jc w:val="center"/>
        </w:trPr>
        <w:tc>
          <w:tcPr>
            <w:tcW w:w="50" w:type="pct"/>
            <w:vAlign w:val="center"/>
            <w:hideMark/>
          </w:tcPr>
          <w:p w:rsidR="00000000" w:rsidRDefault="002B18C2">
            <w:pPr>
              <w:rPr>
                <w:rFonts w:eastAsia="Times New Roman"/>
              </w:rPr>
            </w:pPr>
          </w:p>
        </w:tc>
        <w:tc>
          <w:tcPr>
            <w:tcW w:w="2348"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61"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2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78"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61"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56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Nine 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September 26, 2020</w:t>
            </w:r>
          </w:p>
        </w:tc>
        <w:tc>
          <w:tcPr>
            <w:tcW w:w="0" w:type="auto"/>
            <w:gridSpan w:val="3"/>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September 26, 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Diluted EPS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divId w:val="995911824"/>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0.14 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0.10 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divId w:val="59208575"/>
              <w:rPr>
                <w:rFonts w:eastAsia="Times New Roman"/>
              </w:rPr>
            </w:pPr>
            <w:r>
              <w:rPr>
                <w:rFonts w:eastAsia="Times New Roman"/>
                <w:color w:val="000000"/>
                <w:sz w:val="20"/>
                <w:szCs w:val="20"/>
              </w:rPr>
              <w:t>Asset impairmen</w:t>
            </w:r>
            <w:r>
              <w:rPr>
                <w:rFonts w:eastAsia="Times New Roman"/>
                <w:color w:val="000000"/>
                <w:sz w:val="20"/>
                <w:szCs w:val="20"/>
              </w:rPr>
              <w:t>t</w:t>
            </w:r>
            <w:r>
              <w:rPr>
                <w:rFonts w:eastAsia="Times New Roman"/>
                <w:color w:val="000000"/>
                <w:sz w:val="13"/>
                <w:szCs w:val="13"/>
              </w:rPr>
              <w:t xml:space="preserve"> (b</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0.09 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0.25 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divId w:val="1749573319"/>
              <w:rPr>
                <w:rFonts w:eastAsia="Times New Roman"/>
              </w:rPr>
            </w:pPr>
            <w:r>
              <w:rPr>
                <w:rFonts w:eastAsia="Times New Roman"/>
                <w:color w:val="000000"/>
                <w:sz w:val="20"/>
                <w:szCs w:val="20"/>
              </w:rPr>
              <w:t>Litigation settlement</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divId w:val="191892601"/>
              <w:rPr>
                <w:rFonts w:eastAsia="Times New Roman"/>
              </w:rPr>
            </w:pPr>
            <w:r>
              <w:rPr>
                <w:rFonts w:eastAsia="Times New Roman"/>
                <w:color w:val="000000"/>
                <w:sz w:val="20"/>
                <w:szCs w:val="20"/>
              </w:rPr>
              <w:t>Amortization of acquisition intangibles</w:t>
            </w:r>
            <w:r>
              <w:rPr>
                <w:rFonts w:eastAsia="Times New Roman"/>
                <w:color w:val="000000"/>
                <w:sz w:val="20"/>
                <w:szCs w:val="20"/>
              </w:rPr>
              <w:t xml:space="preserve"> </w:t>
            </w:r>
            <w:r>
              <w:rPr>
                <w:rFonts w:eastAsia="Times New Roman"/>
                <w:color w:val="000000"/>
                <w:sz w:val="13"/>
                <w:szCs w:val="13"/>
              </w:rPr>
              <w:t>(d</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0.07 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divId w:val="274598285"/>
              <w:rPr>
                <w:rFonts w:eastAsia="Times New Roman"/>
              </w:rPr>
            </w:pPr>
            <w:r>
              <w:rPr>
                <w:rFonts w:eastAsia="Times New Roman"/>
                <w:color w:val="000000"/>
                <w:sz w:val="20"/>
                <w:szCs w:val="20"/>
              </w:rPr>
              <w:t>Amortization of debt discount and deferred financing cost</w:t>
            </w:r>
            <w:r>
              <w:rPr>
                <w:rFonts w:eastAsia="Times New Roman"/>
                <w:color w:val="000000"/>
                <w:sz w:val="20"/>
                <w:szCs w:val="20"/>
              </w:rPr>
              <w:t>s</w:t>
            </w:r>
            <w:r>
              <w:rPr>
                <w:rFonts w:eastAsia="Times New Roman"/>
                <w:color w:val="000000"/>
                <w:sz w:val="13"/>
                <w:szCs w:val="13"/>
              </w:rPr>
              <w:t xml:space="preserve"> (e</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0.00 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0.05 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0.09 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divId w:val="1855849090"/>
              <w:rPr>
                <w:rFonts w:eastAsia="Times New Roman"/>
              </w:rPr>
            </w:pPr>
            <w:r>
              <w:rPr>
                <w:rFonts w:eastAsia="Times New Roman"/>
                <w:color w:val="000000"/>
                <w:sz w:val="20"/>
                <w:szCs w:val="20"/>
              </w:rPr>
              <w:t>Losses (gains) on change in fair value of derivative</w:t>
            </w:r>
            <w:r>
              <w:rPr>
                <w:rFonts w:eastAsia="Times New Roman"/>
                <w:color w:val="000000"/>
                <w:sz w:val="20"/>
                <w:szCs w:val="20"/>
              </w:rPr>
              <w:t>s</w:t>
            </w:r>
            <w:r>
              <w:rPr>
                <w:rFonts w:eastAsia="Times New Roman"/>
                <w:color w:val="000000"/>
                <w:sz w:val="13"/>
                <w:szCs w:val="13"/>
              </w:rPr>
              <w:t xml:space="preserve"> (f</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0.00 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0.06 </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divId w:val="722288840"/>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(j</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(0.02)</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(0.02)</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0.03 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divId w:val="1531797912"/>
              <w:rPr>
                <w:rFonts w:eastAsia="Times New Roman"/>
              </w:rPr>
            </w:pPr>
            <w:r>
              <w:rPr>
                <w:rFonts w:eastAsia="Times New Roman"/>
                <w:color w:val="000000"/>
                <w:sz w:val="20"/>
                <w:szCs w:val="20"/>
              </w:rPr>
              <w:t>Tax benefit of stock option exercises</w:t>
            </w:r>
            <w:r>
              <w:rPr>
                <w:rFonts w:eastAsia="Times New Roman"/>
                <w:color w:val="000000"/>
                <w:sz w:val="20"/>
                <w:szCs w:val="20"/>
              </w:rPr>
              <w:t xml:space="preserve"> </w:t>
            </w:r>
            <w:r>
              <w:rPr>
                <w:rFonts w:eastAsia="Times New Roman"/>
                <w:color w:val="000000"/>
                <w:sz w:val="13"/>
                <w:szCs w:val="13"/>
              </w:rPr>
              <w:t>(h</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(0.09)</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(0.04)</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(0.14)</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(0.07)</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2B18C2">
            <w:pPr>
              <w:spacing w:after="100"/>
              <w:divId w:val="751585171"/>
              <w:rPr>
                <w:rFonts w:eastAsia="Times New Roman"/>
              </w:rPr>
            </w:pPr>
            <w:r>
              <w:rPr>
                <w:rFonts w:eastAsia="Times New Roman"/>
                <w:color w:val="000000"/>
                <w:sz w:val="20"/>
                <w:szCs w:val="20"/>
              </w:rPr>
              <w:t>Tax effect of total adjustments</w:t>
            </w:r>
            <w:r>
              <w:rPr>
                <w:rFonts w:eastAsia="Times New Roman"/>
                <w:color w:val="000000"/>
                <w:sz w:val="20"/>
                <w:szCs w:val="20"/>
              </w:rPr>
              <w:t xml:space="preserve"> </w:t>
            </w:r>
            <w:r>
              <w:rPr>
                <w:rFonts w:eastAsia="Times New Roman"/>
                <w:color w:val="000000"/>
                <w:sz w:val="13"/>
                <w:szCs w:val="13"/>
              </w:rPr>
              <w:t>(i</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(0.01)</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(0.05)</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(0.06)</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(0.16)</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Adjusted Diluted EPS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0.42 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Weighted average diluted shares outstanding</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96,508 </w:t>
            </w:r>
          </w:p>
        </w:tc>
        <w:tc>
          <w:tcPr>
            <w:tcW w:w="0" w:type="auto"/>
            <w:tcBorders>
              <w:bottom w:val="single" w:sz="8" w:space="0" w:color="000000"/>
            </w:tcBorders>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83,795 </w:t>
            </w:r>
          </w:p>
        </w:tc>
        <w:tc>
          <w:tcPr>
            <w:tcW w:w="0" w:type="auto"/>
            <w:tcBorders>
              <w:bottom w:val="single" w:sz="8" w:space="0" w:color="000000"/>
            </w:tcBorders>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96,193 </w:t>
            </w:r>
          </w:p>
        </w:tc>
        <w:tc>
          <w:tcPr>
            <w:tcW w:w="0" w:type="auto"/>
            <w:tcBorders>
              <w:bottom w:val="single" w:sz="8" w:space="0" w:color="000000"/>
            </w:tcBorders>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82,718 </w:t>
            </w:r>
          </w:p>
        </w:tc>
        <w:tc>
          <w:tcPr>
            <w:tcW w:w="0" w:type="auto"/>
            <w:tcBorders>
              <w:bottom w:val="single" w:sz="8" w:space="0" w:color="000000"/>
            </w:tcBorders>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jc w:val="center"/>
        </w:trPr>
        <w:tc>
          <w:tcPr>
            <w:tcW w:w="0" w:type="auto"/>
            <w:gridSpan w:val="24"/>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16"/>
                <w:szCs w:val="16"/>
              </w:rPr>
              <w:t>Note: Some of the totals in the table above do not foot due to rounding differences</w:t>
            </w:r>
          </w:p>
        </w:tc>
      </w:tr>
    </w:tbl>
    <w:p w:rsidR="00000000" w:rsidRDefault="002B18C2">
      <w:pPr>
        <w:ind w:hanging="360"/>
        <w:jc w:val="both"/>
        <w:rPr>
          <w:rFonts w:eastAsia="Times New Roman"/>
        </w:rPr>
      </w:pPr>
      <w:r>
        <w:rPr>
          <w:rFonts w:eastAsia="Times New Roman"/>
          <w:color w:val="000000"/>
          <w:sz w:val="16"/>
          <w:szCs w:val="16"/>
        </w:rPr>
        <w:t>(a)</w:t>
      </w:r>
      <w:r>
        <w:rPr>
          <w:rFonts w:eastAsia="Times New Roman"/>
          <w:color w:val="000000"/>
          <w:sz w:val="16"/>
          <w:szCs w:val="16"/>
        </w:rPr>
        <w:t>Non-cash charges related to stock-based compensation programs, which vary from period to period depending on the timing of awards and performance vesting conditions.</w:t>
      </w:r>
    </w:p>
    <w:p w:rsidR="00000000" w:rsidRDefault="002B18C2">
      <w:pPr>
        <w:ind w:hanging="360"/>
        <w:jc w:val="both"/>
        <w:rPr>
          <w:rFonts w:eastAsia="Times New Roman"/>
        </w:rPr>
      </w:pPr>
      <w:r>
        <w:rPr>
          <w:rFonts w:eastAsia="Times New Roman"/>
          <w:color w:val="000000"/>
          <w:sz w:val="16"/>
          <w:szCs w:val="16"/>
        </w:rPr>
        <w:t>(b)Reflects write-off of property, equipment and lease related assets on closed or underpe</w:t>
      </w:r>
      <w:r>
        <w:rPr>
          <w:rFonts w:eastAsia="Times New Roman"/>
          <w:color w:val="000000"/>
          <w:sz w:val="16"/>
          <w:szCs w:val="16"/>
        </w:rPr>
        <w:t>rforming stores.</w:t>
      </w:r>
    </w:p>
    <w:p w:rsidR="00000000" w:rsidRDefault="002B18C2">
      <w:pPr>
        <w:ind w:hanging="360"/>
        <w:jc w:val="both"/>
        <w:rPr>
          <w:rFonts w:eastAsia="Times New Roman"/>
        </w:rPr>
      </w:pPr>
      <w:r>
        <w:rPr>
          <w:rFonts w:eastAsia="Times New Roman"/>
          <w:color w:val="000000"/>
          <w:sz w:val="16"/>
          <w:szCs w:val="16"/>
        </w:rPr>
        <w:t>(c)Expenses associated with settlement of significant litigation.</w:t>
      </w:r>
    </w:p>
    <w:p w:rsidR="00000000" w:rsidRDefault="002B18C2">
      <w:pPr>
        <w:ind w:hanging="360"/>
        <w:jc w:val="both"/>
        <w:rPr>
          <w:rFonts w:eastAsia="Times New Roman"/>
        </w:rPr>
      </w:pPr>
      <w:r>
        <w:rPr>
          <w:rFonts w:eastAsia="Times New Roman"/>
          <w:color w:val="000000"/>
          <w:sz w:val="16"/>
          <w:szCs w:val="16"/>
        </w:rPr>
        <w:t>(d)Amortization of the increase in carrying values of finite-lived intangible assets resulting from the application of purchase accounting following the acquisition of the C</w:t>
      </w:r>
      <w:r>
        <w:rPr>
          <w:rFonts w:eastAsia="Times New Roman"/>
          <w:color w:val="000000"/>
          <w:sz w:val="16"/>
          <w:szCs w:val="16"/>
        </w:rPr>
        <w:t>ompany by affiliates of KKR &amp; Co. Inc.</w:t>
      </w:r>
    </w:p>
    <w:p w:rsidR="00000000" w:rsidRDefault="002B18C2">
      <w:pPr>
        <w:ind w:hanging="360"/>
        <w:jc w:val="both"/>
        <w:rPr>
          <w:rFonts w:eastAsia="Times New Roman"/>
        </w:rPr>
      </w:pPr>
      <w:r>
        <w:rPr>
          <w:rFonts w:eastAsia="Times New Roman"/>
          <w:color w:val="000000"/>
          <w:sz w:val="16"/>
          <w:szCs w:val="16"/>
        </w:rPr>
        <w:t xml:space="preserve">(e)Amortization of deferred financing costs and other non-cash charges related to our long-term debt. We adjust for amortization of costs related to the 2025 Notes only when adjustment for these costs is not required </w:t>
      </w:r>
      <w:r>
        <w:rPr>
          <w:rFonts w:eastAsia="Times New Roman"/>
          <w:color w:val="000000"/>
          <w:sz w:val="16"/>
          <w:szCs w:val="16"/>
        </w:rPr>
        <w:t>in the calculation of diluted earnings per share according to U.S. GAAP.</w:t>
      </w:r>
    </w:p>
    <w:p w:rsidR="00000000" w:rsidRDefault="002B18C2">
      <w:pPr>
        <w:ind w:hanging="360"/>
        <w:jc w:val="both"/>
        <w:rPr>
          <w:rFonts w:eastAsia="Times New Roman"/>
        </w:rPr>
      </w:pPr>
      <w:r>
        <w:rPr>
          <w:rFonts w:eastAsia="Times New Roman"/>
          <w:color w:val="000000"/>
          <w:sz w:val="16"/>
          <w:szCs w:val="16"/>
        </w:rPr>
        <w:t>(f)Reflects losses (gains) recognized in interest expense on change in fair value of de-designated hedges.</w:t>
      </w:r>
    </w:p>
    <w:p w:rsidR="00000000" w:rsidRDefault="002B18C2">
      <w:pPr>
        <w:ind w:hanging="360"/>
        <w:jc w:val="both"/>
        <w:rPr>
          <w:rFonts w:eastAsia="Times New Roman"/>
        </w:rPr>
      </w:pPr>
      <w:r>
        <w:rPr>
          <w:rFonts w:eastAsia="Times New Roman"/>
          <w:color w:val="000000"/>
          <w:sz w:val="16"/>
          <w:szCs w:val="16"/>
        </w:rPr>
        <w:t>(g)Other adjustments include amounts that management believes are not repres</w:t>
      </w:r>
      <w:r>
        <w:rPr>
          <w:rFonts w:eastAsia="Times New Roman"/>
          <w:color w:val="000000"/>
          <w:sz w:val="16"/>
          <w:szCs w:val="16"/>
        </w:rPr>
        <w:t>entative of our operating performance (amounts in brackets represent reductions in Adjusted Operating Income, Adjusted Diluted EPS and Adjusted EBITDA), including our share of (gains) losses on equity method investments of $(2.4) million for each of the th</w:t>
      </w:r>
      <w:r>
        <w:rPr>
          <w:rFonts w:eastAsia="Times New Roman"/>
          <w:color w:val="000000"/>
          <w:sz w:val="16"/>
          <w:szCs w:val="16"/>
        </w:rPr>
        <w:t>ree and nine months ended October 2, 2021 and other expenses and adjustments which are primarily related to excess payroll taxes on stock option exercises, executive severance and relocation.</w:t>
      </w:r>
    </w:p>
    <w:p w:rsidR="00000000" w:rsidRDefault="002B18C2">
      <w:pPr>
        <w:ind w:hanging="360"/>
        <w:jc w:val="both"/>
        <w:rPr>
          <w:rFonts w:eastAsia="Times New Roman"/>
        </w:rPr>
      </w:pPr>
      <w:r>
        <w:rPr>
          <w:rFonts w:eastAsia="Times New Roman"/>
          <w:color w:val="000000"/>
          <w:sz w:val="16"/>
          <w:szCs w:val="16"/>
        </w:rPr>
        <w:t>(h)Tax benefit associated with accounting guidance requiring exc</w:t>
      </w:r>
      <w:r>
        <w:rPr>
          <w:rFonts w:eastAsia="Times New Roman"/>
          <w:color w:val="000000"/>
          <w:sz w:val="16"/>
          <w:szCs w:val="16"/>
        </w:rPr>
        <w:t>ess tax benefits related to stock option exercises to be recorded in earnings as discrete items in the reporting period in which they occur.</w:t>
      </w:r>
    </w:p>
    <w:p w:rsidR="00000000" w:rsidRDefault="002B18C2">
      <w:pPr>
        <w:ind w:hanging="360"/>
        <w:jc w:val="both"/>
        <w:rPr>
          <w:rFonts w:eastAsia="Times New Roman"/>
        </w:rPr>
      </w:pPr>
      <w:r>
        <w:rPr>
          <w:rFonts w:eastAsia="Times New Roman"/>
          <w:color w:val="000000"/>
          <w:sz w:val="16"/>
          <w:szCs w:val="16"/>
        </w:rPr>
        <w:t>(i)Represents the income tax effect of the total adjustments at our combined statutory federal and state income tax</w:t>
      </w:r>
      <w:r>
        <w:rPr>
          <w:rFonts w:eastAsia="Times New Roman"/>
          <w:color w:val="000000"/>
          <w:sz w:val="16"/>
          <w:szCs w:val="16"/>
        </w:rPr>
        <w:t xml:space="preserve"> rates.</w:t>
      </w:r>
    </w:p>
    <w:p w:rsidR="00000000" w:rsidRDefault="002B18C2">
      <w:pPr>
        <w:ind w:hanging="360"/>
        <w:jc w:val="both"/>
        <w:rPr>
          <w:rFonts w:eastAsia="Times New Roman"/>
        </w:rPr>
      </w:pPr>
      <w:r>
        <w:rPr>
          <w:rFonts w:eastAsia="Times New Roman"/>
          <w:color w:val="000000"/>
          <w:sz w:val="16"/>
          <w:szCs w:val="16"/>
        </w:rPr>
        <w:t>(j)Reflects other expenses in (g) above, including the impact of stranded tax effect of $(2.1) million for the nine months ended October 2, 2021 associated with our interest rate swaps that matured in 2021.</w:t>
      </w:r>
    </w:p>
    <w:p w:rsidR="00000000" w:rsidRDefault="002B18C2">
      <w:pPr>
        <w:jc w:val="center"/>
        <w:divId w:val="1350715995"/>
        <w:rPr>
          <w:rFonts w:eastAsia="Times New Roman"/>
        </w:rPr>
      </w:pPr>
      <w:r>
        <w:rPr>
          <w:rFonts w:eastAsia="Times New Roman"/>
          <w:color w:val="000000"/>
          <w:sz w:val="20"/>
          <w:szCs w:val="20"/>
        </w:rPr>
        <w:t>40</w:t>
      </w:r>
    </w:p>
    <w:p w:rsidR="00000000" w:rsidRDefault="002B18C2">
      <w:pPr>
        <w:rPr>
          <w:rFonts w:eastAsia="Times New Roman"/>
        </w:rPr>
      </w:pPr>
      <w:r>
        <w:rPr>
          <w:rFonts w:eastAsia="Times New Roman"/>
        </w:rPr>
        <w:pict>
          <v:rect id="_x0000_i1064" style="width:0;height:1.5pt" o:hralign="center" o:hrstd="t" o:hr="t" fillcolor="#a0a0a0" stroked="f"/>
        </w:pict>
      </w:r>
    </w:p>
    <w:p w:rsidR="00000000" w:rsidRDefault="002B18C2">
      <w:pPr>
        <w:divId w:val="1676881366"/>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158621038"/>
        <w:rPr>
          <w:rFonts w:eastAsia="Times New Roman"/>
        </w:rPr>
      </w:pPr>
      <w:r>
        <w:rPr>
          <w:rFonts w:eastAsia="Times New Roman"/>
          <w:b/>
          <w:bCs/>
          <w:color w:val="000000"/>
          <w:sz w:val="20"/>
          <w:szCs w:val="20"/>
        </w:rPr>
        <w:t>Liquidity and Capital Resources</w:t>
      </w:r>
    </w:p>
    <w:p w:rsidR="00000000" w:rsidRDefault="002B18C2">
      <w:pPr>
        <w:jc w:val="both"/>
        <w:divId w:val="2031485488"/>
        <w:rPr>
          <w:rFonts w:eastAsia="Times New Roman"/>
        </w:rPr>
      </w:pPr>
      <w:r>
        <w:rPr>
          <w:rFonts w:eastAsia="Times New Roman"/>
          <w:color w:val="000000"/>
          <w:sz w:val="20"/>
          <w:szCs w:val="20"/>
        </w:rPr>
        <w:t>Our primary cash needs are for inventory, payroll, store rent, advertising, capital expenditures associated with new stores and updating existing stor</w:t>
      </w:r>
      <w:r>
        <w:rPr>
          <w:rFonts w:eastAsia="Times New Roman"/>
          <w:color w:val="000000"/>
          <w:sz w:val="20"/>
          <w:szCs w:val="20"/>
        </w:rPr>
        <w:t>es, as well as information technology and infrastructure, including our corporate office, distribution centers, and laboratories. When appropriate, the Company may utilize excess liquidity towards debt service requirements, including voluntary debt prepaym</w:t>
      </w:r>
      <w:r>
        <w:rPr>
          <w:rFonts w:eastAsia="Times New Roman"/>
          <w:color w:val="000000"/>
          <w:sz w:val="20"/>
          <w:szCs w:val="20"/>
        </w:rPr>
        <w:t>ents, or required interest and principal payments, if any, as well as repurchases of common stock, based on excess cash flows. We continue to prioritize cash conservation and prudent use of cash, while safely conducting normal operations. The most signific</w:t>
      </w:r>
      <w:r>
        <w:rPr>
          <w:rFonts w:eastAsia="Times New Roman"/>
          <w:color w:val="000000"/>
          <w:sz w:val="20"/>
          <w:szCs w:val="20"/>
        </w:rPr>
        <w:t>ant components of our operating assets and liabilities are inventories, accounts receivable, prepaid expenses and other assets, accounts payable, deferred and unearned revenue and other payables and accrued expenses. While we have historically exercised pr</w:t>
      </w:r>
      <w:r>
        <w:rPr>
          <w:rFonts w:eastAsia="Times New Roman"/>
          <w:color w:val="000000"/>
          <w:sz w:val="20"/>
          <w:szCs w:val="20"/>
        </w:rPr>
        <w:t>udence in our use of cash, the COVID-19 pandemic has required us to closely monitor various items related to cash flow including, but not limited to, cash receipts, cash disbursements, payment terms and alternative sources of funding. We continue to be foc</w:t>
      </w:r>
      <w:r>
        <w:rPr>
          <w:rFonts w:eastAsia="Times New Roman"/>
          <w:color w:val="000000"/>
          <w:sz w:val="20"/>
          <w:szCs w:val="20"/>
        </w:rPr>
        <w:t>used on these items in addition to other key measures we use to determine how our consolidated business and operating segments are performing. We believe that cash on hand, cash expected to be generated from operations and the availability of borrowings un</w:t>
      </w:r>
      <w:r>
        <w:rPr>
          <w:rFonts w:eastAsia="Times New Roman"/>
          <w:color w:val="000000"/>
          <w:sz w:val="20"/>
          <w:szCs w:val="20"/>
        </w:rPr>
        <w:t>der our revolving credit facility will be sufficient to fund our working capital requirements, liquidity obligations, anticipated capital expenditures, and payments due under our existing debt for at least the next 12 months. Depending on our liquidity lev</w:t>
      </w:r>
      <w:r>
        <w:rPr>
          <w:rFonts w:eastAsia="Times New Roman"/>
          <w:color w:val="000000"/>
          <w:sz w:val="20"/>
          <w:szCs w:val="20"/>
        </w:rPr>
        <w:t>els, conditions in the capital markets and other factors, we may from time to time consider the refinancing or issuance of debt, issuance of equity or other securities, the proceeds of which could provide additional liquidity for our operations, as well as</w:t>
      </w:r>
      <w:r>
        <w:rPr>
          <w:rFonts w:eastAsia="Times New Roman"/>
          <w:color w:val="000000"/>
          <w:sz w:val="20"/>
          <w:szCs w:val="20"/>
        </w:rPr>
        <w:t xml:space="preserve"> further modifications to our term loan where possible. However, our ability to maintain sufficient liquidity may be affected by numerous factors, many of which are outside our control. We primarily fund our working capital needs using cash provided by ope</w:t>
      </w:r>
      <w:r>
        <w:rPr>
          <w:rFonts w:eastAsia="Times New Roman"/>
          <w:color w:val="000000"/>
          <w:sz w:val="20"/>
          <w:szCs w:val="20"/>
        </w:rPr>
        <w:t>rations. Our working capital requirements for inventory will increase as we continue to open additional stores.</w:t>
      </w:r>
    </w:p>
    <w:p w:rsidR="00000000" w:rsidRDefault="002B18C2">
      <w:pPr>
        <w:jc w:val="both"/>
        <w:divId w:val="2084329687"/>
        <w:rPr>
          <w:rFonts w:eastAsia="Times New Roman"/>
        </w:rPr>
      </w:pPr>
      <w:r>
        <w:rPr>
          <w:rFonts w:eastAsia="Times New Roman"/>
          <w:color w:val="000000"/>
          <w:sz w:val="20"/>
          <w:szCs w:val="20"/>
        </w:rPr>
        <w:t>As of October 2, 2021, we had $439.1 million in cash and cash equivalents and $293.6 million of availability under our revolving credit facility</w:t>
      </w:r>
      <w:r>
        <w:rPr>
          <w:rFonts w:eastAsia="Times New Roman"/>
          <w:color w:val="000000"/>
          <w:sz w:val="20"/>
          <w:szCs w:val="20"/>
        </w:rPr>
        <w:t>, which includes $6.4 million in outstanding letters of credit.</w:t>
      </w:r>
    </w:p>
    <w:p w:rsidR="00000000" w:rsidRDefault="002B18C2">
      <w:pPr>
        <w:jc w:val="both"/>
        <w:divId w:val="1589996282"/>
        <w:rPr>
          <w:rFonts w:eastAsia="Times New Roman"/>
        </w:rPr>
      </w:pPr>
      <w:r>
        <w:rPr>
          <w:rFonts w:eastAsia="Times New Roman"/>
          <w:color w:val="000000"/>
          <w:sz w:val="20"/>
          <w:szCs w:val="20"/>
        </w:rPr>
        <w:t>As of October 2, 2021, we have outst</w:t>
      </w:r>
      <w:r>
        <w:rPr>
          <w:rFonts w:eastAsia="Times New Roman"/>
          <w:color w:val="000000"/>
          <w:sz w:val="20"/>
          <w:szCs w:val="20"/>
          <w:shd w:val="clear" w:color="auto" w:fill="FFFFFF"/>
        </w:rPr>
        <w:t xml:space="preserve">anding </w:t>
      </w:r>
      <w:r>
        <w:rPr>
          <w:rFonts w:eastAsia="Times New Roman"/>
          <w:color w:val="000000"/>
          <w:sz w:val="20"/>
          <w:szCs w:val="20"/>
        </w:rPr>
        <w:t>$402.5 million</w:t>
      </w:r>
      <w:r>
        <w:rPr>
          <w:rFonts w:eastAsia="Times New Roman"/>
          <w:color w:val="000000"/>
          <w:sz w:val="20"/>
          <w:szCs w:val="20"/>
          <w:shd w:val="clear" w:color="auto" w:fill="FFFFFF"/>
        </w:rPr>
        <w:t xml:space="preserve"> </w:t>
      </w:r>
      <w:r>
        <w:rPr>
          <w:rFonts w:eastAsia="Times New Roman"/>
          <w:color w:val="000000"/>
          <w:sz w:val="20"/>
          <w:szCs w:val="20"/>
        </w:rPr>
        <w:t>aggregate principal of the 2025 Notes. The 2025 Notes are senior unsecured obligations, and interest on the 2025 Notes is paid semi-annually. As of October 2, 2021, the 2025 Notes can be converted by holders. Upon conversion of the 2025 Notes we can choose</w:t>
      </w:r>
      <w:r>
        <w:rPr>
          <w:rFonts w:eastAsia="Times New Roman"/>
          <w:color w:val="000000"/>
          <w:sz w:val="20"/>
          <w:szCs w:val="20"/>
        </w:rPr>
        <w:t xml:space="preserve"> to settle in cash, shares or a combination. Based on the initial conversion rate, the 2025 Notes are convertible into 12.9 million shares of our common stock; however we reserved for the possible issuance of 16.5 million shares, which is the maximum amoun</w:t>
      </w:r>
      <w:r>
        <w:rPr>
          <w:rFonts w:eastAsia="Times New Roman"/>
          <w:color w:val="000000"/>
          <w:sz w:val="20"/>
          <w:szCs w:val="20"/>
        </w:rPr>
        <w:t>t that could be issued upon conversion. See Note 11. “Earnings Per Share” for the treatment of earnings per share in relation to the 2025 Notes.</w:t>
      </w:r>
    </w:p>
    <w:p w:rsidR="00000000" w:rsidRDefault="002B18C2">
      <w:pPr>
        <w:jc w:val="both"/>
        <w:divId w:val="658073078"/>
        <w:rPr>
          <w:rFonts w:eastAsia="Times New Roman"/>
        </w:rPr>
      </w:pPr>
      <w:r>
        <w:rPr>
          <w:rFonts w:eastAsia="Times New Roman"/>
          <w:color w:val="000000"/>
          <w:sz w:val="20"/>
          <w:szCs w:val="20"/>
        </w:rPr>
        <w:t xml:space="preserve">As of October 2, 2021, we </w:t>
      </w:r>
      <w:r>
        <w:rPr>
          <w:rFonts w:eastAsia="Times New Roman"/>
          <w:color w:val="000000"/>
          <w:sz w:val="20"/>
          <w:szCs w:val="20"/>
          <w:shd w:val="clear" w:color="auto" w:fill="FFFFFF"/>
        </w:rPr>
        <w:t xml:space="preserve">had </w:t>
      </w:r>
      <w:r>
        <w:rPr>
          <w:rFonts w:eastAsia="Times New Roman"/>
          <w:color w:val="000000"/>
          <w:sz w:val="20"/>
          <w:szCs w:val="20"/>
        </w:rPr>
        <w:t>$200.0 million of term loan outstanding under our credit agreement. We were in co</w:t>
      </w:r>
      <w:r>
        <w:rPr>
          <w:rFonts w:eastAsia="Times New Roman"/>
          <w:color w:val="000000"/>
          <w:sz w:val="20"/>
          <w:szCs w:val="20"/>
        </w:rPr>
        <w:t>mpliance with all covenants related to our long-term debt as of October 2, 2021.</w:t>
      </w:r>
    </w:p>
    <w:p w:rsidR="00000000" w:rsidRDefault="002B18C2">
      <w:pPr>
        <w:jc w:val="both"/>
        <w:divId w:val="1067070717"/>
        <w:rPr>
          <w:rFonts w:eastAsia="Times New Roman"/>
        </w:rPr>
      </w:pPr>
      <w:r>
        <w:rPr>
          <w:rFonts w:eastAsia="Times New Roman"/>
          <w:color w:val="000000"/>
          <w:sz w:val="20"/>
          <w:szCs w:val="20"/>
        </w:rPr>
        <w:t>The following table summarizes cash flows provided by (used for) operating activities, investing activities and financing activities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258"/>
        <w:gridCol w:w="37"/>
        <w:gridCol w:w="120"/>
        <w:gridCol w:w="1289"/>
        <w:gridCol w:w="36"/>
        <w:gridCol w:w="36"/>
        <w:gridCol w:w="36"/>
        <w:gridCol w:w="36"/>
        <w:gridCol w:w="121"/>
        <w:gridCol w:w="1261"/>
        <w:gridCol w:w="36"/>
      </w:tblGrid>
      <w:tr w:rsidR="00000000">
        <w:trPr>
          <w:divId w:val="1548906031"/>
        </w:trPr>
        <w:tc>
          <w:tcPr>
            <w:tcW w:w="50" w:type="pct"/>
            <w:vAlign w:val="center"/>
            <w:hideMark/>
          </w:tcPr>
          <w:p w:rsidR="00000000" w:rsidRDefault="002B18C2">
            <w:pPr>
              <w:jc w:val="both"/>
              <w:rPr>
                <w:rFonts w:eastAsia="Times New Roman"/>
              </w:rPr>
            </w:pPr>
          </w:p>
        </w:tc>
        <w:tc>
          <w:tcPr>
            <w:tcW w:w="319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80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3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80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1548906031"/>
        </w:trPr>
        <w:tc>
          <w:tcPr>
            <w:tcW w:w="0" w:type="auto"/>
            <w:gridSpan w:val="3"/>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Nine Months Ended</w:t>
            </w:r>
          </w:p>
        </w:tc>
      </w:tr>
      <w:tr w:rsidR="00000000">
        <w:trPr>
          <w:divId w:val="1548906031"/>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October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B18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jc w:val="center"/>
              <w:rPr>
                <w:rFonts w:eastAsia="Times New Roman"/>
              </w:rPr>
            </w:pPr>
            <w:r>
              <w:rPr>
                <w:rFonts w:eastAsia="Times New Roman"/>
                <w:color w:val="000000"/>
                <w:sz w:val="20"/>
                <w:szCs w:val="20"/>
              </w:rPr>
              <w:t>September 26, 2020</w:t>
            </w:r>
          </w:p>
        </w:tc>
      </w:tr>
      <w:tr w:rsidR="00000000">
        <w:trPr>
          <w:divId w:val="1548906031"/>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Cash flows provided by (used for):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B18C2">
            <w:pPr>
              <w:spacing w:after="100"/>
              <w:rPr>
                <w:rFonts w:eastAsia="Times New Roman"/>
                <w:sz w:val="20"/>
                <w:szCs w:val="20"/>
              </w:rPr>
            </w:pPr>
          </w:p>
        </w:tc>
      </w:tr>
      <w:tr w:rsidR="00000000">
        <w:trPr>
          <w:divId w:val="1548906031"/>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Operating activities</w:t>
            </w: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233,807 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203,716 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48906031"/>
        </w:trPr>
        <w:tc>
          <w:tcPr>
            <w:tcW w:w="0" w:type="auto"/>
            <w:gridSpan w:val="3"/>
            <w:shd w:val="clear" w:color="auto" w:fill="CCEE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Investing activities</w:t>
            </w: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(56,445)</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(40,514)</w:t>
            </w:r>
          </w:p>
        </w:tc>
        <w:tc>
          <w:tcPr>
            <w:tcW w:w="0" w:type="auto"/>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48906031"/>
        </w:trPr>
        <w:tc>
          <w:tcPr>
            <w:tcW w:w="0" w:type="auto"/>
            <w:gridSpan w:val="3"/>
            <w:shd w:val="clear" w:color="auto" w:fill="FFFFFF"/>
            <w:tcMar>
              <w:top w:w="30" w:type="dxa"/>
              <w:left w:w="155"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Financing activities</w:t>
            </w: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(112,065)</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174,906 </w:t>
            </w:r>
          </w:p>
        </w:tc>
        <w:tc>
          <w:tcPr>
            <w:tcW w:w="0" w:type="auto"/>
            <w:shd w:val="clear" w:color="auto" w:fill="FFFFFF"/>
            <w:tcMar>
              <w:top w:w="30" w:type="dxa"/>
              <w:left w:w="0" w:type="dxa"/>
              <w:bottom w:w="30" w:type="dxa"/>
              <w:right w:w="20" w:type="dxa"/>
            </w:tcMar>
            <w:vAlign w:val="bottom"/>
            <w:hideMark/>
          </w:tcPr>
          <w:p w:rsidR="00000000" w:rsidRDefault="002B18C2">
            <w:pPr>
              <w:spacing w:after="100"/>
              <w:jc w:val="right"/>
              <w:rPr>
                <w:rFonts w:eastAsia="Times New Roman"/>
              </w:rPr>
            </w:pPr>
          </w:p>
        </w:tc>
      </w:tr>
      <w:tr w:rsidR="00000000">
        <w:trPr>
          <w:divId w:val="1548906031"/>
        </w:trPr>
        <w:tc>
          <w:tcPr>
            <w:tcW w:w="0" w:type="auto"/>
            <w:gridSpan w:val="3"/>
            <w:shd w:val="clear" w:color="auto" w:fill="CCEEFF"/>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Net increase in cash, cash equivalents and restricted cash</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65,297 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B18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B18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B18C2">
            <w:pPr>
              <w:spacing w:after="100"/>
              <w:jc w:val="right"/>
              <w:rPr>
                <w:rFonts w:eastAsia="Times New Roman"/>
              </w:rPr>
            </w:pPr>
            <w:r>
              <w:rPr>
                <w:rFonts w:eastAsia="Times New Roman"/>
                <w:color w:val="000000"/>
                <w:sz w:val="20"/>
                <w:szCs w:val="20"/>
              </w:rPr>
              <w:t>338,108 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B18C2">
            <w:pPr>
              <w:spacing w:after="100"/>
              <w:jc w:val="right"/>
              <w:rPr>
                <w:rFonts w:eastAsia="Times New Roman"/>
              </w:rPr>
            </w:pPr>
          </w:p>
        </w:tc>
      </w:tr>
    </w:tbl>
    <w:p w:rsidR="00000000" w:rsidRDefault="002B18C2">
      <w:pPr>
        <w:divId w:val="487792441"/>
        <w:rPr>
          <w:rFonts w:eastAsia="Times New Roman"/>
        </w:rPr>
      </w:pPr>
      <w:r>
        <w:rPr>
          <w:rFonts w:eastAsia="Times New Roman"/>
          <w:i/>
          <w:iCs/>
          <w:color w:val="000000"/>
          <w:sz w:val="20"/>
          <w:szCs w:val="20"/>
        </w:rPr>
        <w:t>Net Cash Provided by Operating Activities</w:t>
      </w:r>
    </w:p>
    <w:p w:rsidR="00000000" w:rsidRDefault="002B18C2">
      <w:pPr>
        <w:jc w:val="both"/>
        <w:divId w:val="1294021640"/>
        <w:rPr>
          <w:rFonts w:eastAsia="Times New Roman"/>
        </w:rPr>
      </w:pPr>
      <w:r>
        <w:rPr>
          <w:rFonts w:eastAsia="Times New Roman"/>
          <w:color w:val="000000"/>
          <w:sz w:val="20"/>
          <w:szCs w:val="20"/>
        </w:rPr>
        <w:t>Cash flows provided by operating activities increased $30.1 million from $203.7 million during the nine months ended September 26, 2020 to $233.8 million for the nine months ended October 2, 2021. The increase in net cash provided by operating activities c</w:t>
      </w:r>
      <w:r>
        <w:rPr>
          <w:rFonts w:eastAsia="Times New Roman"/>
          <w:color w:val="000000"/>
          <w:sz w:val="20"/>
          <w:szCs w:val="20"/>
        </w:rPr>
        <w:t>onsisted of an increase in net income of $120.8 million, due primarily to growth in sales during the nine months ended October 2, 2021, and an increase of non-cash expense items of $4.5 million including an increase in deferred income taxes of $30.3 millio</w:t>
      </w:r>
      <w:r>
        <w:rPr>
          <w:rFonts w:eastAsia="Times New Roman"/>
          <w:color w:val="000000"/>
          <w:sz w:val="20"/>
          <w:szCs w:val="20"/>
        </w:rPr>
        <w:t>n partially offset by a decrease in asset impairment charges of $19.4 million.</w:t>
      </w:r>
    </w:p>
    <w:p w:rsidR="00000000" w:rsidRDefault="002B18C2">
      <w:pPr>
        <w:jc w:val="both"/>
        <w:divId w:val="602300835"/>
        <w:rPr>
          <w:rFonts w:eastAsia="Times New Roman"/>
        </w:rPr>
      </w:pPr>
      <w:r>
        <w:rPr>
          <w:rFonts w:eastAsia="Times New Roman"/>
          <w:color w:val="000000"/>
          <w:sz w:val="20"/>
          <w:szCs w:val="20"/>
        </w:rPr>
        <w:t xml:space="preserve">Changes in net working capital and other assets and liabilities used $95.3 million in cash compared to the nine months ended September 26, 2020. Working capital was most significantly impacted by changes in other liabilities, </w:t>
      </w:r>
    </w:p>
    <w:p w:rsidR="00000000" w:rsidRDefault="002B18C2">
      <w:pPr>
        <w:jc w:val="center"/>
        <w:divId w:val="1331830186"/>
        <w:rPr>
          <w:rFonts w:eastAsia="Times New Roman"/>
        </w:rPr>
      </w:pPr>
      <w:r>
        <w:rPr>
          <w:rFonts w:eastAsia="Times New Roman"/>
          <w:color w:val="000000"/>
          <w:sz w:val="20"/>
          <w:szCs w:val="20"/>
        </w:rPr>
        <w:t>41</w:t>
      </w:r>
    </w:p>
    <w:p w:rsidR="00000000" w:rsidRDefault="002B18C2">
      <w:pPr>
        <w:rPr>
          <w:rFonts w:eastAsia="Times New Roman"/>
        </w:rPr>
      </w:pPr>
      <w:r>
        <w:rPr>
          <w:rFonts w:eastAsia="Times New Roman"/>
        </w:rPr>
        <w:pict>
          <v:rect id="_x0000_i1065" style="width:0;height:1.5pt" o:hralign="center" o:hrstd="t" o:hr="t" fillcolor="#a0a0a0" stroked="f"/>
        </w:pict>
      </w:r>
    </w:p>
    <w:p w:rsidR="00000000" w:rsidRDefault="002B18C2">
      <w:pPr>
        <w:divId w:val="785998834"/>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338194733"/>
        <w:rPr>
          <w:rFonts w:eastAsia="Times New Roman"/>
        </w:rPr>
      </w:pPr>
      <w:r>
        <w:rPr>
          <w:rFonts w:eastAsia="Times New Roman"/>
          <w:color w:val="000000"/>
          <w:sz w:val="20"/>
          <w:szCs w:val="20"/>
        </w:rPr>
        <w:t xml:space="preserve">inventories, accounts payable, and other assets. Decreases in other liabilities during the nine months ended October 2, 2021 used $51.5 million </w:t>
      </w:r>
      <w:r>
        <w:rPr>
          <w:rFonts w:eastAsia="Times New Roman"/>
          <w:color w:val="000000"/>
          <w:sz w:val="20"/>
          <w:szCs w:val="20"/>
        </w:rPr>
        <w:t>in year-over-year cash primarily due to decreases in compensation related accruals of $31.9 million including payment of CARES Act deferred employer payroll taxes, timing of litigation settlements, and decreases in lease concessions and deferrals of $9.0 m</w:t>
      </w:r>
      <w:r>
        <w:rPr>
          <w:rFonts w:eastAsia="Times New Roman"/>
          <w:color w:val="000000"/>
          <w:sz w:val="20"/>
          <w:szCs w:val="20"/>
        </w:rPr>
        <w:t>illion. Increases in inventories used $27.3 million in year-over-year cash, primarily due to increased purchases including forward buys. Decreases in accounts payable during the nine months ended October 2, 2021 used $16.6 million in year-over-year cash, p</w:t>
      </w:r>
      <w:r>
        <w:rPr>
          <w:rFonts w:eastAsia="Times New Roman"/>
          <w:color w:val="000000"/>
          <w:sz w:val="20"/>
          <w:szCs w:val="20"/>
        </w:rPr>
        <w:t>rimarily due to timing of payments. Increases in other assets used $7.9 million in year-over-year cash consisting of $9.7 million of prepaid tax-related items offset by smaller decreases in other prepaid and non-current asset balances during the nine month</w:t>
      </w:r>
      <w:r>
        <w:rPr>
          <w:rFonts w:eastAsia="Times New Roman"/>
          <w:color w:val="000000"/>
          <w:sz w:val="20"/>
          <w:szCs w:val="20"/>
        </w:rPr>
        <w:t>s ended October 2, 2021 when compared with the nine months ended September 26, 2020.</w:t>
      </w:r>
    </w:p>
    <w:p w:rsidR="00000000" w:rsidRDefault="002B18C2">
      <w:pPr>
        <w:jc w:val="both"/>
        <w:divId w:val="62025744"/>
        <w:rPr>
          <w:rFonts w:eastAsia="Times New Roman"/>
        </w:rPr>
      </w:pPr>
      <w:r>
        <w:rPr>
          <w:rFonts w:eastAsia="Times New Roman"/>
          <w:color w:val="000000"/>
          <w:sz w:val="20"/>
          <w:szCs w:val="20"/>
        </w:rPr>
        <w:t>Offsetting these items were decreases in accounts receivable, which contributed $8.4 million in year-over-year cash, primarily reflective of year-over-year decreases in cr</w:t>
      </w:r>
      <w:r>
        <w:rPr>
          <w:rFonts w:eastAsia="Times New Roman"/>
          <w:color w:val="000000"/>
          <w:sz w:val="20"/>
          <w:szCs w:val="20"/>
        </w:rPr>
        <w:t xml:space="preserve">edit card receivables during the nine months ended October 2, 2021 compared to the same period of 2020. </w:t>
      </w:r>
    </w:p>
    <w:p w:rsidR="00000000" w:rsidRDefault="002B18C2">
      <w:pPr>
        <w:jc w:val="both"/>
        <w:divId w:val="975834465"/>
        <w:rPr>
          <w:rFonts w:eastAsia="Times New Roman"/>
        </w:rPr>
      </w:pPr>
      <w:r>
        <w:rPr>
          <w:rFonts w:eastAsia="Times New Roman"/>
          <w:i/>
          <w:iCs/>
          <w:color w:val="000000"/>
          <w:sz w:val="20"/>
          <w:szCs w:val="20"/>
        </w:rPr>
        <w:t>Net Cash Used for Investing Activities</w:t>
      </w:r>
    </w:p>
    <w:p w:rsidR="00000000" w:rsidRDefault="002B18C2">
      <w:pPr>
        <w:jc w:val="both"/>
        <w:divId w:val="1047488782"/>
        <w:rPr>
          <w:rFonts w:eastAsia="Times New Roman"/>
        </w:rPr>
      </w:pPr>
      <w:r>
        <w:rPr>
          <w:rFonts w:eastAsia="Times New Roman"/>
          <w:color w:val="000000"/>
          <w:sz w:val="20"/>
          <w:szCs w:val="20"/>
        </w:rPr>
        <w:t>Net cash used for investing activities increased by $15.9 million, to $56.4 million, during the nine months ende</w:t>
      </w:r>
      <w:r>
        <w:rPr>
          <w:rFonts w:eastAsia="Times New Roman"/>
          <w:color w:val="000000"/>
          <w:sz w:val="20"/>
          <w:szCs w:val="20"/>
        </w:rPr>
        <w:t>d October 2, 2021 from $40.5 million during the nine months ended September 26, 2020. The increase was primarily due to increased new store openings, offset partially by proceeds of $2.4 million in connection with the sale of the Company’s equity method in</w:t>
      </w:r>
      <w:r>
        <w:rPr>
          <w:rFonts w:eastAsia="Times New Roman"/>
          <w:color w:val="000000"/>
          <w:sz w:val="20"/>
          <w:szCs w:val="20"/>
        </w:rPr>
        <w:t>vestee. Refer to Note 1</w:t>
      </w:r>
      <w:r>
        <w:rPr>
          <w:rFonts w:eastAsia="Times New Roman"/>
          <w:i/>
          <w:iCs/>
          <w:color w:val="000000"/>
          <w:sz w:val="20"/>
          <w:szCs w:val="20"/>
        </w:rPr>
        <w:t xml:space="preserve">. </w:t>
      </w:r>
      <w:r>
        <w:rPr>
          <w:rFonts w:eastAsia="Times New Roman"/>
          <w:color w:val="000000"/>
          <w:sz w:val="20"/>
          <w:szCs w:val="20"/>
        </w:rPr>
        <w:t>“Description of Business and Basis of Presentation” for more information on the sale. Approximately 80% of our capital spend is related to our expected growth (i.e., new stores, optometric equipment, additional capacity in our opti</w:t>
      </w:r>
      <w:r>
        <w:rPr>
          <w:rFonts w:eastAsia="Times New Roman"/>
          <w:color w:val="000000"/>
          <w:sz w:val="20"/>
          <w:szCs w:val="20"/>
        </w:rPr>
        <w:t>cal laboratories and distribution centers, and our IT infrastructure, including omni-channel platform related investments).</w:t>
      </w:r>
    </w:p>
    <w:p w:rsidR="00000000" w:rsidRDefault="002B18C2">
      <w:pPr>
        <w:jc w:val="both"/>
        <w:divId w:val="1611008899"/>
        <w:rPr>
          <w:rFonts w:eastAsia="Times New Roman"/>
        </w:rPr>
      </w:pPr>
      <w:r>
        <w:rPr>
          <w:rFonts w:eastAsia="Times New Roman"/>
          <w:i/>
          <w:iCs/>
          <w:color w:val="000000"/>
          <w:sz w:val="20"/>
          <w:szCs w:val="20"/>
        </w:rPr>
        <w:t>Net Cash Provided By (Used For) Financing Activities</w:t>
      </w:r>
    </w:p>
    <w:p w:rsidR="00000000" w:rsidRDefault="002B18C2">
      <w:pPr>
        <w:jc w:val="both"/>
        <w:divId w:val="457376664"/>
        <w:rPr>
          <w:rFonts w:eastAsia="Times New Roman"/>
        </w:rPr>
      </w:pPr>
      <w:r>
        <w:rPr>
          <w:rFonts w:eastAsia="Times New Roman"/>
          <w:color w:val="000000"/>
          <w:sz w:val="20"/>
          <w:szCs w:val="20"/>
        </w:rPr>
        <w:t xml:space="preserve">Net cash provided by (used for) financing activities decreased $287.0 million, </w:t>
      </w:r>
      <w:r>
        <w:rPr>
          <w:rFonts w:eastAsia="Times New Roman"/>
          <w:color w:val="000000"/>
          <w:sz w:val="20"/>
          <w:szCs w:val="20"/>
        </w:rPr>
        <w:t>from $174.9 million provision of cash during the nine months ended September 26, 2020 to $112.1 million use of cash during the nine months ended October 2, 2021. The decrease in cash provided by financing activities was primarily due to the prepayment of o</w:t>
      </w:r>
      <w:r>
        <w:rPr>
          <w:rFonts w:eastAsia="Times New Roman"/>
          <w:color w:val="000000"/>
          <w:sz w:val="20"/>
          <w:szCs w:val="20"/>
        </w:rPr>
        <w:t>ur term loan long-term debt in the current fiscal year compared to borrowings of long-term debt partially offset by principal payments in the prior year. The Company made voluntary term loan prepayments of $117.4 million during the nine months ended Octobe</w:t>
      </w:r>
      <w:r>
        <w:rPr>
          <w:rFonts w:eastAsia="Times New Roman"/>
          <w:color w:val="000000"/>
          <w:sz w:val="20"/>
          <w:szCs w:val="20"/>
        </w:rPr>
        <w:t>r 2, 2021 compared to proceeds of $548.8 million from the issuance of the 2025 Notes and borrowings on our revolving credit facility partially offset by principal payments on long-term debt of $369.3 million during the nine months ended September 26, 2020.</w:t>
      </w:r>
    </w:p>
    <w:p w:rsidR="00000000" w:rsidRDefault="002B18C2">
      <w:pPr>
        <w:jc w:val="both"/>
        <w:divId w:val="1924489619"/>
        <w:rPr>
          <w:rFonts w:eastAsia="Times New Roman"/>
        </w:rPr>
      </w:pPr>
      <w:r>
        <w:rPr>
          <w:rFonts w:eastAsia="Times New Roman"/>
          <w:color w:val="000000"/>
          <w:sz w:val="20"/>
          <w:szCs w:val="20"/>
          <w:u w:val="single"/>
        </w:rPr>
        <w:t>Credit Agreement Amendment</w:t>
      </w:r>
    </w:p>
    <w:p w:rsidR="00000000" w:rsidRDefault="002B18C2">
      <w:pPr>
        <w:jc w:val="both"/>
        <w:divId w:val="1875462467"/>
        <w:rPr>
          <w:rFonts w:eastAsia="Times New Roman"/>
        </w:rPr>
      </w:pPr>
      <w:r>
        <w:rPr>
          <w:rFonts w:eastAsia="Times New Roman"/>
          <w:color w:val="000000"/>
          <w:sz w:val="20"/>
          <w:szCs w:val="20"/>
        </w:rPr>
        <w:t>The Company also amended its credit agreement to, among other things, add customary LIBOR replacement provisions, modify the applicable margins used to calculate the rate of interest payable on the first lien term loans thereund</w:t>
      </w:r>
      <w:r>
        <w:rPr>
          <w:rFonts w:eastAsia="Times New Roman"/>
          <w:color w:val="000000"/>
          <w:sz w:val="20"/>
          <w:szCs w:val="20"/>
        </w:rPr>
        <w:t>er, modify certain financial covenants related to maximum leverage and minimum interest coverage and remove the LIBOR floor, such that LIBOR shall be deemed to be no less than 0.00% per annum (instead of 1.00% per annum previously in effect).</w:t>
      </w:r>
    </w:p>
    <w:p w:rsidR="00000000" w:rsidRDefault="002B18C2">
      <w:pPr>
        <w:jc w:val="both"/>
        <w:divId w:val="723022638"/>
        <w:rPr>
          <w:rFonts w:eastAsia="Times New Roman"/>
        </w:rPr>
      </w:pPr>
      <w:r>
        <w:rPr>
          <w:rFonts w:eastAsia="Times New Roman"/>
          <w:color w:val="000000"/>
          <w:sz w:val="20"/>
          <w:szCs w:val="20"/>
        </w:rPr>
        <w:t>Capitalized t</w:t>
      </w:r>
      <w:r>
        <w:rPr>
          <w:rFonts w:eastAsia="Times New Roman"/>
          <w:color w:val="000000"/>
          <w:sz w:val="20"/>
          <w:szCs w:val="20"/>
        </w:rPr>
        <w:t>erms used but not defined herein shall have the meanings assigned to such terms in our credit agreement. Pursuant to our credit agreement, the Company will not permit (i) the Consolidated Total Debt to Consolidated EBITDA Ratio to be negative or greater th</w:t>
      </w:r>
      <w:r>
        <w:rPr>
          <w:rFonts w:eastAsia="Times New Roman"/>
          <w:color w:val="000000"/>
          <w:sz w:val="20"/>
          <w:szCs w:val="20"/>
        </w:rPr>
        <w:t>an (x) 4.50 to 1.00 with respect to the last day of the Company’s second and third fiscal quarters of 2021 and (y) 4.25 to 1.00 from and after the last day of the Company’s fourth fiscal quarter of 2021, subject to certain step-ups after the consummation o</w:t>
      </w:r>
      <w:r>
        <w:rPr>
          <w:rFonts w:eastAsia="Times New Roman"/>
          <w:color w:val="000000"/>
          <w:sz w:val="20"/>
          <w:szCs w:val="20"/>
        </w:rPr>
        <w:t>f a Material Acquisition, or (ii) the Consolidated Interest Coverage Ratio of the Company as of the last day of any fiscal quarter of the Company to be less than 3.00 to 1.00. We were in compliance with all covenants related to our long-term debt as of Oct</w:t>
      </w:r>
      <w:r>
        <w:rPr>
          <w:rFonts w:eastAsia="Times New Roman"/>
          <w:color w:val="000000"/>
          <w:sz w:val="20"/>
          <w:szCs w:val="20"/>
        </w:rPr>
        <w:t>ober 2, 2021. Refer to Notes 4</w:t>
      </w:r>
      <w:r>
        <w:rPr>
          <w:rFonts w:eastAsia="Times New Roman"/>
          <w:i/>
          <w:iCs/>
          <w:color w:val="000000"/>
          <w:sz w:val="20"/>
          <w:szCs w:val="20"/>
        </w:rPr>
        <w:t xml:space="preserve">. </w:t>
      </w:r>
      <w:r>
        <w:rPr>
          <w:rFonts w:eastAsia="Times New Roman"/>
          <w:color w:val="000000"/>
          <w:sz w:val="20"/>
          <w:szCs w:val="20"/>
        </w:rPr>
        <w:t>“Long-term Debt” and 14. “Subsequent Events” for more information on our credit agreement and debt balance.</w:t>
      </w:r>
    </w:p>
    <w:p w:rsidR="00000000" w:rsidRDefault="002B18C2">
      <w:pPr>
        <w:divId w:val="1493176333"/>
        <w:rPr>
          <w:rFonts w:eastAsia="Times New Roman"/>
        </w:rPr>
      </w:pPr>
      <w:r>
        <w:rPr>
          <w:rFonts w:eastAsia="Times New Roman"/>
          <w:color w:val="000000"/>
          <w:sz w:val="20"/>
          <w:szCs w:val="20"/>
          <w:u w:val="single"/>
        </w:rPr>
        <w:t>Share Repurchase Authority</w:t>
      </w:r>
    </w:p>
    <w:p w:rsidR="00000000" w:rsidRDefault="002B18C2">
      <w:pPr>
        <w:jc w:val="both"/>
        <w:divId w:val="1091465183"/>
        <w:rPr>
          <w:rFonts w:eastAsia="Times New Roman"/>
        </w:rPr>
      </w:pPr>
      <w:r>
        <w:rPr>
          <w:rFonts w:eastAsia="Times New Roman"/>
          <w:color w:val="000000"/>
          <w:sz w:val="20"/>
          <w:szCs w:val="20"/>
        </w:rPr>
        <w:t>Effective November 8, 2021, the Company's board of directors authorized the Company to re</w:t>
      </w:r>
      <w:r>
        <w:rPr>
          <w:rFonts w:eastAsia="Times New Roman"/>
          <w:color w:val="000000"/>
          <w:sz w:val="20"/>
          <w:szCs w:val="20"/>
        </w:rPr>
        <w:t>purchase up to $50 million aggregate amount of shares of the Company’s common stock. Repurchases may be made from time to time in the Company’s discretion through one or more open market or privately negotiated transactions, and pursuant to pre-set trading</w:t>
      </w:r>
      <w:r>
        <w:rPr>
          <w:rFonts w:eastAsia="Times New Roman"/>
          <w:color w:val="000000"/>
          <w:sz w:val="20"/>
          <w:szCs w:val="20"/>
        </w:rPr>
        <w:t xml:space="preserve"> plans meeting the requirements of all applicable securities laws and regulations. Shares may be repurchased under the program through December 30, 2023. The timing and amounts of any such repurchases will depend on a variety of factors, including the mark</w:t>
      </w:r>
      <w:r>
        <w:rPr>
          <w:rFonts w:eastAsia="Times New Roman"/>
          <w:color w:val="000000"/>
          <w:sz w:val="20"/>
          <w:szCs w:val="20"/>
        </w:rPr>
        <w:t>et price of the Company’s shares and general market and economic conditions.</w:t>
      </w:r>
    </w:p>
    <w:p w:rsidR="00000000" w:rsidRDefault="002B18C2">
      <w:pPr>
        <w:jc w:val="center"/>
        <w:divId w:val="1894850198"/>
        <w:rPr>
          <w:rFonts w:eastAsia="Times New Roman"/>
        </w:rPr>
      </w:pPr>
      <w:r>
        <w:rPr>
          <w:rFonts w:eastAsia="Times New Roman"/>
          <w:color w:val="000000"/>
          <w:sz w:val="20"/>
          <w:szCs w:val="20"/>
        </w:rPr>
        <w:t>42</w:t>
      </w:r>
    </w:p>
    <w:p w:rsidR="00000000" w:rsidRDefault="002B18C2">
      <w:pPr>
        <w:rPr>
          <w:rFonts w:eastAsia="Times New Roman"/>
        </w:rPr>
      </w:pPr>
      <w:r>
        <w:rPr>
          <w:rFonts w:eastAsia="Times New Roman"/>
        </w:rPr>
        <w:pict>
          <v:rect id="_x0000_i1066" style="width:0;height:1.5pt" o:hralign="center" o:hrstd="t" o:hr="t" fillcolor="#a0a0a0" stroked="f"/>
        </w:pict>
      </w:r>
    </w:p>
    <w:p w:rsidR="00000000" w:rsidRDefault="002B18C2">
      <w:pPr>
        <w:divId w:val="1098645605"/>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both"/>
        <w:divId w:val="374046386"/>
        <w:rPr>
          <w:rFonts w:eastAsia="Times New Roman"/>
        </w:rPr>
      </w:pPr>
      <w:r>
        <w:rPr>
          <w:rFonts w:eastAsia="Times New Roman"/>
          <w:b/>
          <w:bCs/>
          <w:color w:val="000000"/>
          <w:sz w:val="20"/>
          <w:szCs w:val="20"/>
        </w:rPr>
        <w:t>Off-balance Sheet Arrangements</w:t>
      </w:r>
    </w:p>
    <w:p w:rsidR="00000000" w:rsidRDefault="002B18C2">
      <w:pPr>
        <w:jc w:val="both"/>
        <w:divId w:val="857894062"/>
        <w:rPr>
          <w:rFonts w:eastAsia="Times New Roman"/>
        </w:rPr>
      </w:pPr>
      <w:r>
        <w:rPr>
          <w:rFonts w:eastAsia="Times New Roman"/>
          <w:color w:val="000000"/>
          <w:sz w:val="20"/>
          <w:szCs w:val="20"/>
        </w:rPr>
        <w:t>We follow U.S. GAAP in making the</w:t>
      </w:r>
      <w:r>
        <w:rPr>
          <w:rFonts w:eastAsia="Times New Roman"/>
          <w:color w:val="000000"/>
          <w:sz w:val="20"/>
          <w:szCs w:val="20"/>
        </w:rPr>
        <w:t xml:space="preserve"> determination as to whether or not to record an asset or liability related to our arrangements with third parties. Consistent with current accounting guidance, we do not record an asset or liability associated with long-term purchase, marketing and promot</w:t>
      </w:r>
      <w:r>
        <w:rPr>
          <w:rFonts w:eastAsia="Times New Roman"/>
          <w:color w:val="000000"/>
          <w:sz w:val="20"/>
          <w:szCs w:val="20"/>
        </w:rPr>
        <w:t>ional commitments, or commitments to philanthropic endeavors. We have disclosed the amount of future commitments associated with these items in the 2020 Annual Report on form 10-K. We are not a party to any other material off-balance sheet arrangements.</w:t>
      </w:r>
    </w:p>
    <w:p w:rsidR="00000000" w:rsidRDefault="002B18C2">
      <w:pPr>
        <w:jc w:val="both"/>
        <w:divId w:val="144973491"/>
        <w:rPr>
          <w:rFonts w:eastAsia="Times New Roman"/>
        </w:rPr>
      </w:pPr>
      <w:r>
        <w:rPr>
          <w:rFonts w:eastAsia="Times New Roman"/>
          <w:b/>
          <w:bCs/>
          <w:color w:val="000000"/>
          <w:sz w:val="20"/>
          <w:szCs w:val="20"/>
        </w:rPr>
        <w:t>Co</w:t>
      </w:r>
      <w:r>
        <w:rPr>
          <w:rFonts w:eastAsia="Times New Roman"/>
          <w:b/>
          <w:bCs/>
          <w:color w:val="000000"/>
          <w:sz w:val="20"/>
          <w:szCs w:val="20"/>
        </w:rPr>
        <w:t>ntractual Obligations            </w:t>
      </w:r>
    </w:p>
    <w:p w:rsidR="00000000" w:rsidRDefault="002B18C2">
      <w:pPr>
        <w:jc w:val="both"/>
        <w:divId w:val="1448625809"/>
        <w:rPr>
          <w:rFonts w:eastAsia="Times New Roman"/>
        </w:rPr>
      </w:pPr>
      <w:r>
        <w:rPr>
          <w:rFonts w:eastAsia="Times New Roman"/>
          <w:color w:val="000000"/>
          <w:sz w:val="20"/>
          <w:szCs w:val="20"/>
        </w:rPr>
        <w:t>There were no material changes outside the ordinary course of business in our contractual obligations and commercial commitments from those reported in the 2020 Annual Report on Form 10-K.</w:t>
      </w:r>
    </w:p>
    <w:p w:rsidR="00000000" w:rsidRDefault="002B18C2">
      <w:pPr>
        <w:jc w:val="both"/>
        <w:divId w:val="1388183755"/>
        <w:rPr>
          <w:rFonts w:eastAsia="Times New Roman"/>
        </w:rPr>
      </w:pPr>
      <w:r>
        <w:rPr>
          <w:rFonts w:eastAsia="Times New Roman"/>
          <w:b/>
          <w:bCs/>
          <w:color w:val="000000"/>
          <w:sz w:val="20"/>
          <w:szCs w:val="20"/>
        </w:rPr>
        <w:t xml:space="preserve">Critical Accounting Policies and </w:t>
      </w:r>
      <w:r>
        <w:rPr>
          <w:rFonts w:eastAsia="Times New Roman"/>
          <w:b/>
          <w:bCs/>
          <w:color w:val="000000"/>
          <w:sz w:val="20"/>
          <w:szCs w:val="20"/>
        </w:rPr>
        <w:t xml:space="preserve">Estimates </w:t>
      </w:r>
    </w:p>
    <w:p w:rsidR="00000000" w:rsidRDefault="002B18C2">
      <w:pPr>
        <w:jc w:val="both"/>
        <w:divId w:val="2068331001"/>
        <w:rPr>
          <w:rFonts w:eastAsia="Times New Roman"/>
        </w:rPr>
      </w:pPr>
      <w:r>
        <w:rPr>
          <w:rFonts w:eastAsia="Times New Roman"/>
          <w:color w:val="000000"/>
          <w:sz w:val="20"/>
          <w:szCs w:val="20"/>
        </w:rPr>
        <w:t>Management has evaluated the accounting policies used in the preparation of the Company’s unaudited condensed consolidated financial statements and related notes and believes those policies to be reasonable and appropriate. Certain of these acco</w:t>
      </w:r>
      <w:r>
        <w:rPr>
          <w:rFonts w:eastAsia="Times New Roman"/>
          <w:color w:val="000000"/>
          <w:sz w:val="20"/>
          <w:szCs w:val="20"/>
        </w:rPr>
        <w:t>unting policies require the application of significant judgment by management in selecting appropriate assumptions for calculating financial estimates. By their nature, these judgments are subject to an inherent degree of uncertainty. These judgments are b</w:t>
      </w:r>
      <w:r>
        <w:rPr>
          <w:rFonts w:eastAsia="Times New Roman"/>
          <w:color w:val="000000"/>
          <w:sz w:val="20"/>
          <w:szCs w:val="20"/>
        </w:rPr>
        <w:t xml:space="preserve">ased on historical experience, trends in the industry, information provided by customers and information available from other outside sources, as appropriate. The most significant areas involving management judgments and estimates may be found in the 2020 </w:t>
      </w:r>
      <w:r>
        <w:rPr>
          <w:rFonts w:eastAsia="Times New Roman"/>
          <w:color w:val="000000"/>
          <w:sz w:val="20"/>
          <w:szCs w:val="20"/>
        </w:rPr>
        <w:t>Annual Report on Form 10-K, in the “Critical Accounting Policies and Estimates” section of “Management’s Discussion and Analysis of Financial Condition and Results of Operations.” There have been no material changes to our critical accounting policies as c</w:t>
      </w:r>
      <w:r>
        <w:rPr>
          <w:rFonts w:eastAsia="Times New Roman"/>
          <w:color w:val="000000"/>
          <w:sz w:val="20"/>
          <w:szCs w:val="20"/>
        </w:rPr>
        <w:t>ompared to the critical accounting policies described in the 2020 Annual Report on Form 10-K, except for the adoption of ASU 2020-06. These changes are discussed in Note 1</w:t>
      </w:r>
      <w:r>
        <w:rPr>
          <w:rFonts w:eastAsia="Times New Roman"/>
          <w:i/>
          <w:iCs/>
          <w:color w:val="000000"/>
          <w:sz w:val="20"/>
          <w:szCs w:val="20"/>
        </w:rPr>
        <w:t xml:space="preserve">. </w:t>
      </w:r>
      <w:r>
        <w:rPr>
          <w:rFonts w:eastAsia="Times New Roman"/>
          <w:color w:val="000000"/>
          <w:sz w:val="20"/>
          <w:szCs w:val="20"/>
        </w:rPr>
        <w:t>“Description of Business and Basis of Presentation” to our unaudited condensed cons</w:t>
      </w:r>
      <w:r>
        <w:rPr>
          <w:rFonts w:eastAsia="Times New Roman"/>
          <w:color w:val="000000"/>
          <w:sz w:val="20"/>
          <w:szCs w:val="20"/>
        </w:rPr>
        <w:t>olidated financial statements included in Part I. Item 1. of this Form 10-Q.</w:t>
      </w:r>
    </w:p>
    <w:p w:rsidR="00000000" w:rsidRDefault="002B18C2">
      <w:pPr>
        <w:jc w:val="both"/>
        <w:divId w:val="721053595"/>
        <w:rPr>
          <w:rFonts w:eastAsia="Times New Roman"/>
        </w:rPr>
      </w:pPr>
      <w:r>
        <w:rPr>
          <w:rFonts w:eastAsia="Times New Roman"/>
          <w:b/>
          <w:bCs/>
          <w:color w:val="000000"/>
          <w:sz w:val="20"/>
          <w:szCs w:val="20"/>
        </w:rPr>
        <w:t>Adoption of New Accounting Pronouncements</w:t>
      </w:r>
    </w:p>
    <w:p w:rsidR="00000000" w:rsidRDefault="002B18C2">
      <w:pPr>
        <w:jc w:val="both"/>
        <w:divId w:val="1438522689"/>
        <w:rPr>
          <w:rFonts w:eastAsia="Times New Roman"/>
        </w:rPr>
      </w:pPr>
      <w:r>
        <w:rPr>
          <w:rFonts w:eastAsia="Times New Roman"/>
          <w:color w:val="000000"/>
          <w:sz w:val="20"/>
          <w:szCs w:val="20"/>
        </w:rPr>
        <w:t xml:space="preserve">The information set forth in Note 1. “Description of Business and Basis of Presentation” </w:t>
      </w:r>
      <w:r>
        <w:rPr>
          <w:rFonts w:eastAsia="Times New Roman"/>
          <w:color w:val="000000"/>
          <w:sz w:val="20"/>
          <w:szCs w:val="20"/>
        </w:rPr>
        <w:t>to our unaudited condensed consolidated financial statements under Part I. Item 1. under the heading “</w:t>
      </w:r>
      <w:r>
        <w:rPr>
          <w:rFonts w:eastAsia="Times New Roman"/>
          <w:i/>
          <w:iCs/>
          <w:color w:val="000000"/>
          <w:sz w:val="20"/>
          <w:szCs w:val="20"/>
        </w:rPr>
        <w:t>Adoption of New Accounting Pronouncements</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of this Form 10-Q is incorporated herein by reference.</w:t>
      </w:r>
    </w:p>
    <w:p w:rsidR="00000000" w:rsidRDefault="002B18C2">
      <w:pPr>
        <w:divId w:val="1610696397"/>
        <w:rPr>
          <w:rFonts w:eastAsia="Times New Roman"/>
        </w:rPr>
      </w:pPr>
      <w:r>
        <w:rPr>
          <w:rFonts w:eastAsia="Times New Roman"/>
          <w:b/>
          <w:bCs/>
          <w:color w:val="000000"/>
          <w:sz w:val="20"/>
          <w:szCs w:val="20"/>
        </w:rPr>
        <w:t>Item 3. Quantitative and Qualitative Disclosures About M</w:t>
      </w:r>
      <w:r>
        <w:rPr>
          <w:rFonts w:eastAsia="Times New Roman"/>
          <w:b/>
          <w:bCs/>
          <w:color w:val="000000"/>
          <w:sz w:val="20"/>
          <w:szCs w:val="20"/>
        </w:rPr>
        <w:t>arket Risk</w:t>
      </w:r>
    </w:p>
    <w:p w:rsidR="00000000" w:rsidRDefault="002B18C2">
      <w:pPr>
        <w:jc w:val="both"/>
        <w:divId w:val="1407412593"/>
        <w:rPr>
          <w:rFonts w:eastAsia="Times New Roman"/>
        </w:rPr>
      </w:pPr>
      <w:r>
        <w:rPr>
          <w:rFonts w:eastAsia="Times New Roman"/>
          <w:color w:val="000000"/>
          <w:sz w:val="20"/>
          <w:szCs w:val="20"/>
        </w:rPr>
        <w:t>We have market risk exposure from changes in interest rates. When appropriate, we use derivative financial instruments to mitigate the risk from such exposure. A discussion of our accounting policies for derivative financial instruments is inclu</w:t>
      </w:r>
      <w:r>
        <w:rPr>
          <w:rFonts w:eastAsia="Times New Roman"/>
          <w:color w:val="000000"/>
          <w:sz w:val="20"/>
          <w:szCs w:val="20"/>
        </w:rPr>
        <w:t>ded in Note 3. “Fair Value Measurement” and Note 5. “Interest Rate Derivatives” to our unaudited condensed consolidated financial statements included in Part I. Item 1. of this Form 10-Q.</w:t>
      </w:r>
    </w:p>
    <w:p w:rsidR="00000000" w:rsidRDefault="002B18C2">
      <w:pPr>
        <w:jc w:val="both"/>
        <w:divId w:val="717825191"/>
        <w:rPr>
          <w:rFonts w:eastAsia="Times New Roman"/>
        </w:rPr>
      </w:pPr>
      <w:r>
        <w:rPr>
          <w:rFonts w:eastAsia="Times New Roman"/>
          <w:color w:val="000000"/>
          <w:sz w:val="20"/>
          <w:szCs w:val="20"/>
        </w:rPr>
        <w:t>A portion of our debt bears interest at variable rates. If market interest rates increase, the interest rate on our variable rate debt will increase and will create higher debt service requirements, which would adversely affect our cash flow and could adve</w:t>
      </w:r>
      <w:r>
        <w:rPr>
          <w:rFonts w:eastAsia="Times New Roman"/>
          <w:color w:val="000000"/>
          <w:sz w:val="20"/>
          <w:szCs w:val="20"/>
        </w:rPr>
        <w:t>rsely impact our results of operations. Our interest rate collar is intended to mitigate some of the effects of increases in interest rates.</w:t>
      </w:r>
    </w:p>
    <w:p w:rsidR="00000000" w:rsidRDefault="002B18C2">
      <w:pPr>
        <w:jc w:val="both"/>
        <w:divId w:val="587084782"/>
        <w:rPr>
          <w:rFonts w:eastAsia="Times New Roman"/>
        </w:rPr>
      </w:pPr>
      <w:r>
        <w:rPr>
          <w:rFonts w:eastAsia="Times New Roman"/>
          <w:color w:val="000000"/>
          <w:sz w:val="20"/>
          <w:szCs w:val="20"/>
        </w:rPr>
        <w:t>As of October 2, 2021, $200.0 million of term loan borrowings were subject to variable interest rates, with a weigh</w:t>
      </w:r>
      <w:r>
        <w:rPr>
          <w:rFonts w:eastAsia="Times New Roman"/>
          <w:color w:val="000000"/>
          <w:sz w:val="20"/>
          <w:szCs w:val="20"/>
        </w:rPr>
        <w:t>ted average borrowing rate of 2.5%. An increase to market rates of 1.0% as of October 2, 2021 would not result in a material increase to interest expense. Assuming a decrease to market rates of 1.0% as of October 2, 2021, the resulting increase to interest</w:t>
      </w:r>
      <w:r>
        <w:rPr>
          <w:rFonts w:eastAsia="Times New Roman"/>
          <w:color w:val="000000"/>
          <w:sz w:val="20"/>
          <w:szCs w:val="20"/>
        </w:rPr>
        <w:t xml:space="preserve"> expense related to the interest rate derivative would be approximately $9 million. For more information about quantitative and qualitative disclosures about market risk, please see Item 7A. “Quantitative and Qualitative Disclosures About Market Risk” in P</w:t>
      </w:r>
      <w:r>
        <w:rPr>
          <w:rFonts w:eastAsia="Times New Roman"/>
          <w:color w:val="000000"/>
          <w:sz w:val="20"/>
          <w:szCs w:val="20"/>
        </w:rPr>
        <w:t>art II. of the 2020 Annual Report on Form 10-K.</w:t>
      </w:r>
    </w:p>
    <w:p w:rsidR="00000000" w:rsidRDefault="002B18C2">
      <w:pPr>
        <w:jc w:val="both"/>
        <w:divId w:val="1404333529"/>
        <w:rPr>
          <w:rFonts w:eastAsia="Times New Roman"/>
        </w:rPr>
      </w:pPr>
    </w:p>
    <w:p w:rsidR="00000000" w:rsidRDefault="002B18C2">
      <w:pPr>
        <w:jc w:val="center"/>
        <w:divId w:val="1461151521"/>
        <w:rPr>
          <w:rFonts w:eastAsia="Times New Roman"/>
        </w:rPr>
      </w:pPr>
      <w:r>
        <w:rPr>
          <w:rFonts w:eastAsia="Times New Roman"/>
          <w:color w:val="000000"/>
          <w:sz w:val="20"/>
          <w:szCs w:val="20"/>
        </w:rPr>
        <w:t>43</w:t>
      </w:r>
    </w:p>
    <w:p w:rsidR="00000000" w:rsidRDefault="002B18C2">
      <w:pPr>
        <w:rPr>
          <w:rFonts w:eastAsia="Times New Roman"/>
        </w:rPr>
      </w:pPr>
      <w:r>
        <w:rPr>
          <w:rFonts w:eastAsia="Times New Roman"/>
        </w:rPr>
        <w:pict>
          <v:rect id="_x0000_i1067" style="width:0;height:1.5pt" o:hralign="center" o:hrstd="t" o:hr="t" fillcolor="#a0a0a0" stroked="f"/>
        </w:pict>
      </w:r>
    </w:p>
    <w:p w:rsidR="00000000" w:rsidRDefault="002B18C2">
      <w:pPr>
        <w:divId w:val="879829556"/>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center"/>
        <w:divId w:val="627977628"/>
        <w:rPr>
          <w:rFonts w:eastAsia="Times New Roman"/>
        </w:rPr>
      </w:pPr>
    </w:p>
    <w:p w:rsidR="00000000" w:rsidRDefault="002B18C2">
      <w:pPr>
        <w:divId w:val="410543966"/>
        <w:rPr>
          <w:rFonts w:eastAsia="Times New Roman"/>
        </w:rPr>
      </w:pPr>
      <w:r>
        <w:rPr>
          <w:rFonts w:eastAsia="Times New Roman"/>
          <w:b/>
          <w:bCs/>
          <w:color w:val="000000"/>
          <w:sz w:val="20"/>
          <w:szCs w:val="20"/>
        </w:rPr>
        <w:t>Item 4. Controls and Procedures</w:t>
      </w:r>
    </w:p>
    <w:p w:rsidR="00000000" w:rsidRDefault="002B18C2">
      <w:pPr>
        <w:divId w:val="355350513"/>
        <w:rPr>
          <w:rFonts w:eastAsia="Times New Roman"/>
        </w:rPr>
      </w:pPr>
      <w:r>
        <w:rPr>
          <w:rFonts w:eastAsia="Times New Roman"/>
          <w:b/>
          <w:bCs/>
          <w:color w:val="000000"/>
          <w:sz w:val="20"/>
          <w:szCs w:val="20"/>
        </w:rPr>
        <w:t>Evaluation of Disclosure Controls and Procedures</w:t>
      </w:r>
    </w:p>
    <w:p w:rsidR="00000000" w:rsidRDefault="002B18C2">
      <w:pPr>
        <w:jc w:val="both"/>
        <w:divId w:val="1064259905"/>
        <w:rPr>
          <w:rFonts w:eastAsia="Times New Roman"/>
        </w:rPr>
      </w:pPr>
      <w:r>
        <w:rPr>
          <w:rFonts w:eastAsia="Times New Roman"/>
          <w:color w:val="000000"/>
          <w:sz w:val="20"/>
          <w:szCs w:val="20"/>
        </w:rPr>
        <w:t>We main</w:t>
      </w:r>
      <w:r>
        <w:rPr>
          <w:rFonts w:eastAsia="Times New Roman"/>
          <w:color w:val="000000"/>
          <w:sz w:val="20"/>
          <w:szCs w:val="20"/>
        </w:rPr>
        <w:t xml:space="preserve">tain disclosure controls and procedures (as that term is defined in Rules 13a-15(e) and 15d-15(e) of the Securities Exchange Act of 1934, as amended (the “Exchange Act”)) that are designed to ensure that information required to be disclosed in our reports </w:t>
      </w:r>
      <w:r>
        <w:rPr>
          <w:rFonts w:eastAsia="Times New Roman"/>
          <w:color w:val="000000"/>
          <w:sz w:val="20"/>
          <w:szCs w:val="20"/>
        </w:rPr>
        <w:t>under the Exchange Act, is recorded, processed, summarized and reported within the time periods specified in the SEC’s rules and forms, and that such information is accumulated and communicated to our management, including our Chief Executive Officer (“CEO</w:t>
      </w:r>
      <w:r>
        <w:rPr>
          <w:rFonts w:eastAsia="Times New Roman"/>
          <w:color w:val="000000"/>
          <w:sz w:val="20"/>
          <w:szCs w:val="20"/>
        </w:rPr>
        <w:t>”) and our Chief Financial Officer (“CFO”), as appropriate, to allow timely decisions regarding required disclosures. Any controls and procedures, no matter how well designed and operated, can provide only reasonable assurance of achieving the desired cont</w:t>
      </w:r>
      <w:r>
        <w:rPr>
          <w:rFonts w:eastAsia="Times New Roman"/>
          <w:color w:val="000000"/>
          <w:sz w:val="20"/>
          <w:szCs w:val="20"/>
        </w:rPr>
        <w:t>rol objectives.</w:t>
      </w:r>
    </w:p>
    <w:p w:rsidR="00000000" w:rsidRDefault="002B18C2">
      <w:pPr>
        <w:jc w:val="both"/>
        <w:divId w:val="1328940162"/>
        <w:rPr>
          <w:rFonts w:eastAsia="Times New Roman"/>
        </w:rPr>
      </w:pPr>
      <w:r>
        <w:rPr>
          <w:rFonts w:eastAsia="Times New Roman"/>
          <w:color w:val="000000"/>
          <w:sz w:val="20"/>
          <w:szCs w:val="20"/>
        </w:rPr>
        <w:t>In accordance with Rule 13a-15(b) of the Exchange Act, the Company carried out an evaluation, under the supervision and with the participation of its management, including its CEO and CFO, of the effectiveness of the design and operation of</w:t>
      </w:r>
      <w:r>
        <w:rPr>
          <w:rFonts w:eastAsia="Times New Roman"/>
          <w:color w:val="000000"/>
          <w:sz w:val="20"/>
          <w:szCs w:val="20"/>
        </w:rPr>
        <w:t xml:space="preserve"> the Company's disclosure controls and procedures as of October 2, 2021. Based on that evaluation, the CEO and the CFO have concluded that the Company's current disclosure controls and procedures are effective in ensuring that material information relating</w:t>
      </w:r>
      <w:r>
        <w:rPr>
          <w:rFonts w:eastAsia="Times New Roman"/>
          <w:color w:val="000000"/>
          <w:sz w:val="20"/>
          <w:szCs w:val="20"/>
        </w:rPr>
        <w:t xml:space="preserve"> to the Company required to be disclosed in the Company's periodic filings with the SEC is made known to them in a timely manner.</w:t>
      </w:r>
    </w:p>
    <w:p w:rsidR="00000000" w:rsidRDefault="002B18C2">
      <w:pPr>
        <w:jc w:val="both"/>
        <w:divId w:val="2009555054"/>
        <w:rPr>
          <w:rFonts w:eastAsia="Times New Roman"/>
        </w:rPr>
      </w:pPr>
      <w:r>
        <w:rPr>
          <w:rFonts w:eastAsia="Times New Roman"/>
          <w:b/>
          <w:bCs/>
          <w:color w:val="000000"/>
          <w:sz w:val="20"/>
          <w:szCs w:val="20"/>
        </w:rPr>
        <w:t>Changes in Internal Control over Financial Reporting</w:t>
      </w:r>
    </w:p>
    <w:p w:rsidR="00000000" w:rsidRDefault="002B18C2">
      <w:pPr>
        <w:jc w:val="both"/>
        <w:divId w:val="1853957479"/>
        <w:rPr>
          <w:rFonts w:eastAsia="Times New Roman"/>
        </w:rPr>
      </w:pPr>
      <w:r>
        <w:rPr>
          <w:rFonts w:eastAsia="Times New Roman"/>
          <w:color w:val="000000"/>
          <w:sz w:val="20"/>
          <w:szCs w:val="20"/>
        </w:rPr>
        <w:t>There were no changes in our internal control over financial reporting (a</w:t>
      </w:r>
      <w:r>
        <w:rPr>
          <w:rFonts w:eastAsia="Times New Roman"/>
          <w:color w:val="000000"/>
          <w:sz w:val="20"/>
          <w:szCs w:val="20"/>
        </w:rPr>
        <w:t>s that term is defined in Rules 13a-15(f) and 15d-15(f) of the Exchange Act that occurred during the third quarter of fiscal year 2021 that have materially affected, or are reasonably likely to materially affect, our internal control over financial reporti</w:t>
      </w:r>
      <w:r>
        <w:rPr>
          <w:rFonts w:eastAsia="Times New Roman"/>
          <w:color w:val="000000"/>
          <w:sz w:val="20"/>
          <w:szCs w:val="20"/>
        </w:rPr>
        <w:t>ng. We have not experienced any material impact to our internal controls over financial reporting despite the fact that most corporate employees of the Company began working remotely due to the COVID-19 pandemic, though we will continue to assess the impac</w:t>
      </w:r>
      <w:r>
        <w:rPr>
          <w:rFonts w:eastAsia="Times New Roman"/>
          <w:color w:val="000000"/>
          <w:sz w:val="20"/>
          <w:szCs w:val="20"/>
        </w:rPr>
        <w:t>t on the design and operating effectiveness of our internal controls.</w:t>
      </w:r>
    </w:p>
    <w:p w:rsidR="00000000" w:rsidRDefault="002B18C2">
      <w:pPr>
        <w:jc w:val="both"/>
        <w:divId w:val="2054845915"/>
        <w:rPr>
          <w:rFonts w:eastAsia="Times New Roman"/>
        </w:rPr>
      </w:pPr>
    </w:p>
    <w:p w:rsidR="00000000" w:rsidRDefault="002B18C2">
      <w:pPr>
        <w:jc w:val="center"/>
        <w:divId w:val="86855358"/>
        <w:rPr>
          <w:rFonts w:eastAsia="Times New Roman"/>
        </w:rPr>
      </w:pPr>
      <w:r>
        <w:rPr>
          <w:rFonts w:eastAsia="Times New Roman"/>
          <w:color w:val="000000"/>
          <w:sz w:val="20"/>
          <w:szCs w:val="20"/>
        </w:rPr>
        <w:t>44</w:t>
      </w:r>
    </w:p>
    <w:p w:rsidR="00000000" w:rsidRDefault="002B18C2">
      <w:pPr>
        <w:rPr>
          <w:rFonts w:eastAsia="Times New Roman"/>
        </w:rPr>
      </w:pPr>
      <w:r>
        <w:rPr>
          <w:rFonts w:eastAsia="Times New Roman"/>
        </w:rPr>
        <w:pict>
          <v:rect id="_x0000_i1068" style="width:0;height:1.5pt" o:hralign="center" o:hrstd="t" o:hr="t" fillcolor="#a0a0a0" stroked="f"/>
        </w:pict>
      </w:r>
    </w:p>
    <w:p w:rsidR="00000000" w:rsidRDefault="002B18C2">
      <w:pPr>
        <w:divId w:val="1290862937"/>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center"/>
        <w:divId w:val="1077365958"/>
        <w:rPr>
          <w:rFonts w:eastAsia="Times New Roman"/>
        </w:rPr>
      </w:pPr>
    </w:p>
    <w:p w:rsidR="00000000" w:rsidRDefault="002B18C2">
      <w:pPr>
        <w:divId w:val="2032417144"/>
        <w:rPr>
          <w:rFonts w:eastAsia="Times New Roman"/>
        </w:rPr>
      </w:pPr>
      <w:r>
        <w:rPr>
          <w:rFonts w:eastAsia="Times New Roman"/>
          <w:b/>
          <w:bCs/>
          <w:color w:val="000000"/>
          <w:sz w:val="20"/>
          <w:szCs w:val="20"/>
        </w:rPr>
        <w:t>PART II - OTHER INFORMATION</w:t>
      </w:r>
    </w:p>
    <w:p w:rsidR="00000000" w:rsidRDefault="002B18C2">
      <w:pPr>
        <w:divId w:val="978847577"/>
        <w:rPr>
          <w:rFonts w:eastAsia="Times New Roman"/>
        </w:rPr>
      </w:pPr>
    </w:p>
    <w:p w:rsidR="00000000" w:rsidRDefault="002B18C2">
      <w:pPr>
        <w:divId w:val="1856190129"/>
        <w:rPr>
          <w:rFonts w:eastAsia="Times New Roman"/>
        </w:rPr>
      </w:pPr>
      <w:r>
        <w:rPr>
          <w:rFonts w:eastAsia="Times New Roman"/>
          <w:b/>
          <w:bCs/>
          <w:color w:val="000000"/>
          <w:sz w:val="20"/>
          <w:szCs w:val="20"/>
        </w:rPr>
        <w:t>Item 1. Legal Proceedings</w:t>
      </w:r>
    </w:p>
    <w:p w:rsidR="00000000" w:rsidRDefault="002B18C2">
      <w:pPr>
        <w:divId w:val="1128283022"/>
        <w:rPr>
          <w:rFonts w:eastAsia="Times New Roman"/>
        </w:rPr>
      </w:pPr>
      <w:r>
        <w:rPr>
          <w:rFonts w:eastAsia="Times New Roman"/>
          <w:color w:val="000000"/>
          <w:sz w:val="20"/>
          <w:szCs w:val="20"/>
        </w:rPr>
        <w:t>See Note 9</w:t>
      </w:r>
      <w:r>
        <w:rPr>
          <w:rFonts w:eastAsia="Times New Roman"/>
          <w:color w:val="000000"/>
          <w:sz w:val="20"/>
          <w:szCs w:val="20"/>
        </w:rPr>
        <w:t>. “Commitments and Contingencies” in our condensed consolidated financial statements included in Part I. Item 1. of this Form 10-Q for information regarding certain legal proceedings in which we are involved, which discussion is incorporated herein by refe</w:t>
      </w:r>
      <w:r>
        <w:rPr>
          <w:rFonts w:eastAsia="Times New Roman"/>
          <w:color w:val="000000"/>
          <w:sz w:val="20"/>
          <w:szCs w:val="20"/>
        </w:rPr>
        <w:t>rence.</w:t>
      </w:r>
    </w:p>
    <w:p w:rsidR="00000000" w:rsidRDefault="002B18C2">
      <w:pPr>
        <w:divId w:val="1246450378"/>
        <w:rPr>
          <w:rFonts w:eastAsia="Times New Roman"/>
        </w:rPr>
      </w:pPr>
      <w:r>
        <w:rPr>
          <w:rFonts w:eastAsia="Times New Roman"/>
          <w:b/>
          <w:bCs/>
          <w:color w:val="000000"/>
          <w:sz w:val="20"/>
          <w:szCs w:val="20"/>
        </w:rPr>
        <w:t>Item 1A. Risk Factors</w:t>
      </w:r>
    </w:p>
    <w:p w:rsidR="00000000" w:rsidRDefault="002B18C2">
      <w:pPr>
        <w:jc w:val="both"/>
        <w:divId w:val="796949007"/>
        <w:rPr>
          <w:rFonts w:eastAsia="Times New Roman"/>
        </w:rPr>
      </w:pPr>
      <w:r>
        <w:rPr>
          <w:rFonts w:eastAsia="Times New Roman"/>
          <w:color w:val="000000"/>
          <w:sz w:val="20"/>
          <w:szCs w:val="20"/>
        </w:rPr>
        <w:t>For information regarding factors that could affect the Company’s results of operations, financial condition and liquidity, see the risk factors discussed in Part I. Item 1A. “Risk Factors” in our 2020 Annual Report on Form 10-</w:t>
      </w:r>
      <w:r>
        <w:rPr>
          <w:rFonts w:eastAsia="Times New Roman"/>
          <w:color w:val="000000"/>
          <w:sz w:val="20"/>
          <w:szCs w:val="20"/>
        </w:rPr>
        <w:t>K. Except as described below, there have been no material changes to the risk factors described in our 2020 Annual Report on Form 10-K.</w:t>
      </w:r>
    </w:p>
    <w:p w:rsidR="00000000" w:rsidRDefault="002B18C2">
      <w:pPr>
        <w:jc w:val="both"/>
        <w:divId w:val="855508561"/>
        <w:rPr>
          <w:rFonts w:eastAsia="Times New Roman"/>
        </w:rPr>
      </w:pPr>
      <w:r>
        <w:rPr>
          <w:rFonts w:eastAsia="Times New Roman"/>
          <w:b/>
          <w:bCs/>
          <w:i/>
          <w:iCs/>
          <w:color w:val="000000"/>
          <w:sz w:val="20"/>
          <w:szCs w:val="20"/>
        </w:rPr>
        <w:t>The proposed new government regulations concerning mandatory COVID-19 vaccination or testing of employees could result i</w:t>
      </w:r>
      <w:r>
        <w:rPr>
          <w:rFonts w:eastAsia="Times New Roman"/>
          <w:b/>
          <w:bCs/>
          <w:i/>
          <w:iCs/>
          <w:color w:val="000000"/>
          <w:sz w:val="20"/>
          <w:szCs w:val="20"/>
        </w:rPr>
        <w:t>n workforce attrition or other labor difficulties, which could have a material adverse impact on our business and results of operations.</w:t>
      </w:r>
    </w:p>
    <w:p w:rsidR="00000000" w:rsidRDefault="002B18C2">
      <w:pPr>
        <w:jc w:val="both"/>
        <w:divId w:val="1211579625"/>
        <w:rPr>
          <w:rFonts w:eastAsia="Times New Roman"/>
        </w:rPr>
      </w:pPr>
      <w:r>
        <w:rPr>
          <w:rFonts w:eastAsia="Times New Roman"/>
          <w:color w:val="000000"/>
          <w:sz w:val="20"/>
          <w:szCs w:val="20"/>
        </w:rPr>
        <w:t xml:space="preserve">As described above in “Management’s Discussion and Analysis,” </w:t>
      </w:r>
      <w:r>
        <w:rPr>
          <w:rFonts w:eastAsia="Times New Roman"/>
          <w:color w:val="000000"/>
          <w:sz w:val="20"/>
          <w:szCs w:val="20"/>
        </w:rPr>
        <w:t>on September 9, 2021, President Biden announced the Path Out of the Pandemic: COVID-19 Action Plan. As part of the COVID-19 Action Plan, President Biden directed OSHA to develop an ETS mandating either the full vaccination or weekly testing of employees fo</w:t>
      </w:r>
      <w:r>
        <w:rPr>
          <w:rFonts w:eastAsia="Times New Roman"/>
          <w:color w:val="000000"/>
          <w:sz w:val="20"/>
          <w:szCs w:val="20"/>
        </w:rPr>
        <w:t>r employers with 100 or more employees. On November 4, 2021, the OSHA ETS was released. Following the issuance of the ETS, litigation was filed challenging the ETS, and on November 6, 2021, the U.S. Court of Appeals for the Fifth Circuit issued an order te</w:t>
      </w:r>
      <w:r>
        <w:rPr>
          <w:rFonts w:eastAsia="Times New Roman"/>
          <w:color w:val="000000"/>
          <w:sz w:val="20"/>
          <w:szCs w:val="20"/>
        </w:rPr>
        <w:t>mporarily staying the effect of the ETS until a decision is reached. In addition, on September 9, 2021, President Biden issued an executive order on ensuring adequate COVID-19 safety protocols for U.S. federal contractors as part of his COVID-19 Action Pla</w:t>
      </w:r>
      <w:r>
        <w:rPr>
          <w:rFonts w:eastAsia="Times New Roman"/>
          <w:color w:val="000000"/>
          <w:sz w:val="20"/>
          <w:szCs w:val="20"/>
        </w:rPr>
        <w:t>n. On September 24, 2021, in furtherance of the executive order, the U.S. Safer Federal Workforce Task Force issued guidance requiring federal contractors and subcontractors to comply with certain COVID-19 safety protocols, including requiring certain empl</w:t>
      </w:r>
      <w:r>
        <w:rPr>
          <w:rFonts w:eastAsia="Times New Roman"/>
          <w:color w:val="000000"/>
          <w:sz w:val="20"/>
          <w:szCs w:val="20"/>
        </w:rPr>
        <w:t>oyees to be fully vaccinated against COVID-19 by January 4, 2022, except in limited circumstances.</w:t>
      </w:r>
    </w:p>
    <w:p w:rsidR="00000000" w:rsidRDefault="002B18C2">
      <w:pPr>
        <w:jc w:val="both"/>
        <w:divId w:val="1182934085"/>
        <w:rPr>
          <w:rFonts w:eastAsia="Times New Roman"/>
        </w:rPr>
      </w:pPr>
      <w:r>
        <w:rPr>
          <w:rFonts w:eastAsia="Times New Roman"/>
          <w:color w:val="000000"/>
          <w:sz w:val="20"/>
          <w:szCs w:val="20"/>
        </w:rPr>
        <w:t>We are evaluating the applicability, scope and potential impacts of the COVID-19 Action Plan, the OSHA ETS and the related executive orders on our business a</w:t>
      </w:r>
      <w:r>
        <w:rPr>
          <w:rFonts w:eastAsia="Times New Roman"/>
          <w:color w:val="000000"/>
          <w:sz w:val="20"/>
          <w:szCs w:val="20"/>
        </w:rPr>
        <w:t>nd workforce. It is also possible that additional vaccine mandates may be announced in jurisdictions in which our businesses operate. It is currently not possible to predict with certainty the impact these new regulations and orders will have on our workfo</w:t>
      </w:r>
      <w:r>
        <w:rPr>
          <w:rFonts w:eastAsia="Times New Roman"/>
          <w:color w:val="000000"/>
          <w:sz w:val="20"/>
          <w:szCs w:val="20"/>
        </w:rPr>
        <w:t>rce. Our implementation of applicable requirements may result in workforce attrition or difficulty securing future labor needs, which could have a material adverse effect on our business, financial condition, and results of operations.</w:t>
      </w:r>
    </w:p>
    <w:p w:rsidR="00000000" w:rsidRDefault="002B18C2">
      <w:pPr>
        <w:divId w:val="1959875508"/>
        <w:rPr>
          <w:rFonts w:eastAsia="Times New Roman"/>
        </w:rPr>
      </w:pPr>
      <w:r>
        <w:rPr>
          <w:rFonts w:eastAsia="Times New Roman"/>
          <w:b/>
          <w:bCs/>
          <w:color w:val="000000"/>
          <w:sz w:val="20"/>
          <w:szCs w:val="20"/>
        </w:rPr>
        <w:t>Item 2. Unregistered</w:t>
      </w:r>
      <w:r>
        <w:rPr>
          <w:rFonts w:eastAsia="Times New Roman"/>
          <w:b/>
          <w:bCs/>
          <w:color w:val="000000"/>
          <w:sz w:val="20"/>
          <w:szCs w:val="20"/>
        </w:rPr>
        <w:t xml:space="preserve"> Sales of Equity Securities and Use of Proceeds</w:t>
      </w:r>
    </w:p>
    <w:p w:rsidR="00000000" w:rsidRDefault="002B18C2">
      <w:pPr>
        <w:divId w:val="945119701"/>
        <w:rPr>
          <w:rFonts w:eastAsia="Times New Roman"/>
        </w:rPr>
      </w:pPr>
      <w:r>
        <w:rPr>
          <w:rFonts w:eastAsia="Times New Roman"/>
          <w:color w:val="000000"/>
          <w:sz w:val="20"/>
          <w:szCs w:val="20"/>
        </w:rPr>
        <w:t>None.</w:t>
      </w:r>
    </w:p>
    <w:p w:rsidR="00000000" w:rsidRDefault="002B18C2">
      <w:pPr>
        <w:divId w:val="1620330725"/>
        <w:rPr>
          <w:rFonts w:eastAsia="Times New Roman"/>
        </w:rPr>
      </w:pPr>
      <w:r>
        <w:rPr>
          <w:rFonts w:eastAsia="Times New Roman"/>
          <w:b/>
          <w:bCs/>
          <w:color w:val="000000"/>
          <w:sz w:val="20"/>
          <w:szCs w:val="20"/>
        </w:rPr>
        <w:t>Item 3. Defaults Upon Senior Securities</w:t>
      </w:r>
    </w:p>
    <w:p w:rsidR="00000000" w:rsidRDefault="002B18C2">
      <w:pPr>
        <w:divId w:val="367026732"/>
        <w:rPr>
          <w:rFonts w:eastAsia="Times New Roman"/>
        </w:rPr>
      </w:pPr>
      <w:r>
        <w:rPr>
          <w:rFonts w:eastAsia="Times New Roman"/>
          <w:color w:val="000000"/>
          <w:sz w:val="20"/>
          <w:szCs w:val="20"/>
        </w:rPr>
        <w:t>None.</w:t>
      </w:r>
    </w:p>
    <w:p w:rsidR="00000000" w:rsidRDefault="002B18C2">
      <w:pPr>
        <w:divId w:val="1429736171"/>
        <w:rPr>
          <w:rFonts w:eastAsia="Times New Roman"/>
        </w:rPr>
      </w:pPr>
      <w:r>
        <w:rPr>
          <w:rFonts w:eastAsia="Times New Roman"/>
          <w:b/>
          <w:bCs/>
          <w:color w:val="000000"/>
          <w:sz w:val="20"/>
          <w:szCs w:val="20"/>
        </w:rPr>
        <w:t>Item 4. Mine Safety Disclosures</w:t>
      </w:r>
    </w:p>
    <w:p w:rsidR="00000000" w:rsidRDefault="002B18C2">
      <w:pPr>
        <w:divId w:val="1624657251"/>
        <w:rPr>
          <w:rFonts w:eastAsia="Times New Roman"/>
        </w:rPr>
      </w:pPr>
      <w:r>
        <w:rPr>
          <w:rFonts w:eastAsia="Times New Roman"/>
          <w:color w:val="000000"/>
          <w:sz w:val="20"/>
          <w:szCs w:val="20"/>
        </w:rPr>
        <w:t>Not applicable.</w:t>
      </w:r>
    </w:p>
    <w:p w:rsidR="00000000" w:rsidRDefault="002B18C2">
      <w:pPr>
        <w:divId w:val="2002074717"/>
        <w:rPr>
          <w:rFonts w:eastAsia="Times New Roman"/>
        </w:rPr>
      </w:pPr>
      <w:r>
        <w:rPr>
          <w:rFonts w:eastAsia="Times New Roman"/>
          <w:b/>
          <w:bCs/>
          <w:color w:val="000000"/>
          <w:sz w:val="20"/>
          <w:szCs w:val="20"/>
        </w:rPr>
        <w:t>Item 5. Other Information</w:t>
      </w:r>
    </w:p>
    <w:p w:rsidR="00000000" w:rsidRDefault="002B18C2">
      <w:pPr>
        <w:jc w:val="both"/>
        <w:divId w:val="1508783613"/>
        <w:rPr>
          <w:rFonts w:eastAsia="Times New Roman"/>
        </w:rPr>
      </w:pPr>
      <w:r>
        <w:rPr>
          <w:rFonts w:eastAsia="Times New Roman"/>
          <w:color w:val="000000"/>
          <w:sz w:val="20"/>
          <w:szCs w:val="20"/>
        </w:rPr>
        <w:t>None.</w:t>
      </w:r>
    </w:p>
    <w:p w:rsidR="00000000" w:rsidRDefault="002B18C2">
      <w:pPr>
        <w:jc w:val="both"/>
        <w:divId w:val="1423643590"/>
        <w:rPr>
          <w:rFonts w:eastAsia="Times New Roman"/>
        </w:rPr>
      </w:pPr>
    </w:p>
    <w:p w:rsidR="00000000" w:rsidRDefault="002B18C2">
      <w:pPr>
        <w:jc w:val="center"/>
        <w:divId w:val="488710896"/>
        <w:rPr>
          <w:rFonts w:eastAsia="Times New Roman"/>
        </w:rPr>
      </w:pPr>
      <w:r>
        <w:rPr>
          <w:rFonts w:eastAsia="Times New Roman"/>
          <w:color w:val="000000"/>
          <w:sz w:val="20"/>
          <w:szCs w:val="20"/>
        </w:rPr>
        <w:t>45</w:t>
      </w:r>
    </w:p>
    <w:p w:rsidR="00000000" w:rsidRDefault="002B18C2">
      <w:pPr>
        <w:rPr>
          <w:rFonts w:eastAsia="Times New Roman"/>
        </w:rPr>
      </w:pPr>
      <w:r>
        <w:rPr>
          <w:rFonts w:eastAsia="Times New Roman"/>
        </w:rPr>
        <w:pict>
          <v:rect id="_x0000_i1069" style="width:0;height:1.5pt" o:hralign="center" o:hrstd="t" o:hr="t" fillcolor="#a0a0a0" stroked="f"/>
        </w:pict>
      </w:r>
    </w:p>
    <w:p w:rsidR="00000000" w:rsidRDefault="002B18C2">
      <w:pPr>
        <w:divId w:val="1645112575"/>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center"/>
        <w:divId w:val="139159134"/>
        <w:rPr>
          <w:rFonts w:eastAsia="Times New Roman"/>
        </w:rPr>
      </w:pPr>
    </w:p>
    <w:p w:rsidR="00000000" w:rsidRDefault="002B18C2">
      <w:pPr>
        <w:divId w:val="872614094"/>
        <w:rPr>
          <w:rFonts w:eastAsia="Times New Roman"/>
        </w:rPr>
      </w:pPr>
      <w:r>
        <w:rPr>
          <w:rFonts w:eastAsia="Times New Roman"/>
          <w:b/>
          <w:bCs/>
          <w:color w:val="000000"/>
          <w:sz w:val="20"/>
          <w:szCs w:val="20"/>
        </w:rPr>
        <w:t>Item 6. Exhibits</w:t>
      </w:r>
    </w:p>
    <w:p w:rsidR="00000000" w:rsidRDefault="002B18C2">
      <w:pPr>
        <w:jc w:val="center"/>
        <w:divId w:val="1478572017"/>
        <w:rPr>
          <w:rFonts w:eastAsia="Times New Roman"/>
        </w:rPr>
      </w:pPr>
      <w:r>
        <w:rPr>
          <w:rFonts w:eastAsia="Times New Roman"/>
          <w:b/>
          <w:bCs/>
          <w:color w:val="000000"/>
          <w:sz w:val="20"/>
          <w:szCs w:val="20"/>
          <w:u w:val="single"/>
        </w:rPr>
        <w:t>Exhibit Index</w:t>
      </w:r>
    </w:p>
    <w:tbl>
      <w:tblPr>
        <w:tblW w:w="5000" w:type="pct"/>
        <w:tblCellMar>
          <w:top w:w="15" w:type="dxa"/>
          <w:left w:w="15" w:type="dxa"/>
          <w:bottom w:w="15" w:type="dxa"/>
          <w:right w:w="15" w:type="dxa"/>
        </w:tblCellMar>
        <w:tblLook w:val="04A0" w:firstRow="1" w:lastRow="0" w:firstColumn="1" w:lastColumn="0" w:noHBand="0" w:noVBand="1"/>
      </w:tblPr>
      <w:tblGrid>
        <w:gridCol w:w="64"/>
        <w:gridCol w:w="907"/>
        <w:gridCol w:w="38"/>
        <w:gridCol w:w="36"/>
        <w:gridCol w:w="36"/>
        <w:gridCol w:w="36"/>
        <w:gridCol w:w="46"/>
        <w:gridCol w:w="7106"/>
        <w:gridCol w:w="37"/>
      </w:tblGrid>
      <w:tr w:rsidR="00000000">
        <w:trPr>
          <w:divId w:val="567883821"/>
        </w:trPr>
        <w:tc>
          <w:tcPr>
            <w:tcW w:w="50" w:type="pct"/>
            <w:vAlign w:val="center"/>
            <w:hideMark/>
          </w:tcPr>
          <w:p w:rsidR="00000000" w:rsidRDefault="002B18C2">
            <w:pPr>
              <w:jc w:val="center"/>
              <w:rPr>
                <w:rFonts w:eastAsia="Times New Roman"/>
              </w:rPr>
            </w:pPr>
          </w:p>
        </w:tc>
        <w:tc>
          <w:tcPr>
            <w:tcW w:w="562"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27"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429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567883821"/>
        </w:trPr>
        <w:tc>
          <w:tcPr>
            <w:tcW w:w="0" w:type="auto"/>
            <w:gridSpan w:val="3"/>
            <w:tcMar>
              <w:top w:w="30" w:type="dxa"/>
              <w:left w:w="20" w:type="dxa"/>
              <w:bottom w:w="30" w:type="dxa"/>
              <w:right w:w="20" w:type="dxa"/>
            </w:tcMar>
            <w:hideMark/>
          </w:tcPr>
          <w:p w:rsidR="00000000" w:rsidRDefault="002B18C2">
            <w:pPr>
              <w:spacing w:after="100"/>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hideMark/>
          </w:tcPr>
          <w:p w:rsidR="00000000" w:rsidRDefault="002B18C2">
            <w:pPr>
              <w:spacing w:after="100"/>
              <w:rPr>
                <w:rFonts w:eastAsia="Times New Roman"/>
              </w:rPr>
            </w:pPr>
            <w:r>
              <w:rPr>
                <w:rFonts w:eastAsia="Times New Roman"/>
                <w:b/>
                <w:bCs/>
                <w:color w:val="000000"/>
                <w:sz w:val="20"/>
                <w:szCs w:val="20"/>
              </w:rPr>
              <w:t>Exhibit Description</w:t>
            </w:r>
          </w:p>
        </w:tc>
      </w:tr>
      <w:tr w:rsidR="00000000">
        <w:trPr>
          <w:divId w:val="567883821"/>
        </w:trPr>
        <w:tc>
          <w:tcPr>
            <w:tcW w:w="0" w:type="auto"/>
            <w:gridSpan w:val="3"/>
            <w:tcBorders>
              <w:top w:val="single" w:sz="8" w:space="0" w:color="000000"/>
            </w:tcBorders>
            <w:tcMar>
              <w:top w:w="30" w:type="dxa"/>
              <w:left w:w="20" w:type="dxa"/>
              <w:bottom w:w="30" w:type="dxa"/>
              <w:right w:w="20" w:type="dxa"/>
            </w:tcMar>
            <w:hideMark/>
          </w:tcPr>
          <w:p w:rsidR="00000000" w:rsidRDefault="002B18C2">
            <w:pPr>
              <w:spacing w:after="100"/>
              <w:divId w:val="855457805"/>
              <w:rPr>
                <w:rFonts w:eastAsia="Times New Roman"/>
              </w:rPr>
            </w:pPr>
            <w:hyperlink r:id="rId4" w:history="1">
              <w:r>
                <w:rPr>
                  <w:rStyle w:val="a3"/>
                  <w:rFonts w:eastAsia="Times New Roman"/>
                  <w:sz w:val="20"/>
                  <w:szCs w:val="20"/>
                </w:rPr>
                <w:t>3.1</w:t>
              </w:r>
            </w:hyperlink>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2B18C2">
            <w:pPr>
              <w:spacing w:after="100"/>
              <w:jc w:val="both"/>
              <w:rPr>
                <w:rFonts w:eastAsia="Times New Roman"/>
              </w:rPr>
            </w:pPr>
            <w:r>
              <w:rPr>
                <w:rFonts w:eastAsia="Times New Roman"/>
                <w:color w:val="000000"/>
                <w:sz w:val="20"/>
                <w:szCs w:val="20"/>
              </w:rPr>
              <w:t>Third Amended and Restated Certificate of Incorporation of National Vision Holdings, Inc. -incorporated herein by reference to Exhibi</w:t>
            </w:r>
            <w:r>
              <w:rPr>
                <w:rFonts w:eastAsia="Times New Roman"/>
                <w:color w:val="000000"/>
                <w:sz w:val="20"/>
                <w:szCs w:val="20"/>
              </w:rPr>
              <w:t>t 3.1 to the Company’s Current Report on Form 8-K filed on June 10, 2021.</w:t>
            </w:r>
          </w:p>
        </w:tc>
      </w:tr>
      <w:tr w:rsidR="00000000">
        <w:trPr>
          <w:divId w:val="567883821"/>
        </w:trPr>
        <w:tc>
          <w:tcPr>
            <w:tcW w:w="0" w:type="auto"/>
            <w:gridSpan w:val="3"/>
            <w:tcMar>
              <w:top w:w="30" w:type="dxa"/>
              <w:left w:w="20" w:type="dxa"/>
              <w:bottom w:w="30" w:type="dxa"/>
              <w:right w:w="20" w:type="dxa"/>
            </w:tcMar>
            <w:hideMark/>
          </w:tcPr>
          <w:p w:rsidR="00000000" w:rsidRDefault="002B18C2">
            <w:pPr>
              <w:spacing w:after="100"/>
              <w:divId w:val="1111897352"/>
              <w:rPr>
                <w:rFonts w:eastAsia="Times New Roman"/>
              </w:rPr>
            </w:pPr>
            <w:hyperlink r:id="rId5"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hideMark/>
          </w:tcPr>
          <w:p w:rsidR="00000000" w:rsidRDefault="002B18C2">
            <w:pPr>
              <w:spacing w:after="100"/>
              <w:jc w:val="both"/>
              <w:rPr>
                <w:rFonts w:eastAsia="Times New Roman"/>
              </w:rPr>
            </w:pPr>
            <w:r>
              <w:rPr>
                <w:rFonts w:eastAsia="Times New Roman"/>
                <w:color w:val="000000"/>
                <w:sz w:val="20"/>
                <w:szCs w:val="20"/>
              </w:rPr>
              <w:t>Third Amended and Restated Bylaws of National Vision Holdings, Inc. -incorporated herein by reference to Exhibit 3.2 to the Company’s Current Report on Form 8-K filed on June 10, 2021.</w:t>
            </w:r>
          </w:p>
        </w:tc>
      </w:tr>
      <w:tr w:rsidR="00000000">
        <w:trPr>
          <w:divId w:val="567883821"/>
        </w:trPr>
        <w:tc>
          <w:tcPr>
            <w:tcW w:w="0" w:type="auto"/>
            <w:gridSpan w:val="3"/>
            <w:tcMar>
              <w:top w:w="30" w:type="dxa"/>
              <w:left w:w="20" w:type="dxa"/>
              <w:bottom w:w="30" w:type="dxa"/>
              <w:right w:w="20" w:type="dxa"/>
            </w:tcMar>
            <w:hideMark/>
          </w:tcPr>
          <w:p w:rsidR="00000000" w:rsidRDefault="002B18C2">
            <w:pPr>
              <w:spacing w:after="100"/>
              <w:divId w:val="259684687"/>
              <w:rPr>
                <w:rFonts w:eastAsia="Times New Roman"/>
              </w:rPr>
            </w:pPr>
            <w:hyperlink r:id="rId6"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hideMark/>
          </w:tcPr>
          <w:p w:rsidR="00000000" w:rsidRDefault="002B18C2">
            <w:pPr>
              <w:spacing w:after="100"/>
              <w:rPr>
                <w:rFonts w:eastAsia="Times New Roman"/>
              </w:rPr>
            </w:pPr>
            <w:r>
              <w:rPr>
                <w:rFonts w:eastAsia="Times New Roman"/>
                <w:color w:val="000000"/>
                <w:sz w:val="20"/>
                <w:szCs w:val="20"/>
              </w:rPr>
              <w:t>Separation Agreem</w:t>
            </w:r>
            <w:r>
              <w:rPr>
                <w:rFonts w:eastAsia="Times New Roman"/>
                <w:color w:val="000000"/>
                <w:sz w:val="20"/>
                <w:szCs w:val="20"/>
              </w:rPr>
              <w:t>ent and General Release, dated as of September 30, 2021, between National Vision, Inc. and Joan Blackwood (filed herewith).</w:t>
            </w:r>
          </w:p>
        </w:tc>
      </w:tr>
      <w:tr w:rsidR="00000000">
        <w:trPr>
          <w:divId w:val="567883821"/>
        </w:trPr>
        <w:tc>
          <w:tcPr>
            <w:tcW w:w="0" w:type="auto"/>
            <w:gridSpan w:val="3"/>
            <w:tcMar>
              <w:top w:w="30" w:type="dxa"/>
              <w:left w:w="20" w:type="dxa"/>
              <w:bottom w:w="30" w:type="dxa"/>
              <w:right w:w="20" w:type="dxa"/>
            </w:tcMar>
            <w:hideMark/>
          </w:tcPr>
          <w:p w:rsidR="00000000" w:rsidRDefault="002B18C2">
            <w:pPr>
              <w:spacing w:after="100"/>
              <w:divId w:val="128937023"/>
              <w:rPr>
                <w:rFonts w:eastAsia="Times New Roman"/>
              </w:rPr>
            </w:pPr>
            <w:hyperlink r:id="rId7"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hideMark/>
          </w:tcPr>
          <w:p w:rsidR="00000000" w:rsidRDefault="002B18C2">
            <w:pPr>
              <w:spacing w:after="100"/>
              <w:jc w:val="both"/>
              <w:rPr>
                <w:rFonts w:eastAsia="Times New Roman"/>
              </w:rPr>
            </w:pPr>
            <w:r>
              <w:rPr>
                <w:rFonts w:eastAsia="Times New Roman"/>
                <w:color w:val="000000"/>
                <w:sz w:val="20"/>
                <w:szCs w:val="20"/>
              </w:rPr>
              <w:t>Certification of Periodic Report by Chief Executive Officer under Section 302 of the Sarbanes-Oxley Act of 2002 (filed herewith).</w:t>
            </w:r>
          </w:p>
        </w:tc>
      </w:tr>
      <w:tr w:rsidR="00000000">
        <w:trPr>
          <w:divId w:val="567883821"/>
        </w:trPr>
        <w:tc>
          <w:tcPr>
            <w:tcW w:w="0" w:type="auto"/>
            <w:gridSpan w:val="3"/>
            <w:tcMar>
              <w:top w:w="30" w:type="dxa"/>
              <w:left w:w="20" w:type="dxa"/>
              <w:bottom w:w="30" w:type="dxa"/>
              <w:right w:w="20" w:type="dxa"/>
            </w:tcMar>
            <w:hideMark/>
          </w:tcPr>
          <w:p w:rsidR="00000000" w:rsidRDefault="002B18C2">
            <w:pPr>
              <w:spacing w:after="100"/>
              <w:divId w:val="1402561851"/>
              <w:rPr>
                <w:rFonts w:eastAsia="Times New Roman"/>
              </w:rPr>
            </w:pPr>
            <w:hyperlink r:id="rId8"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hideMark/>
          </w:tcPr>
          <w:p w:rsidR="00000000" w:rsidRDefault="002B18C2">
            <w:pPr>
              <w:spacing w:after="100"/>
              <w:jc w:val="both"/>
              <w:rPr>
                <w:rFonts w:eastAsia="Times New Roman"/>
              </w:rPr>
            </w:pPr>
            <w:r>
              <w:rPr>
                <w:rFonts w:eastAsia="Times New Roman"/>
                <w:color w:val="000000"/>
                <w:sz w:val="20"/>
                <w:szCs w:val="20"/>
              </w:rPr>
              <w:t>Certification of Periodic Report by Chief Financial Officer under</w:t>
            </w:r>
            <w:r>
              <w:rPr>
                <w:rFonts w:eastAsia="Times New Roman"/>
                <w:color w:val="000000"/>
                <w:sz w:val="20"/>
                <w:szCs w:val="20"/>
              </w:rPr>
              <w:t xml:space="preserve"> Section 302 of the Sarbanes-Oxley Act of 2002 (filed herewith).</w:t>
            </w:r>
          </w:p>
        </w:tc>
      </w:tr>
      <w:tr w:rsidR="00000000">
        <w:trPr>
          <w:divId w:val="567883821"/>
        </w:trPr>
        <w:tc>
          <w:tcPr>
            <w:tcW w:w="0" w:type="auto"/>
            <w:gridSpan w:val="3"/>
            <w:tcMar>
              <w:top w:w="30" w:type="dxa"/>
              <w:left w:w="20" w:type="dxa"/>
              <w:bottom w:w="30" w:type="dxa"/>
              <w:right w:w="20" w:type="dxa"/>
            </w:tcMar>
            <w:hideMark/>
          </w:tcPr>
          <w:p w:rsidR="00000000" w:rsidRDefault="002B18C2">
            <w:pPr>
              <w:spacing w:after="100"/>
              <w:divId w:val="1065690303"/>
              <w:rPr>
                <w:rFonts w:eastAsia="Times New Roman"/>
              </w:rPr>
            </w:pPr>
            <w:hyperlink r:id="rId9"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hideMark/>
          </w:tcPr>
          <w:p w:rsidR="00000000" w:rsidRDefault="002B18C2">
            <w:pPr>
              <w:spacing w:after="100"/>
              <w:jc w:val="both"/>
              <w:rPr>
                <w:rFonts w:eastAsia="Times New Roman"/>
              </w:rPr>
            </w:pPr>
            <w:r>
              <w:rPr>
                <w:rFonts w:eastAsia="Times New Roman"/>
                <w:color w:val="000000"/>
                <w:sz w:val="20"/>
                <w:szCs w:val="20"/>
              </w:rPr>
              <w:t>Certification of Chief Executive Officer Pursuant to 18 U.S.C. Section 1350 as Adopted Pursuant to Section 906 of the Sarbanes-Oxl</w:t>
            </w:r>
            <w:r>
              <w:rPr>
                <w:rFonts w:eastAsia="Times New Roman"/>
                <w:color w:val="000000"/>
                <w:sz w:val="20"/>
                <w:szCs w:val="20"/>
              </w:rPr>
              <w:t>ey Act of 2002 (furnished herewith).</w:t>
            </w:r>
          </w:p>
        </w:tc>
      </w:tr>
      <w:tr w:rsidR="00000000">
        <w:trPr>
          <w:divId w:val="567883821"/>
        </w:trPr>
        <w:tc>
          <w:tcPr>
            <w:tcW w:w="0" w:type="auto"/>
            <w:gridSpan w:val="3"/>
            <w:tcMar>
              <w:top w:w="30" w:type="dxa"/>
              <w:left w:w="20" w:type="dxa"/>
              <w:bottom w:w="30" w:type="dxa"/>
              <w:right w:w="20" w:type="dxa"/>
            </w:tcMar>
            <w:hideMark/>
          </w:tcPr>
          <w:p w:rsidR="00000000" w:rsidRDefault="002B18C2">
            <w:pPr>
              <w:spacing w:after="100"/>
              <w:divId w:val="1144082046"/>
              <w:rPr>
                <w:rFonts w:eastAsia="Times New Roman"/>
              </w:rPr>
            </w:pPr>
            <w:hyperlink r:id="rId10" w:history="1">
              <w:r>
                <w:rPr>
                  <w:rStyle w:val="a3"/>
                  <w:rFonts w:eastAsia="Times New Roman"/>
                  <w:sz w:val="20"/>
                  <w:szCs w:val="20"/>
                </w:rPr>
                <w:t>32.2</w:t>
              </w:r>
            </w:hyperlink>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hideMark/>
          </w:tcPr>
          <w:p w:rsidR="00000000" w:rsidRDefault="002B18C2">
            <w:pPr>
              <w:spacing w:after="100"/>
              <w:jc w:val="both"/>
              <w:rPr>
                <w:rFonts w:eastAsia="Times New Roman"/>
              </w:rPr>
            </w:pPr>
            <w:r>
              <w:rPr>
                <w:rFonts w:eastAsia="Times New Roman"/>
                <w:color w:val="000000"/>
                <w:sz w:val="20"/>
                <w:szCs w:val="20"/>
              </w:rPr>
              <w:t>Certification of Chief Financial Officer Pursuant to 18 U.S.C. Section 1350 as Adopted Pursuant to Section 906 of the Sarbanes-Oxley Act of 2002 (furnished herewith).</w:t>
            </w:r>
          </w:p>
        </w:tc>
      </w:tr>
      <w:tr w:rsidR="00000000">
        <w:trPr>
          <w:divId w:val="567883821"/>
        </w:trPr>
        <w:tc>
          <w:tcPr>
            <w:tcW w:w="0" w:type="auto"/>
            <w:gridSpan w:val="3"/>
            <w:tcMar>
              <w:top w:w="30" w:type="dxa"/>
              <w:left w:w="20" w:type="dxa"/>
              <w:bottom w:w="30" w:type="dxa"/>
              <w:right w:w="20" w:type="dxa"/>
            </w:tcMar>
            <w:hideMark/>
          </w:tcPr>
          <w:p w:rsidR="00000000" w:rsidRDefault="002B18C2">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hideMark/>
          </w:tcPr>
          <w:p w:rsidR="00000000" w:rsidRDefault="002B18C2">
            <w:pPr>
              <w:spacing w:after="100"/>
              <w:jc w:val="both"/>
              <w:rPr>
                <w:rFonts w:eastAsia="Times New Roman"/>
              </w:rPr>
            </w:pPr>
            <w:r>
              <w:rPr>
                <w:rFonts w:eastAsia="Times New Roman"/>
                <w:color w:val="000000"/>
                <w:sz w:val="20"/>
                <w:szCs w:val="20"/>
              </w:rPr>
              <w:t xml:space="preserve">Inline XBRL Instance Document - the instance document does not appear in </w:t>
            </w:r>
            <w:r>
              <w:rPr>
                <w:rFonts w:eastAsia="Times New Roman"/>
                <w:color w:val="000000"/>
                <w:sz w:val="20"/>
                <w:szCs w:val="20"/>
              </w:rPr>
              <w:t>the Interactive Data File because its XBRL tags are embedded within Inline XBRL document</w:t>
            </w:r>
          </w:p>
        </w:tc>
      </w:tr>
      <w:tr w:rsidR="00000000">
        <w:trPr>
          <w:divId w:val="567883821"/>
        </w:trPr>
        <w:tc>
          <w:tcPr>
            <w:tcW w:w="0" w:type="auto"/>
            <w:gridSpan w:val="3"/>
            <w:tcMar>
              <w:top w:w="30" w:type="dxa"/>
              <w:left w:w="20" w:type="dxa"/>
              <w:bottom w:w="30" w:type="dxa"/>
              <w:right w:w="20" w:type="dxa"/>
            </w:tcMar>
            <w:hideMark/>
          </w:tcPr>
          <w:p w:rsidR="00000000" w:rsidRDefault="002B18C2">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hideMark/>
          </w:tcPr>
          <w:p w:rsidR="00000000" w:rsidRDefault="002B18C2">
            <w:pPr>
              <w:spacing w:after="100"/>
              <w:rPr>
                <w:rFonts w:eastAsia="Times New Roman"/>
              </w:rPr>
            </w:pPr>
            <w:r>
              <w:rPr>
                <w:rFonts w:eastAsia="Times New Roman"/>
                <w:color w:val="000000"/>
                <w:sz w:val="20"/>
                <w:szCs w:val="20"/>
              </w:rPr>
              <w:t>Inline XBRL Taxonomy Extension Schema Document.</w:t>
            </w:r>
          </w:p>
        </w:tc>
      </w:tr>
      <w:tr w:rsidR="00000000">
        <w:trPr>
          <w:divId w:val="567883821"/>
        </w:trPr>
        <w:tc>
          <w:tcPr>
            <w:tcW w:w="0" w:type="auto"/>
            <w:gridSpan w:val="3"/>
            <w:tcMar>
              <w:top w:w="30" w:type="dxa"/>
              <w:left w:w="20" w:type="dxa"/>
              <w:bottom w:w="30" w:type="dxa"/>
              <w:right w:w="20" w:type="dxa"/>
            </w:tcMar>
            <w:hideMark/>
          </w:tcPr>
          <w:p w:rsidR="00000000" w:rsidRDefault="002B18C2">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hideMark/>
          </w:tcPr>
          <w:p w:rsidR="00000000" w:rsidRDefault="002B18C2">
            <w:pPr>
              <w:spacing w:after="100"/>
              <w:rPr>
                <w:rFonts w:eastAsia="Times New Roman"/>
              </w:rPr>
            </w:pPr>
            <w:r>
              <w:rPr>
                <w:rFonts w:eastAsia="Times New Roman"/>
                <w:color w:val="000000"/>
                <w:sz w:val="20"/>
                <w:szCs w:val="20"/>
              </w:rPr>
              <w:t>Inline XBRL Taxonomy Extension Calculation Linkbase Document.</w:t>
            </w:r>
          </w:p>
        </w:tc>
      </w:tr>
      <w:tr w:rsidR="00000000">
        <w:trPr>
          <w:divId w:val="567883821"/>
        </w:trPr>
        <w:tc>
          <w:tcPr>
            <w:tcW w:w="0" w:type="auto"/>
            <w:gridSpan w:val="3"/>
            <w:tcMar>
              <w:top w:w="30" w:type="dxa"/>
              <w:left w:w="20" w:type="dxa"/>
              <w:bottom w:w="30" w:type="dxa"/>
              <w:right w:w="20" w:type="dxa"/>
            </w:tcMar>
            <w:hideMark/>
          </w:tcPr>
          <w:p w:rsidR="00000000" w:rsidRDefault="002B18C2">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hideMark/>
          </w:tcPr>
          <w:p w:rsidR="00000000" w:rsidRDefault="002B18C2">
            <w:pPr>
              <w:spacing w:after="100"/>
              <w:rPr>
                <w:rFonts w:eastAsia="Times New Roman"/>
              </w:rPr>
            </w:pPr>
            <w:r>
              <w:rPr>
                <w:rFonts w:eastAsia="Times New Roman"/>
                <w:color w:val="000000"/>
                <w:sz w:val="20"/>
                <w:szCs w:val="20"/>
              </w:rPr>
              <w:t>Inline XBRL Taxonomy Extension Definition Linkbase Document.</w:t>
            </w:r>
          </w:p>
        </w:tc>
      </w:tr>
      <w:tr w:rsidR="00000000">
        <w:trPr>
          <w:divId w:val="567883821"/>
        </w:trPr>
        <w:tc>
          <w:tcPr>
            <w:tcW w:w="0" w:type="auto"/>
            <w:gridSpan w:val="3"/>
            <w:tcMar>
              <w:top w:w="30" w:type="dxa"/>
              <w:left w:w="20" w:type="dxa"/>
              <w:bottom w:w="30" w:type="dxa"/>
              <w:right w:w="20" w:type="dxa"/>
            </w:tcMar>
            <w:hideMark/>
          </w:tcPr>
          <w:p w:rsidR="00000000" w:rsidRDefault="002B18C2">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hideMark/>
          </w:tcPr>
          <w:p w:rsidR="00000000" w:rsidRDefault="002B18C2">
            <w:pPr>
              <w:spacing w:after="100"/>
              <w:rPr>
                <w:rFonts w:eastAsia="Times New Roman"/>
              </w:rPr>
            </w:pPr>
            <w:r>
              <w:rPr>
                <w:rFonts w:eastAsia="Times New Roman"/>
                <w:color w:val="000000"/>
                <w:sz w:val="20"/>
                <w:szCs w:val="20"/>
              </w:rPr>
              <w:t>Inline XBRL Taxonomy Extension Label Linkbase Document.</w:t>
            </w:r>
          </w:p>
        </w:tc>
      </w:tr>
      <w:tr w:rsidR="00000000">
        <w:trPr>
          <w:divId w:val="567883821"/>
        </w:trPr>
        <w:tc>
          <w:tcPr>
            <w:tcW w:w="0" w:type="auto"/>
            <w:gridSpan w:val="3"/>
            <w:tcMar>
              <w:top w:w="30" w:type="dxa"/>
              <w:left w:w="20" w:type="dxa"/>
              <w:bottom w:w="30" w:type="dxa"/>
              <w:right w:w="20" w:type="dxa"/>
            </w:tcMar>
            <w:hideMark/>
          </w:tcPr>
          <w:p w:rsidR="00000000" w:rsidRDefault="002B18C2">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hideMark/>
          </w:tcPr>
          <w:p w:rsidR="00000000" w:rsidRDefault="002B18C2">
            <w:pPr>
              <w:spacing w:after="100"/>
              <w:rPr>
                <w:rFonts w:eastAsia="Times New Roman"/>
              </w:rPr>
            </w:pPr>
            <w:r>
              <w:rPr>
                <w:rFonts w:eastAsia="Times New Roman"/>
                <w:color w:val="000000"/>
                <w:sz w:val="20"/>
                <w:szCs w:val="20"/>
              </w:rPr>
              <w:t>Inline XBRL Taxonomy Extension Presentation Linkbase Document.</w:t>
            </w:r>
          </w:p>
        </w:tc>
      </w:tr>
      <w:tr w:rsidR="00000000">
        <w:trPr>
          <w:divId w:val="567883821"/>
        </w:trPr>
        <w:tc>
          <w:tcPr>
            <w:tcW w:w="0" w:type="auto"/>
            <w:gridSpan w:val="3"/>
            <w:tcMar>
              <w:top w:w="30" w:type="dxa"/>
              <w:left w:w="20" w:type="dxa"/>
              <w:bottom w:w="30" w:type="dxa"/>
              <w:right w:w="20" w:type="dxa"/>
            </w:tcMar>
            <w:hideMark/>
          </w:tcPr>
          <w:p w:rsidR="00000000" w:rsidRDefault="002B18C2">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2B18C2">
            <w:pPr>
              <w:spacing w:after="100"/>
              <w:rPr>
                <w:rFonts w:eastAsia="Times New Roman"/>
              </w:rPr>
            </w:pPr>
          </w:p>
        </w:tc>
        <w:tc>
          <w:tcPr>
            <w:tcW w:w="0" w:type="auto"/>
            <w:gridSpan w:val="3"/>
            <w:tcMar>
              <w:top w:w="30" w:type="dxa"/>
              <w:left w:w="20" w:type="dxa"/>
              <w:bottom w:w="30" w:type="dxa"/>
              <w:right w:w="20" w:type="dxa"/>
            </w:tcMar>
            <w:hideMark/>
          </w:tcPr>
          <w:p w:rsidR="00000000" w:rsidRDefault="002B18C2">
            <w:pPr>
              <w:spacing w:after="100"/>
              <w:jc w:val="both"/>
              <w:rPr>
                <w:rFonts w:eastAsia="Times New Roman"/>
              </w:rPr>
            </w:pPr>
            <w:r>
              <w:rPr>
                <w:rFonts w:eastAsia="Times New Roman"/>
                <w:color w:val="000000"/>
                <w:sz w:val="20"/>
                <w:szCs w:val="20"/>
              </w:rPr>
              <w:t>The cover page of the Company’</w:t>
            </w:r>
            <w:r>
              <w:rPr>
                <w:rFonts w:eastAsia="Times New Roman"/>
                <w:color w:val="000000"/>
                <w:sz w:val="20"/>
                <w:szCs w:val="20"/>
              </w:rPr>
              <w:t>s Quarterly report on Form 10-Q for the quarter ended October 2, 2021, formatted in Inline XBRL (included within the Exhibit 101 attachments)</w:t>
            </w:r>
          </w:p>
        </w:tc>
      </w:tr>
    </w:tbl>
    <w:p w:rsidR="00000000" w:rsidRDefault="002B18C2">
      <w:pPr>
        <w:divId w:val="1004285098"/>
        <w:rPr>
          <w:rFonts w:eastAsia="Times New Roman"/>
        </w:rPr>
      </w:pPr>
    </w:p>
    <w:p w:rsidR="00000000" w:rsidRDefault="002B18C2">
      <w:pPr>
        <w:jc w:val="center"/>
        <w:divId w:val="25714460"/>
        <w:rPr>
          <w:rFonts w:eastAsia="Times New Roman"/>
        </w:rPr>
      </w:pPr>
      <w:r>
        <w:rPr>
          <w:rFonts w:eastAsia="Times New Roman"/>
          <w:color w:val="000000"/>
          <w:sz w:val="20"/>
          <w:szCs w:val="20"/>
        </w:rPr>
        <w:t>46</w:t>
      </w:r>
    </w:p>
    <w:p w:rsidR="00000000" w:rsidRDefault="002B18C2">
      <w:pPr>
        <w:rPr>
          <w:rFonts w:eastAsia="Times New Roman"/>
        </w:rPr>
      </w:pPr>
      <w:r>
        <w:rPr>
          <w:rFonts w:eastAsia="Times New Roman"/>
        </w:rPr>
        <w:pict>
          <v:rect id="_x0000_i1070" style="width:0;height:1.5pt" o:hralign="center" o:hrstd="t" o:hr="t" fillcolor="#a0a0a0" stroked="f"/>
        </w:pict>
      </w:r>
    </w:p>
    <w:p w:rsidR="00000000" w:rsidRDefault="002B18C2">
      <w:pPr>
        <w:divId w:val="1085301756"/>
        <w:rPr>
          <w:rFonts w:eastAsia="Times New Roman"/>
        </w:rPr>
      </w:pPr>
      <w:hyperlink w:anchor="id605fff70b0446c98320e942db604017_7" w:history="1">
        <w:r>
          <w:rPr>
            <w:rStyle w:val="a3"/>
            <w:rFonts w:eastAsia="Times New Roman"/>
            <w:sz w:val="20"/>
            <w:szCs w:val="20"/>
          </w:rPr>
          <w:t>Table of Contents</w:t>
        </w:r>
      </w:hyperlink>
    </w:p>
    <w:p w:rsidR="00000000" w:rsidRDefault="002B18C2">
      <w:pPr>
        <w:jc w:val="center"/>
        <w:divId w:val="1626691993"/>
        <w:rPr>
          <w:rFonts w:eastAsia="Times New Roman"/>
        </w:rPr>
      </w:pPr>
    </w:p>
    <w:p w:rsidR="00000000" w:rsidRDefault="002B18C2">
      <w:pPr>
        <w:jc w:val="center"/>
        <w:divId w:val="1822965213"/>
        <w:rPr>
          <w:rFonts w:eastAsia="Times New Roman"/>
        </w:rPr>
      </w:pPr>
      <w:r>
        <w:rPr>
          <w:rFonts w:eastAsia="Times New Roman"/>
          <w:b/>
          <w:bCs/>
          <w:color w:val="000000"/>
          <w:sz w:val="20"/>
          <w:szCs w:val="20"/>
        </w:rPr>
        <w:t>Signatures</w:t>
      </w:r>
    </w:p>
    <w:p w:rsidR="00000000" w:rsidRDefault="002B18C2">
      <w:pPr>
        <w:divId w:val="1436364472"/>
        <w:rPr>
          <w:rFonts w:eastAsia="Times New Roman"/>
        </w:rPr>
      </w:pPr>
      <w:r>
        <w:rPr>
          <w:rFonts w:eastAsia="Times New Roman"/>
          <w:color w:val="000000"/>
          <w:sz w:val="20"/>
          <w:szCs w:val="20"/>
        </w:rPr>
        <w:t>Pursuant to the requirements of the Securities Exchange Act of 1934, the registrant has duly caused this report to be signed on its</w:t>
      </w:r>
      <w:r>
        <w:rPr>
          <w:rFonts w:eastAsia="Times New Roman"/>
          <w:color w:val="000000"/>
          <w:sz w:val="20"/>
          <w:szCs w:val="20"/>
        </w:rPr>
        <w:t xml:space="preserve">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8"/>
        <w:gridCol w:w="3980"/>
        <w:gridCol w:w="36"/>
        <w:gridCol w:w="74"/>
        <w:gridCol w:w="262"/>
        <w:gridCol w:w="38"/>
        <w:gridCol w:w="69"/>
        <w:gridCol w:w="3742"/>
        <w:gridCol w:w="37"/>
      </w:tblGrid>
      <w:tr w:rsidR="00000000">
        <w:trPr>
          <w:divId w:val="1072921613"/>
        </w:trPr>
        <w:tc>
          <w:tcPr>
            <w:tcW w:w="50" w:type="pct"/>
            <w:vAlign w:val="center"/>
            <w:hideMark/>
          </w:tcPr>
          <w:p w:rsidR="00000000" w:rsidRDefault="002B18C2">
            <w:pPr>
              <w:rPr>
                <w:rFonts w:eastAsia="Times New Roman"/>
              </w:rPr>
            </w:pPr>
          </w:p>
        </w:tc>
        <w:tc>
          <w:tcPr>
            <w:tcW w:w="2404"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169"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c>
          <w:tcPr>
            <w:tcW w:w="50" w:type="pct"/>
            <w:vAlign w:val="center"/>
            <w:hideMark/>
          </w:tcPr>
          <w:p w:rsidR="00000000" w:rsidRDefault="002B18C2">
            <w:pPr>
              <w:spacing w:after="100"/>
              <w:rPr>
                <w:rFonts w:eastAsia="Times New Roman"/>
                <w:sz w:val="20"/>
                <w:szCs w:val="20"/>
              </w:rPr>
            </w:pPr>
          </w:p>
        </w:tc>
        <w:tc>
          <w:tcPr>
            <w:tcW w:w="2260" w:type="pct"/>
            <w:vAlign w:val="center"/>
            <w:hideMark/>
          </w:tcPr>
          <w:p w:rsidR="00000000" w:rsidRDefault="002B18C2">
            <w:pPr>
              <w:spacing w:after="100"/>
              <w:rPr>
                <w:rFonts w:eastAsia="Times New Roman"/>
                <w:sz w:val="20"/>
                <w:szCs w:val="20"/>
              </w:rPr>
            </w:pPr>
          </w:p>
        </w:tc>
        <w:tc>
          <w:tcPr>
            <w:tcW w:w="5" w:type="pct"/>
            <w:vAlign w:val="center"/>
            <w:hideMark/>
          </w:tcPr>
          <w:p w:rsidR="00000000" w:rsidRDefault="002B18C2">
            <w:pPr>
              <w:spacing w:after="100"/>
              <w:rPr>
                <w:rFonts w:eastAsia="Times New Roman"/>
                <w:sz w:val="20"/>
                <w:szCs w:val="20"/>
              </w:rPr>
            </w:pPr>
          </w:p>
        </w:tc>
      </w:tr>
      <w:tr w:rsidR="00000000">
        <w:trPr>
          <w:divId w:val="1072921613"/>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National Vision Holdings, Inc.</w:t>
            </w:r>
          </w:p>
        </w:tc>
      </w:tr>
      <w:tr w:rsidR="00000000">
        <w:trPr>
          <w:divId w:val="1072921613"/>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w:t>
            </w:r>
          </w:p>
        </w:tc>
      </w:tr>
      <w:tr w:rsidR="00000000">
        <w:trPr>
          <w:divId w:val="1072921613"/>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Dated: November 10, 2021</w:t>
            </w:r>
          </w:p>
        </w:tc>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 L. Reade Fahs</w:t>
            </w:r>
          </w:p>
        </w:tc>
      </w:tr>
      <w:tr w:rsidR="00000000">
        <w:trPr>
          <w:divId w:val="1072921613"/>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Chief Executive Officer and Director</w:t>
            </w:r>
          </w:p>
        </w:tc>
      </w:tr>
      <w:tr w:rsidR="00000000">
        <w:trPr>
          <w:divId w:val="1072921613"/>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(Principal Executive Officer)</w:t>
            </w:r>
          </w:p>
        </w:tc>
      </w:tr>
      <w:tr w:rsidR="00000000">
        <w:trPr>
          <w:divId w:val="1072921613"/>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w:t>
            </w:r>
          </w:p>
        </w:tc>
      </w:tr>
      <w:tr w:rsidR="00000000">
        <w:trPr>
          <w:divId w:val="1072921613"/>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Dated: November 10, 2021</w:t>
            </w:r>
          </w:p>
        </w:tc>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/s/ Patrick R. Moore</w:t>
            </w:r>
          </w:p>
        </w:tc>
      </w:tr>
      <w:tr w:rsidR="00000000">
        <w:trPr>
          <w:divId w:val="1072921613"/>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b/>
                <w:bCs/>
                <w:color w:val="000000"/>
                <w:sz w:val="20"/>
                <w:szCs w:val="20"/>
              </w:rPr>
              <w:t>Senior Vice President, Chief Financial Officer</w:t>
            </w:r>
          </w:p>
        </w:tc>
      </w:tr>
      <w:tr w:rsidR="00000000">
        <w:trPr>
          <w:divId w:val="1072921613"/>
        </w:trPr>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2B18C2">
            <w:pPr>
              <w:spacing w:after="100"/>
              <w:rPr>
                <w:rFonts w:eastAsia="Times New Roman"/>
              </w:rPr>
            </w:pPr>
            <w:r>
              <w:rPr>
                <w:rFonts w:eastAsia="Times New Roman"/>
                <w:i/>
                <w:iCs/>
                <w:color w:val="000000"/>
                <w:sz w:val="20"/>
                <w:szCs w:val="20"/>
              </w:rPr>
              <w:t xml:space="preserve">(Principal Financial Officer) </w:t>
            </w:r>
          </w:p>
        </w:tc>
      </w:tr>
    </w:tbl>
    <w:p w:rsidR="00000000" w:rsidRDefault="002B18C2">
      <w:pPr>
        <w:divId w:val="709957190"/>
        <w:rPr>
          <w:rFonts w:eastAsia="Times New Roman"/>
        </w:rPr>
      </w:pPr>
    </w:p>
    <w:p w:rsidR="002B18C2" w:rsidRDefault="002B18C2">
      <w:pPr>
        <w:jc w:val="center"/>
        <w:divId w:val="323747993"/>
        <w:rPr>
          <w:rFonts w:eastAsia="Times New Roman"/>
        </w:rPr>
      </w:pPr>
      <w:r>
        <w:rPr>
          <w:rFonts w:eastAsia="Times New Roman"/>
          <w:color w:val="000000"/>
          <w:sz w:val="20"/>
          <w:szCs w:val="20"/>
        </w:rPr>
        <w:t>47</w:t>
      </w:r>
    </w:p>
    <w:sectPr w:rsidR="002B18C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B18C2"/>
    <w:rsid w:val="002B18C2"/>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www.nationalvision.com/20211002"/>
  <w:attachedSchema w:val="http://www.sec.gov/inlineXBRL/transformation/2015-08-31"/>
  <w:attachedSchema w:val="http://xbrl.org/2006/xbrldi"/>
  <w:attachedSchema w:val="http://www.xbrl.org/2003/linkbase"/>
  <w:attachedSchema w:val="http://fasb.org/srt/2021-01-31"/>
  <w:attachedSchema w:val="http://www.xbrl.org/2003/instance"/>
  <w:attachedSchema w:val="http://www.w3.org/1999/xlink"/>
  <w:attachedSchema w:val="http://www.xbrl.org/2003/iso4217"/>
  <w:attachedSchema w:val="http://www.xbrl.org/inlineXBRL/transformation/2020-02-12"/>
  <w:attachedSchema w:val="http://xbrl.sec.gov/dei/2021"/>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807">
      <w:marLeft w:val="0"/>
      <w:marRight w:val="0"/>
      <w:marTop w:val="0"/>
      <w:marBottom w:val="120"/>
      <w:divBdr>
        <w:top w:val="none" w:sz="0" w:space="0" w:color="auto"/>
        <w:left w:val="none" w:sz="0" w:space="0" w:color="auto"/>
        <w:bottom w:val="none" w:sz="0" w:space="0" w:color="auto"/>
        <w:right w:val="none" w:sz="0" w:space="0" w:color="auto"/>
      </w:divBdr>
    </w:div>
    <w:div w:id="10225440">
      <w:marLeft w:val="0"/>
      <w:marRight w:val="0"/>
      <w:marTop w:val="0"/>
      <w:marBottom w:val="120"/>
      <w:divBdr>
        <w:top w:val="none" w:sz="0" w:space="0" w:color="auto"/>
        <w:left w:val="none" w:sz="0" w:space="0" w:color="auto"/>
        <w:bottom w:val="none" w:sz="0" w:space="0" w:color="auto"/>
        <w:right w:val="none" w:sz="0" w:space="0" w:color="auto"/>
      </w:divBdr>
    </w:div>
    <w:div w:id="20975588">
      <w:marLeft w:val="0"/>
      <w:marRight w:val="0"/>
      <w:marTop w:val="0"/>
      <w:marBottom w:val="120"/>
      <w:divBdr>
        <w:top w:val="none" w:sz="0" w:space="0" w:color="auto"/>
        <w:left w:val="none" w:sz="0" w:space="0" w:color="auto"/>
        <w:bottom w:val="none" w:sz="0" w:space="0" w:color="auto"/>
        <w:right w:val="none" w:sz="0" w:space="0" w:color="auto"/>
      </w:divBdr>
    </w:div>
    <w:div w:id="34234243">
      <w:marLeft w:val="0"/>
      <w:marRight w:val="0"/>
      <w:marTop w:val="0"/>
      <w:marBottom w:val="120"/>
      <w:divBdr>
        <w:top w:val="none" w:sz="0" w:space="0" w:color="auto"/>
        <w:left w:val="none" w:sz="0" w:space="0" w:color="auto"/>
        <w:bottom w:val="none" w:sz="0" w:space="0" w:color="auto"/>
        <w:right w:val="none" w:sz="0" w:space="0" w:color="auto"/>
      </w:divBdr>
    </w:div>
    <w:div w:id="34620281">
      <w:marLeft w:val="0"/>
      <w:marRight w:val="0"/>
      <w:marTop w:val="0"/>
      <w:marBottom w:val="120"/>
      <w:divBdr>
        <w:top w:val="none" w:sz="0" w:space="0" w:color="auto"/>
        <w:left w:val="none" w:sz="0" w:space="0" w:color="auto"/>
        <w:bottom w:val="none" w:sz="0" w:space="0" w:color="auto"/>
        <w:right w:val="none" w:sz="0" w:space="0" w:color="auto"/>
      </w:divBdr>
    </w:div>
    <w:div w:id="43331095">
      <w:marLeft w:val="0"/>
      <w:marRight w:val="0"/>
      <w:marTop w:val="0"/>
      <w:marBottom w:val="0"/>
      <w:divBdr>
        <w:top w:val="none" w:sz="0" w:space="0" w:color="auto"/>
        <w:left w:val="none" w:sz="0" w:space="0" w:color="auto"/>
        <w:bottom w:val="none" w:sz="0" w:space="0" w:color="auto"/>
        <w:right w:val="none" w:sz="0" w:space="0" w:color="auto"/>
      </w:divBdr>
      <w:divsChild>
        <w:div w:id="2092695782">
          <w:marLeft w:val="0"/>
          <w:marRight w:val="0"/>
          <w:marTop w:val="0"/>
          <w:marBottom w:val="0"/>
          <w:divBdr>
            <w:top w:val="none" w:sz="0" w:space="0" w:color="auto"/>
            <w:left w:val="none" w:sz="0" w:space="0" w:color="auto"/>
            <w:bottom w:val="none" w:sz="0" w:space="0" w:color="auto"/>
            <w:right w:val="none" w:sz="0" w:space="0" w:color="auto"/>
          </w:divBdr>
        </w:div>
      </w:divsChild>
    </w:div>
    <w:div w:id="43414774">
      <w:marLeft w:val="0"/>
      <w:marRight w:val="0"/>
      <w:marTop w:val="0"/>
      <w:marBottom w:val="0"/>
      <w:divBdr>
        <w:top w:val="none" w:sz="0" w:space="0" w:color="auto"/>
        <w:left w:val="none" w:sz="0" w:space="0" w:color="auto"/>
        <w:bottom w:val="none" w:sz="0" w:space="0" w:color="auto"/>
        <w:right w:val="none" w:sz="0" w:space="0" w:color="auto"/>
      </w:divBdr>
      <w:divsChild>
        <w:div w:id="1135413999">
          <w:marLeft w:val="0"/>
          <w:marRight w:val="0"/>
          <w:marTop w:val="0"/>
          <w:marBottom w:val="0"/>
          <w:divBdr>
            <w:top w:val="none" w:sz="0" w:space="0" w:color="auto"/>
            <w:left w:val="none" w:sz="0" w:space="0" w:color="auto"/>
            <w:bottom w:val="none" w:sz="0" w:space="0" w:color="auto"/>
            <w:right w:val="none" w:sz="0" w:space="0" w:color="auto"/>
          </w:divBdr>
        </w:div>
      </w:divsChild>
    </w:div>
    <w:div w:id="48304342">
      <w:marLeft w:val="0"/>
      <w:marRight w:val="0"/>
      <w:marTop w:val="0"/>
      <w:marBottom w:val="120"/>
      <w:divBdr>
        <w:top w:val="none" w:sz="0" w:space="0" w:color="auto"/>
        <w:left w:val="none" w:sz="0" w:space="0" w:color="auto"/>
        <w:bottom w:val="none" w:sz="0" w:space="0" w:color="auto"/>
        <w:right w:val="none" w:sz="0" w:space="0" w:color="auto"/>
      </w:divBdr>
    </w:div>
    <w:div w:id="49966056">
      <w:marLeft w:val="0"/>
      <w:marRight w:val="0"/>
      <w:marTop w:val="0"/>
      <w:marBottom w:val="0"/>
      <w:divBdr>
        <w:top w:val="none" w:sz="0" w:space="0" w:color="auto"/>
        <w:left w:val="none" w:sz="0" w:space="0" w:color="auto"/>
        <w:bottom w:val="none" w:sz="0" w:space="0" w:color="auto"/>
        <w:right w:val="none" w:sz="0" w:space="0" w:color="auto"/>
      </w:divBdr>
      <w:divsChild>
        <w:div w:id="541751291">
          <w:marLeft w:val="0"/>
          <w:marRight w:val="0"/>
          <w:marTop w:val="0"/>
          <w:marBottom w:val="0"/>
          <w:divBdr>
            <w:top w:val="none" w:sz="0" w:space="0" w:color="auto"/>
            <w:left w:val="none" w:sz="0" w:space="0" w:color="auto"/>
            <w:bottom w:val="none" w:sz="0" w:space="0" w:color="auto"/>
            <w:right w:val="none" w:sz="0" w:space="0" w:color="auto"/>
          </w:divBdr>
        </w:div>
      </w:divsChild>
    </w:div>
    <w:div w:id="52823628">
      <w:marLeft w:val="0"/>
      <w:marRight w:val="0"/>
      <w:marTop w:val="0"/>
      <w:marBottom w:val="120"/>
      <w:divBdr>
        <w:top w:val="none" w:sz="0" w:space="0" w:color="auto"/>
        <w:left w:val="none" w:sz="0" w:space="0" w:color="auto"/>
        <w:bottom w:val="none" w:sz="0" w:space="0" w:color="auto"/>
        <w:right w:val="none" w:sz="0" w:space="0" w:color="auto"/>
      </w:divBdr>
    </w:div>
    <w:div w:id="53740810">
      <w:marLeft w:val="0"/>
      <w:marRight w:val="0"/>
      <w:marTop w:val="0"/>
      <w:marBottom w:val="120"/>
      <w:divBdr>
        <w:top w:val="none" w:sz="0" w:space="0" w:color="auto"/>
        <w:left w:val="none" w:sz="0" w:space="0" w:color="auto"/>
        <w:bottom w:val="none" w:sz="0" w:space="0" w:color="auto"/>
        <w:right w:val="none" w:sz="0" w:space="0" w:color="auto"/>
      </w:divBdr>
    </w:div>
    <w:div w:id="55904897">
      <w:marLeft w:val="0"/>
      <w:marRight w:val="0"/>
      <w:marTop w:val="0"/>
      <w:marBottom w:val="0"/>
      <w:divBdr>
        <w:top w:val="none" w:sz="0" w:space="0" w:color="auto"/>
        <w:left w:val="none" w:sz="0" w:space="0" w:color="auto"/>
        <w:bottom w:val="none" w:sz="0" w:space="0" w:color="auto"/>
        <w:right w:val="none" w:sz="0" w:space="0" w:color="auto"/>
      </w:divBdr>
      <w:divsChild>
        <w:div w:id="811219962">
          <w:marLeft w:val="0"/>
          <w:marRight w:val="0"/>
          <w:marTop w:val="0"/>
          <w:marBottom w:val="0"/>
          <w:divBdr>
            <w:top w:val="none" w:sz="0" w:space="0" w:color="auto"/>
            <w:left w:val="none" w:sz="0" w:space="0" w:color="auto"/>
            <w:bottom w:val="none" w:sz="0" w:space="0" w:color="auto"/>
            <w:right w:val="none" w:sz="0" w:space="0" w:color="auto"/>
          </w:divBdr>
        </w:div>
      </w:divsChild>
    </w:div>
    <w:div w:id="56173271">
      <w:marLeft w:val="0"/>
      <w:marRight w:val="0"/>
      <w:marTop w:val="0"/>
      <w:marBottom w:val="0"/>
      <w:divBdr>
        <w:top w:val="none" w:sz="0" w:space="0" w:color="auto"/>
        <w:left w:val="none" w:sz="0" w:space="0" w:color="auto"/>
        <w:bottom w:val="none" w:sz="0" w:space="0" w:color="auto"/>
        <w:right w:val="none" w:sz="0" w:space="0" w:color="auto"/>
      </w:divBdr>
      <w:divsChild>
        <w:div w:id="1127698189">
          <w:marLeft w:val="0"/>
          <w:marRight w:val="0"/>
          <w:marTop w:val="0"/>
          <w:marBottom w:val="0"/>
          <w:divBdr>
            <w:top w:val="none" w:sz="0" w:space="0" w:color="auto"/>
            <w:left w:val="none" w:sz="0" w:space="0" w:color="auto"/>
            <w:bottom w:val="none" w:sz="0" w:space="0" w:color="auto"/>
            <w:right w:val="none" w:sz="0" w:space="0" w:color="auto"/>
          </w:divBdr>
        </w:div>
        <w:div w:id="1101030614">
          <w:marLeft w:val="0"/>
          <w:marRight w:val="0"/>
          <w:marTop w:val="0"/>
          <w:marBottom w:val="0"/>
          <w:divBdr>
            <w:top w:val="none" w:sz="0" w:space="0" w:color="auto"/>
            <w:left w:val="none" w:sz="0" w:space="0" w:color="auto"/>
            <w:bottom w:val="none" w:sz="0" w:space="0" w:color="auto"/>
            <w:right w:val="none" w:sz="0" w:space="0" w:color="auto"/>
          </w:divBdr>
        </w:div>
      </w:divsChild>
    </w:div>
    <w:div w:id="57947925">
      <w:marLeft w:val="0"/>
      <w:marRight w:val="0"/>
      <w:marTop w:val="0"/>
      <w:marBottom w:val="0"/>
      <w:divBdr>
        <w:top w:val="none" w:sz="0" w:space="0" w:color="auto"/>
        <w:left w:val="none" w:sz="0" w:space="0" w:color="auto"/>
        <w:bottom w:val="none" w:sz="0" w:space="0" w:color="auto"/>
        <w:right w:val="none" w:sz="0" w:space="0" w:color="auto"/>
      </w:divBdr>
      <w:divsChild>
        <w:div w:id="2030911162">
          <w:marLeft w:val="0"/>
          <w:marRight w:val="0"/>
          <w:marTop w:val="0"/>
          <w:marBottom w:val="0"/>
          <w:divBdr>
            <w:top w:val="none" w:sz="0" w:space="0" w:color="auto"/>
            <w:left w:val="none" w:sz="0" w:space="0" w:color="auto"/>
            <w:bottom w:val="none" w:sz="0" w:space="0" w:color="auto"/>
            <w:right w:val="none" w:sz="0" w:space="0" w:color="auto"/>
          </w:divBdr>
        </w:div>
      </w:divsChild>
    </w:div>
    <w:div w:id="59208575">
      <w:marLeft w:val="0"/>
      <w:marRight w:val="0"/>
      <w:marTop w:val="0"/>
      <w:marBottom w:val="0"/>
      <w:divBdr>
        <w:top w:val="none" w:sz="0" w:space="0" w:color="auto"/>
        <w:left w:val="none" w:sz="0" w:space="0" w:color="auto"/>
        <w:bottom w:val="none" w:sz="0" w:space="0" w:color="auto"/>
        <w:right w:val="none" w:sz="0" w:space="0" w:color="auto"/>
      </w:divBdr>
    </w:div>
    <w:div w:id="60300451">
      <w:marLeft w:val="0"/>
      <w:marRight w:val="0"/>
      <w:marTop w:val="100"/>
      <w:marBottom w:val="0"/>
      <w:divBdr>
        <w:top w:val="none" w:sz="0" w:space="0" w:color="auto"/>
        <w:left w:val="none" w:sz="0" w:space="0" w:color="auto"/>
        <w:bottom w:val="none" w:sz="0" w:space="0" w:color="auto"/>
        <w:right w:val="none" w:sz="0" w:space="0" w:color="auto"/>
      </w:divBdr>
      <w:divsChild>
        <w:div w:id="204609713">
          <w:marLeft w:val="0"/>
          <w:marRight w:val="0"/>
          <w:marTop w:val="0"/>
          <w:marBottom w:val="0"/>
          <w:divBdr>
            <w:top w:val="none" w:sz="0" w:space="0" w:color="auto"/>
            <w:left w:val="none" w:sz="0" w:space="0" w:color="auto"/>
            <w:bottom w:val="none" w:sz="0" w:space="0" w:color="auto"/>
            <w:right w:val="none" w:sz="0" w:space="0" w:color="auto"/>
          </w:divBdr>
        </w:div>
      </w:divsChild>
    </w:div>
    <w:div w:id="60833442">
      <w:marLeft w:val="0"/>
      <w:marRight w:val="0"/>
      <w:marTop w:val="0"/>
      <w:marBottom w:val="120"/>
      <w:divBdr>
        <w:top w:val="none" w:sz="0" w:space="0" w:color="auto"/>
        <w:left w:val="none" w:sz="0" w:space="0" w:color="auto"/>
        <w:bottom w:val="none" w:sz="0" w:space="0" w:color="auto"/>
        <w:right w:val="none" w:sz="0" w:space="0" w:color="auto"/>
      </w:divBdr>
    </w:div>
    <w:div w:id="62025744">
      <w:marLeft w:val="0"/>
      <w:marRight w:val="0"/>
      <w:marTop w:val="0"/>
      <w:marBottom w:val="120"/>
      <w:divBdr>
        <w:top w:val="none" w:sz="0" w:space="0" w:color="auto"/>
        <w:left w:val="none" w:sz="0" w:space="0" w:color="auto"/>
        <w:bottom w:val="none" w:sz="0" w:space="0" w:color="auto"/>
        <w:right w:val="none" w:sz="0" w:space="0" w:color="auto"/>
      </w:divBdr>
    </w:div>
    <w:div w:id="67925822">
      <w:marLeft w:val="0"/>
      <w:marRight w:val="0"/>
      <w:marTop w:val="0"/>
      <w:marBottom w:val="120"/>
      <w:divBdr>
        <w:top w:val="none" w:sz="0" w:space="0" w:color="auto"/>
        <w:left w:val="none" w:sz="0" w:space="0" w:color="auto"/>
        <w:bottom w:val="none" w:sz="0" w:space="0" w:color="auto"/>
        <w:right w:val="none" w:sz="0" w:space="0" w:color="auto"/>
      </w:divBdr>
    </w:div>
    <w:div w:id="72556669">
      <w:marLeft w:val="0"/>
      <w:marRight w:val="0"/>
      <w:marTop w:val="0"/>
      <w:marBottom w:val="120"/>
      <w:divBdr>
        <w:top w:val="none" w:sz="0" w:space="0" w:color="auto"/>
        <w:left w:val="none" w:sz="0" w:space="0" w:color="auto"/>
        <w:bottom w:val="none" w:sz="0" w:space="0" w:color="auto"/>
        <w:right w:val="none" w:sz="0" w:space="0" w:color="auto"/>
      </w:divBdr>
    </w:div>
    <w:div w:id="88309511">
      <w:marLeft w:val="0"/>
      <w:marRight w:val="0"/>
      <w:marTop w:val="0"/>
      <w:marBottom w:val="120"/>
      <w:divBdr>
        <w:top w:val="none" w:sz="0" w:space="0" w:color="auto"/>
        <w:left w:val="none" w:sz="0" w:space="0" w:color="auto"/>
        <w:bottom w:val="none" w:sz="0" w:space="0" w:color="auto"/>
        <w:right w:val="none" w:sz="0" w:space="0" w:color="auto"/>
      </w:divBdr>
    </w:div>
    <w:div w:id="90511576">
      <w:marLeft w:val="0"/>
      <w:marRight w:val="0"/>
      <w:marTop w:val="0"/>
      <w:marBottom w:val="100"/>
      <w:divBdr>
        <w:top w:val="none" w:sz="0" w:space="0" w:color="auto"/>
        <w:left w:val="none" w:sz="0" w:space="0" w:color="auto"/>
        <w:bottom w:val="none" w:sz="0" w:space="0" w:color="auto"/>
        <w:right w:val="none" w:sz="0" w:space="0" w:color="auto"/>
      </w:divBdr>
    </w:div>
    <w:div w:id="95635896">
      <w:marLeft w:val="0"/>
      <w:marRight w:val="0"/>
      <w:marTop w:val="0"/>
      <w:marBottom w:val="0"/>
      <w:divBdr>
        <w:top w:val="none" w:sz="0" w:space="0" w:color="auto"/>
        <w:left w:val="none" w:sz="0" w:space="0" w:color="auto"/>
        <w:bottom w:val="none" w:sz="0" w:space="0" w:color="auto"/>
        <w:right w:val="none" w:sz="0" w:space="0" w:color="auto"/>
      </w:divBdr>
    </w:div>
    <w:div w:id="96414054">
      <w:marLeft w:val="0"/>
      <w:marRight w:val="0"/>
      <w:marTop w:val="0"/>
      <w:marBottom w:val="0"/>
      <w:divBdr>
        <w:top w:val="none" w:sz="0" w:space="0" w:color="auto"/>
        <w:left w:val="none" w:sz="0" w:space="0" w:color="auto"/>
        <w:bottom w:val="none" w:sz="0" w:space="0" w:color="auto"/>
        <w:right w:val="none" w:sz="0" w:space="0" w:color="auto"/>
      </w:divBdr>
      <w:divsChild>
        <w:div w:id="1477339143">
          <w:marLeft w:val="0"/>
          <w:marRight w:val="0"/>
          <w:marTop w:val="0"/>
          <w:marBottom w:val="0"/>
          <w:divBdr>
            <w:top w:val="none" w:sz="0" w:space="0" w:color="auto"/>
            <w:left w:val="none" w:sz="0" w:space="0" w:color="auto"/>
            <w:bottom w:val="none" w:sz="0" w:space="0" w:color="auto"/>
            <w:right w:val="none" w:sz="0" w:space="0" w:color="auto"/>
          </w:divBdr>
        </w:div>
      </w:divsChild>
    </w:div>
    <w:div w:id="109402862">
      <w:marLeft w:val="0"/>
      <w:marRight w:val="0"/>
      <w:marTop w:val="120"/>
      <w:marBottom w:val="120"/>
      <w:divBdr>
        <w:top w:val="none" w:sz="0" w:space="0" w:color="auto"/>
        <w:left w:val="none" w:sz="0" w:space="0" w:color="auto"/>
        <w:bottom w:val="none" w:sz="0" w:space="0" w:color="auto"/>
        <w:right w:val="none" w:sz="0" w:space="0" w:color="auto"/>
      </w:divBdr>
    </w:div>
    <w:div w:id="111363080">
      <w:marLeft w:val="0"/>
      <w:marRight w:val="0"/>
      <w:marTop w:val="0"/>
      <w:marBottom w:val="120"/>
      <w:divBdr>
        <w:top w:val="none" w:sz="0" w:space="0" w:color="auto"/>
        <w:left w:val="none" w:sz="0" w:space="0" w:color="auto"/>
        <w:bottom w:val="none" w:sz="0" w:space="0" w:color="auto"/>
        <w:right w:val="none" w:sz="0" w:space="0" w:color="auto"/>
      </w:divBdr>
    </w:div>
    <w:div w:id="112790789">
      <w:marLeft w:val="0"/>
      <w:marRight w:val="0"/>
      <w:marTop w:val="0"/>
      <w:marBottom w:val="120"/>
      <w:divBdr>
        <w:top w:val="none" w:sz="0" w:space="0" w:color="auto"/>
        <w:left w:val="none" w:sz="0" w:space="0" w:color="auto"/>
        <w:bottom w:val="none" w:sz="0" w:space="0" w:color="auto"/>
        <w:right w:val="none" w:sz="0" w:space="0" w:color="auto"/>
      </w:divBdr>
    </w:div>
    <w:div w:id="113600142">
      <w:marLeft w:val="0"/>
      <w:marRight w:val="0"/>
      <w:marTop w:val="0"/>
      <w:marBottom w:val="120"/>
      <w:divBdr>
        <w:top w:val="none" w:sz="0" w:space="0" w:color="auto"/>
        <w:left w:val="none" w:sz="0" w:space="0" w:color="auto"/>
        <w:bottom w:val="none" w:sz="0" w:space="0" w:color="auto"/>
        <w:right w:val="none" w:sz="0" w:space="0" w:color="auto"/>
      </w:divBdr>
    </w:div>
    <w:div w:id="124348360">
      <w:marLeft w:val="0"/>
      <w:marRight w:val="0"/>
      <w:marTop w:val="0"/>
      <w:marBottom w:val="120"/>
      <w:divBdr>
        <w:top w:val="none" w:sz="0" w:space="0" w:color="auto"/>
        <w:left w:val="none" w:sz="0" w:space="0" w:color="auto"/>
        <w:bottom w:val="none" w:sz="0" w:space="0" w:color="auto"/>
        <w:right w:val="none" w:sz="0" w:space="0" w:color="auto"/>
      </w:divBdr>
    </w:div>
    <w:div w:id="136261492">
      <w:marLeft w:val="0"/>
      <w:marRight w:val="0"/>
      <w:marTop w:val="0"/>
      <w:marBottom w:val="0"/>
      <w:divBdr>
        <w:top w:val="none" w:sz="0" w:space="0" w:color="auto"/>
        <w:left w:val="none" w:sz="0" w:space="0" w:color="auto"/>
        <w:bottom w:val="none" w:sz="0" w:space="0" w:color="auto"/>
        <w:right w:val="none" w:sz="0" w:space="0" w:color="auto"/>
      </w:divBdr>
      <w:divsChild>
        <w:div w:id="667365586">
          <w:marLeft w:val="0"/>
          <w:marRight w:val="0"/>
          <w:marTop w:val="0"/>
          <w:marBottom w:val="0"/>
          <w:divBdr>
            <w:top w:val="none" w:sz="0" w:space="0" w:color="auto"/>
            <w:left w:val="none" w:sz="0" w:space="0" w:color="auto"/>
            <w:bottom w:val="none" w:sz="0" w:space="0" w:color="auto"/>
            <w:right w:val="none" w:sz="0" w:space="0" w:color="auto"/>
          </w:divBdr>
        </w:div>
      </w:divsChild>
    </w:div>
    <w:div w:id="136343194">
      <w:marLeft w:val="0"/>
      <w:marRight w:val="0"/>
      <w:marTop w:val="0"/>
      <w:marBottom w:val="0"/>
      <w:divBdr>
        <w:top w:val="none" w:sz="0" w:space="0" w:color="auto"/>
        <w:left w:val="none" w:sz="0" w:space="0" w:color="auto"/>
        <w:bottom w:val="none" w:sz="0" w:space="0" w:color="auto"/>
        <w:right w:val="none" w:sz="0" w:space="0" w:color="auto"/>
      </w:divBdr>
      <w:divsChild>
        <w:div w:id="1461151521">
          <w:marLeft w:val="0"/>
          <w:marRight w:val="0"/>
          <w:marTop w:val="0"/>
          <w:marBottom w:val="0"/>
          <w:divBdr>
            <w:top w:val="none" w:sz="0" w:space="0" w:color="auto"/>
            <w:left w:val="none" w:sz="0" w:space="0" w:color="auto"/>
            <w:bottom w:val="none" w:sz="0" w:space="0" w:color="auto"/>
            <w:right w:val="none" w:sz="0" w:space="0" w:color="auto"/>
          </w:divBdr>
        </w:div>
      </w:divsChild>
    </w:div>
    <w:div w:id="140393361">
      <w:marLeft w:val="0"/>
      <w:marRight w:val="0"/>
      <w:marTop w:val="0"/>
      <w:marBottom w:val="120"/>
      <w:divBdr>
        <w:top w:val="none" w:sz="0" w:space="0" w:color="auto"/>
        <w:left w:val="none" w:sz="0" w:space="0" w:color="auto"/>
        <w:bottom w:val="none" w:sz="0" w:space="0" w:color="auto"/>
        <w:right w:val="none" w:sz="0" w:space="0" w:color="auto"/>
      </w:divBdr>
    </w:div>
    <w:div w:id="141428197">
      <w:marLeft w:val="0"/>
      <w:marRight w:val="0"/>
      <w:marTop w:val="0"/>
      <w:marBottom w:val="120"/>
      <w:divBdr>
        <w:top w:val="none" w:sz="0" w:space="0" w:color="auto"/>
        <w:left w:val="none" w:sz="0" w:space="0" w:color="auto"/>
        <w:bottom w:val="none" w:sz="0" w:space="0" w:color="auto"/>
        <w:right w:val="none" w:sz="0" w:space="0" w:color="auto"/>
      </w:divBdr>
    </w:div>
    <w:div w:id="144973491">
      <w:marLeft w:val="0"/>
      <w:marRight w:val="0"/>
      <w:marTop w:val="0"/>
      <w:marBottom w:val="120"/>
      <w:divBdr>
        <w:top w:val="none" w:sz="0" w:space="0" w:color="auto"/>
        <w:left w:val="none" w:sz="0" w:space="0" w:color="auto"/>
        <w:bottom w:val="none" w:sz="0" w:space="0" w:color="auto"/>
        <w:right w:val="none" w:sz="0" w:space="0" w:color="auto"/>
      </w:divBdr>
    </w:div>
    <w:div w:id="151914587">
      <w:marLeft w:val="0"/>
      <w:marRight w:val="0"/>
      <w:marTop w:val="0"/>
      <w:marBottom w:val="0"/>
      <w:divBdr>
        <w:top w:val="none" w:sz="0" w:space="0" w:color="auto"/>
        <w:left w:val="none" w:sz="0" w:space="0" w:color="auto"/>
        <w:bottom w:val="none" w:sz="0" w:space="0" w:color="auto"/>
        <w:right w:val="none" w:sz="0" w:space="0" w:color="auto"/>
      </w:divBdr>
    </w:div>
    <w:div w:id="158037724">
      <w:marLeft w:val="0"/>
      <w:marRight w:val="0"/>
      <w:marTop w:val="0"/>
      <w:marBottom w:val="120"/>
      <w:divBdr>
        <w:top w:val="none" w:sz="0" w:space="0" w:color="auto"/>
        <w:left w:val="none" w:sz="0" w:space="0" w:color="auto"/>
        <w:bottom w:val="none" w:sz="0" w:space="0" w:color="auto"/>
        <w:right w:val="none" w:sz="0" w:space="0" w:color="auto"/>
      </w:divBdr>
    </w:div>
    <w:div w:id="158621038">
      <w:marLeft w:val="0"/>
      <w:marRight w:val="0"/>
      <w:marTop w:val="120"/>
      <w:marBottom w:val="120"/>
      <w:divBdr>
        <w:top w:val="none" w:sz="0" w:space="0" w:color="auto"/>
        <w:left w:val="none" w:sz="0" w:space="0" w:color="auto"/>
        <w:bottom w:val="none" w:sz="0" w:space="0" w:color="auto"/>
        <w:right w:val="none" w:sz="0" w:space="0" w:color="auto"/>
      </w:divBdr>
    </w:div>
    <w:div w:id="158890054">
      <w:marLeft w:val="0"/>
      <w:marRight w:val="0"/>
      <w:marTop w:val="0"/>
      <w:marBottom w:val="0"/>
      <w:divBdr>
        <w:top w:val="none" w:sz="0" w:space="0" w:color="auto"/>
        <w:left w:val="none" w:sz="0" w:space="0" w:color="auto"/>
        <w:bottom w:val="none" w:sz="0" w:space="0" w:color="auto"/>
        <w:right w:val="none" w:sz="0" w:space="0" w:color="auto"/>
      </w:divBdr>
      <w:divsChild>
        <w:div w:id="1331830186">
          <w:marLeft w:val="0"/>
          <w:marRight w:val="0"/>
          <w:marTop w:val="0"/>
          <w:marBottom w:val="0"/>
          <w:divBdr>
            <w:top w:val="none" w:sz="0" w:space="0" w:color="auto"/>
            <w:left w:val="none" w:sz="0" w:space="0" w:color="auto"/>
            <w:bottom w:val="none" w:sz="0" w:space="0" w:color="auto"/>
            <w:right w:val="none" w:sz="0" w:space="0" w:color="auto"/>
          </w:divBdr>
        </w:div>
      </w:divsChild>
    </w:div>
    <w:div w:id="163595410">
      <w:marLeft w:val="0"/>
      <w:marRight w:val="0"/>
      <w:marTop w:val="0"/>
      <w:marBottom w:val="120"/>
      <w:divBdr>
        <w:top w:val="none" w:sz="0" w:space="0" w:color="auto"/>
        <w:left w:val="none" w:sz="0" w:space="0" w:color="auto"/>
        <w:bottom w:val="none" w:sz="0" w:space="0" w:color="auto"/>
        <w:right w:val="none" w:sz="0" w:space="0" w:color="auto"/>
      </w:divBdr>
    </w:div>
    <w:div w:id="165216850">
      <w:marLeft w:val="0"/>
      <w:marRight w:val="0"/>
      <w:marTop w:val="0"/>
      <w:marBottom w:val="120"/>
      <w:divBdr>
        <w:top w:val="none" w:sz="0" w:space="0" w:color="auto"/>
        <w:left w:val="none" w:sz="0" w:space="0" w:color="auto"/>
        <w:bottom w:val="none" w:sz="0" w:space="0" w:color="auto"/>
        <w:right w:val="none" w:sz="0" w:space="0" w:color="auto"/>
      </w:divBdr>
    </w:div>
    <w:div w:id="175273917">
      <w:marLeft w:val="0"/>
      <w:marRight w:val="0"/>
      <w:marTop w:val="0"/>
      <w:marBottom w:val="120"/>
      <w:divBdr>
        <w:top w:val="none" w:sz="0" w:space="0" w:color="auto"/>
        <w:left w:val="none" w:sz="0" w:space="0" w:color="auto"/>
        <w:bottom w:val="none" w:sz="0" w:space="0" w:color="auto"/>
        <w:right w:val="none" w:sz="0" w:space="0" w:color="auto"/>
      </w:divBdr>
    </w:div>
    <w:div w:id="179972520">
      <w:marLeft w:val="0"/>
      <w:marRight w:val="0"/>
      <w:marTop w:val="0"/>
      <w:marBottom w:val="120"/>
      <w:divBdr>
        <w:top w:val="none" w:sz="0" w:space="0" w:color="auto"/>
        <w:left w:val="none" w:sz="0" w:space="0" w:color="auto"/>
        <w:bottom w:val="none" w:sz="0" w:space="0" w:color="auto"/>
        <w:right w:val="none" w:sz="0" w:space="0" w:color="auto"/>
      </w:divBdr>
    </w:div>
    <w:div w:id="182865424">
      <w:marLeft w:val="0"/>
      <w:marRight w:val="0"/>
      <w:marTop w:val="0"/>
      <w:marBottom w:val="120"/>
      <w:divBdr>
        <w:top w:val="none" w:sz="0" w:space="0" w:color="auto"/>
        <w:left w:val="none" w:sz="0" w:space="0" w:color="auto"/>
        <w:bottom w:val="none" w:sz="0" w:space="0" w:color="auto"/>
        <w:right w:val="none" w:sz="0" w:space="0" w:color="auto"/>
      </w:divBdr>
    </w:div>
    <w:div w:id="183788475">
      <w:marLeft w:val="0"/>
      <w:marRight w:val="0"/>
      <w:marTop w:val="0"/>
      <w:marBottom w:val="120"/>
      <w:divBdr>
        <w:top w:val="none" w:sz="0" w:space="0" w:color="auto"/>
        <w:left w:val="none" w:sz="0" w:space="0" w:color="auto"/>
        <w:bottom w:val="none" w:sz="0" w:space="0" w:color="auto"/>
        <w:right w:val="none" w:sz="0" w:space="0" w:color="auto"/>
      </w:divBdr>
    </w:div>
    <w:div w:id="184639288">
      <w:marLeft w:val="0"/>
      <w:marRight w:val="0"/>
      <w:marTop w:val="0"/>
      <w:marBottom w:val="120"/>
      <w:divBdr>
        <w:top w:val="none" w:sz="0" w:space="0" w:color="auto"/>
        <w:left w:val="none" w:sz="0" w:space="0" w:color="auto"/>
        <w:bottom w:val="none" w:sz="0" w:space="0" w:color="auto"/>
        <w:right w:val="none" w:sz="0" w:space="0" w:color="auto"/>
      </w:divBdr>
    </w:div>
    <w:div w:id="191892601">
      <w:marLeft w:val="0"/>
      <w:marRight w:val="0"/>
      <w:marTop w:val="0"/>
      <w:marBottom w:val="0"/>
      <w:divBdr>
        <w:top w:val="none" w:sz="0" w:space="0" w:color="auto"/>
        <w:left w:val="none" w:sz="0" w:space="0" w:color="auto"/>
        <w:bottom w:val="none" w:sz="0" w:space="0" w:color="auto"/>
        <w:right w:val="none" w:sz="0" w:space="0" w:color="auto"/>
      </w:divBdr>
    </w:div>
    <w:div w:id="199628510">
      <w:marLeft w:val="0"/>
      <w:marRight w:val="0"/>
      <w:marTop w:val="0"/>
      <w:marBottom w:val="120"/>
      <w:divBdr>
        <w:top w:val="none" w:sz="0" w:space="0" w:color="auto"/>
        <w:left w:val="none" w:sz="0" w:space="0" w:color="auto"/>
        <w:bottom w:val="none" w:sz="0" w:space="0" w:color="auto"/>
        <w:right w:val="none" w:sz="0" w:space="0" w:color="auto"/>
      </w:divBdr>
    </w:div>
    <w:div w:id="216472519">
      <w:marLeft w:val="0"/>
      <w:marRight w:val="0"/>
      <w:marTop w:val="0"/>
      <w:marBottom w:val="0"/>
      <w:divBdr>
        <w:top w:val="none" w:sz="0" w:space="0" w:color="auto"/>
        <w:left w:val="none" w:sz="0" w:space="0" w:color="auto"/>
        <w:bottom w:val="none" w:sz="0" w:space="0" w:color="auto"/>
        <w:right w:val="none" w:sz="0" w:space="0" w:color="auto"/>
      </w:divBdr>
      <w:divsChild>
        <w:div w:id="409039927">
          <w:marLeft w:val="0"/>
          <w:marRight w:val="0"/>
          <w:marTop w:val="0"/>
          <w:marBottom w:val="0"/>
          <w:divBdr>
            <w:top w:val="none" w:sz="0" w:space="0" w:color="auto"/>
            <w:left w:val="none" w:sz="0" w:space="0" w:color="auto"/>
            <w:bottom w:val="none" w:sz="0" w:space="0" w:color="auto"/>
            <w:right w:val="none" w:sz="0" w:space="0" w:color="auto"/>
          </w:divBdr>
        </w:div>
      </w:divsChild>
    </w:div>
    <w:div w:id="222566665">
      <w:marLeft w:val="0"/>
      <w:marRight w:val="0"/>
      <w:marTop w:val="0"/>
      <w:marBottom w:val="120"/>
      <w:divBdr>
        <w:top w:val="none" w:sz="0" w:space="0" w:color="auto"/>
        <w:left w:val="none" w:sz="0" w:space="0" w:color="auto"/>
        <w:bottom w:val="none" w:sz="0" w:space="0" w:color="auto"/>
        <w:right w:val="none" w:sz="0" w:space="0" w:color="auto"/>
      </w:divBdr>
    </w:div>
    <w:div w:id="223833395">
      <w:marLeft w:val="0"/>
      <w:marRight w:val="0"/>
      <w:marTop w:val="0"/>
      <w:marBottom w:val="60"/>
      <w:divBdr>
        <w:top w:val="none" w:sz="0" w:space="0" w:color="auto"/>
        <w:left w:val="none" w:sz="0" w:space="0" w:color="auto"/>
        <w:bottom w:val="none" w:sz="0" w:space="0" w:color="auto"/>
        <w:right w:val="none" w:sz="0" w:space="0" w:color="auto"/>
      </w:divBdr>
    </w:div>
    <w:div w:id="236205202">
      <w:marLeft w:val="0"/>
      <w:marRight w:val="0"/>
      <w:marTop w:val="0"/>
      <w:marBottom w:val="120"/>
      <w:divBdr>
        <w:top w:val="none" w:sz="0" w:space="0" w:color="auto"/>
        <w:left w:val="none" w:sz="0" w:space="0" w:color="auto"/>
        <w:bottom w:val="none" w:sz="0" w:space="0" w:color="auto"/>
        <w:right w:val="none" w:sz="0" w:space="0" w:color="auto"/>
      </w:divBdr>
    </w:div>
    <w:div w:id="238490369">
      <w:marLeft w:val="0"/>
      <w:marRight w:val="0"/>
      <w:marTop w:val="0"/>
      <w:marBottom w:val="120"/>
      <w:divBdr>
        <w:top w:val="none" w:sz="0" w:space="0" w:color="auto"/>
        <w:left w:val="none" w:sz="0" w:space="0" w:color="auto"/>
        <w:bottom w:val="none" w:sz="0" w:space="0" w:color="auto"/>
        <w:right w:val="none" w:sz="0" w:space="0" w:color="auto"/>
      </w:divBdr>
    </w:div>
    <w:div w:id="247615176">
      <w:marLeft w:val="0"/>
      <w:marRight w:val="0"/>
      <w:marTop w:val="0"/>
      <w:marBottom w:val="0"/>
      <w:divBdr>
        <w:top w:val="none" w:sz="0" w:space="0" w:color="auto"/>
        <w:left w:val="none" w:sz="0" w:space="0" w:color="auto"/>
        <w:bottom w:val="none" w:sz="0" w:space="0" w:color="auto"/>
        <w:right w:val="none" w:sz="0" w:space="0" w:color="auto"/>
      </w:divBdr>
      <w:divsChild>
        <w:div w:id="469789460">
          <w:marLeft w:val="0"/>
          <w:marRight w:val="0"/>
          <w:marTop w:val="0"/>
          <w:marBottom w:val="0"/>
          <w:divBdr>
            <w:top w:val="none" w:sz="0" w:space="0" w:color="auto"/>
            <w:left w:val="none" w:sz="0" w:space="0" w:color="auto"/>
            <w:bottom w:val="none" w:sz="0" w:space="0" w:color="auto"/>
            <w:right w:val="none" w:sz="0" w:space="0" w:color="auto"/>
          </w:divBdr>
        </w:div>
      </w:divsChild>
    </w:div>
    <w:div w:id="252396741">
      <w:marLeft w:val="0"/>
      <w:marRight w:val="0"/>
      <w:marTop w:val="0"/>
      <w:marBottom w:val="120"/>
      <w:divBdr>
        <w:top w:val="none" w:sz="0" w:space="0" w:color="auto"/>
        <w:left w:val="none" w:sz="0" w:space="0" w:color="auto"/>
        <w:bottom w:val="none" w:sz="0" w:space="0" w:color="auto"/>
        <w:right w:val="none" w:sz="0" w:space="0" w:color="auto"/>
      </w:divBdr>
    </w:div>
    <w:div w:id="256713564">
      <w:marLeft w:val="0"/>
      <w:marRight w:val="0"/>
      <w:marTop w:val="0"/>
      <w:marBottom w:val="0"/>
      <w:divBdr>
        <w:top w:val="none" w:sz="0" w:space="0" w:color="auto"/>
        <w:left w:val="none" w:sz="0" w:space="0" w:color="auto"/>
        <w:bottom w:val="none" w:sz="0" w:space="0" w:color="auto"/>
        <w:right w:val="none" w:sz="0" w:space="0" w:color="auto"/>
      </w:divBdr>
      <w:divsChild>
        <w:div w:id="1676881366">
          <w:marLeft w:val="0"/>
          <w:marRight w:val="0"/>
          <w:marTop w:val="0"/>
          <w:marBottom w:val="0"/>
          <w:divBdr>
            <w:top w:val="none" w:sz="0" w:space="0" w:color="auto"/>
            <w:left w:val="none" w:sz="0" w:space="0" w:color="auto"/>
            <w:bottom w:val="none" w:sz="0" w:space="0" w:color="auto"/>
            <w:right w:val="none" w:sz="0" w:space="0" w:color="auto"/>
          </w:divBdr>
        </w:div>
      </w:divsChild>
    </w:div>
    <w:div w:id="270744815">
      <w:marLeft w:val="0"/>
      <w:marRight w:val="0"/>
      <w:marTop w:val="0"/>
      <w:marBottom w:val="0"/>
      <w:divBdr>
        <w:top w:val="none" w:sz="0" w:space="0" w:color="auto"/>
        <w:left w:val="none" w:sz="0" w:space="0" w:color="auto"/>
        <w:bottom w:val="none" w:sz="0" w:space="0" w:color="auto"/>
        <w:right w:val="none" w:sz="0" w:space="0" w:color="auto"/>
      </w:divBdr>
      <w:divsChild>
        <w:div w:id="1585604852">
          <w:marLeft w:val="0"/>
          <w:marRight w:val="0"/>
          <w:marTop w:val="0"/>
          <w:marBottom w:val="0"/>
          <w:divBdr>
            <w:top w:val="none" w:sz="0" w:space="0" w:color="auto"/>
            <w:left w:val="none" w:sz="0" w:space="0" w:color="auto"/>
            <w:bottom w:val="none" w:sz="0" w:space="0" w:color="auto"/>
            <w:right w:val="none" w:sz="0" w:space="0" w:color="auto"/>
          </w:divBdr>
        </w:div>
      </w:divsChild>
    </w:div>
    <w:div w:id="274598285">
      <w:marLeft w:val="0"/>
      <w:marRight w:val="0"/>
      <w:marTop w:val="0"/>
      <w:marBottom w:val="0"/>
      <w:divBdr>
        <w:top w:val="none" w:sz="0" w:space="0" w:color="auto"/>
        <w:left w:val="none" w:sz="0" w:space="0" w:color="auto"/>
        <w:bottom w:val="none" w:sz="0" w:space="0" w:color="auto"/>
        <w:right w:val="none" w:sz="0" w:space="0" w:color="auto"/>
      </w:divBdr>
    </w:div>
    <w:div w:id="296228372">
      <w:marLeft w:val="0"/>
      <w:marRight w:val="0"/>
      <w:marTop w:val="0"/>
      <w:marBottom w:val="120"/>
      <w:divBdr>
        <w:top w:val="none" w:sz="0" w:space="0" w:color="auto"/>
        <w:left w:val="none" w:sz="0" w:space="0" w:color="auto"/>
        <w:bottom w:val="none" w:sz="0" w:space="0" w:color="auto"/>
        <w:right w:val="none" w:sz="0" w:space="0" w:color="auto"/>
      </w:divBdr>
    </w:div>
    <w:div w:id="297299171">
      <w:marLeft w:val="0"/>
      <w:marRight w:val="0"/>
      <w:marTop w:val="0"/>
      <w:marBottom w:val="120"/>
      <w:divBdr>
        <w:top w:val="none" w:sz="0" w:space="0" w:color="auto"/>
        <w:left w:val="none" w:sz="0" w:space="0" w:color="auto"/>
        <w:bottom w:val="none" w:sz="0" w:space="0" w:color="auto"/>
        <w:right w:val="none" w:sz="0" w:space="0" w:color="auto"/>
      </w:divBdr>
    </w:div>
    <w:div w:id="312295480">
      <w:marLeft w:val="0"/>
      <w:marRight w:val="0"/>
      <w:marTop w:val="0"/>
      <w:marBottom w:val="120"/>
      <w:divBdr>
        <w:top w:val="none" w:sz="0" w:space="0" w:color="auto"/>
        <w:left w:val="none" w:sz="0" w:space="0" w:color="auto"/>
        <w:bottom w:val="none" w:sz="0" w:space="0" w:color="auto"/>
        <w:right w:val="none" w:sz="0" w:space="0" w:color="auto"/>
      </w:divBdr>
    </w:div>
    <w:div w:id="312609052">
      <w:marLeft w:val="0"/>
      <w:marRight w:val="0"/>
      <w:marTop w:val="0"/>
      <w:marBottom w:val="0"/>
      <w:divBdr>
        <w:top w:val="none" w:sz="0" w:space="0" w:color="auto"/>
        <w:left w:val="none" w:sz="0" w:space="0" w:color="auto"/>
        <w:bottom w:val="none" w:sz="0" w:space="0" w:color="auto"/>
        <w:right w:val="none" w:sz="0" w:space="0" w:color="auto"/>
      </w:divBdr>
    </w:div>
    <w:div w:id="316228855">
      <w:marLeft w:val="0"/>
      <w:marRight w:val="0"/>
      <w:marTop w:val="0"/>
      <w:marBottom w:val="120"/>
      <w:divBdr>
        <w:top w:val="none" w:sz="0" w:space="0" w:color="auto"/>
        <w:left w:val="none" w:sz="0" w:space="0" w:color="auto"/>
        <w:bottom w:val="none" w:sz="0" w:space="0" w:color="auto"/>
        <w:right w:val="none" w:sz="0" w:space="0" w:color="auto"/>
      </w:divBdr>
    </w:div>
    <w:div w:id="320891751">
      <w:marLeft w:val="0"/>
      <w:marRight w:val="0"/>
      <w:marTop w:val="0"/>
      <w:marBottom w:val="120"/>
      <w:divBdr>
        <w:top w:val="none" w:sz="0" w:space="0" w:color="auto"/>
        <w:left w:val="none" w:sz="0" w:space="0" w:color="auto"/>
        <w:bottom w:val="none" w:sz="0" w:space="0" w:color="auto"/>
        <w:right w:val="none" w:sz="0" w:space="0" w:color="auto"/>
      </w:divBdr>
    </w:div>
    <w:div w:id="323164848">
      <w:marLeft w:val="0"/>
      <w:marRight w:val="0"/>
      <w:marTop w:val="0"/>
      <w:marBottom w:val="0"/>
      <w:divBdr>
        <w:top w:val="none" w:sz="0" w:space="0" w:color="auto"/>
        <w:left w:val="none" w:sz="0" w:space="0" w:color="auto"/>
        <w:bottom w:val="none" w:sz="0" w:space="0" w:color="auto"/>
        <w:right w:val="none" w:sz="0" w:space="0" w:color="auto"/>
      </w:divBdr>
      <w:divsChild>
        <w:div w:id="1493376276">
          <w:marLeft w:val="0"/>
          <w:marRight w:val="0"/>
          <w:marTop w:val="0"/>
          <w:marBottom w:val="0"/>
          <w:divBdr>
            <w:top w:val="none" w:sz="0" w:space="0" w:color="auto"/>
            <w:left w:val="none" w:sz="0" w:space="0" w:color="auto"/>
            <w:bottom w:val="none" w:sz="0" w:space="0" w:color="auto"/>
            <w:right w:val="none" w:sz="0" w:space="0" w:color="auto"/>
          </w:divBdr>
        </w:div>
      </w:divsChild>
    </w:div>
    <w:div w:id="330987766">
      <w:marLeft w:val="0"/>
      <w:marRight w:val="0"/>
      <w:marTop w:val="0"/>
      <w:marBottom w:val="120"/>
      <w:divBdr>
        <w:top w:val="none" w:sz="0" w:space="0" w:color="auto"/>
        <w:left w:val="none" w:sz="0" w:space="0" w:color="auto"/>
        <w:bottom w:val="none" w:sz="0" w:space="0" w:color="auto"/>
        <w:right w:val="none" w:sz="0" w:space="0" w:color="auto"/>
      </w:divBdr>
    </w:div>
    <w:div w:id="332225187">
      <w:marLeft w:val="0"/>
      <w:marRight w:val="0"/>
      <w:marTop w:val="0"/>
      <w:marBottom w:val="120"/>
      <w:divBdr>
        <w:top w:val="none" w:sz="0" w:space="0" w:color="auto"/>
        <w:left w:val="none" w:sz="0" w:space="0" w:color="auto"/>
        <w:bottom w:val="none" w:sz="0" w:space="0" w:color="auto"/>
        <w:right w:val="none" w:sz="0" w:space="0" w:color="auto"/>
      </w:divBdr>
    </w:div>
    <w:div w:id="335109134">
      <w:marLeft w:val="0"/>
      <w:marRight w:val="0"/>
      <w:marTop w:val="0"/>
      <w:marBottom w:val="0"/>
      <w:divBdr>
        <w:top w:val="none" w:sz="0" w:space="0" w:color="auto"/>
        <w:left w:val="none" w:sz="0" w:space="0" w:color="auto"/>
        <w:bottom w:val="none" w:sz="0" w:space="0" w:color="auto"/>
        <w:right w:val="none" w:sz="0" w:space="0" w:color="auto"/>
      </w:divBdr>
      <w:divsChild>
        <w:div w:id="22024287">
          <w:marLeft w:val="0"/>
          <w:marRight w:val="0"/>
          <w:marTop w:val="0"/>
          <w:marBottom w:val="0"/>
          <w:divBdr>
            <w:top w:val="none" w:sz="0" w:space="0" w:color="auto"/>
            <w:left w:val="none" w:sz="0" w:space="0" w:color="auto"/>
            <w:bottom w:val="none" w:sz="0" w:space="0" w:color="auto"/>
            <w:right w:val="none" w:sz="0" w:space="0" w:color="auto"/>
          </w:divBdr>
        </w:div>
      </w:divsChild>
    </w:div>
    <w:div w:id="338194733">
      <w:marLeft w:val="0"/>
      <w:marRight w:val="0"/>
      <w:marTop w:val="0"/>
      <w:marBottom w:val="120"/>
      <w:divBdr>
        <w:top w:val="none" w:sz="0" w:space="0" w:color="auto"/>
        <w:left w:val="none" w:sz="0" w:space="0" w:color="auto"/>
        <w:bottom w:val="none" w:sz="0" w:space="0" w:color="auto"/>
        <w:right w:val="none" w:sz="0" w:space="0" w:color="auto"/>
      </w:divBdr>
    </w:div>
    <w:div w:id="349070060">
      <w:marLeft w:val="0"/>
      <w:marRight w:val="0"/>
      <w:marTop w:val="100"/>
      <w:marBottom w:val="120"/>
      <w:divBdr>
        <w:top w:val="none" w:sz="0" w:space="0" w:color="auto"/>
        <w:left w:val="none" w:sz="0" w:space="0" w:color="auto"/>
        <w:bottom w:val="none" w:sz="0" w:space="0" w:color="auto"/>
        <w:right w:val="none" w:sz="0" w:space="0" w:color="auto"/>
      </w:divBdr>
    </w:div>
    <w:div w:id="350839938">
      <w:marLeft w:val="0"/>
      <w:marRight w:val="0"/>
      <w:marTop w:val="0"/>
      <w:marBottom w:val="0"/>
      <w:divBdr>
        <w:top w:val="none" w:sz="0" w:space="0" w:color="auto"/>
        <w:left w:val="none" w:sz="0" w:space="0" w:color="auto"/>
        <w:bottom w:val="none" w:sz="0" w:space="0" w:color="auto"/>
        <w:right w:val="none" w:sz="0" w:space="0" w:color="auto"/>
      </w:divBdr>
      <w:divsChild>
        <w:div w:id="1350715995">
          <w:marLeft w:val="0"/>
          <w:marRight w:val="0"/>
          <w:marTop w:val="0"/>
          <w:marBottom w:val="0"/>
          <w:divBdr>
            <w:top w:val="none" w:sz="0" w:space="0" w:color="auto"/>
            <w:left w:val="none" w:sz="0" w:space="0" w:color="auto"/>
            <w:bottom w:val="none" w:sz="0" w:space="0" w:color="auto"/>
            <w:right w:val="none" w:sz="0" w:space="0" w:color="auto"/>
          </w:divBdr>
        </w:div>
      </w:divsChild>
    </w:div>
    <w:div w:id="353194376">
      <w:marLeft w:val="0"/>
      <w:marRight w:val="0"/>
      <w:marTop w:val="100"/>
      <w:marBottom w:val="0"/>
      <w:divBdr>
        <w:top w:val="none" w:sz="0" w:space="0" w:color="auto"/>
        <w:left w:val="none" w:sz="0" w:space="0" w:color="auto"/>
        <w:bottom w:val="none" w:sz="0" w:space="0" w:color="auto"/>
        <w:right w:val="none" w:sz="0" w:space="0" w:color="auto"/>
      </w:divBdr>
    </w:div>
    <w:div w:id="355350513">
      <w:marLeft w:val="0"/>
      <w:marRight w:val="0"/>
      <w:marTop w:val="0"/>
      <w:marBottom w:val="120"/>
      <w:divBdr>
        <w:top w:val="none" w:sz="0" w:space="0" w:color="auto"/>
        <w:left w:val="none" w:sz="0" w:space="0" w:color="auto"/>
        <w:bottom w:val="none" w:sz="0" w:space="0" w:color="auto"/>
        <w:right w:val="none" w:sz="0" w:space="0" w:color="auto"/>
      </w:divBdr>
    </w:div>
    <w:div w:id="359668383">
      <w:marLeft w:val="0"/>
      <w:marRight w:val="0"/>
      <w:marTop w:val="0"/>
      <w:marBottom w:val="120"/>
      <w:divBdr>
        <w:top w:val="none" w:sz="0" w:space="0" w:color="auto"/>
        <w:left w:val="none" w:sz="0" w:space="0" w:color="auto"/>
        <w:bottom w:val="none" w:sz="0" w:space="0" w:color="auto"/>
        <w:right w:val="none" w:sz="0" w:space="0" w:color="auto"/>
      </w:divBdr>
    </w:div>
    <w:div w:id="367026732">
      <w:marLeft w:val="0"/>
      <w:marRight w:val="0"/>
      <w:marTop w:val="0"/>
      <w:marBottom w:val="120"/>
      <w:divBdr>
        <w:top w:val="none" w:sz="0" w:space="0" w:color="auto"/>
        <w:left w:val="none" w:sz="0" w:space="0" w:color="auto"/>
        <w:bottom w:val="none" w:sz="0" w:space="0" w:color="auto"/>
        <w:right w:val="none" w:sz="0" w:space="0" w:color="auto"/>
      </w:divBdr>
    </w:div>
    <w:div w:id="372652857">
      <w:marLeft w:val="0"/>
      <w:marRight w:val="0"/>
      <w:marTop w:val="0"/>
      <w:marBottom w:val="120"/>
      <w:divBdr>
        <w:top w:val="none" w:sz="0" w:space="0" w:color="auto"/>
        <w:left w:val="none" w:sz="0" w:space="0" w:color="auto"/>
        <w:bottom w:val="none" w:sz="0" w:space="0" w:color="auto"/>
        <w:right w:val="none" w:sz="0" w:space="0" w:color="auto"/>
      </w:divBdr>
    </w:div>
    <w:div w:id="374046386">
      <w:marLeft w:val="0"/>
      <w:marRight w:val="0"/>
      <w:marTop w:val="0"/>
      <w:marBottom w:val="120"/>
      <w:divBdr>
        <w:top w:val="none" w:sz="0" w:space="0" w:color="auto"/>
        <w:left w:val="none" w:sz="0" w:space="0" w:color="auto"/>
        <w:bottom w:val="none" w:sz="0" w:space="0" w:color="auto"/>
        <w:right w:val="none" w:sz="0" w:space="0" w:color="auto"/>
      </w:divBdr>
    </w:div>
    <w:div w:id="379213406">
      <w:marLeft w:val="0"/>
      <w:marRight w:val="0"/>
      <w:marTop w:val="0"/>
      <w:marBottom w:val="0"/>
      <w:divBdr>
        <w:top w:val="none" w:sz="0" w:space="0" w:color="auto"/>
        <w:left w:val="none" w:sz="0" w:space="0" w:color="auto"/>
        <w:bottom w:val="none" w:sz="0" w:space="0" w:color="auto"/>
        <w:right w:val="none" w:sz="0" w:space="0" w:color="auto"/>
      </w:divBdr>
      <w:divsChild>
        <w:div w:id="273901372">
          <w:marLeft w:val="0"/>
          <w:marRight w:val="0"/>
          <w:marTop w:val="0"/>
          <w:marBottom w:val="0"/>
          <w:divBdr>
            <w:top w:val="none" w:sz="0" w:space="0" w:color="auto"/>
            <w:left w:val="none" w:sz="0" w:space="0" w:color="auto"/>
            <w:bottom w:val="none" w:sz="0" w:space="0" w:color="auto"/>
            <w:right w:val="none" w:sz="0" w:space="0" w:color="auto"/>
          </w:divBdr>
        </w:div>
      </w:divsChild>
    </w:div>
    <w:div w:id="383913616">
      <w:marLeft w:val="0"/>
      <w:marRight w:val="0"/>
      <w:marTop w:val="0"/>
      <w:marBottom w:val="120"/>
      <w:divBdr>
        <w:top w:val="none" w:sz="0" w:space="0" w:color="auto"/>
        <w:left w:val="none" w:sz="0" w:space="0" w:color="auto"/>
        <w:bottom w:val="none" w:sz="0" w:space="0" w:color="auto"/>
        <w:right w:val="none" w:sz="0" w:space="0" w:color="auto"/>
      </w:divBdr>
    </w:div>
    <w:div w:id="396781281">
      <w:marLeft w:val="0"/>
      <w:marRight w:val="0"/>
      <w:marTop w:val="0"/>
      <w:marBottom w:val="240"/>
      <w:divBdr>
        <w:top w:val="none" w:sz="0" w:space="0" w:color="auto"/>
        <w:left w:val="none" w:sz="0" w:space="0" w:color="auto"/>
        <w:bottom w:val="none" w:sz="0" w:space="0" w:color="auto"/>
        <w:right w:val="none" w:sz="0" w:space="0" w:color="auto"/>
      </w:divBdr>
    </w:div>
    <w:div w:id="399057552">
      <w:marLeft w:val="0"/>
      <w:marRight w:val="0"/>
      <w:marTop w:val="0"/>
      <w:marBottom w:val="120"/>
      <w:divBdr>
        <w:top w:val="none" w:sz="0" w:space="0" w:color="auto"/>
        <w:left w:val="none" w:sz="0" w:space="0" w:color="auto"/>
        <w:bottom w:val="none" w:sz="0" w:space="0" w:color="auto"/>
        <w:right w:val="none" w:sz="0" w:space="0" w:color="auto"/>
      </w:divBdr>
    </w:div>
    <w:div w:id="401486726">
      <w:marLeft w:val="0"/>
      <w:marRight w:val="0"/>
      <w:marTop w:val="0"/>
      <w:marBottom w:val="120"/>
      <w:divBdr>
        <w:top w:val="none" w:sz="0" w:space="0" w:color="auto"/>
        <w:left w:val="none" w:sz="0" w:space="0" w:color="auto"/>
        <w:bottom w:val="none" w:sz="0" w:space="0" w:color="auto"/>
        <w:right w:val="none" w:sz="0" w:space="0" w:color="auto"/>
      </w:divBdr>
    </w:div>
    <w:div w:id="403652570">
      <w:marLeft w:val="0"/>
      <w:marRight w:val="0"/>
      <w:marTop w:val="0"/>
      <w:marBottom w:val="120"/>
      <w:divBdr>
        <w:top w:val="none" w:sz="0" w:space="0" w:color="auto"/>
        <w:left w:val="none" w:sz="0" w:space="0" w:color="auto"/>
        <w:bottom w:val="none" w:sz="0" w:space="0" w:color="auto"/>
        <w:right w:val="none" w:sz="0" w:space="0" w:color="auto"/>
      </w:divBdr>
    </w:div>
    <w:div w:id="410543966">
      <w:marLeft w:val="0"/>
      <w:marRight w:val="0"/>
      <w:marTop w:val="0"/>
      <w:marBottom w:val="120"/>
      <w:divBdr>
        <w:top w:val="none" w:sz="0" w:space="0" w:color="auto"/>
        <w:left w:val="none" w:sz="0" w:space="0" w:color="auto"/>
        <w:bottom w:val="none" w:sz="0" w:space="0" w:color="auto"/>
        <w:right w:val="none" w:sz="0" w:space="0" w:color="auto"/>
      </w:divBdr>
    </w:div>
    <w:div w:id="411127836">
      <w:marLeft w:val="0"/>
      <w:marRight w:val="0"/>
      <w:marTop w:val="0"/>
      <w:marBottom w:val="0"/>
      <w:divBdr>
        <w:top w:val="none" w:sz="0" w:space="0" w:color="auto"/>
        <w:left w:val="none" w:sz="0" w:space="0" w:color="auto"/>
        <w:bottom w:val="none" w:sz="0" w:space="0" w:color="auto"/>
        <w:right w:val="none" w:sz="0" w:space="0" w:color="auto"/>
      </w:divBdr>
      <w:divsChild>
        <w:div w:id="1539272963">
          <w:marLeft w:val="0"/>
          <w:marRight w:val="0"/>
          <w:marTop w:val="0"/>
          <w:marBottom w:val="0"/>
          <w:divBdr>
            <w:top w:val="none" w:sz="0" w:space="0" w:color="auto"/>
            <w:left w:val="none" w:sz="0" w:space="0" w:color="auto"/>
            <w:bottom w:val="none" w:sz="0" w:space="0" w:color="auto"/>
            <w:right w:val="none" w:sz="0" w:space="0" w:color="auto"/>
          </w:divBdr>
        </w:div>
      </w:divsChild>
    </w:div>
    <w:div w:id="414012541">
      <w:marLeft w:val="0"/>
      <w:marRight w:val="0"/>
      <w:marTop w:val="0"/>
      <w:marBottom w:val="0"/>
      <w:divBdr>
        <w:top w:val="none" w:sz="0" w:space="0" w:color="auto"/>
        <w:left w:val="none" w:sz="0" w:space="0" w:color="auto"/>
        <w:bottom w:val="none" w:sz="0" w:space="0" w:color="auto"/>
        <w:right w:val="none" w:sz="0" w:space="0" w:color="auto"/>
      </w:divBdr>
      <w:divsChild>
        <w:div w:id="1023751626">
          <w:marLeft w:val="0"/>
          <w:marRight w:val="0"/>
          <w:marTop w:val="0"/>
          <w:marBottom w:val="0"/>
          <w:divBdr>
            <w:top w:val="none" w:sz="0" w:space="0" w:color="auto"/>
            <w:left w:val="none" w:sz="0" w:space="0" w:color="auto"/>
            <w:bottom w:val="none" w:sz="0" w:space="0" w:color="auto"/>
            <w:right w:val="none" w:sz="0" w:space="0" w:color="auto"/>
          </w:divBdr>
        </w:div>
      </w:divsChild>
    </w:div>
    <w:div w:id="415399103">
      <w:marLeft w:val="0"/>
      <w:marRight w:val="0"/>
      <w:marTop w:val="0"/>
      <w:marBottom w:val="0"/>
      <w:divBdr>
        <w:top w:val="none" w:sz="0" w:space="0" w:color="auto"/>
        <w:left w:val="none" w:sz="0" w:space="0" w:color="auto"/>
        <w:bottom w:val="none" w:sz="0" w:space="0" w:color="auto"/>
        <w:right w:val="none" w:sz="0" w:space="0" w:color="auto"/>
      </w:divBdr>
      <w:divsChild>
        <w:div w:id="1983851122">
          <w:marLeft w:val="0"/>
          <w:marRight w:val="0"/>
          <w:marTop w:val="0"/>
          <w:marBottom w:val="0"/>
          <w:divBdr>
            <w:top w:val="none" w:sz="0" w:space="0" w:color="auto"/>
            <w:left w:val="none" w:sz="0" w:space="0" w:color="auto"/>
            <w:bottom w:val="none" w:sz="0" w:space="0" w:color="auto"/>
            <w:right w:val="none" w:sz="0" w:space="0" w:color="auto"/>
          </w:divBdr>
        </w:div>
        <w:div w:id="1507163485">
          <w:marLeft w:val="0"/>
          <w:marRight w:val="0"/>
          <w:marTop w:val="0"/>
          <w:marBottom w:val="120"/>
          <w:divBdr>
            <w:top w:val="none" w:sz="0" w:space="0" w:color="auto"/>
            <w:left w:val="none" w:sz="0" w:space="0" w:color="auto"/>
            <w:bottom w:val="none" w:sz="0" w:space="0" w:color="auto"/>
            <w:right w:val="none" w:sz="0" w:space="0" w:color="auto"/>
          </w:divBdr>
        </w:div>
      </w:divsChild>
    </w:div>
    <w:div w:id="416945942">
      <w:marLeft w:val="0"/>
      <w:marRight w:val="0"/>
      <w:marTop w:val="0"/>
      <w:marBottom w:val="0"/>
      <w:divBdr>
        <w:top w:val="none" w:sz="0" w:space="0" w:color="auto"/>
        <w:left w:val="none" w:sz="0" w:space="0" w:color="auto"/>
        <w:bottom w:val="none" w:sz="0" w:space="0" w:color="auto"/>
        <w:right w:val="none" w:sz="0" w:space="0" w:color="auto"/>
      </w:divBdr>
      <w:divsChild>
        <w:div w:id="814567690">
          <w:marLeft w:val="0"/>
          <w:marRight w:val="0"/>
          <w:marTop w:val="0"/>
          <w:marBottom w:val="0"/>
          <w:divBdr>
            <w:top w:val="none" w:sz="0" w:space="0" w:color="auto"/>
            <w:left w:val="none" w:sz="0" w:space="0" w:color="auto"/>
            <w:bottom w:val="none" w:sz="0" w:space="0" w:color="auto"/>
            <w:right w:val="none" w:sz="0" w:space="0" w:color="auto"/>
          </w:divBdr>
        </w:div>
      </w:divsChild>
    </w:div>
    <w:div w:id="430273066">
      <w:marLeft w:val="0"/>
      <w:marRight w:val="0"/>
      <w:marTop w:val="0"/>
      <w:marBottom w:val="120"/>
      <w:divBdr>
        <w:top w:val="none" w:sz="0" w:space="0" w:color="auto"/>
        <w:left w:val="none" w:sz="0" w:space="0" w:color="auto"/>
        <w:bottom w:val="none" w:sz="0" w:space="0" w:color="auto"/>
        <w:right w:val="none" w:sz="0" w:space="0" w:color="auto"/>
      </w:divBdr>
    </w:div>
    <w:div w:id="431248393">
      <w:marLeft w:val="0"/>
      <w:marRight w:val="0"/>
      <w:marTop w:val="0"/>
      <w:marBottom w:val="0"/>
      <w:divBdr>
        <w:top w:val="none" w:sz="0" w:space="0" w:color="auto"/>
        <w:left w:val="none" w:sz="0" w:space="0" w:color="auto"/>
        <w:bottom w:val="none" w:sz="0" w:space="0" w:color="auto"/>
        <w:right w:val="none" w:sz="0" w:space="0" w:color="auto"/>
      </w:divBdr>
    </w:div>
    <w:div w:id="436025781">
      <w:marLeft w:val="0"/>
      <w:marRight w:val="0"/>
      <w:marTop w:val="0"/>
      <w:marBottom w:val="120"/>
      <w:divBdr>
        <w:top w:val="none" w:sz="0" w:space="0" w:color="auto"/>
        <w:left w:val="none" w:sz="0" w:space="0" w:color="auto"/>
        <w:bottom w:val="none" w:sz="0" w:space="0" w:color="auto"/>
        <w:right w:val="none" w:sz="0" w:space="0" w:color="auto"/>
      </w:divBdr>
    </w:div>
    <w:div w:id="441537200">
      <w:marLeft w:val="0"/>
      <w:marRight w:val="0"/>
      <w:marTop w:val="0"/>
      <w:marBottom w:val="120"/>
      <w:divBdr>
        <w:top w:val="none" w:sz="0" w:space="0" w:color="auto"/>
        <w:left w:val="none" w:sz="0" w:space="0" w:color="auto"/>
        <w:bottom w:val="none" w:sz="0" w:space="0" w:color="auto"/>
        <w:right w:val="none" w:sz="0" w:space="0" w:color="auto"/>
      </w:divBdr>
    </w:div>
    <w:div w:id="453407757">
      <w:marLeft w:val="0"/>
      <w:marRight w:val="0"/>
      <w:marTop w:val="0"/>
      <w:marBottom w:val="120"/>
      <w:divBdr>
        <w:top w:val="none" w:sz="0" w:space="0" w:color="auto"/>
        <w:left w:val="none" w:sz="0" w:space="0" w:color="auto"/>
        <w:bottom w:val="none" w:sz="0" w:space="0" w:color="auto"/>
        <w:right w:val="none" w:sz="0" w:space="0" w:color="auto"/>
      </w:divBdr>
    </w:div>
    <w:div w:id="453445101">
      <w:marLeft w:val="0"/>
      <w:marRight w:val="0"/>
      <w:marTop w:val="0"/>
      <w:marBottom w:val="240"/>
      <w:divBdr>
        <w:top w:val="none" w:sz="0" w:space="0" w:color="auto"/>
        <w:left w:val="none" w:sz="0" w:space="0" w:color="auto"/>
        <w:bottom w:val="none" w:sz="0" w:space="0" w:color="auto"/>
        <w:right w:val="none" w:sz="0" w:space="0" w:color="auto"/>
      </w:divBdr>
    </w:div>
    <w:div w:id="454639516">
      <w:marLeft w:val="0"/>
      <w:marRight w:val="0"/>
      <w:marTop w:val="0"/>
      <w:marBottom w:val="120"/>
      <w:divBdr>
        <w:top w:val="none" w:sz="0" w:space="0" w:color="auto"/>
        <w:left w:val="none" w:sz="0" w:space="0" w:color="auto"/>
        <w:bottom w:val="none" w:sz="0" w:space="0" w:color="auto"/>
        <w:right w:val="none" w:sz="0" w:space="0" w:color="auto"/>
      </w:divBdr>
    </w:div>
    <w:div w:id="454720125">
      <w:marLeft w:val="0"/>
      <w:marRight w:val="0"/>
      <w:marTop w:val="0"/>
      <w:marBottom w:val="120"/>
      <w:divBdr>
        <w:top w:val="none" w:sz="0" w:space="0" w:color="auto"/>
        <w:left w:val="none" w:sz="0" w:space="0" w:color="auto"/>
        <w:bottom w:val="none" w:sz="0" w:space="0" w:color="auto"/>
        <w:right w:val="none" w:sz="0" w:space="0" w:color="auto"/>
      </w:divBdr>
    </w:div>
    <w:div w:id="457376664">
      <w:marLeft w:val="0"/>
      <w:marRight w:val="0"/>
      <w:marTop w:val="0"/>
      <w:marBottom w:val="120"/>
      <w:divBdr>
        <w:top w:val="none" w:sz="0" w:space="0" w:color="auto"/>
        <w:left w:val="none" w:sz="0" w:space="0" w:color="auto"/>
        <w:bottom w:val="none" w:sz="0" w:space="0" w:color="auto"/>
        <w:right w:val="none" w:sz="0" w:space="0" w:color="auto"/>
      </w:divBdr>
    </w:div>
    <w:div w:id="470901328">
      <w:marLeft w:val="0"/>
      <w:marRight w:val="0"/>
      <w:marTop w:val="0"/>
      <w:marBottom w:val="120"/>
      <w:divBdr>
        <w:top w:val="none" w:sz="0" w:space="0" w:color="auto"/>
        <w:left w:val="none" w:sz="0" w:space="0" w:color="auto"/>
        <w:bottom w:val="none" w:sz="0" w:space="0" w:color="auto"/>
        <w:right w:val="none" w:sz="0" w:space="0" w:color="auto"/>
      </w:divBdr>
    </w:div>
    <w:div w:id="471483762">
      <w:marLeft w:val="0"/>
      <w:marRight w:val="0"/>
      <w:marTop w:val="0"/>
      <w:marBottom w:val="120"/>
      <w:divBdr>
        <w:top w:val="none" w:sz="0" w:space="0" w:color="auto"/>
        <w:left w:val="none" w:sz="0" w:space="0" w:color="auto"/>
        <w:bottom w:val="none" w:sz="0" w:space="0" w:color="auto"/>
        <w:right w:val="none" w:sz="0" w:space="0" w:color="auto"/>
      </w:divBdr>
    </w:div>
    <w:div w:id="482309630">
      <w:marLeft w:val="0"/>
      <w:marRight w:val="0"/>
      <w:marTop w:val="0"/>
      <w:marBottom w:val="60"/>
      <w:divBdr>
        <w:top w:val="none" w:sz="0" w:space="0" w:color="auto"/>
        <w:left w:val="none" w:sz="0" w:space="0" w:color="auto"/>
        <w:bottom w:val="none" w:sz="0" w:space="0" w:color="auto"/>
        <w:right w:val="none" w:sz="0" w:space="0" w:color="auto"/>
      </w:divBdr>
    </w:div>
    <w:div w:id="482547387">
      <w:marLeft w:val="0"/>
      <w:marRight w:val="0"/>
      <w:marTop w:val="0"/>
      <w:marBottom w:val="120"/>
      <w:divBdr>
        <w:top w:val="none" w:sz="0" w:space="0" w:color="auto"/>
        <w:left w:val="none" w:sz="0" w:space="0" w:color="auto"/>
        <w:bottom w:val="none" w:sz="0" w:space="0" w:color="auto"/>
        <w:right w:val="none" w:sz="0" w:space="0" w:color="auto"/>
      </w:divBdr>
    </w:div>
    <w:div w:id="483858999">
      <w:marLeft w:val="0"/>
      <w:marRight w:val="0"/>
      <w:marTop w:val="0"/>
      <w:marBottom w:val="120"/>
      <w:divBdr>
        <w:top w:val="none" w:sz="0" w:space="0" w:color="auto"/>
        <w:left w:val="none" w:sz="0" w:space="0" w:color="auto"/>
        <w:bottom w:val="none" w:sz="0" w:space="0" w:color="auto"/>
        <w:right w:val="none" w:sz="0" w:space="0" w:color="auto"/>
      </w:divBdr>
    </w:div>
    <w:div w:id="487138296">
      <w:marLeft w:val="0"/>
      <w:marRight w:val="0"/>
      <w:marTop w:val="0"/>
      <w:marBottom w:val="120"/>
      <w:divBdr>
        <w:top w:val="none" w:sz="0" w:space="0" w:color="auto"/>
        <w:left w:val="none" w:sz="0" w:space="0" w:color="auto"/>
        <w:bottom w:val="none" w:sz="0" w:space="0" w:color="auto"/>
        <w:right w:val="none" w:sz="0" w:space="0" w:color="auto"/>
      </w:divBdr>
    </w:div>
    <w:div w:id="487792441">
      <w:marLeft w:val="0"/>
      <w:marRight w:val="0"/>
      <w:marTop w:val="140"/>
      <w:marBottom w:val="120"/>
      <w:divBdr>
        <w:top w:val="none" w:sz="0" w:space="0" w:color="auto"/>
        <w:left w:val="none" w:sz="0" w:space="0" w:color="auto"/>
        <w:bottom w:val="none" w:sz="0" w:space="0" w:color="auto"/>
        <w:right w:val="none" w:sz="0" w:space="0" w:color="auto"/>
      </w:divBdr>
    </w:div>
    <w:div w:id="488644215">
      <w:marLeft w:val="0"/>
      <w:marRight w:val="0"/>
      <w:marTop w:val="0"/>
      <w:marBottom w:val="100"/>
      <w:divBdr>
        <w:top w:val="none" w:sz="0" w:space="0" w:color="auto"/>
        <w:left w:val="none" w:sz="0" w:space="0" w:color="auto"/>
        <w:bottom w:val="none" w:sz="0" w:space="0" w:color="auto"/>
        <w:right w:val="none" w:sz="0" w:space="0" w:color="auto"/>
      </w:divBdr>
    </w:div>
    <w:div w:id="496264089">
      <w:marLeft w:val="0"/>
      <w:marRight w:val="0"/>
      <w:marTop w:val="0"/>
      <w:marBottom w:val="120"/>
      <w:divBdr>
        <w:top w:val="none" w:sz="0" w:space="0" w:color="auto"/>
        <w:left w:val="none" w:sz="0" w:space="0" w:color="auto"/>
        <w:bottom w:val="none" w:sz="0" w:space="0" w:color="auto"/>
        <w:right w:val="none" w:sz="0" w:space="0" w:color="auto"/>
      </w:divBdr>
    </w:div>
    <w:div w:id="497967660">
      <w:marLeft w:val="0"/>
      <w:marRight w:val="0"/>
      <w:marTop w:val="0"/>
      <w:marBottom w:val="120"/>
      <w:divBdr>
        <w:top w:val="none" w:sz="0" w:space="0" w:color="auto"/>
        <w:left w:val="none" w:sz="0" w:space="0" w:color="auto"/>
        <w:bottom w:val="none" w:sz="0" w:space="0" w:color="auto"/>
        <w:right w:val="none" w:sz="0" w:space="0" w:color="auto"/>
      </w:divBdr>
    </w:div>
    <w:div w:id="500698830">
      <w:marLeft w:val="0"/>
      <w:marRight w:val="0"/>
      <w:marTop w:val="0"/>
      <w:marBottom w:val="120"/>
      <w:divBdr>
        <w:top w:val="none" w:sz="0" w:space="0" w:color="auto"/>
        <w:left w:val="none" w:sz="0" w:space="0" w:color="auto"/>
        <w:bottom w:val="none" w:sz="0" w:space="0" w:color="auto"/>
        <w:right w:val="none" w:sz="0" w:space="0" w:color="auto"/>
      </w:divBdr>
    </w:div>
    <w:div w:id="507521331">
      <w:marLeft w:val="0"/>
      <w:marRight w:val="0"/>
      <w:marTop w:val="0"/>
      <w:marBottom w:val="0"/>
      <w:divBdr>
        <w:top w:val="none" w:sz="0" w:space="0" w:color="auto"/>
        <w:left w:val="none" w:sz="0" w:space="0" w:color="auto"/>
        <w:bottom w:val="none" w:sz="0" w:space="0" w:color="auto"/>
        <w:right w:val="none" w:sz="0" w:space="0" w:color="auto"/>
      </w:divBdr>
    </w:div>
    <w:div w:id="514996198">
      <w:marLeft w:val="0"/>
      <w:marRight w:val="0"/>
      <w:marTop w:val="0"/>
      <w:marBottom w:val="120"/>
      <w:divBdr>
        <w:top w:val="none" w:sz="0" w:space="0" w:color="auto"/>
        <w:left w:val="none" w:sz="0" w:space="0" w:color="auto"/>
        <w:bottom w:val="none" w:sz="0" w:space="0" w:color="auto"/>
        <w:right w:val="none" w:sz="0" w:space="0" w:color="auto"/>
      </w:divBdr>
    </w:div>
    <w:div w:id="516499986">
      <w:marLeft w:val="0"/>
      <w:marRight w:val="0"/>
      <w:marTop w:val="0"/>
      <w:marBottom w:val="0"/>
      <w:divBdr>
        <w:top w:val="none" w:sz="0" w:space="0" w:color="auto"/>
        <w:left w:val="none" w:sz="0" w:space="0" w:color="auto"/>
        <w:bottom w:val="none" w:sz="0" w:space="0" w:color="auto"/>
        <w:right w:val="none" w:sz="0" w:space="0" w:color="auto"/>
      </w:divBdr>
      <w:divsChild>
        <w:div w:id="1024095691">
          <w:marLeft w:val="0"/>
          <w:marRight w:val="0"/>
          <w:marTop w:val="0"/>
          <w:marBottom w:val="0"/>
          <w:divBdr>
            <w:top w:val="none" w:sz="0" w:space="0" w:color="auto"/>
            <w:left w:val="none" w:sz="0" w:space="0" w:color="auto"/>
            <w:bottom w:val="none" w:sz="0" w:space="0" w:color="auto"/>
            <w:right w:val="none" w:sz="0" w:space="0" w:color="auto"/>
          </w:divBdr>
        </w:div>
      </w:divsChild>
    </w:div>
    <w:div w:id="516772529">
      <w:marLeft w:val="0"/>
      <w:marRight w:val="0"/>
      <w:marTop w:val="0"/>
      <w:marBottom w:val="100"/>
      <w:divBdr>
        <w:top w:val="none" w:sz="0" w:space="0" w:color="auto"/>
        <w:left w:val="none" w:sz="0" w:space="0" w:color="auto"/>
        <w:bottom w:val="none" w:sz="0" w:space="0" w:color="auto"/>
        <w:right w:val="none" w:sz="0" w:space="0" w:color="auto"/>
      </w:divBdr>
    </w:div>
    <w:div w:id="522283073">
      <w:marLeft w:val="0"/>
      <w:marRight w:val="0"/>
      <w:marTop w:val="0"/>
      <w:marBottom w:val="120"/>
      <w:divBdr>
        <w:top w:val="none" w:sz="0" w:space="0" w:color="auto"/>
        <w:left w:val="none" w:sz="0" w:space="0" w:color="auto"/>
        <w:bottom w:val="none" w:sz="0" w:space="0" w:color="auto"/>
        <w:right w:val="none" w:sz="0" w:space="0" w:color="auto"/>
      </w:divBdr>
    </w:div>
    <w:div w:id="530535306">
      <w:marLeft w:val="0"/>
      <w:marRight w:val="0"/>
      <w:marTop w:val="0"/>
      <w:marBottom w:val="120"/>
      <w:divBdr>
        <w:top w:val="none" w:sz="0" w:space="0" w:color="auto"/>
        <w:left w:val="none" w:sz="0" w:space="0" w:color="auto"/>
        <w:bottom w:val="none" w:sz="0" w:space="0" w:color="auto"/>
        <w:right w:val="none" w:sz="0" w:space="0" w:color="auto"/>
      </w:divBdr>
    </w:div>
    <w:div w:id="531262387">
      <w:marLeft w:val="0"/>
      <w:marRight w:val="0"/>
      <w:marTop w:val="100"/>
      <w:marBottom w:val="20"/>
      <w:divBdr>
        <w:top w:val="none" w:sz="0" w:space="0" w:color="auto"/>
        <w:left w:val="none" w:sz="0" w:space="0" w:color="auto"/>
        <w:bottom w:val="none" w:sz="0" w:space="0" w:color="auto"/>
        <w:right w:val="none" w:sz="0" w:space="0" w:color="auto"/>
      </w:divBdr>
      <w:divsChild>
        <w:div w:id="223491432">
          <w:marLeft w:val="0"/>
          <w:marRight w:val="0"/>
          <w:marTop w:val="0"/>
          <w:marBottom w:val="0"/>
          <w:divBdr>
            <w:top w:val="none" w:sz="0" w:space="0" w:color="auto"/>
            <w:left w:val="none" w:sz="0" w:space="0" w:color="auto"/>
            <w:bottom w:val="none" w:sz="0" w:space="0" w:color="auto"/>
            <w:right w:val="none" w:sz="0" w:space="0" w:color="auto"/>
          </w:divBdr>
        </w:div>
        <w:div w:id="1965039042">
          <w:marLeft w:val="0"/>
          <w:marRight w:val="0"/>
          <w:marTop w:val="0"/>
          <w:marBottom w:val="0"/>
          <w:divBdr>
            <w:top w:val="none" w:sz="0" w:space="0" w:color="auto"/>
            <w:left w:val="none" w:sz="0" w:space="0" w:color="auto"/>
            <w:bottom w:val="none" w:sz="0" w:space="0" w:color="auto"/>
            <w:right w:val="none" w:sz="0" w:space="0" w:color="auto"/>
          </w:divBdr>
        </w:div>
        <w:div w:id="1021391819">
          <w:marLeft w:val="0"/>
          <w:marRight w:val="0"/>
          <w:marTop w:val="0"/>
          <w:marBottom w:val="0"/>
          <w:divBdr>
            <w:top w:val="none" w:sz="0" w:space="0" w:color="auto"/>
            <w:left w:val="none" w:sz="0" w:space="0" w:color="auto"/>
            <w:bottom w:val="none" w:sz="0" w:space="0" w:color="auto"/>
            <w:right w:val="none" w:sz="0" w:space="0" w:color="auto"/>
          </w:divBdr>
        </w:div>
        <w:div w:id="38093402">
          <w:marLeft w:val="0"/>
          <w:marRight w:val="0"/>
          <w:marTop w:val="0"/>
          <w:marBottom w:val="0"/>
          <w:divBdr>
            <w:top w:val="none" w:sz="0" w:space="0" w:color="auto"/>
            <w:left w:val="none" w:sz="0" w:space="0" w:color="auto"/>
            <w:bottom w:val="none" w:sz="0" w:space="0" w:color="auto"/>
            <w:right w:val="none" w:sz="0" w:space="0" w:color="auto"/>
          </w:divBdr>
        </w:div>
      </w:divsChild>
    </w:div>
    <w:div w:id="536550339">
      <w:marLeft w:val="0"/>
      <w:marRight w:val="0"/>
      <w:marTop w:val="0"/>
      <w:marBottom w:val="0"/>
      <w:divBdr>
        <w:top w:val="none" w:sz="0" w:space="0" w:color="auto"/>
        <w:left w:val="none" w:sz="0" w:space="0" w:color="auto"/>
        <w:bottom w:val="none" w:sz="0" w:space="0" w:color="auto"/>
        <w:right w:val="none" w:sz="0" w:space="0" w:color="auto"/>
      </w:divBdr>
      <w:divsChild>
        <w:div w:id="676005302">
          <w:marLeft w:val="0"/>
          <w:marRight w:val="0"/>
          <w:marTop w:val="0"/>
          <w:marBottom w:val="0"/>
          <w:divBdr>
            <w:top w:val="none" w:sz="0" w:space="0" w:color="auto"/>
            <w:left w:val="none" w:sz="0" w:space="0" w:color="auto"/>
            <w:bottom w:val="none" w:sz="0" w:space="0" w:color="auto"/>
            <w:right w:val="none" w:sz="0" w:space="0" w:color="auto"/>
          </w:divBdr>
          <w:divsChild>
            <w:div w:id="3240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7038">
      <w:marLeft w:val="0"/>
      <w:marRight w:val="0"/>
      <w:marTop w:val="0"/>
      <w:marBottom w:val="0"/>
      <w:divBdr>
        <w:top w:val="none" w:sz="0" w:space="0" w:color="auto"/>
        <w:left w:val="none" w:sz="0" w:space="0" w:color="auto"/>
        <w:bottom w:val="none" w:sz="0" w:space="0" w:color="auto"/>
        <w:right w:val="none" w:sz="0" w:space="0" w:color="auto"/>
      </w:divBdr>
    </w:div>
    <w:div w:id="549265522">
      <w:marLeft w:val="0"/>
      <w:marRight w:val="0"/>
      <w:marTop w:val="0"/>
      <w:marBottom w:val="120"/>
      <w:divBdr>
        <w:top w:val="none" w:sz="0" w:space="0" w:color="auto"/>
        <w:left w:val="none" w:sz="0" w:space="0" w:color="auto"/>
        <w:bottom w:val="none" w:sz="0" w:space="0" w:color="auto"/>
        <w:right w:val="none" w:sz="0" w:space="0" w:color="auto"/>
      </w:divBdr>
    </w:div>
    <w:div w:id="549456798">
      <w:marLeft w:val="0"/>
      <w:marRight w:val="0"/>
      <w:marTop w:val="0"/>
      <w:marBottom w:val="120"/>
      <w:divBdr>
        <w:top w:val="none" w:sz="0" w:space="0" w:color="auto"/>
        <w:left w:val="none" w:sz="0" w:space="0" w:color="auto"/>
        <w:bottom w:val="none" w:sz="0" w:space="0" w:color="auto"/>
        <w:right w:val="none" w:sz="0" w:space="0" w:color="auto"/>
      </w:divBdr>
    </w:div>
    <w:div w:id="551117640">
      <w:marLeft w:val="0"/>
      <w:marRight w:val="0"/>
      <w:marTop w:val="0"/>
      <w:marBottom w:val="0"/>
      <w:divBdr>
        <w:top w:val="none" w:sz="0" w:space="0" w:color="auto"/>
        <w:left w:val="none" w:sz="0" w:space="0" w:color="auto"/>
        <w:bottom w:val="none" w:sz="0" w:space="0" w:color="auto"/>
        <w:right w:val="none" w:sz="0" w:space="0" w:color="auto"/>
      </w:divBdr>
      <w:divsChild>
        <w:div w:id="1952319643">
          <w:marLeft w:val="0"/>
          <w:marRight w:val="0"/>
          <w:marTop w:val="0"/>
          <w:marBottom w:val="0"/>
          <w:divBdr>
            <w:top w:val="none" w:sz="0" w:space="0" w:color="auto"/>
            <w:left w:val="none" w:sz="0" w:space="0" w:color="auto"/>
            <w:bottom w:val="none" w:sz="0" w:space="0" w:color="auto"/>
            <w:right w:val="none" w:sz="0" w:space="0" w:color="auto"/>
          </w:divBdr>
        </w:div>
      </w:divsChild>
    </w:div>
    <w:div w:id="554464570">
      <w:marLeft w:val="0"/>
      <w:marRight w:val="0"/>
      <w:marTop w:val="0"/>
      <w:marBottom w:val="20"/>
      <w:divBdr>
        <w:top w:val="none" w:sz="0" w:space="0" w:color="auto"/>
        <w:left w:val="none" w:sz="0" w:space="0" w:color="auto"/>
        <w:bottom w:val="none" w:sz="0" w:space="0" w:color="auto"/>
        <w:right w:val="none" w:sz="0" w:space="0" w:color="auto"/>
      </w:divBdr>
    </w:div>
    <w:div w:id="559219843">
      <w:marLeft w:val="0"/>
      <w:marRight w:val="0"/>
      <w:marTop w:val="0"/>
      <w:marBottom w:val="0"/>
      <w:divBdr>
        <w:top w:val="none" w:sz="0" w:space="0" w:color="auto"/>
        <w:left w:val="none" w:sz="0" w:space="0" w:color="auto"/>
        <w:bottom w:val="none" w:sz="0" w:space="0" w:color="auto"/>
        <w:right w:val="none" w:sz="0" w:space="0" w:color="auto"/>
      </w:divBdr>
      <w:divsChild>
        <w:div w:id="598224368">
          <w:marLeft w:val="0"/>
          <w:marRight w:val="0"/>
          <w:marTop w:val="0"/>
          <w:marBottom w:val="0"/>
          <w:divBdr>
            <w:top w:val="none" w:sz="0" w:space="0" w:color="auto"/>
            <w:left w:val="none" w:sz="0" w:space="0" w:color="auto"/>
            <w:bottom w:val="none" w:sz="0" w:space="0" w:color="auto"/>
            <w:right w:val="none" w:sz="0" w:space="0" w:color="auto"/>
          </w:divBdr>
        </w:div>
        <w:div w:id="1600287328">
          <w:marLeft w:val="0"/>
          <w:marRight w:val="0"/>
          <w:marTop w:val="0"/>
          <w:marBottom w:val="0"/>
          <w:divBdr>
            <w:top w:val="none" w:sz="0" w:space="0" w:color="auto"/>
            <w:left w:val="none" w:sz="0" w:space="0" w:color="auto"/>
            <w:bottom w:val="none" w:sz="0" w:space="0" w:color="auto"/>
            <w:right w:val="none" w:sz="0" w:space="0" w:color="auto"/>
          </w:divBdr>
        </w:div>
        <w:div w:id="2133818693">
          <w:marLeft w:val="0"/>
          <w:marRight w:val="0"/>
          <w:marTop w:val="0"/>
          <w:marBottom w:val="0"/>
          <w:divBdr>
            <w:top w:val="none" w:sz="0" w:space="0" w:color="auto"/>
            <w:left w:val="none" w:sz="0" w:space="0" w:color="auto"/>
            <w:bottom w:val="none" w:sz="0" w:space="0" w:color="auto"/>
            <w:right w:val="none" w:sz="0" w:space="0" w:color="auto"/>
          </w:divBdr>
        </w:div>
      </w:divsChild>
    </w:div>
    <w:div w:id="565188808">
      <w:marLeft w:val="0"/>
      <w:marRight w:val="0"/>
      <w:marTop w:val="0"/>
      <w:marBottom w:val="20"/>
      <w:divBdr>
        <w:top w:val="none" w:sz="0" w:space="0" w:color="auto"/>
        <w:left w:val="none" w:sz="0" w:space="0" w:color="auto"/>
        <w:bottom w:val="none" w:sz="0" w:space="0" w:color="auto"/>
        <w:right w:val="none" w:sz="0" w:space="0" w:color="auto"/>
      </w:divBdr>
    </w:div>
    <w:div w:id="567883821">
      <w:marLeft w:val="0"/>
      <w:marRight w:val="0"/>
      <w:marTop w:val="100"/>
      <w:marBottom w:val="120"/>
      <w:divBdr>
        <w:top w:val="none" w:sz="0" w:space="0" w:color="auto"/>
        <w:left w:val="none" w:sz="0" w:space="0" w:color="auto"/>
        <w:bottom w:val="none" w:sz="0" w:space="0" w:color="auto"/>
        <w:right w:val="none" w:sz="0" w:space="0" w:color="auto"/>
      </w:divBdr>
      <w:divsChild>
        <w:div w:id="855457805">
          <w:marLeft w:val="0"/>
          <w:marRight w:val="0"/>
          <w:marTop w:val="0"/>
          <w:marBottom w:val="0"/>
          <w:divBdr>
            <w:top w:val="none" w:sz="0" w:space="0" w:color="auto"/>
            <w:left w:val="none" w:sz="0" w:space="0" w:color="auto"/>
            <w:bottom w:val="none" w:sz="0" w:space="0" w:color="auto"/>
            <w:right w:val="none" w:sz="0" w:space="0" w:color="auto"/>
          </w:divBdr>
        </w:div>
        <w:div w:id="1111897352">
          <w:marLeft w:val="0"/>
          <w:marRight w:val="0"/>
          <w:marTop w:val="0"/>
          <w:marBottom w:val="0"/>
          <w:divBdr>
            <w:top w:val="none" w:sz="0" w:space="0" w:color="auto"/>
            <w:left w:val="none" w:sz="0" w:space="0" w:color="auto"/>
            <w:bottom w:val="none" w:sz="0" w:space="0" w:color="auto"/>
            <w:right w:val="none" w:sz="0" w:space="0" w:color="auto"/>
          </w:divBdr>
        </w:div>
        <w:div w:id="259684687">
          <w:marLeft w:val="0"/>
          <w:marRight w:val="0"/>
          <w:marTop w:val="0"/>
          <w:marBottom w:val="0"/>
          <w:divBdr>
            <w:top w:val="none" w:sz="0" w:space="0" w:color="auto"/>
            <w:left w:val="none" w:sz="0" w:space="0" w:color="auto"/>
            <w:bottom w:val="none" w:sz="0" w:space="0" w:color="auto"/>
            <w:right w:val="none" w:sz="0" w:space="0" w:color="auto"/>
          </w:divBdr>
        </w:div>
        <w:div w:id="128937023">
          <w:marLeft w:val="0"/>
          <w:marRight w:val="0"/>
          <w:marTop w:val="0"/>
          <w:marBottom w:val="0"/>
          <w:divBdr>
            <w:top w:val="none" w:sz="0" w:space="0" w:color="auto"/>
            <w:left w:val="none" w:sz="0" w:space="0" w:color="auto"/>
            <w:bottom w:val="none" w:sz="0" w:space="0" w:color="auto"/>
            <w:right w:val="none" w:sz="0" w:space="0" w:color="auto"/>
          </w:divBdr>
        </w:div>
        <w:div w:id="1402561851">
          <w:marLeft w:val="0"/>
          <w:marRight w:val="0"/>
          <w:marTop w:val="0"/>
          <w:marBottom w:val="0"/>
          <w:divBdr>
            <w:top w:val="none" w:sz="0" w:space="0" w:color="auto"/>
            <w:left w:val="none" w:sz="0" w:space="0" w:color="auto"/>
            <w:bottom w:val="none" w:sz="0" w:space="0" w:color="auto"/>
            <w:right w:val="none" w:sz="0" w:space="0" w:color="auto"/>
          </w:divBdr>
        </w:div>
        <w:div w:id="1065690303">
          <w:marLeft w:val="0"/>
          <w:marRight w:val="0"/>
          <w:marTop w:val="0"/>
          <w:marBottom w:val="0"/>
          <w:divBdr>
            <w:top w:val="none" w:sz="0" w:space="0" w:color="auto"/>
            <w:left w:val="none" w:sz="0" w:space="0" w:color="auto"/>
            <w:bottom w:val="none" w:sz="0" w:space="0" w:color="auto"/>
            <w:right w:val="none" w:sz="0" w:space="0" w:color="auto"/>
          </w:divBdr>
        </w:div>
        <w:div w:id="1144082046">
          <w:marLeft w:val="0"/>
          <w:marRight w:val="0"/>
          <w:marTop w:val="0"/>
          <w:marBottom w:val="0"/>
          <w:divBdr>
            <w:top w:val="none" w:sz="0" w:space="0" w:color="auto"/>
            <w:left w:val="none" w:sz="0" w:space="0" w:color="auto"/>
            <w:bottom w:val="none" w:sz="0" w:space="0" w:color="auto"/>
            <w:right w:val="none" w:sz="0" w:space="0" w:color="auto"/>
          </w:divBdr>
        </w:div>
      </w:divsChild>
    </w:div>
    <w:div w:id="569194703">
      <w:marLeft w:val="0"/>
      <w:marRight w:val="0"/>
      <w:marTop w:val="0"/>
      <w:marBottom w:val="0"/>
      <w:divBdr>
        <w:top w:val="none" w:sz="0" w:space="0" w:color="auto"/>
        <w:left w:val="none" w:sz="0" w:space="0" w:color="auto"/>
        <w:bottom w:val="none" w:sz="0" w:space="0" w:color="auto"/>
        <w:right w:val="none" w:sz="0" w:space="0" w:color="auto"/>
      </w:divBdr>
      <w:divsChild>
        <w:div w:id="1829396935">
          <w:marLeft w:val="0"/>
          <w:marRight w:val="0"/>
          <w:marTop w:val="0"/>
          <w:marBottom w:val="0"/>
          <w:divBdr>
            <w:top w:val="none" w:sz="0" w:space="0" w:color="auto"/>
            <w:left w:val="none" w:sz="0" w:space="0" w:color="auto"/>
            <w:bottom w:val="none" w:sz="0" w:space="0" w:color="auto"/>
            <w:right w:val="none" w:sz="0" w:space="0" w:color="auto"/>
          </w:divBdr>
        </w:div>
      </w:divsChild>
    </w:div>
    <w:div w:id="586891996">
      <w:marLeft w:val="0"/>
      <w:marRight w:val="0"/>
      <w:marTop w:val="0"/>
      <w:marBottom w:val="0"/>
      <w:divBdr>
        <w:top w:val="none" w:sz="0" w:space="0" w:color="auto"/>
        <w:left w:val="none" w:sz="0" w:space="0" w:color="auto"/>
        <w:bottom w:val="none" w:sz="0" w:space="0" w:color="auto"/>
        <w:right w:val="none" w:sz="0" w:space="0" w:color="auto"/>
      </w:divBdr>
    </w:div>
    <w:div w:id="587084782">
      <w:marLeft w:val="0"/>
      <w:marRight w:val="0"/>
      <w:marTop w:val="0"/>
      <w:marBottom w:val="120"/>
      <w:divBdr>
        <w:top w:val="none" w:sz="0" w:space="0" w:color="auto"/>
        <w:left w:val="none" w:sz="0" w:space="0" w:color="auto"/>
        <w:bottom w:val="none" w:sz="0" w:space="0" w:color="auto"/>
        <w:right w:val="none" w:sz="0" w:space="0" w:color="auto"/>
      </w:divBdr>
    </w:div>
    <w:div w:id="591010185">
      <w:marLeft w:val="0"/>
      <w:marRight w:val="0"/>
      <w:marTop w:val="20"/>
      <w:marBottom w:val="120"/>
      <w:divBdr>
        <w:top w:val="none" w:sz="0" w:space="0" w:color="auto"/>
        <w:left w:val="none" w:sz="0" w:space="0" w:color="auto"/>
        <w:bottom w:val="none" w:sz="0" w:space="0" w:color="auto"/>
        <w:right w:val="none" w:sz="0" w:space="0" w:color="auto"/>
      </w:divBdr>
    </w:div>
    <w:div w:id="602300835">
      <w:marLeft w:val="0"/>
      <w:marRight w:val="0"/>
      <w:marTop w:val="0"/>
      <w:marBottom w:val="120"/>
      <w:divBdr>
        <w:top w:val="none" w:sz="0" w:space="0" w:color="auto"/>
        <w:left w:val="none" w:sz="0" w:space="0" w:color="auto"/>
        <w:bottom w:val="none" w:sz="0" w:space="0" w:color="auto"/>
        <w:right w:val="none" w:sz="0" w:space="0" w:color="auto"/>
      </w:divBdr>
    </w:div>
    <w:div w:id="611981526">
      <w:marLeft w:val="0"/>
      <w:marRight w:val="0"/>
      <w:marTop w:val="0"/>
      <w:marBottom w:val="120"/>
      <w:divBdr>
        <w:top w:val="none" w:sz="0" w:space="0" w:color="auto"/>
        <w:left w:val="none" w:sz="0" w:space="0" w:color="auto"/>
        <w:bottom w:val="none" w:sz="0" w:space="0" w:color="auto"/>
        <w:right w:val="none" w:sz="0" w:space="0" w:color="auto"/>
      </w:divBdr>
    </w:div>
    <w:div w:id="614214421">
      <w:marLeft w:val="0"/>
      <w:marRight w:val="0"/>
      <w:marTop w:val="0"/>
      <w:marBottom w:val="0"/>
      <w:divBdr>
        <w:top w:val="none" w:sz="0" w:space="0" w:color="auto"/>
        <w:left w:val="none" w:sz="0" w:space="0" w:color="auto"/>
        <w:bottom w:val="none" w:sz="0" w:space="0" w:color="auto"/>
        <w:right w:val="none" w:sz="0" w:space="0" w:color="auto"/>
      </w:divBdr>
      <w:divsChild>
        <w:div w:id="1154252086">
          <w:marLeft w:val="0"/>
          <w:marRight w:val="0"/>
          <w:marTop w:val="0"/>
          <w:marBottom w:val="0"/>
          <w:divBdr>
            <w:top w:val="none" w:sz="0" w:space="0" w:color="auto"/>
            <w:left w:val="none" w:sz="0" w:space="0" w:color="auto"/>
            <w:bottom w:val="none" w:sz="0" w:space="0" w:color="auto"/>
            <w:right w:val="none" w:sz="0" w:space="0" w:color="auto"/>
          </w:divBdr>
        </w:div>
      </w:divsChild>
    </w:div>
    <w:div w:id="623586200">
      <w:marLeft w:val="0"/>
      <w:marRight w:val="0"/>
      <w:marTop w:val="0"/>
      <w:marBottom w:val="120"/>
      <w:divBdr>
        <w:top w:val="none" w:sz="0" w:space="0" w:color="auto"/>
        <w:left w:val="none" w:sz="0" w:space="0" w:color="auto"/>
        <w:bottom w:val="none" w:sz="0" w:space="0" w:color="auto"/>
        <w:right w:val="none" w:sz="0" w:space="0" w:color="auto"/>
      </w:divBdr>
    </w:div>
    <w:div w:id="623737683">
      <w:marLeft w:val="0"/>
      <w:marRight w:val="0"/>
      <w:marTop w:val="0"/>
      <w:marBottom w:val="0"/>
      <w:divBdr>
        <w:top w:val="none" w:sz="0" w:space="0" w:color="auto"/>
        <w:left w:val="none" w:sz="0" w:space="0" w:color="auto"/>
        <w:bottom w:val="none" w:sz="0" w:space="0" w:color="auto"/>
        <w:right w:val="none" w:sz="0" w:space="0" w:color="auto"/>
      </w:divBdr>
      <w:divsChild>
        <w:div w:id="874075917">
          <w:marLeft w:val="0"/>
          <w:marRight w:val="0"/>
          <w:marTop w:val="0"/>
          <w:marBottom w:val="0"/>
          <w:divBdr>
            <w:top w:val="none" w:sz="0" w:space="0" w:color="auto"/>
            <w:left w:val="none" w:sz="0" w:space="0" w:color="auto"/>
            <w:bottom w:val="none" w:sz="0" w:space="0" w:color="auto"/>
            <w:right w:val="none" w:sz="0" w:space="0" w:color="auto"/>
          </w:divBdr>
        </w:div>
      </w:divsChild>
    </w:div>
    <w:div w:id="624435046">
      <w:marLeft w:val="0"/>
      <w:marRight w:val="0"/>
      <w:marTop w:val="0"/>
      <w:marBottom w:val="0"/>
      <w:divBdr>
        <w:top w:val="none" w:sz="0" w:space="0" w:color="auto"/>
        <w:left w:val="none" w:sz="0" w:space="0" w:color="auto"/>
        <w:bottom w:val="none" w:sz="0" w:space="0" w:color="auto"/>
        <w:right w:val="none" w:sz="0" w:space="0" w:color="auto"/>
      </w:divBdr>
      <w:divsChild>
        <w:div w:id="1377781215">
          <w:marLeft w:val="0"/>
          <w:marRight w:val="0"/>
          <w:marTop w:val="0"/>
          <w:marBottom w:val="0"/>
          <w:divBdr>
            <w:top w:val="none" w:sz="0" w:space="0" w:color="auto"/>
            <w:left w:val="none" w:sz="0" w:space="0" w:color="auto"/>
            <w:bottom w:val="none" w:sz="0" w:space="0" w:color="auto"/>
            <w:right w:val="none" w:sz="0" w:space="0" w:color="auto"/>
          </w:divBdr>
        </w:div>
      </w:divsChild>
    </w:div>
    <w:div w:id="625088836">
      <w:marLeft w:val="0"/>
      <w:marRight w:val="0"/>
      <w:marTop w:val="0"/>
      <w:marBottom w:val="120"/>
      <w:divBdr>
        <w:top w:val="none" w:sz="0" w:space="0" w:color="auto"/>
        <w:left w:val="none" w:sz="0" w:space="0" w:color="auto"/>
        <w:bottom w:val="none" w:sz="0" w:space="0" w:color="auto"/>
        <w:right w:val="none" w:sz="0" w:space="0" w:color="auto"/>
      </w:divBdr>
    </w:div>
    <w:div w:id="626279349">
      <w:marLeft w:val="0"/>
      <w:marRight w:val="0"/>
      <w:marTop w:val="0"/>
      <w:marBottom w:val="0"/>
      <w:divBdr>
        <w:top w:val="none" w:sz="0" w:space="0" w:color="auto"/>
        <w:left w:val="none" w:sz="0" w:space="0" w:color="auto"/>
        <w:bottom w:val="none" w:sz="0" w:space="0" w:color="auto"/>
        <w:right w:val="none" w:sz="0" w:space="0" w:color="auto"/>
      </w:divBdr>
      <w:divsChild>
        <w:div w:id="41291257">
          <w:marLeft w:val="0"/>
          <w:marRight w:val="0"/>
          <w:marTop w:val="0"/>
          <w:marBottom w:val="0"/>
          <w:divBdr>
            <w:top w:val="none" w:sz="0" w:space="0" w:color="auto"/>
            <w:left w:val="none" w:sz="0" w:space="0" w:color="auto"/>
            <w:bottom w:val="none" w:sz="0" w:space="0" w:color="auto"/>
            <w:right w:val="none" w:sz="0" w:space="0" w:color="auto"/>
          </w:divBdr>
        </w:div>
      </w:divsChild>
    </w:div>
    <w:div w:id="627929646">
      <w:marLeft w:val="0"/>
      <w:marRight w:val="0"/>
      <w:marTop w:val="0"/>
      <w:marBottom w:val="120"/>
      <w:divBdr>
        <w:top w:val="none" w:sz="0" w:space="0" w:color="auto"/>
        <w:left w:val="none" w:sz="0" w:space="0" w:color="auto"/>
        <w:bottom w:val="none" w:sz="0" w:space="0" w:color="auto"/>
        <w:right w:val="none" w:sz="0" w:space="0" w:color="auto"/>
      </w:divBdr>
    </w:div>
    <w:div w:id="633877112">
      <w:marLeft w:val="0"/>
      <w:marRight w:val="0"/>
      <w:marTop w:val="100"/>
      <w:marBottom w:val="120"/>
      <w:divBdr>
        <w:top w:val="none" w:sz="0" w:space="0" w:color="auto"/>
        <w:left w:val="none" w:sz="0" w:space="0" w:color="auto"/>
        <w:bottom w:val="none" w:sz="0" w:space="0" w:color="auto"/>
        <w:right w:val="none" w:sz="0" w:space="0" w:color="auto"/>
      </w:divBdr>
      <w:divsChild>
        <w:div w:id="163083808">
          <w:marLeft w:val="0"/>
          <w:marRight w:val="0"/>
          <w:marTop w:val="0"/>
          <w:marBottom w:val="0"/>
          <w:divBdr>
            <w:top w:val="none" w:sz="0" w:space="0" w:color="auto"/>
            <w:left w:val="none" w:sz="0" w:space="0" w:color="auto"/>
            <w:bottom w:val="none" w:sz="0" w:space="0" w:color="auto"/>
            <w:right w:val="none" w:sz="0" w:space="0" w:color="auto"/>
          </w:divBdr>
        </w:div>
      </w:divsChild>
    </w:div>
    <w:div w:id="638725871">
      <w:marLeft w:val="0"/>
      <w:marRight w:val="0"/>
      <w:marTop w:val="0"/>
      <w:marBottom w:val="0"/>
      <w:divBdr>
        <w:top w:val="none" w:sz="0" w:space="0" w:color="auto"/>
        <w:left w:val="none" w:sz="0" w:space="0" w:color="auto"/>
        <w:bottom w:val="none" w:sz="0" w:space="0" w:color="auto"/>
        <w:right w:val="none" w:sz="0" w:space="0" w:color="auto"/>
      </w:divBdr>
    </w:div>
    <w:div w:id="642587463">
      <w:marLeft w:val="0"/>
      <w:marRight w:val="0"/>
      <w:marTop w:val="0"/>
      <w:marBottom w:val="120"/>
      <w:divBdr>
        <w:top w:val="none" w:sz="0" w:space="0" w:color="auto"/>
        <w:left w:val="none" w:sz="0" w:space="0" w:color="auto"/>
        <w:bottom w:val="none" w:sz="0" w:space="0" w:color="auto"/>
        <w:right w:val="none" w:sz="0" w:space="0" w:color="auto"/>
      </w:divBdr>
    </w:div>
    <w:div w:id="649484156">
      <w:marLeft w:val="0"/>
      <w:marRight w:val="0"/>
      <w:marTop w:val="0"/>
      <w:marBottom w:val="120"/>
      <w:divBdr>
        <w:top w:val="none" w:sz="0" w:space="0" w:color="auto"/>
        <w:left w:val="none" w:sz="0" w:space="0" w:color="auto"/>
        <w:bottom w:val="none" w:sz="0" w:space="0" w:color="auto"/>
        <w:right w:val="none" w:sz="0" w:space="0" w:color="auto"/>
      </w:divBdr>
    </w:div>
    <w:div w:id="654797625">
      <w:marLeft w:val="0"/>
      <w:marRight w:val="0"/>
      <w:marTop w:val="0"/>
      <w:marBottom w:val="20"/>
      <w:divBdr>
        <w:top w:val="none" w:sz="0" w:space="0" w:color="auto"/>
        <w:left w:val="none" w:sz="0" w:space="0" w:color="auto"/>
        <w:bottom w:val="none" w:sz="0" w:space="0" w:color="auto"/>
        <w:right w:val="none" w:sz="0" w:space="0" w:color="auto"/>
      </w:divBdr>
    </w:div>
    <w:div w:id="656690368">
      <w:marLeft w:val="0"/>
      <w:marRight w:val="0"/>
      <w:marTop w:val="0"/>
      <w:marBottom w:val="120"/>
      <w:divBdr>
        <w:top w:val="none" w:sz="0" w:space="0" w:color="auto"/>
        <w:left w:val="none" w:sz="0" w:space="0" w:color="auto"/>
        <w:bottom w:val="none" w:sz="0" w:space="0" w:color="auto"/>
        <w:right w:val="none" w:sz="0" w:space="0" w:color="auto"/>
      </w:divBdr>
    </w:div>
    <w:div w:id="658073078">
      <w:marLeft w:val="0"/>
      <w:marRight w:val="0"/>
      <w:marTop w:val="0"/>
      <w:marBottom w:val="120"/>
      <w:divBdr>
        <w:top w:val="none" w:sz="0" w:space="0" w:color="auto"/>
        <w:left w:val="none" w:sz="0" w:space="0" w:color="auto"/>
        <w:bottom w:val="none" w:sz="0" w:space="0" w:color="auto"/>
        <w:right w:val="none" w:sz="0" w:space="0" w:color="auto"/>
      </w:divBdr>
    </w:div>
    <w:div w:id="660160967">
      <w:marLeft w:val="0"/>
      <w:marRight w:val="0"/>
      <w:marTop w:val="0"/>
      <w:marBottom w:val="0"/>
      <w:divBdr>
        <w:top w:val="none" w:sz="0" w:space="0" w:color="auto"/>
        <w:left w:val="none" w:sz="0" w:space="0" w:color="auto"/>
        <w:bottom w:val="none" w:sz="0" w:space="0" w:color="auto"/>
        <w:right w:val="none" w:sz="0" w:space="0" w:color="auto"/>
      </w:divBdr>
      <w:divsChild>
        <w:div w:id="1098645605">
          <w:marLeft w:val="0"/>
          <w:marRight w:val="0"/>
          <w:marTop w:val="0"/>
          <w:marBottom w:val="0"/>
          <w:divBdr>
            <w:top w:val="none" w:sz="0" w:space="0" w:color="auto"/>
            <w:left w:val="none" w:sz="0" w:space="0" w:color="auto"/>
            <w:bottom w:val="none" w:sz="0" w:space="0" w:color="auto"/>
            <w:right w:val="none" w:sz="0" w:space="0" w:color="auto"/>
          </w:divBdr>
        </w:div>
      </w:divsChild>
    </w:div>
    <w:div w:id="662510955">
      <w:marLeft w:val="0"/>
      <w:marRight w:val="0"/>
      <w:marTop w:val="0"/>
      <w:marBottom w:val="120"/>
      <w:divBdr>
        <w:top w:val="none" w:sz="0" w:space="0" w:color="auto"/>
        <w:left w:val="none" w:sz="0" w:space="0" w:color="auto"/>
        <w:bottom w:val="none" w:sz="0" w:space="0" w:color="auto"/>
        <w:right w:val="none" w:sz="0" w:space="0" w:color="auto"/>
      </w:divBdr>
    </w:div>
    <w:div w:id="670453713">
      <w:marLeft w:val="0"/>
      <w:marRight w:val="0"/>
      <w:marTop w:val="0"/>
      <w:marBottom w:val="120"/>
      <w:divBdr>
        <w:top w:val="none" w:sz="0" w:space="0" w:color="auto"/>
        <w:left w:val="none" w:sz="0" w:space="0" w:color="auto"/>
        <w:bottom w:val="none" w:sz="0" w:space="0" w:color="auto"/>
        <w:right w:val="none" w:sz="0" w:space="0" w:color="auto"/>
      </w:divBdr>
    </w:div>
    <w:div w:id="670789949">
      <w:marLeft w:val="0"/>
      <w:marRight w:val="0"/>
      <w:marTop w:val="0"/>
      <w:marBottom w:val="120"/>
      <w:divBdr>
        <w:top w:val="none" w:sz="0" w:space="0" w:color="auto"/>
        <w:left w:val="none" w:sz="0" w:space="0" w:color="auto"/>
        <w:bottom w:val="none" w:sz="0" w:space="0" w:color="auto"/>
        <w:right w:val="none" w:sz="0" w:space="0" w:color="auto"/>
      </w:divBdr>
    </w:div>
    <w:div w:id="671681803">
      <w:marLeft w:val="0"/>
      <w:marRight w:val="0"/>
      <w:marTop w:val="0"/>
      <w:marBottom w:val="0"/>
      <w:divBdr>
        <w:top w:val="none" w:sz="0" w:space="0" w:color="auto"/>
        <w:left w:val="none" w:sz="0" w:space="0" w:color="auto"/>
        <w:bottom w:val="none" w:sz="0" w:space="0" w:color="auto"/>
        <w:right w:val="none" w:sz="0" w:space="0" w:color="auto"/>
      </w:divBdr>
      <w:divsChild>
        <w:div w:id="186986240">
          <w:marLeft w:val="0"/>
          <w:marRight w:val="0"/>
          <w:marTop w:val="0"/>
          <w:marBottom w:val="0"/>
          <w:divBdr>
            <w:top w:val="none" w:sz="0" w:space="0" w:color="auto"/>
            <w:left w:val="none" w:sz="0" w:space="0" w:color="auto"/>
            <w:bottom w:val="none" w:sz="0" w:space="0" w:color="auto"/>
            <w:right w:val="none" w:sz="0" w:space="0" w:color="auto"/>
          </w:divBdr>
        </w:div>
      </w:divsChild>
    </w:div>
    <w:div w:id="672487517">
      <w:marLeft w:val="0"/>
      <w:marRight w:val="0"/>
      <w:marTop w:val="0"/>
      <w:marBottom w:val="0"/>
      <w:divBdr>
        <w:top w:val="none" w:sz="0" w:space="0" w:color="auto"/>
        <w:left w:val="none" w:sz="0" w:space="0" w:color="auto"/>
        <w:bottom w:val="none" w:sz="0" w:space="0" w:color="auto"/>
        <w:right w:val="none" w:sz="0" w:space="0" w:color="auto"/>
      </w:divBdr>
      <w:divsChild>
        <w:div w:id="1930311808">
          <w:marLeft w:val="0"/>
          <w:marRight w:val="0"/>
          <w:marTop w:val="0"/>
          <w:marBottom w:val="0"/>
          <w:divBdr>
            <w:top w:val="none" w:sz="0" w:space="0" w:color="auto"/>
            <w:left w:val="none" w:sz="0" w:space="0" w:color="auto"/>
            <w:bottom w:val="none" w:sz="0" w:space="0" w:color="auto"/>
            <w:right w:val="none" w:sz="0" w:space="0" w:color="auto"/>
          </w:divBdr>
        </w:div>
      </w:divsChild>
    </w:div>
    <w:div w:id="676157394">
      <w:marLeft w:val="0"/>
      <w:marRight w:val="0"/>
      <w:marTop w:val="0"/>
      <w:marBottom w:val="120"/>
      <w:divBdr>
        <w:top w:val="none" w:sz="0" w:space="0" w:color="auto"/>
        <w:left w:val="none" w:sz="0" w:space="0" w:color="auto"/>
        <w:bottom w:val="none" w:sz="0" w:space="0" w:color="auto"/>
        <w:right w:val="none" w:sz="0" w:space="0" w:color="auto"/>
      </w:divBdr>
    </w:div>
    <w:div w:id="679545325">
      <w:marLeft w:val="0"/>
      <w:marRight w:val="0"/>
      <w:marTop w:val="0"/>
      <w:marBottom w:val="0"/>
      <w:divBdr>
        <w:top w:val="none" w:sz="0" w:space="0" w:color="auto"/>
        <w:left w:val="none" w:sz="0" w:space="0" w:color="auto"/>
        <w:bottom w:val="none" w:sz="0" w:space="0" w:color="auto"/>
        <w:right w:val="none" w:sz="0" w:space="0" w:color="auto"/>
      </w:divBdr>
    </w:div>
    <w:div w:id="681859549">
      <w:marLeft w:val="0"/>
      <w:marRight w:val="0"/>
      <w:marTop w:val="0"/>
      <w:marBottom w:val="100"/>
      <w:divBdr>
        <w:top w:val="none" w:sz="0" w:space="0" w:color="auto"/>
        <w:left w:val="none" w:sz="0" w:space="0" w:color="auto"/>
        <w:bottom w:val="none" w:sz="0" w:space="0" w:color="auto"/>
        <w:right w:val="none" w:sz="0" w:space="0" w:color="auto"/>
      </w:divBdr>
    </w:div>
    <w:div w:id="682634917">
      <w:marLeft w:val="0"/>
      <w:marRight w:val="0"/>
      <w:marTop w:val="0"/>
      <w:marBottom w:val="120"/>
      <w:divBdr>
        <w:top w:val="none" w:sz="0" w:space="0" w:color="auto"/>
        <w:left w:val="none" w:sz="0" w:space="0" w:color="auto"/>
        <w:bottom w:val="none" w:sz="0" w:space="0" w:color="auto"/>
        <w:right w:val="none" w:sz="0" w:space="0" w:color="auto"/>
      </w:divBdr>
    </w:div>
    <w:div w:id="687370987">
      <w:marLeft w:val="0"/>
      <w:marRight w:val="0"/>
      <w:marTop w:val="0"/>
      <w:marBottom w:val="120"/>
      <w:divBdr>
        <w:top w:val="none" w:sz="0" w:space="0" w:color="auto"/>
        <w:left w:val="none" w:sz="0" w:space="0" w:color="auto"/>
        <w:bottom w:val="none" w:sz="0" w:space="0" w:color="auto"/>
        <w:right w:val="none" w:sz="0" w:space="0" w:color="auto"/>
      </w:divBdr>
    </w:div>
    <w:div w:id="694620634">
      <w:marLeft w:val="0"/>
      <w:marRight w:val="0"/>
      <w:marTop w:val="0"/>
      <w:marBottom w:val="120"/>
      <w:divBdr>
        <w:top w:val="none" w:sz="0" w:space="0" w:color="auto"/>
        <w:left w:val="none" w:sz="0" w:space="0" w:color="auto"/>
        <w:bottom w:val="none" w:sz="0" w:space="0" w:color="auto"/>
        <w:right w:val="none" w:sz="0" w:space="0" w:color="auto"/>
      </w:divBdr>
    </w:div>
    <w:div w:id="698354703">
      <w:marLeft w:val="0"/>
      <w:marRight w:val="0"/>
      <w:marTop w:val="0"/>
      <w:marBottom w:val="0"/>
      <w:divBdr>
        <w:top w:val="none" w:sz="0" w:space="0" w:color="auto"/>
        <w:left w:val="none" w:sz="0" w:space="0" w:color="auto"/>
        <w:bottom w:val="none" w:sz="0" w:space="0" w:color="auto"/>
        <w:right w:val="none" w:sz="0" w:space="0" w:color="auto"/>
      </w:divBdr>
      <w:divsChild>
        <w:div w:id="1028750629">
          <w:marLeft w:val="0"/>
          <w:marRight w:val="0"/>
          <w:marTop w:val="0"/>
          <w:marBottom w:val="0"/>
          <w:divBdr>
            <w:top w:val="none" w:sz="0" w:space="0" w:color="auto"/>
            <w:left w:val="none" w:sz="0" w:space="0" w:color="auto"/>
            <w:bottom w:val="none" w:sz="0" w:space="0" w:color="auto"/>
            <w:right w:val="none" w:sz="0" w:space="0" w:color="auto"/>
          </w:divBdr>
          <w:divsChild>
            <w:div w:id="19126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7229">
      <w:marLeft w:val="0"/>
      <w:marRight w:val="0"/>
      <w:marTop w:val="0"/>
      <w:marBottom w:val="120"/>
      <w:divBdr>
        <w:top w:val="none" w:sz="0" w:space="0" w:color="auto"/>
        <w:left w:val="none" w:sz="0" w:space="0" w:color="auto"/>
        <w:bottom w:val="none" w:sz="0" w:space="0" w:color="auto"/>
        <w:right w:val="none" w:sz="0" w:space="0" w:color="auto"/>
      </w:divBdr>
    </w:div>
    <w:div w:id="701708998">
      <w:marLeft w:val="0"/>
      <w:marRight w:val="0"/>
      <w:marTop w:val="0"/>
      <w:marBottom w:val="0"/>
      <w:divBdr>
        <w:top w:val="none" w:sz="0" w:space="0" w:color="auto"/>
        <w:left w:val="none" w:sz="0" w:space="0" w:color="auto"/>
        <w:bottom w:val="none" w:sz="0" w:space="0" w:color="auto"/>
        <w:right w:val="none" w:sz="0" w:space="0" w:color="auto"/>
      </w:divBdr>
      <w:divsChild>
        <w:div w:id="2013676546">
          <w:marLeft w:val="0"/>
          <w:marRight w:val="0"/>
          <w:marTop w:val="0"/>
          <w:marBottom w:val="0"/>
          <w:divBdr>
            <w:top w:val="none" w:sz="0" w:space="0" w:color="auto"/>
            <w:left w:val="none" w:sz="0" w:space="0" w:color="auto"/>
            <w:bottom w:val="none" w:sz="0" w:space="0" w:color="auto"/>
            <w:right w:val="none" w:sz="0" w:space="0" w:color="auto"/>
          </w:divBdr>
        </w:div>
      </w:divsChild>
    </w:div>
    <w:div w:id="709719163">
      <w:marLeft w:val="0"/>
      <w:marRight w:val="0"/>
      <w:marTop w:val="100"/>
      <w:marBottom w:val="20"/>
      <w:divBdr>
        <w:top w:val="none" w:sz="0" w:space="0" w:color="auto"/>
        <w:left w:val="none" w:sz="0" w:space="0" w:color="auto"/>
        <w:bottom w:val="none" w:sz="0" w:space="0" w:color="auto"/>
        <w:right w:val="none" w:sz="0" w:space="0" w:color="auto"/>
      </w:divBdr>
    </w:div>
    <w:div w:id="709957190">
      <w:marLeft w:val="0"/>
      <w:marRight w:val="0"/>
      <w:marTop w:val="0"/>
      <w:marBottom w:val="0"/>
      <w:divBdr>
        <w:top w:val="none" w:sz="0" w:space="0" w:color="auto"/>
        <w:left w:val="none" w:sz="0" w:space="0" w:color="auto"/>
        <w:bottom w:val="none" w:sz="0" w:space="0" w:color="auto"/>
        <w:right w:val="none" w:sz="0" w:space="0" w:color="auto"/>
      </w:divBdr>
    </w:div>
    <w:div w:id="717825191">
      <w:marLeft w:val="0"/>
      <w:marRight w:val="0"/>
      <w:marTop w:val="0"/>
      <w:marBottom w:val="120"/>
      <w:divBdr>
        <w:top w:val="none" w:sz="0" w:space="0" w:color="auto"/>
        <w:left w:val="none" w:sz="0" w:space="0" w:color="auto"/>
        <w:bottom w:val="none" w:sz="0" w:space="0" w:color="auto"/>
        <w:right w:val="none" w:sz="0" w:space="0" w:color="auto"/>
      </w:divBdr>
    </w:div>
    <w:div w:id="717971064">
      <w:marLeft w:val="0"/>
      <w:marRight w:val="0"/>
      <w:marTop w:val="0"/>
      <w:marBottom w:val="120"/>
      <w:divBdr>
        <w:top w:val="none" w:sz="0" w:space="0" w:color="auto"/>
        <w:left w:val="none" w:sz="0" w:space="0" w:color="auto"/>
        <w:bottom w:val="none" w:sz="0" w:space="0" w:color="auto"/>
        <w:right w:val="none" w:sz="0" w:space="0" w:color="auto"/>
      </w:divBdr>
    </w:div>
    <w:div w:id="721053595">
      <w:marLeft w:val="0"/>
      <w:marRight w:val="0"/>
      <w:marTop w:val="0"/>
      <w:marBottom w:val="120"/>
      <w:divBdr>
        <w:top w:val="none" w:sz="0" w:space="0" w:color="auto"/>
        <w:left w:val="none" w:sz="0" w:space="0" w:color="auto"/>
        <w:bottom w:val="none" w:sz="0" w:space="0" w:color="auto"/>
        <w:right w:val="none" w:sz="0" w:space="0" w:color="auto"/>
      </w:divBdr>
    </w:div>
    <w:div w:id="721249527">
      <w:marLeft w:val="0"/>
      <w:marRight w:val="0"/>
      <w:marTop w:val="0"/>
      <w:marBottom w:val="200"/>
      <w:divBdr>
        <w:top w:val="none" w:sz="0" w:space="0" w:color="auto"/>
        <w:left w:val="none" w:sz="0" w:space="0" w:color="auto"/>
        <w:bottom w:val="none" w:sz="0" w:space="0" w:color="auto"/>
        <w:right w:val="none" w:sz="0" w:space="0" w:color="auto"/>
      </w:divBdr>
    </w:div>
    <w:div w:id="722288840">
      <w:marLeft w:val="0"/>
      <w:marRight w:val="0"/>
      <w:marTop w:val="0"/>
      <w:marBottom w:val="0"/>
      <w:divBdr>
        <w:top w:val="none" w:sz="0" w:space="0" w:color="auto"/>
        <w:left w:val="none" w:sz="0" w:space="0" w:color="auto"/>
        <w:bottom w:val="none" w:sz="0" w:space="0" w:color="auto"/>
        <w:right w:val="none" w:sz="0" w:space="0" w:color="auto"/>
      </w:divBdr>
    </w:div>
    <w:div w:id="722562834">
      <w:marLeft w:val="0"/>
      <w:marRight w:val="0"/>
      <w:marTop w:val="0"/>
      <w:marBottom w:val="120"/>
      <w:divBdr>
        <w:top w:val="none" w:sz="0" w:space="0" w:color="auto"/>
        <w:left w:val="none" w:sz="0" w:space="0" w:color="auto"/>
        <w:bottom w:val="none" w:sz="0" w:space="0" w:color="auto"/>
        <w:right w:val="none" w:sz="0" w:space="0" w:color="auto"/>
      </w:divBdr>
    </w:div>
    <w:div w:id="723022638">
      <w:marLeft w:val="0"/>
      <w:marRight w:val="0"/>
      <w:marTop w:val="0"/>
      <w:marBottom w:val="120"/>
      <w:divBdr>
        <w:top w:val="none" w:sz="0" w:space="0" w:color="auto"/>
        <w:left w:val="none" w:sz="0" w:space="0" w:color="auto"/>
        <w:bottom w:val="none" w:sz="0" w:space="0" w:color="auto"/>
        <w:right w:val="none" w:sz="0" w:space="0" w:color="auto"/>
      </w:divBdr>
    </w:div>
    <w:div w:id="727411347">
      <w:marLeft w:val="0"/>
      <w:marRight w:val="0"/>
      <w:marTop w:val="100"/>
      <w:marBottom w:val="120"/>
      <w:divBdr>
        <w:top w:val="none" w:sz="0" w:space="0" w:color="auto"/>
        <w:left w:val="none" w:sz="0" w:space="0" w:color="auto"/>
        <w:bottom w:val="none" w:sz="0" w:space="0" w:color="auto"/>
        <w:right w:val="none" w:sz="0" w:space="0" w:color="auto"/>
      </w:divBdr>
    </w:div>
    <w:div w:id="734012646">
      <w:marLeft w:val="0"/>
      <w:marRight w:val="0"/>
      <w:marTop w:val="0"/>
      <w:marBottom w:val="120"/>
      <w:divBdr>
        <w:top w:val="none" w:sz="0" w:space="0" w:color="auto"/>
        <w:left w:val="none" w:sz="0" w:space="0" w:color="auto"/>
        <w:bottom w:val="none" w:sz="0" w:space="0" w:color="auto"/>
        <w:right w:val="none" w:sz="0" w:space="0" w:color="auto"/>
      </w:divBdr>
    </w:div>
    <w:div w:id="738788816">
      <w:marLeft w:val="0"/>
      <w:marRight w:val="0"/>
      <w:marTop w:val="0"/>
      <w:marBottom w:val="120"/>
      <w:divBdr>
        <w:top w:val="none" w:sz="0" w:space="0" w:color="auto"/>
        <w:left w:val="none" w:sz="0" w:space="0" w:color="auto"/>
        <w:bottom w:val="none" w:sz="0" w:space="0" w:color="auto"/>
        <w:right w:val="none" w:sz="0" w:space="0" w:color="auto"/>
      </w:divBdr>
    </w:div>
    <w:div w:id="740180094">
      <w:marLeft w:val="0"/>
      <w:marRight w:val="0"/>
      <w:marTop w:val="0"/>
      <w:marBottom w:val="120"/>
      <w:divBdr>
        <w:top w:val="none" w:sz="0" w:space="0" w:color="auto"/>
        <w:left w:val="none" w:sz="0" w:space="0" w:color="auto"/>
        <w:bottom w:val="none" w:sz="0" w:space="0" w:color="auto"/>
        <w:right w:val="none" w:sz="0" w:space="0" w:color="auto"/>
      </w:divBdr>
    </w:div>
    <w:div w:id="747768500">
      <w:marLeft w:val="0"/>
      <w:marRight w:val="0"/>
      <w:marTop w:val="0"/>
      <w:marBottom w:val="120"/>
      <w:divBdr>
        <w:top w:val="none" w:sz="0" w:space="0" w:color="auto"/>
        <w:left w:val="none" w:sz="0" w:space="0" w:color="auto"/>
        <w:bottom w:val="none" w:sz="0" w:space="0" w:color="auto"/>
        <w:right w:val="none" w:sz="0" w:space="0" w:color="auto"/>
      </w:divBdr>
    </w:div>
    <w:div w:id="747920127">
      <w:marLeft w:val="0"/>
      <w:marRight w:val="0"/>
      <w:marTop w:val="0"/>
      <w:marBottom w:val="120"/>
      <w:divBdr>
        <w:top w:val="none" w:sz="0" w:space="0" w:color="auto"/>
        <w:left w:val="none" w:sz="0" w:space="0" w:color="auto"/>
        <w:bottom w:val="none" w:sz="0" w:space="0" w:color="auto"/>
        <w:right w:val="none" w:sz="0" w:space="0" w:color="auto"/>
      </w:divBdr>
    </w:div>
    <w:div w:id="751585171">
      <w:marLeft w:val="0"/>
      <w:marRight w:val="0"/>
      <w:marTop w:val="0"/>
      <w:marBottom w:val="0"/>
      <w:divBdr>
        <w:top w:val="none" w:sz="0" w:space="0" w:color="auto"/>
        <w:left w:val="none" w:sz="0" w:space="0" w:color="auto"/>
        <w:bottom w:val="none" w:sz="0" w:space="0" w:color="auto"/>
        <w:right w:val="none" w:sz="0" w:space="0" w:color="auto"/>
      </w:divBdr>
    </w:div>
    <w:div w:id="753405602">
      <w:marLeft w:val="0"/>
      <w:marRight w:val="0"/>
      <w:marTop w:val="100"/>
      <w:marBottom w:val="0"/>
      <w:divBdr>
        <w:top w:val="none" w:sz="0" w:space="0" w:color="auto"/>
        <w:left w:val="none" w:sz="0" w:space="0" w:color="auto"/>
        <w:bottom w:val="none" w:sz="0" w:space="0" w:color="auto"/>
        <w:right w:val="none" w:sz="0" w:space="0" w:color="auto"/>
      </w:divBdr>
    </w:div>
    <w:div w:id="763498892">
      <w:marLeft w:val="0"/>
      <w:marRight w:val="0"/>
      <w:marTop w:val="0"/>
      <w:marBottom w:val="0"/>
      <w:divBdr>
        <w:top w:val="none" w:sz="0" w:space="0" w:color="auto"/>
        <w:left w:val="none" w:sz="0" w:space="0" w:color="auto"/>
        <w:bottom w:val="none" w:sz="0" w:space="0" w:color="auto"/>
        <w:right w:val="none" w:sz="0" w:space="0" w:color="auto"/>
      </w:divBdr>
      <w:divsChild>
        <w:div w:id="367334863">
          <w:marLeft w:val="0"/>
          <w:marRight w:val="0"/>
          <w:marTop w:val="0"/>
          <w:marBottom w:val="0"/>
          <w:divBdr>
            <w:top w:val="none" w:sz="0" w:space="0" w:color="auto"/>
            <w:left w:val="none" w:sz="0" w:space="0" w:color="auto"/>
            <w:bottom w:val="none" w:sz="0" w:space="0" w:color="auto"/>
            <w:right w:val="none" w:sz="0" w:space="0" w:color="auto"/>
          </w:divBdr>
        </w:div>
      </w:divsChild>
    </w:div>
    <w:div w:id="763957197">
      <w:marLeft w:val="0"/>
      <w:marRight w:val="0"/>
      <w:marTop w:val="0"/>
      <w:marBottom w:val="120"/>
      <w:divBdr>
        <w:top w:val="none" w:sz="0" w:space="0" w:color="auto"/>
        <w:left w:val="none" w:sz="0" w:space="0" w:color="auto"/>
        <w:bottom w:val="none" w:sz="0" w:space="0" w:color="auto"/>
        <w:right w:val="none" w:sz="0" w:space="0" w:color="auto"/>
      </w:divBdr>
    </w:div>
    <w:div w:id="766849980">
      <w:marLeft w:val="0"/>
      <w:marRight w:val="0"/>
      <w:marTop w:val="0"/>
      <w:marBottom w:val="120"/>
      <w:divBdr>
        <w:top w:val="none" w:sz="0" w:space="0" w:color="auto"/>
        <w:left w:val="none" w:sz="0" w:space="0" w:color="auto"/>
        <w:bottom w:val="none" w:sz="0" w:space="0" w:color="auto"/>
        <w:right w:val="none" w:sz="0" w:space="0" w:color="auto"/>
      </w:divBdr>
    </w:div>
    <w:div w:id="771899678">
      <w:marLeft w:val="0"/>
      <w:marRight w:val="0"/>
      <w:marTop w:val="0"/>
      <w:marBottom w:val="120"/>
      <w:divBdr>
        <w:top w:val="none" w:sz="0" w:space="0" w:color="auto"/>
        <w:left w:val="none" w:sz="0" w:space="0" w:color="auto"/>
        <w:bottom w:val="none" w:sz="0" w:space="0" w:color="auto"/>
        <w:right w:val="none" w:sz="0" w:space="0" w:color="auto"/>
      </w:divBdr>
    </w:div>
    <w:div w:id="775254484">
      <w:marLeft w:val="0"/>
      <w:marRight w:val="0"/>
      <w:marTop w:val="0"/>
      <w:marBottom w:val="120"/>
      <w:divBdr>
        <w:top w:val="none" w:sz="0" w:space="0" w:color="auto"/>
        <w:left w:val="none" w:sz="0" w:space="0" w:color="auto"/>
        <w:bottom w:val="none" w:sz="0" w:space="0" w:color="auto"/>
        <w:right w:val="none" w:sz="0" w:space="0" w:color="auto"/>
      </w:divBdr>
    </w:div>
    <w:div w:id="781462932">
      <w:marLeft w:val="0"/>
      <w:marRight w:val="0"/>
      <w:marTop w:val="0"/>
      <w:marBottom w:val="120"/>
      <w:divBdr>
        <w:top w:val="none" w:sz="0" w:space="0" w:color="auto"/>
        <w:left w:val="none" w:sz="0" w:space="0" w:color="auto"/>
        <w:bottom w:val="none" w:sz="0" w:space="0" w:color="auto"/>
        <w:right w:val="none" w:sz="0" w:space="0" w:color="auto"/>
      </w:divBdr>
    </w:div>
    <w:div w:id="785009134">
      <w:marLeft w:val="0"/>
      <w:marRight w:val="0"/>
      <w:marTop w:val="0"/>
      <w:marBottom w:val="120"/>
      <w:divBdr>
        <w:top w:val="none" w:sz="0" w:space="0" w:color="auto"/>
        <w:left w:val="none" w:sz="0" w:space="0" w:color="auto"/>
        <w:bottom w:val="none" w:sz="0" w:space="0" w:color="auto"/>
        <w:right w:val="none" w:sz="0" w:space="0" w:color="auto"/>
      </w:divBdr>
    </w:div>
    <w:div w:id="786389948">
      <w:marLeft w:val="0"/>
      <w:marRight w:val="0"/>
      <w:marTop w:val="0"/>
      <w:marBottom w:val="0"/>
      <w:divBdr>
        <w:top w:val="none" w:sz="0" w:space="0" w:color="auto"/>
        <w:left w:val="none" w:sz="0" w:space="0" w:color="auto"/>
        <w:bottom w:val="none" w:sz="0" w:space="0" w:color="auto"/>
        <w:right w:val="none" w:sz="0" w:space="0" w:color="auto"/>
      </w:divBdr>
      <w:divsChild>
        <w:div w:id="1611743574">
          <w:marLeft w:val="0"/>
          <w:marRight w:val="0"/>
          <w:marTop w:val="0"/>
          <w:marBottom w:val="0"/>
          <w:divBdr>
            <w:top w:val="none" w:sz="0" w:space="0" w:color="auto"/>
            <w:left w:val="none" w:sz="0" w:space="0" w:color="auto"/>
            <w:bottom w:val="none" w:sz="0" w:space="0" w:color="auto"/>
            <w:right w:val="none" w:sz="0" w:space="0" w:color="auto"/>
          </w:divBdr>
        </w:div>
      </w:divsChild>
    </w:div>
    <w:div w:id="787236851">
      <w:marLeft w:val="0"/>
      <w:marRight w:val="0"/>
      <w:marTop w:val="0"/>
      <w:marBottom w:val="120"/>
      <w:divBdr>
        <w:top w:val="none" w:sz="0" w:space="0" w:color="auto"/>
        <w:left w:val="none" w:sz="0" w:space="0" w:color="auto"/>
        <w:bottom w:val="none" w:sz="0" w:space="0" w:color="auto"/>
        <w:right w:val="none" w:sz="0" w:space="0" w:color="auto"/>
      </w:divBdr>
    </w:div>
    <w:div w:id="787745239">
      <w:marLeft w:val="0"/>
      <w:marRight w:val="0"/>
      <w:marTop w:val="80"/>
      <w:marBottom w:val="0"/>
      <w:divBdr>
        <w:top w:val="none" w:sz="0" w:space="0" w:color="auto"/>
        <w:left w:val="none" w:sz="0" w:space="0" w:color="auto"/>
        <w:bottom w:val="none" w:sz="0" w:space="0" w:color="auto"/>
        <w:right w:val="none" w:sz="0" w:space="0" w:color="auto"/>
      </w:divBdr>
    </w:div>
    <w:div w:id="788814556">
      <w:marLeft w:val="0"/>
      <w:marRight w:val="0"/>
      <w:marTop w:val="0"/>
      <w:marBottom w:val="120"/>
      <w:divBdr>
        <w:top w:val="none" w:sz="0" w:space="0" w:color="auto"/>
        <w:left w:val="none" w:sz="0" w:space="0" w:color="auto"/>
        <w:bottom w:val="none" w:sz="0" w:space="0" w:color="auto"/>
        <w:right w:val="none" w:sz="0" w:space="0" w:color="auto"/>
      </w:divBdr>
    </w:div>
    <w:div w:id="796949007">
      <w:marLeft w:val="0"/>
      <w:marRight w:val="0"/>
      <w:marTop w:val="0"/>
      <w:marBottom w:val="120"/>
      <w:divBdr>
        <w:top w:val="none" w:sz="0" w:space="0" w:color="auto"/>
        <w:left w:val="none" w:sz="0" w:space="0" w:color="auto"/>
        <w:bottom w:val="none" w:sz="0" w:space="0" w:color="auto"/>
        <w:right w:val="none" w:sz="0" w:space="0" w:color="auto"/>
      </w:divBdr>
    </w:div>
    <w:div w:id="797722982">
      <w:marLeft w:val="0"/>
      <w:marRight w:val="0"/>
      <w:marTop w:val="0"/>
      <w:marBottom w:val="120"/>
      <w:divBdr>
        <w:top w:val="none" w:sz="0" w:space="0" w:color="auto"/>
        <w:left w:val="none" w:sz="0" w:space="0" w:color="auto"/>
        <w:bottom w:val="none" w:sz="0" w:space="0" w:color="auto"/>
        <w:right w:val="none" w:sz="0" w:space="0" w:color="auto"/>
      </w:divBdr>
    </w:div>
    <w:div w:id="806582942">
      <w:marLeft w:val="0"/>
      <w:marRight w:val="0"/>
      <w:marTop w:val="0"/>
      <w:marBottom w:val="120"/>
      <w:divBdr>
        <w:top w:val="none" w:sz="0" w:space="0" w:color="auto"/>
        <w:left w:val="none" w:sz="0" w:space="0" w:color="auto"/>
        <w:bottom w:val="none" w:sz="0" w:space="0" w:color="auto"/>
        <w:right w:val="none" w:sz="0" w:space="0" w:color="auto"/>
      </w:divBdr>
    </w:div>
    <w:div w:id="812914125">
      <w:marLeft w:val="0"/>
      <w:marRight w:val="0"/>
      <w:marTop w:val="0"/>
      <w:marBottom w:val="100"/>
      <w:divBdr>
        <w:top w:val="none" w:sz="0" w:space="0" w:color="auto"/>
        <w:left w:val="none" w:sz="0" w:space="0" w:color="auto"/>
        <w:bottom w:val="none" w:sz="0" w:space="0" w:color="auto"/>
        <w:right w:val="none" w:sz="0" w:space="0" w:color="auto"/>
      </w:divBdr>
    </w:div>
    <w:div w:id="818569731">
      <w:marLeft w:val="0"/>
      <w:marRight w:val="0"/>
      <w:marTop w:val="0"/>
      <w:marBottom w:val="120"/>
      <w:divBdr>
        <w:top w:val="none" w:sz="0" w:space="0" w:color="auto"/>
        <w:left w:val="none" w:sz="0" w:space="0" w:color="auto"/>
        <w:bottom w:val="none" w:sz="0" w:space="0" w:color="auto"/>
        <w:right w:val="none" w:sz="0" w:space="0" w:color="auto"/>
      </w:divBdr>
    </w:div>
    <w:div w:id="819881364">
      <w:marLeft w:val="0"/>
      <w:marRight w:val="0"/>
      <w:marTop w:val="0"/>
      <w:marBottom w:val="120"/>
      <w:divBdr>
        <w:top w:val="none" w:sz="0" w:space="0" w:color="auto"/>
        <w:left w:val="none" w:sz="0" w:space="0" w:color="auto"/>
        <w:bottom w:val="none" w:sz="0" w:space="0" w:color="auto"/>
        <w:right w:val="none" w:sz="0" w:space="0" w:color="auto"/>
      </w:divBdr>
    </w:div>
    <w:div w:id="825703730">
      <w:marLeft w:val="0"/>
      <w:marRight w:val="0"/>
      <w:marTop w:val="0"/>
      <w:marBottom w:val="120"/>
      <w:divBdr>
        <w:top w:val="none" w:sz="0" w:space="0" w:color="auto"/>
        <w:left w:val="none" w:sz="0" w:space="0" w:color="auto"/>
        <w:bottom w:val="none" w:sz="0" w:space="0" w:color="auto"/>
        <w:right w:val="none" w:sz="0" w:space="0" w:color="auto"/>
      </w:divBdr>
    </w:div>
    <w:div w:id="825975844">
      <w:marLeft w:val="0"/>
      <w:marRight w:val="0"/>
      <w:marTop w:val="0"/>
      <w:marBottom w:val="120"/>
      <w:divBdr>
        <w:top w:val="none" w:sz="0" w:space="0" w:color="auto"/>
        <w:left w:val="none" w:sz="0" w:space="0" w:color="auto"/>
        <w:bottom w:val="none" w:sz="0" w:space="0" w:color="auto"/>
        <w:right w:val="none" w:sz="0" w:space="0" w:color="auto"/>
      </w:divBdr>
    </w:div>
    <w:div w:id="830171340">
      <w:marLeft w:val="0"/>
      <w:marRight w:val="0"/>
      <w:marTop w:val="0"/>
      <w:marBottom w:val="0"/>
      <w:divBdr>
        <w:top w:val="none" w:sz="0" w:space="0" w:color="auto"/>
        <w:left w:val="none" w:sz="0" w:space="0" w:color="auto"/>
        <w:bottom w:val="none" w:sz="0" w:space="0" w:color="auto"/>
        <w:right w:val="none" w:sz="0" w:space="0" w:color="auto"/>
      </w:divBdr>
    </w:div>
    <w:div w:id="836195516">
      <w:marLeft w:val="0"/>
      <w:marRight w:val="0"/>
      <w:marTop w:val="0"/>
      <w:marBottom w:val="120"/>
      <w:divBdr>
        <w:top w:val="none" w:sz="0" w:space="0" w:color="auto"/>
        <w:left w:val="none" w:sz="0" w:space="0" w:color="auto"/>
        <w:bottom w:val="none" w:sz="0" w:space="0" w:color="auto"/>
        <w:right w:val="none" w:sz="0" w:space="0" w:color="auto"/>
      </w:divBdr>
    </w:div>
    <w:div w:id="836309425">
      <w:marLeft w:val="0"/>
      <w:marRight w:val="0"/>
      <w:marTop w:val="0"/>
      <w:marBottom w:val="0"/>
      <w:divBdr>
        <w:top w:val="none" w:sz="0" w:space="0" w:color="auto"/>
        <w:left w:val="none" w:sz="0" w:space="0" w:color="auto"/>
        <w:bottom w:val="none" w:sz="0" w:space="0" w:color="auto"/>
        <w:right w:val="none" w:sz="0" w:space="0" w:color="auto"/>
      </w:divBdr>
    </w:div>
    <w:div w:id="837428496">
      <w:marLeft w:val="0"/>
      <w:marRight w:val="0"/>
      <w:marTop w:val="0"/>
      <w:marBottom w:val="120"/>
      <w:divBdr>
        <w:top w:val="none" w:sz="0" w:space="0" w:color="auto"/>
        <w:left w:val="none" w:sz="0" w:space="0" w:color="auto"/>
        <w:bottom w:val="none" w:sz="0" w:space="0" w:color="auto"/>
        <w:right w:val="none" w:sz="0" w:space="0" w:color="auto"/>
      </w:divBdr>
    </w:div>
    <w:div w:id="837883850">
      <w:marLeft w:val="0"/>
      <w:marRight w:val="0"/>
      <w:marTop w:val="0"/>
      <w:marBottom w:val="0"/>
      <w:divBdr>
        <w:top w:val="none" w:sz="0" w:space="0" w:color="auto"/>
        <w:left w:val="none" w:sz="0" w:space="0" w:color="auto"/>
        <w:bottom w:val="none" w:sz="0" w:space="0" w:color="auto"/>
        <w:right w:val="none" w:sz="0" w:space="0" w:color="auto"/>
      </w:divBdr>
      <w:divsChild>
        <w:div w:id="1198814361">
          <w:marLeft w:val="0"/>
          <w:marRight w:val="0"/>
          <w:marTop w:val="0"/>
          <w:marBottom w:val="0"/>
          <w:divBdr>
            <w:top w:val="none" w:sz="0" w:space="0" w:color="auto"/>
            <w:left w:val="none" w:sz="0" w:space="0" w:color="auto"/>
            <w:bottom w:val="none" w:sz="0" w:space="0" w:color="auto"/>
            <w:right w:val="none" w:sz="0" w:space="0" w:color="auto"/>
          </w:divBdr>
        </w:div>
      </w:divsChild>
    </w:div>
    <w:div w:id="843932963">
      <w:marLeft w:val="0"/>
      <w:marRight w:val="0"/>
      <w:marTop w:val="0"/>
      <w:marBottom w:val="120"/>
      <w:divBdr>
        <w:top w:val="none" w:sz="0" w:space="0" w:color="auto"/>
        <w:left w:val="none" w:sz="0" w:space="0" w:color="auto"/>
        <w:bottom w:val="none" w:sz="0" w:space="0" w:color="auto"/>
        <w:right w:val="none" w:sz="0" w:space="0" w:color="auto"/>
      </w:divBdr>
    </w:div>
    <w:div w:id="844174333">
      <w:marLeft w:val="0"/>
      <w:marRight w:val="0"/>
      <w:marTop w:val="0"/>
      <w:marBottom w:val="120"/>
      <w:divBdr>
        <w:top w:val="none" w:sz="0" w:space="0" w:color="auto"/>
        <w:left w:val="none" w:sz="0" w:space="0" w:color="auto"/>
        <w:bottom w:val="none" w:sz="0" w:space="0" w:color="auto"/>
        <w:right w:val="none" w:sz="0" w:space="0" w:color="auto"/>
      </w:divBdr>
    </w:div>
    <w:div w:id="845048701">
      <w:marLeft w:val="0"/>
      <w:marRight w:val="0"/>
      <w:marTop w:val="0"/>
      <w:marBottom w:val="0"/>
      <w:divBdr>
        <w:top w:val="none" w:sz="0" w:space="0" w:color="auto"/>
        <w:left w:val="none" w:sz="0" w:space="0" w:color="auto"/>
        <w:bottom w:val="none" w:sz="0" w:space="0" w:color="auto"/>
        <w:right w:val="none" w:sz="0" w:space="0" w:color="auto"/>
      </w:divBdr>
    </w:div>
    <w:div w:id="855508561">
      <w:marLeft w:val="0"/>
      <w:marRight w:val="0"/>
      <w:marTop w:val="0"/>
      <w:marBottom w:val="120"/>
      <w:divBdr>
        <w:top w:val="none" w:sz="0" w:space="0" w:color="auto"/>
        <w:left w:val="none" w:sz="0" w:space="0" w:color="auto"/>
        <w:bottom w:val="none" w:sz="0" w:space="0" w:color="auto"/>
        <w:right w:val="none" w:sz="0" w:space="0" w:color="auto"/>
      </w:divBdr>
    </w:div>
    <w:div w:id="857894062">
      <w:marLeft w:val="0"/>
      <w:marRight w:val="0"/>
      <w:marTop w:val="0"/>
      <w:marBottom w:val="120"/>
      <w:divBdr>
        <w:top w:val="none" w:sz="0" w:space="0" w:color="auto"/>
        <w:left w:val="none" w:sz="0" w:space="0" w:color="auto"/>
        <w:bottom w:val="none" w:sz="0" w:space="0" w:color="auto"/>
        <w:right w:val="none" w:sz="0" w:space="0" w:color="auto"/>
      </w:divBdr>
    </w:div>
    <w:div w:id="872614094">
      <w:marLeft w:val="0"/>
      <w:marRight w:val="0"/>
      <w:marTop w:val="0"/>
      <w:marBottom w:val="120"/>
      <w:divBdr>
        <w:top w:val="none" w:sz="0" w:space="0" w:color="auto"/>
        <w:left w:val="none" w:sz="0" w:space="0" w:color="auto"/>
        <w:bottom w:val="none" w:sz="0" w:space="0" w:color="auto"/>
        <w:right w:val="none" w:sz="0" w:space="0" w:color="auto"/>
      </w:divBdr>
    </w:div>
    <w:div w:id="873032836">
      <w:marLeft w:val="0"/>
      <w:marRight w:val="0"/>
      <w:marTop w:val="120"/>
      <w:marBottom w:val="120"/>
      <w:divBdr>
        <w:top w:val="none" w:sz="0" w:space="0" w:color="auto"/>
        <w:left w:val="none" w:sz="0" w:space="0" w:color="auto"/>
        <w:bottom w:val="none" w:sz="0" w:space="0" w:color="auto"/>
        <w:right w:val="none" w:sz="0" w:space="0" w:color="auto"/>
      </w:divBdr>
    </w:div>
    <w:div w:id="884026641">
      <w:marLeft w:val="0"/>
      <w:marRight w:val="0"/>
      <w:marTop w:val="0"/>
      <w:marBottom w:val="120"/>
      <w:divBdr>
        <w:top w:val="none" w:sz="0" w:space="0" w:color="auto"/>
        <w:left w:val="none" w:sz="0" w:space="0" w:color="auto"/>
        <w:bottom w:val="none" w:sz="0" w:space="0" w:color="auto"/>
        <w:right w:val="none" w:sz="0" w:space="0" w:color="auto"/>
      </w:divBdr>
    </w:div>
    <w:div w:id="885064307">
      <w:marLeft w:val="0"/>
      <w:marRight w:val="0"/>
      <w:marTop w:val="0"/>
      <w:marBottom w:val="120"/>
      <w:divBdr>
        <w:top w:val="none" w:sz="0" w:space="0" w:color="auto"/>
        <w:left w:val="none" w:sz="0" w:space="0" w:color="auto"/>
        <w:bottom w:val="none" w:sz="0" w:space="0" w:color="auto"/>
        <w:right w:val="none" w:sz="0" w:space="0" w:color="auto"/>
      </w:divBdr>
    </w:div>
    <w:div w:id="885339161">
      <w:marLeft w:val="0"/>
      <w:marRight w:val="0"/>
      <w:marTop w:val="120"/>
      <w:marBottom w:val="120"/>
      <w:divBdr>
        <w:top w:val="none" w:sz="0" w:space="0" w:color="auto"/>
        <w:left w:val="none" w:sz="0" w:space="0" w:color="auto"/>
        <w:bottom w:val="none" w:sz="0" w:space="0" w:color="auto"/>
        <w:right w:val="none" w:sz="0" w:space="0" w:color="auto"/>
      </w:divBdr>
    </w:div>
    <w:div w:id="890507017">
      <w:marLeft w:val="0"/>
      <w:marRight w:val="0"/>
      <w:marTop w:val="0"/>
      <w:marBottom w:val="120"/>
      <w:divBdr>
        <w:top w:val="none" w:sz="0" w:space="0" w:color="auto"/>
        <w:left w:val="none" w:sz="0" w:space="0" w:color="auto"/>
        <w:bottom w:val="none" w:sz="0" w:space="0" w:color="auto"/>
        <w:right w:val="none" w:sz="0" w:space="0" w:color="auto"/>
      </w:divBdr>
    </w:div>
    <w:div w:id="900096185">
      <w:marLeft w:val="0"/>
      <w:marRight w:val="0"/>
      <w:marTop w:val="0"/>
      <w:marBottom w:val="120"/>
      <w:divBdr>
        <w:top w:val="none" w:sz="0" w:space="0" w:color="auto"/>
        <w:left w:val="none" w:sz="0" w:space="0" w:color="auto"/>
        <w:bottom w:val="none" w:sz="0" w:space="0" w:color="auto"/>
        <w:right w:val="none" w:sz="0" w:space="0" w:color="auto"/>
      </w:divBdr>
    </w:div>
    <w:div w:id="902368084">
      <w:marLeft w:val="0"/>
      <w:marRight w:val="0"/>
      <w:marTop w:val="0"/>
      <w:marBottom w:val="120"/>
      <w:divBdr>
        <w:top w:val="none" w:sz="0" w:space="0" w:color="auto"/>
        <w:left w:val="none" w:sz="0" w:space="0" w:color="auto"/>
        <w:bottom w:val="none" w:sz="0" w:space="0" w:color="auto"/>
        <w:right w:val="none" w:sz="0" w:space="0" w:color="auto"/>
      </w:divBdr>
    </w:div>
    <w:div w:id="906112619">
      <w:marLeft w:val="0"/>
      <w:marRight w:val="0"/>
      <w:marTop w:val="0"/>
      <w:marBottom w:val="0"/>
      <w:divBdr>
        <w:top w:val="none" w:sz="0" w:space="0" w:color="auto"/>
        <w:left w:val="none" w:sz="0" w:space="0" w:color="auto"/>
        <w:bottom w:val="none" w:sz="0" w:space="0" w:color="auto"/>
        <w:right w:val="none" w:sz="0" w:space="0" w:color="auto"/>
      </w:divBdr>
      <w:divsChild>
        <w:div w:id="1961105751">
          <w:marLeft w:val="0"/>
          <w:marRight w:val="0"/>
          <w:marTop w:val="0"/>
          <w:marBottom w:val="0"/>
          <w:divBdr>
            <w:top w:val="none" w:sz="0" w:space="0" w:color="auto"/>
            <w:left w:val="none" w:sz="0" w:space="0" w:color="auto"/>
            <w:bottom w:val="none" w:sz="0" w:space="0" w:color="auto"/>
            <w:right w:val="none" w:sz="0" w:space="0" w:color="auto"/>
          </w:divBdr>
        </w:div>
      </w:divsChild>
    </w:div>
    <w:div w:id="910384145">
      <w:marLeft w:val="0"/>
      <w:marRight w:val="0"/>
      <w:marTop w:val="0"/>
      <w:marBottom w:val="120"/>
      <w:divBdr>
        <w:top w:val="none" w:sz="0" w:space="0" w:color="auto"/>
        <w:left w:val="none" w:sz="0" w:space="0" w:color="auto"/>
        <w:bottom w:val="none" w:sz="0" w:space="0" w:color="auto"/>
        <w:right w:val="none" w:sz="0" w:space="0" w:color="auto"/>
      </w:divBdr>
    </w:div>
    <w:div w:id="926380717">
      <w:marLeft w:val="0"/>
      <w:marRight w:val="0"/>
      <w:marTop w:val="0"/>
      <w:marBottom w:val="120"/>
      <w:divBdr>
        <w:top w:val="none" w:sz="0" w:space="0" w:color="auto"/>
        <w:left w:val="none" w:sz="0" w:space="0" w:color="auto"/>
        <w:bottom w:val="none" w:sz="0" w:space="0" w:color="auto"/>
        <w:right w:val="none" w:sz="0" w:space="0" w:color="auto"/>
      </w:divBdr>
    </w:div>
    <w:div w:id="940380521">
      <w:marLeft w:val="0"/>
      <w:marRight w:val="0"/>
      <w:marTop w:val="0"/>
      <w:marBottom w:val="120"/>
      <w:divBdr>
        <w:top w:val="none" w:sz="0" w:space="0" w:color="auto"/>
        <w:left w:val="none" w:sz="0" w:space="0" w:color="auto"/>
        <w:bottom w:val="none" w:sz="0" w:space="0" w:color="auto"/>
        <w:right w:val="none" w:sz="0" w:space="0" w:color="auto"/>
      </w:divBdr>
    </w:div>
    <w:div w:id="941298138">
      <w:marLeft w:val="0"/>
      <w:marRight w:val="0"/>
      <w:marTop w:val="0"/>
      <w:marBottom w:val="120"/>
      <w:divBdr>
        <w:top w:val="none" w:sz="0" w:space="0" w:color="auto"/>
        <w:left w:val="none" w:sz="0" w:space="0" w:color="auto"/>
        <w:bottom w:val="none" w:sz="0" w:space="0" w:color="auto"/>
        <w:right w:val="none" w:sz="0" w:space="0" w:color="auto"/>
      </w:divBdr>
    </w:div>
    <w:div w:id="945119701">
      <w:marLeft w:val="0"/>
      <w:marRight w:val="0"/>
      <w:marTop w:val="0"/>
      <w:marBottom w:val="120"/>
      <w:divBdr>
        <w:top w:val="none" w:sz="0" w:space="0" w:color="auto"/>
        <w:left w:val="none" w:sz="0" w:space="0" w:color="auto"/>
        <w:bottom w:val="none" w:sz="0" w:space="0" w:color="auto"/>
        <w:right w:val="none" w:sz="0" w:space="0" w:color="auto"/>
      </w:divBdr>
    </w:div>
    <w:div w:id="945578207">
      <w:marLeft w:val="0"/>
      <w:marRight w:val="0"/>
      <w:marTop w:val="0"/>
      <w:marBottom w:val="120"/>
      <w:divBdr>
        <w:top w:val="none" w:sz="0" w:space="0" w:color="auto"/>
        <w:left w:val="none" w:sz="0" w:space="0" w:color="auto"/>
        <w:bottom w:val="none" w:sz="0" w:space="0" w:color="auto"/>
        <w:right w:val="none" w:sz="0" w:space="0" w:color="auto"/>
      </w:divBdr>
    </w:div>
    <w:div w:id="946229700">
      <w:marLeft w:val="0"/>
      <w:marRight w:val="0"/>
      <w:marTop w:val="0"/>
      <w:marBottom w:val="120"/>
      <w:divBdr>
        <w:top w:val="none" w:sz="0" w:space="0" w:color="auto"/>
        <w:left w:val="none" w:sz="0" w:space="0" w:color="auto"/>
        <w:bottom w:val="none" w:sz="0" w:space="0" w:color="auto"/>
        <w:right w:val="none" w:sz="0" w:space="0" w:color="auto"/>
      </w:divBdr>
    </w:div>
    <w:div w:id="946814139">
      <w:marLeft w:val="0"/>
      <w:marRight w:val="0"/>
      <w:marTop w:val="0"/>
      <w:marBottom w:val="120"/>
      <w:divBdr>
        <w:top w:val="none" w:sz="0" w:space="0" w:color="auto"/>
        <w:left w:val="none" w:sz="0" w:space="0" w:color="auto"/>
        <w:bottom w:val="none" w:sz="0" w:space="0" w:color="auto"/>
        <w:right w:val="none" w:sz="0" w:space="0" w:color="auto"/>
      </w:divBdr>
    </w:div>
    <w:div w:id="949971165">
      <w:marLeft w:val="0"/>
      <w:marRight w:val="0"/>
      <w:marTop w:val="0"/>
      <w:marBottom w:val="120"/>
      <w:divBdr>
        <w:top w:val="none" w:sz="0" w:space="0" w:color="auto"/>
        <w:left w:val="none" w:sz="0" w:space="0" w:color="auto"/>
        <w:bottom w:val="none" w:sz="0" w:space="0" w:color="auto"/>
        <w:right w:val="none" w:sz="0" w:space="0" w:color="auto"/>
      </w:divBdr>
    </w:div>
    <w:div w:id="952399709">
      <w:marLeft w:val="0"/>
      <w:marRight w:val="0"/>
      <w:marTop w:val="0"/>
      <w:marBottom w:val="0"/>
      <w:divBdr>
        <w:top w:val="none" w:sz="0" w:space="0" w:color="auto"/>
        <w:left w:val="none" w:sz="0" w:space="0" w:color="auto"/>
        <w:bottom w:val="none" w:sz="0" w:space="0" w:color="auto"/>
        <w:right w:val="none" w:sz="0" w:space="0" w:color="auto"/>
      </w:divBdr>
      <w:divsChild>
        <w:div w:id="1938977504">
          <w:marLeft w:val="0"/>
          <w:marRight w:val="0"/>
          <w:marTop w:val="0"/>
          <w:marBottom w:val="0"/>
          <w:divBdr>
            <w:top w:val="none" w:sz="0" w:space="0" w:color="auto"/>
            <w:left w:val="none" w:sz="0" w:space="0" w:color="auto"/>
            <w:bottom w:val="none" w:sz="0" w:space="0" w:color="auto"/>
            <w:right w:val="none" w:sz="0" w:space="0" w:color="auto"/>
          </w:divBdr>
        </w:div>
      </w:divsChild>
    </w:div>
    <w:div w:id="959841258">
      <w:marLeft w:val="0"/>
      <w:marRight w:val="0"/>
      <w:marTop w:val="0"/>
      <w:marBottom w:val="0"/>
      <w:divBdr>
        <w:top w:val="none" w:sz="0" w:space="0" w:color="auto"/>
        <w:left w:val="none" w:sz="0" w:space="0" w:color="auto"/>
        <w:bottom w:val="none" w:sz="0" w:space="0" w:color="auto"/>
        <w:right w:val="none" w:sz="0" w:space="0" w:color="auto"/>
      </w:divBdr>
      <w:divsChild>
        <w:div w:id="246891286">
          <w:marLeft w:val="0"/>
          <w:marRight w:val="0"/>
          <w:marTop w:val="0"/>
          <w:marBottom w:val="0"/>
          <w:divBdr>
            <w:top w:val="none" w:sz="0" w:space="0" w:color="auto"/>
            <w:left w:val="none" w:sz="0" w:space="0" w:color="auto"/>
            <w:bottom w:val="none" w:sz="0" w:space="0" w:color="auto"/>
            <w:right w:val="none" w:sz="0" w:space="0" w:color="auto"/>
          </w:divBdr>
        </w:div>
      </w:divsChild>
    </w:div>
    <w:div w:id="962612758">
      <w:marLeft w:val="0"/>
      <w:marRight w:val="0"/>
      <w:marTop w:val="0"/>
      <w:marBottom w:val="120"/>
      <w:divBdr>
        <w:top w:val="none" w:sz="0" w:space="0" w:color="auto"/>
        <w:left w:val="none" w:sz="0" w:space="0" w:color="auto"/>
        <w:bottom w:val="none" w:sz="0" w:space="0" w:color="auto"/>
        <w:right w:val="none" w:sz="0" w:space="0" w:color="auto"/>
      </w:divBdr>
    </w:div>
    <w:div w:id="966425135">
      <w:marLeft w:val="0"/>
      <w:marRight w:val="0"/>
      <w:marTop w:val="0"/>
      <w:marBottom w:val="120"/>
      <w:divBdr>
        <w:top w:val="none" w:sz="0" w:space="0" w:color="auto"/>
        <w:left w:val="none" w:sz="0" w:space="0" w:color="auto"/>
        <w:bottom w:val="none" w:sz="0" w:space="0" w:color="auto"/>
        <w:right w:val="none" w:sz="0" w:space="0" w:color="auto"/>
      </w:divBdr>
    </w:div>
    <w:div w:id="968165354">
      <w:marLeft w:val="0"/>
      <w:marRight w:val="0"/>
      <w:marTop w:val="0"/>
      <w:marBottom w:val="120"/>
      <w:divBdr>
        <w:top w:val="none" w:sz="0" w:space="0" w:color="auto"/>
        <w:left w:val="none" w:sz="0" w:space="0" w:color="auto"/>
        <w:bottom w:val="none" w:sz="0" w:space="0" w:color="auto"/>
        <w:right w:val="none" w:sz="0" w:space="0" w:color="auto"/>
      </w:divBdr>
    </w:div>
    <w:div w:id="974221139">
      <w:marLeft w:val="0"/>
      <w:marRight w:val="0"/>
      <w:marTop w:val="0"/>
      <w:marBottom w:val="0"/>
      <w:divBdr>
        <w:top w:val="none" w:sz="0" w:space="0" w:color="auto"/>
        <w:left w:val="none" w:sz="0" w:space="0" w:color="auto"/>
        <w:bottom w:val="none" w:sz="0" w:space="0" w:color="auto"/>
        <w:right w:val="none" w:sz="0" w:space="0" w:color="auto"/>
      </w:divBdr>
    </w:div>
    <w:div w:id="975834465">
      <w:marLeft w:val="0"/>
      <w:marRight w:val="0"/>
      <w:marTop w:val="0"/>
      <w:marBottom w:val="120"/>
      <w:divBdr>
        <w:top w:val="none" w:sz="0" w:space="0" w:color="auto"/>
        <w:left w:val="none" w:sz="0" w:space="0" w:color="auto"/>
        <w:bottom w:val="none" w:sz="0" w:space="0" w:color="auto"/>
        <w:right w:val="none" w:sz="0" w:space="0" w:color="auto"/>
      </w:divBdr>
    </w:div>
    <w:div w:id="978847577">
      <w:marLeft w:val="0"/>
      <w:marRight w:val="0"/>
      <w:marTop w:val="0"/>
      <w:marBottom w:val="0"/>
      <w:divBdr>
        <w:top w:val="none" w:sz="0" w:space="0" w:color="auto"/>
        <w:left w:val="none" w:sz="0" w:space="0" w:color="auto"/>
        <w:bottom w:val="none" w:sz="0" w:space="0" w:color="auto"/>
        <w:right w:val="none" w:sz="0" w:space="0" w:color="auto"/>
      </w:divBdr>
    </w:div>
    <w:div w:id="989015682">
      <w:marLeft w:val="0"/>
      <w:marRight w:val="0"/>
      <w:marTop w:val="0"/>
      <w:marBottom w:val="120"/>
      <w:divBdr>
        <w:top w:val="none" w:sz="0" w:space="0" w:color="auto"/>
        <w:left w:val="none" w:sz="0" w:space="0" w:color="auto"/>
        <w:bottom w:val="none" w:sz="0" w:space="0" w:color="auto"/>
        <w:right w:val="none" w:sz="0" w:space="0" w:color="auto"/>
      </w:divBdr>
    </w:div>
    <w:div w:id="990523312">
      <w:marLeft w:val="0"/>
      <w:marRight w:val="0"/>
      <w:marTop w:val="0"/>
      <w:marBottom w:val="0"/>
      <w:divBdr>
        <w:top w:val="none" w:sz="0" w:space="0" w:color="auto"/>
        <w:left w:val="none" w:sz="0" w:space="0" w:color="auto"/>
        <w:bottom w:val="none" w:sz="0" w:space="0" w:color="auto"/>
        <w:right w:val="none" w:sz="0" w:space="0" w:color="auto"/>
      </w:divBdr>
      <w:divsChild>
        <w:div w:id="1790201993">
          <w:marLeft w:val="0"/>
          <w:marRight w:val="0"/>
          <w:marTop w:val="0"/>
          <w:marBottom w:val="120"/>
          <w:divBdr>
            <w:top w:val="none" w:sz="0" w:space="0" w:color="auto"/>
            <w:left w:val="none" w:sz="0" w:space="0" w:color="auto"/>
            <w:bottom w:val="none" w:sz="0" w:space="0" w:color="auto"/>
            <w:right w:val="none" w:sz="0" w:space="0" w:color="auto"/>
          </w:divBdr>
        </w:div>
      </w:divsChild>
    </w:div>
    <w:div w:id="991255472">
      <w:marLeft w:val="0"/>
      <w:marRight w:val="0"/>
      <w:marTop w:val="0"/>
      <w:marBottom w:val="120"/>
      <w:divBdr>
        <w:top w:val="none" w:sz="0" w:space="0" w:color="auto"/>
        <w:left w:val="none" w:sz="0" w:space="0" w:color="auto"/>
        <w:bottom w:val="none" w:sz="0" w:space="0" w:color="auto"/>
        <w:right w:val="none" w:sz="0" w:space="0" w:color="auto"/>
      </w:divBdr>
    </w:div>
    <w:div w:id="994141343">
      <w:marLeft w:val="0"/>
      <w:marRight w:val="0"/>
      <w:marTop w:val="0"/>
      <w:marBottom w:val="120"/>
      <w:divBdr>
        <w:top w:val="none" w:sz="0" w:space="0" w:color="auto"/>
        <w:left w:val="none" w:sz="0" w:space="0" w:color="auto"/>
        <w:bottom w:val="none" w:sz="0" w:space="0" w:color="auto"/>
        <w:right w:val="none" w:sz="0" w:space="0" w:color="auto"/>
      </w:divBdr>
    </w:div>
    <w:div w:id="995911824">
      <w:marLeft w:val="0"/>
      <w:marRight w:val="0"/>
      <w:marTop w:val="0"/>
      <w:marBottom w:val="0"/>
      <w:divBdr>
        <w:top w:val="none" w:sz="0" w:space="0" w:color="auto"/>
        <w:left w:val="none" w:sz="0" w:space="0" w:color="auto"/>
        <w:bottom w:val="none" w:sz="0" w:space="0" w:color="auto"/>
        <w:right w:val="none" w:sz="0" w:space="0" w:color="auto"/>
      </w:divBdr>
    </w:div>
    <w:div w:id="1004285098">
      <w:marLeft w:val="0"/>
      <w:marRight w:val="0"/>
      <w:marTop w:val="0"/>
      <w:marBottom w:val="0"/>
      <w:divBdr>
        <w:top w:val="none" w:sz="0" w:space="0" w:color="auto"/>
        <w:left w:val="none" w:sz="0" w:space="0" w:color="auto"/>
        <w:bottom w:val="none" w:sz="0" w:space="0" w:color="auto"/>
        <w:right w:val="none" w:sz="0" w:space="0" w:color="auto"/>
      </w:divBdr>
    </w:div>
    <w:div w:id="1014069978">
      <w:marLeft w:val="0"/>
      <w:marRight w:val="0"/>
      <w:marTop w:val="0"/>
      <w:marBottom w:val="120"/>
      <w:divBdr>
        <w:top w:val="none" w:sz="0" w:space="0" w:color="auto"/>
        <w:left w:val="none" w:sz="0" w:space="0" w:color="auto"/>
        <w:bottom w:val="none" w:sz="0" w:space="0" w:color="auto"/>
        <w:right w:val="none" w:sz="0" w:space="0" w:color="auto"/>
      </w:divBdr>
    </w:div>
    <w:div w:id="1018389142">
      <w:marLeft w:val="0"/>
      <w:marRight w:val="0"/>
      <w:marTop w:val="0"/>
      <w:marBottom w:val="120"/>
      <w:divBdr>
        <w:top w:val="none" w:sz="0" w:space="0" w:color="auto"/>
        <w:left w:val="none" w:sz="0" w:space="0" w:color="auto"/>
        <w:bottom w:val="none" w:sz="0" w:space="0" w:color="auto"/>
        <w:right w:val="none" w:sz="0" w:space="0" w:color="auto"/>
      </w:divBdr>
    </w:div>
    <w:div w:id="1020163384">
      <w:marLeft w:val="0"/>
      <w:marRight w:val="0"/>
      <w:marTop w:val="0"/>
      <w:marBottom w:val="0"/>
      <w:divBdr>
        <w:top w:val="none" w:sz="0" w:space="0" w:color="auto"/>
        <w:left w:val="none" w:sz="0" w:space="0" w:color="auto"/>
        <w:bottom w:val="none" w:sz="0" w:space="0" w:color="auto"/>
        <w:right w:val="none" w:sz="0" w:space="0" w:color="auto"/>
      </w:divBdr>
      <w:divsChild>
        <w:div w:id="879829556">
          <w:marLeft w:val="0"/>
          <w:marRight w:val="0"/>
          <w:marTop w:val="0"/>
          <w:marBottom w:val="0"/>
          <w:divBdr>
            <w:top w:val="none" w:sz="0" w:space="0" w:color="auto"/>
            <w:left w:val="none" w:sz="0" w:space="0" w:color="auto"/>
            <w:bottom w:val="none" w:sz="0" w:space="0" w:color="auto"/>
            <w:right w:val="none" w:sz="0" w:space="0" w:color="auto"/>
          </w:divBdr>
        </w:div>
        <w:div w:id="627977628">
          <w:marLeft w:val="0"/>
          <w:marRight w:val="0"/>
          <w:marTop w:val="0"/>
          <w:marBottom w:val="120"/>
          <w:divBdr>
            <w:top w:val="none" w:sz="0" w:space="0" w:color="auto"/>
            <w:left w:val="none" w:sz="0" w:space="0" w:color="auto"/>
            <w:bottom w:val="none" w:sz="0" w:space="0" w:color="auto"/>
            <w:right w:val="none" w:sz="0" w:space="0" w:color="auto"/>
          </w:divBdr>
        </w:div>
      </w:divsChild>
    </w:div>
    <w:div w:id="1029835553">
      <w:marLeft w:val="0"/>
      <w:marRight w:val="0"/>
      <w:marTop w:val="0"/>
      <w:marBottom w:val="240"/>
      <w:divBdr>
        <w:top w:val="none" w:sz="0" w:space="0" w:color="auto"/>
        <w:left w:val="none" w:sz="0" w:space="0" w:color="auto"/>
        <w:bottom w:val="none" w:sz="0" w:space="0" w:color="auto"/>
        <w:right w:val="none" w:sz="0" w:space="0" w:color="auto"/>
      </w:divBdr>
    </w:div>
    <w:div w:id="1031761287">
      <w:marLeft w:val="0"/>
      <w:marRight w:val="0"/>
      <w:marTop w:val="0"/>
      <w:marBottom w:val="120"/>
      <w:divBdr>
        <w:top w:val="none" w:sz="0" w:space="0" w:color="auto"/>
        <w:left w:val="none" w:sz="0" w:space="0" w:color="auto"/>
        <w:bottom w:val="none" w:sz="0" w:space="0" w:color="auto"/>
        <w:right w:val="none" w:sz="0" w:space="0" w:color="auto"/>
      </w:divBdr>
    </w:div>
    <w:div w:id="1047488782">
      <w:marLeft w:val="0"/>
      <w:marRight w:val="0"/>
      <w:marTop w:val="0"/>
      <w:marBottom w:val="120"/>
      <w:divBdr>
        <w:top w:val="none" w:sz="0" w:space="0" w:color="auto"/>
        <w:left w:val="none" w:sz="0" w:space="0" w:color="auto"/>
        <w:bottom w:val="none" w:sz="0" w:space="0" w:color="auto"/>
        <w:right w:val="none" w:sz="0" w:space="0" w:color="auto"/>
      </w:divBdr>
    </w:div>
    <w:div w:id="1048457001">
      <w:marLeft w:val="0"/>
      <w:marRight w:val="0"/>
      <w:marTop w:val="0"/>
      <w:marBottom w:val="120"/>
      <w:divBdr>
        <w:top w:val="none" w:sz="0" w:space="0" w:color="auto"/>
        <w:left w:val="none" w:sz="0" w:space="0" w:color="auto"/>
        <w:bottom w:val="none" w:sz="0" w:space="0" w:color="auto"/>
        <w:right w:val="none" w:sz="0" w:space="0" w:color="auto"/>
      </w:divBdr>
    </w:div>
    <w:div w:id="1051880467">
      <w:marLeft w:val="0"/>
      <w:marRight w:val="0"/>
      <w:marTop w:val="0"/>
      <w:marBottom w:val="0"/>
      <w:divBdr>
        <w:top w:val="none" w:sz="0" w:space="0" w:color="auto"/>
        <w:left w:val="none" w:sz="0" w:space="0" w:color="auto"/>
        <w:bottom w:val="none" w:sz="0" w:space="0" w:color="auto"/>
        <w:right w:val="none" w:sz="0" w:space="0" w:color="auto"/>
      </w:divBdr>
      <w:divsChild>
        <w:div w:id="850947485">
          <w:marLeft w:val="0"/>
          <w:marRight w:val="0"/>
          <w:marTop w:val="0"/>
          <w:marBottom w:val="0"/>
          <w:divBdr>
            <w:top w:val="none" w:sz="0" w:space="0" w:color="auto"/>
            <w:left w:val="none" w:sz="0" w:space="0" w:color="auto"/>
            <w:bottom w:val="none" w:sz="0" w:space="0" w:color="auto"/>
            <w:right w:val="none" w:sz="0" w:space="0" w:color="auto"/>
          </w:divBdr>
        </w:div>
      </w:divsChild>
    </w:div>
    <w:div w:id="1054043774">
      <w:marLeft w:val="0"/>
      <w:marRight w:val="0"/>
      <w:marTop w:val="0"/>
      <w:marBottom w:val="120"/>
      <w:divBdr>
        <w:top w:val="none" w:sz="0" w:space="0" w:color="auto"/>
        <w:left w:val="none" w:sz="0" w:space="0" w:color="auto"/>
        <w:bottom w:val="none" w:sz="0" w:space="0" w:color="auto"/>
        <w:right w:val="none" w:sz="0" w:space="0" w:color="auto"/>
      </w:divBdr>
    </w:div>
    <w:div w:id="1063649289">
      <w:marLeft w:val="0"/>
      <w:marRight w:val="0"/>
      <w:marTop w:val="0"/>
      <w:marBottom w:val="120"/>
      <w:divBdr>
        <w:top w:val="none" w:sz="0" w:space="0" w:color="auto"/>
        <w:left w:val="none" w:sz="0" w:space="0" w:color="auto"/>
        <w:bottom w:val="none" w:sz="0" w:space="0" w:color="auto"/>
        <w:right w:val="none" w:sz="0" w:space="0" w:color="auto"/>
      </w:divBdr>
    </w:div>
    <w:div w:id="1064259905">
      <w:marLeft w:val="0"/>
      <w:marRight w:val="0"/>
      <w:marTop w:val="0"/>
      <w:marBottom w:val="120"/>
      <w:divBdr>
        <w:top w:val="none" w:sz="0" w:space="0" w:color="auto"/>
        <w:left w:val="none" w:sz="0" w:space="0" w:color="auto"/>
        <w:bottom w:val="none" w:sz="0" w:space="0" w:color="auto"/>
        <w:right w:val="none" w:sz="0" w:space="0" w:color="auto"/>
      </w:divBdr>
    </w:div>
    <w:div w:id="1067070717">
      <w:marLeft w:val="0"/>
      <w:marRight w:val="0"/>
      <w:marTop w:val="0"/>
      <w:marBottom w:val="120"/>
      <w:divBdr>
        <w:top w:val="none" w:sz="0" w:space="0" w:color="auto"/>
        <w:left w:val="none" w:sz="0" w:space="0" w:color="auto"/>
        <w:bottom w:val="none" w:sz="0" w:space="0" w:color="auto"/>
        <w:right w:val="none" w:sz="0" w:space="0" w:color="auto"/>
      </w:divBdr>
    </w:div>
    <w:div w:id="1072921613">
      <w:marLeft w:val="0"/>
      <w:marRight w:val="0"/>
      <w:marTop w:val="100"/>
      <w:marBottom w:val="120"/>
      <w:divBdr>
        <w:top w:val="none" w:sz="0" w:space="0" w:color="auto"/>
        <w:left w:val="none" w:sz="0" w:space="0" w:color="auto"/>
        <w:bottom w:val="none" w:sz="0" w:space="0" w:color="auto"/>
        <w:right w:val="none" w:sz="0" w:space="0" w:color="auto"/>
      </w:divBdr>
    </w:div>
    <w:div w:id="1075906131">
      <w:marLeft w:val="0"/>
      <w:marRight w:val="0"/>
      <w:marTop w:val="0"/>
      <w:marBottom w:val="120"/>
      <w:divBdr>
        <w:top w:val="none" w:sz="0" w:space="0" w:color="auto"/>
        <w:left w:val="none" w:sz="0" w:space="0" w:color="auto"/>
        <w:bottom w:val="none" w:sz="0" w:space="0" w:color="auto"/>
        <w:right w:val="none" w:sz="0" w:space="0" w:color="auto"/>
      </w:divBdr>
    </w:div>
    <w:div w:id="1082414663">
      <w:marLeft w:val="0"/>
      <w:marRight w:val="0"/>
      <w:marTop w:val="0"/>
      <w:marBottom w:val="120"/>
      <w:divBdr>
        <w:top w:val="none" w:sz="0" w:space="0" w:color="auto"/>
        <w:left w:val="none" w:sz="0" w:space="0" w:color="auto"/>
        <w:bottom w:val="none" w:sz="0" w:space="0" w:color="auto"/>
        <w:right w:val="none" w:sz="0" w:space="0" w:color="auto"/>
      </w:divBdr>
    </w:div>
    <w:div w:id="1084497397">
      <w:marLeft w:val="0"/>
      <w:marRight w:val="0"/>
      <w:marTop w:val="0"/>
      <w:marBottom w:val="120"/>
      <w:divBdr>
        <w:top w:val="none" w:sz="0" w:space="0" w:color="auto"/>
        <w:left w:val="none" w:sz="0" w:space="0" w:color="auto"/>
        <w:bottom w:val="none" w:sz="0" w:space="0" w:color="auto"/>
        <w:right w:val="none" w:sz="0" w:space="0" w:color="auto"/>
      </w:divBdr>
    </w:div>
    <w:div w:id="1089810826">
      <w:marLeft w:val="0"/>
      <w:marRight w:val="0"/>
      <w:marTop w:val="0"/>
      <w:marBottom w:val="120"/>
      <w:divBdr>
        <w:top w:val="none" w:sz="0" w:space="0" w:color="auto"/>
        <w:left w:val="none" w:sz="0" w:space="0" w:color="auto"/>
        <w:bottom w:val="none" w:sz="0" w:space="0" w:color="auto"/>
        <w:right w:val="none" w:sz="0" w:space="0" w:color="auto"/>
      </w:divBdr>
    </w:div>
    <w:div w:id="1091202716">
      <w:marLeft w:val="0"/>
      <w:marRight w:val="0"/>
      <w:marTop w:val="100"/>
      <w:marBottom w:val="0"/>
      <w:divBdr>
        <w:top w:val="none" w:sz="0" w:space="0" w:color="auto"/>
        <w:left w:val="none" w:sz="0" w:space="0" w:color="auto"/>
        <w:bottom w:val="none" w:sz="0" w:space="0" w:color="auto"/>
        <w:right w:val="none" w:sz="0" w:space="0" w:color="auto"/>
      </w:divBdr>
    </w:div>
    <w:div w:id="1091465183">
      <w:marLeft w:val="0"/>
      <w:marRight w:val="0"/>
      <w:marTop w:val="0"/>
      <w:marBottom w:val="120"/>
      <w:divBdr>
        <w:top w:val="none" w:sz="0" w:space="0" w:color="auto"/>
        <w:left w:val="none" w:sz="0" w:space="0" w:color="auto"/>
        <w:bottom w:val="none" w:sz="0" w:space="0" w:color="auto"/>
        <w:right w:val="none" w:sz="0" w:space="0" w:color="auto"/>
      </w:divBdr>
    </w:div>
    <w:div w:id="1094545874">
      <w:marLeft w:val="0"/>
      <w:marRight w:val="0"/>
      <w:marTop w:val="0"/>
      <w:marBottom w:val="0"/>
      <w:divBdr>
        <w:top w:val="none" w:sz="0" w:space="0" w:color="auto"/>
        <w:left w:val="none" w:sz="0" w:space="0" w:color="auto"/>
        <w:bottom w:val="none" w:sz="0" w:space="0" w:color="auto"/>
        <w:right w:val="none" w:sz="0" w:space="0" w:color="auto"/>
      </w:divBdr>
      <w:divsChild>
        <w:div w:id="435517764">
          <w:marLeft w:val="0"/>
          <w:marRight w:val="0"/>
          <w:marTop w:val="0"/>
          <w:marBottom w:val="0"/>
          <w:divBdr>
            <w:top w:val="none" w:sz="0" w:space="0" w:color="auto"/>
            <w:left w:val="none" w:sz="0" w:space="0" w:color="auto"/>
            <w:bottom w:val="none" w:sz="0" w:space="0" w:color="auto"/>
            <w:right w:val="none" w:sz="0" w:space="0" w:color="auto"/>
          </w:divBdr>
        </w:div>
      </w:divsChild>
    </w:div>
    <w:div w:id="1109203270">
      <w:marLeft w:val="0"/>
      <w:marRight w:val="0"/>
      <w:marTop w:val="0"/>
      <w:marBottom w:val="120"/>
      <w:divBdr>
        <w:top w:val="none" w:sz="0" w:space="0" w:color="auto"/>
        <w:left w:val="none" w:sz="0" w:space="0" w:color="auto"/>
        <w:bottom w:val="none" w:sz="0" w:space="0" w:color="auto"/>
        <w:right w:val="none" w:sz="0" w:space="0" w:color="auto"/>
      </w:divBdr>
    </w:div>
    <w:div w:id="1110121480">
      <w:marLeft w:val="0"/>
      <w:marRight w:val="0"/>
      <w:marTop w:val="80"/>
      <w:marBottom w:val="0"/>
      <w:divBdr>
        <w:top w:val="none" w:sz="0" w:space="0" w:color="auto"/>
        <w:left w:val="none" w:sz="0" w:space="0" w:color="auto"/>
        <w:bottom w:val="none" w:sz="0" w:space="0" w:color="auto"/>
        <w:right w:val="none" w:sz="0" w:space="0" w:color="auto"/>
      </w:divBdr>
    </w:div>
    <w:div w:id="1122991183">
      <w:marLeft w:val="0"/>
      <w:marRight w:val="0"/>
      <w:marTop w:val="0"/>
      <w:marBottom w:val="20"/>
      <w:divBdr>
        <w:top w:val="none" w:sz="0" w:space="0" w:color="auto"/>
        <w:left w:val="none" w:sz="0" w:space="0" w:color="auto"/>
        <w:bottom w:val="none" w:sz="0" w:space="0" w:color="auto"/>
        <w:right w:val="none" w:sz="0" w:space="0" w:color="auto"/>
      </w:divBdr>
    </w:div>
    <w:div w:id="1124537536">
      <w:marLeft w:val="0"/>
      <w:marRight w:val="0"/>
      <w:marTop w:val="0"/>
      <w:marBottom w:val="120"/>
      <w:divBdr>
        <w:top w:val="none" w:sz="0" w:space="0" w:color="auto"/>
        <w:left w:val="none" w:sz="0" w:space="0" w:color="auto"/>
        <w:bottom w:val="none" w:sz="0" w:space="0" w:color="auto"/>
        <w:right w:val="none" w:sz="0" w:space="0" w:color="auto"/>
      </w:divBdr>
    </w:div>
    <w:div w:id="1128283022">
      <w:marLeft w:val="0"/>
      <w:marRight w:val="0"/>
      <w:marTop w:val="0"/>
      <w:marBottom w:val="120"/>
      <w:divBdr>
        <w:top w:val="none" w:sz="0" w:space="0" w:color="auto"/>
        <w:left w:val="none" w:sz="0" w:space="0" w:color="auto"/>
        <w:bottom w:val="none" w:sz="0" w:space="0" w:color="auto"/>
        <w:right w:val="none" w:sz="0" w:space="0" w:color="auto"/>
      </w:divBdr>
    </w:div>
    <w:div w:id="1130636181">
      <w:marLeft w:val="0"/>
      <w:marRight w:val="0"/>
      <w:marTop w:val="0"/>
      <w:marBottom w:val="120"/>
      <w:divBdr>
        <w:top w:val="none" w:sz="0" w:space="0" w:color="auto"/>
        <w:left w:val="none" w:sz="0" w:space="0" w:color="auto"/>
        <w:bottom w:val="none" w:sz="0" w:space="0" w:color="auto"/>
        <w:right w:val="none" w:sz="0" w:space="0" w:color="auto"/>
      </w:divBdr>
    </w:div>
    <w:div w:id="1133989230">
      <w:marLeft w:val="0"/>
      <w:marRight w:val="0"/>
      <w:marTop w:val="0"/>
      <w:marBottom w:val="0"/>
      <w:divBdr>
        <w:top w:val="none" w:sz="0" w:space="0" w:color="auto"/>
        <w:left w:val="none" w:sz="0" w:space="0" w:color="auto"/>
        <w:bottom w:val="none" w:sz="0" w:space="0" w:color="auto"/>
        <w:right w:val="none" w:sz="0" w:space="0" w:color="auto"/>
      </w:divBdr>
      <w:divsChild>
        <w:div w:id="1916553982">
          <w:marLeft w:val="0"/>
          <w:marRight w:val="0"/>
          <w:marTop w:val="0"/>
          <w:marBottom w:val="0"/>
          <w:divBdr>
            <w:top w:val="none" w:sz="0" w:space="0" w:color="auto"/>
            <w:left w:val="none" w:sz="0" w:space="0" w:color="auto"/>
            <w:bottom w:val="none" w:sz="0" w:space="0" w:color="auto"/>
            <w:right w:val="none" w:sz="0" w:space="0" w:color="auto"/>
          </w:divBdr>
        </w:div>
        <w:div w:id="319963376">
          <w:marLeft w:val="0"/>
          <w:marRight w:val="0"/>
          <w:marTop w:val="0"/>
          <w:marBottom w:val="0"/>
          <w:divBdr>
            <w:top w:val="none" w:sz="0" w:space="0" w:color="auto"/>
            <w:left w:val="none" w:sz="0" w:space="0" w:color="auto"/>
            <w:bottom w:val="none" w:sz="0" w:space="0" w:color="auto"/>
            <w:right w:val="none" w:sz="0" w:space="0" w:color="auto"/>
          </w:divBdr>
        </w:div>
      </w:divsChild>
    </w:div>
    <w:div w:id="1142772008">
      <w:marLeft w:val="0"/>
      <w:marRight w:val="0"/>
      <w:marTop w:val="0"/>
      <w:marBottom w:val="120"/>
      <w:divBdr>
        <w:top w:val="none" w:sz="0" w:space="0" w:color="auto"/>
        <w:left w:val="none" w:sz="0" w:space="0" w:color="auto"/>
        <w:bottom w:val="none" w:sz="0" w:space="0" w:color="auto"/>
        <w:right w:val="none" w:sz="0" w:space="0" w:color="auto"/>
      </w:divBdr>
    </w:div>
    <w:div w:id="1149202464">
      <w:marLeft w:val="0"/>
      <w:marRight w:val="0"/>
      <w:marTop w:val="0"/>
      <w:marBottom w:val="0"/>
      <w:divBdr>
        <w:top w:val="none" w:sz="0" w:space="0" w:color="auto"/>
        <w:left w:val="none" w:sz="0" w:space="0" w:color="auto"/>
        <w:bottom w:val="none" w:sz="0" w:space="0" w:color="auto"/>
        <w:right w:val="none" w:sz="0" w:space="0" w:color="auto"/>
      </w:divBdr>
      <w:divsChild>
        <w:div w:id="1500920257">
          <w:marLeft w:val="0"/>
          <w:marRight w:val="0"/>
          <w:marTop w:val="0"/>
          <w:marBottom w:val="0"/>
          <w:divBdr>
            <w:top w:val="none" w:sz="0" w:space="0" w:color="auto"/>
            <w:left w:val="none" w:sz="0" w:space="0" w:color="auto"/>
            <w:bottom w:val="none" w:sz="0" w:space="0" w:color="auto"/>
            <w:right w:val="none" w:sz="0" w:space="0" w:color="auto"/>
          </w:divBdr>
        </w:div>
      </w:divsChild>
    </w:div>
    <w:div w:id="1149520442">
      <w:marLeft w:val="0"/>
      <w:marRight w:val="0"/>
      <w:marTop w:val="0"/>
      <w:marBottom w:val="120"/>
      <w:divBdr>
        <w:top w:val="none" w:sz="0" w:space="0" w:color="auto"/>
        <w:left w:val="none" w:sz="0" w:space="0" w:color="auto"/>
        <w:bottom w:val="none" w:sz="0" w:space="0" w:color="auto"/>
        <w:right w:val="none" w:sz="0" w:space="0" w:color="auto"/>
      </w:divBdr>
    </w:div>
    <w:div w:id="1155023694">
      <w:marLeft w:val="0"/>
      <w:marRight w:val="0"/>
      <w:marTop w:val="100"/>
      <w:marBottom w:val="0"/>
      <w:divBdr>
        <w:top w:val="none" w:sz="0" w:space="0" w:color="auto"/>
        <w:left w:val="none" w:sz="0" w:space="0" w:color="auto"/>
        <w:bottom w:val="none" w:sz="0" w:space="0" w:color="auto"/>
        <w:right w:val="none" w:sz="0" w:space="0" w:color="auto"/>
      </w:divBdr>
    </w:div>
    <w:div w:id="1155337585">
      <w:marLeft w:val="0"/>
      <w:marRight w:val="0"/>
      <w:marTop w:val="100"/>
      <w:marBottom w:val="120"/>
      <w:divBdr>
        <w:top w:val="none" w:sz="0" w:space="0" w:color="auto"/>
        <w:left w:val="none" w:sz="0" w:space="0" w:color="auto"/>
        <w:bottom w:val="none" w:sz="0" w:space="0" w:color="auto"/>
        <w:right w:val="none" w:sz="0" w:space="0" w:color="auto"/>
      </w:divBdr>
    </w:div>
    <w:div w:id="1162429976">
      <w:marLeft w:val="0"/>
      <w:marRight w:val="0"/>
      <w:marTop w:val="0"/>
      <w:marBottom w:val="120"/>
      <w:divBdr>
        <w:top w:val="none" w:sz="0" w:space="0" w:color="auto"/>
        <w:left w:val="none" w:sz="0" w:space="0" w:color="auto"/>
        <w:bottom w:val="none" w:sz="0" w:space="0" w:color="auto"/>
        <w:right w:val="none" w:sz="0" w:space="0" w:color="auto"/>
      </w:divBdr>
    </w:div>
    <w:div w:id="1169249914">
      <w:marLeft w:val="0"/>
      <w:marRight w:val="0"/>
      <w:marTop w:val="0"/>
      <w:marBottom w:val="120"/>
      <w:divBdr>
        <w:top w:val="none" w:sz="0" w:space="0" w:color="auto"/>
        <w:left w:val="none" w:sz="0" w:space="0" w:color="auto"/>
        <w:bottom w:val="none" w:sz="0" w:space="0" w:color="auto"/>
        <w:right w:val="none" w:sz="0" w:space="0" w:color="auto"/>
      </w:divBdr>
    </w:div>
    <w:div w:id="1172374146">
      <w:marLeft w:val="0"/>
      <w:marRight w:val="0"/>
      <w:marTop w:val="0"/>
      <w:marBottom w:val="120"/>
      <w:divBdr>
        <w:top w:val="none" w:sz="0" w:space="0" w:color="auto"/>
        <w:left w:val="none" w:sz="0" w:space="0" w:color="auto"/>
        <w:bottom w:val="none" w:sz="0" w:space="0" w:color="auto"/>
        <w:right w:val="none" w:sz="0" w:space="0" w:color="auto"/>
      </w:divBdr>
    </w:div>
    <w:div w:id="1174226373">
      <w:marLeft w:val="0"/>
      <w:marRight w:val="0"/>
      <w:marTop w:val="0"/>
      <w:marBottom w:val="120"/>
      <w:divBdr>
        <w:top w:val="none" w:sz="0" w:space="0" w:color="auto"/>
        <w:left w:val="none" w:sz="0" w:space="0" w:color="auto"/>
        <w:bottom w:val="none" w:sz="0" w:space="0" w:color="auto"/>
        <w:right w:val="none" w:sz="0" w:space="0" w:color="auto"/>
      </w:divBdr>
    </w:div>
    <w:div w:id="1182285416">
      <w:marLeft w:val="0"/>
      <w:marRight w:val="0"/>
      <w:marTop w:val="80"/>
      <w:marBottom w:val="0"/>
      <w:divBdr>
        <w:top w:val="none" w:sz="0" w:space="0" w:color="auto"/>
        <w:left w:val="none" w:sz="0" w:space="0" w:color="auto"/>
        <w:bottom w:val="none" w:sz="0" w:space="0" w:color="auto"/>
        <w:right w:val="none" w:sz="0" w:space="0" w:color="auto"/>
      </w:divBdr>
    </w:div>
    <w:div w:id="1182934085">
      <w:marLeft w:val="0"/>
      <w:marRight w:val="0"/>
      <w:marTop w:val="0"/>
      <w:marBottom w:val="120"/>
      <w:divBdr>
        <w:top w:val="none" w:sz="0" w:space="0" w:color="auto"/>
        <w:left w:val="none" w:sz="0" w:space="0" w:color="auto"/>
        <w:bottom w:val="none" w:sz="0" w:space="0" w:color="auto"/>
        <w:right w:val="none" w:sz="0" w:space="0" w:color="auto"/>
      </w:divBdr>
    </w:div>
    <w:div w:id="1183470903">
      <w:marLeft w:val="0"/>
      <w:marRight w:val="0"/>
      <w:marTop w:val="0"/>
      <w:marBottom w:val="120"/>
      <w:divBdr>
        <w:top w:val="none" w:sz="0" w:space="0" w:color="auto"/>
        <w:left w:val="none" w:sz="0" w:space="0" w:color="auto"/>
        <w:bottom w:val="none" w:sz="0" w:space="0" w:color="auto"/>
        <w:right w:val="none" w:sz="0" w:space="0" w:color="auto"/>
      </w:divBdr>
    </w:div>
    <w:div w:id="1192186516">
      <w:marLeft w:val="0"/>
      <w:marRight w:val="0"/>
      <w:marTop w:val="0"/>
      <w:marBottom w:val="120"/>
      <w:divBdr>
        <w:top w:val="none" w:sz="0" w:space="0" w:color="auto"/>
        <w:left w:val="none" w:sz="0" w:space="0" w:color="auto"/>
        <w:bottom w:val="none" w:sz="0" w:space="0" w:color="auto"/>
        <w:right w:val="none" w:sz="0" w:space="0" w:color="auto"/>
      </w:divBdr>
    </w:div>
    <w:div w:id="1194462240">
      <w:marLeft w:val="0"/>
      <w:marRight w:val="0"/>
      <w:marTop w:val="80"/>
      <w:marBottom w:val="0"/>
      <w:divBdr>
        <w:top w:val="none" w:sz="0" w:space="0" w:color="auto"/>
        <w:left w:val="none" w:sz="0" w:space="0" w:color="auto"/>
        <w:bottom w:val="none" w:sz="0" w:space="0" w:color="auto"/>
        <w:right w:val="none" w:sz="0" w:space="0" w:color="auto"/>
      </w:divBdr>
    </w:div>
    <w:div w:id="1195189563">
      <w:marLeft w:val="0"/>
      <w:marRight w:val="0"/>
      <w:marTop w:val="0"/>
      <w:marBottom w:val="120"/>
      <w:divBdr>
        <w:top w:val="none" w:sz="0" w:space="0" w:color="auto"/>
        <w:left w:val="none" w:sz="0" w:space="0" w:color="auto"/>
        <w:bottom w:val="none" w:sz="0" w:space="0" w:color="auto"/>
        <w:right w:val="none" w:sz="0" w:space="0" w:color="auto"/>
      </w:divBdr>
    </w:div>
    <w:div w:id="1200389757">
      <w:marLeft w:val="0"/>
      <w:marRight w:val="0"/>
      <w:marTop w:val="0"/>
      <w:marBottom w:val="120"/>
      <w:divBdr>
        <w:top w:val="none" w:sz="0" w:space="0" w:color="auto"/>
        <w:left w:val="none" w:sz="0" w:space="0" w:color="auto"/>
        <w:bottom w:val="none" w:sz="0" w:space="0" w:color="auto"/>
        <w:right w:val="none" w:sz="0" w:space="0" w:color="auto"/>
      </w:divBdr>
    </w:div>
    <w:div w:id="1202866693">
      <w:marLeft w:val="0"/>
      <w:marRight w:val="0"/>
      <w:marTop w:val="100"/>
      <w:marBottom w:val="120"/>
      <w:divBdr>
        <w:top w:val="none" w:sz="0" w:space="0" w:color="auto"/>
        <w:left w:val="none" w:sz="0" w:space="0" w:color="auto"/>
        <w:bottom w:val="none" w:sz="0" w:space="0" w:color="auto"/>
        <w:right w:val="none" w:sz="0" w:space="0" w:color="auto"/>
      </w:divBdr>
      <w:divsChild>
        <w:div w:id="84619971">
          <w:marLeft w:val="0"/>
          <w:marRight w:val="0"/>
          <w:marTop w:val="0"/>
          <w:marBottom w:val="0"/>
          <w:divBdr>
            <w:top w:val="none" w:sz="0" w:space="0" w:color="auto"/>
            <w:left w:val="none" w:sz="0" w:space="0" w:color="auto"/>
            <w:bottom w:val="none" w:sz="0" w:space="0" w:color="auto"/>
            <w:right w:val="none" w:sz="0" w:space="0" w:color="auto"/>
          </w:divBdr>
        </w:div>
      </w:divsChild>
    </w:div>
    <w:div w:id="1208645544">
      <w:marLeft w:val="0"/>
      <w:marRight w:val="0"/>
      <w:marTop w:val="0"/>
      <w:marBottom w:val="120"/>
      <w:divBdr>
        <w:top w:val="none" w:sz="0" w:space="0" w:color="auto"/>
        <w:left w:val="none" w:sz="0" w:space="0" w:color="auto"/>
        <w:bottom w:val="none" w:sz="0" w:space="0" w:color="auto"/>
        <w:right w:val="none" w:sz="0" w:space="0" w:color="auto"/>
      </w:divBdr>
    </w:div>
    <w:div w:id="1210607465">
      <w:marLeft w:val="0"/>
      <w:marRight w:val="0"/>
      <w:marTop w:val="0"/>
      <w:marBottom w:val="120"/>
      <w:divBdr>
        <w:top w:val="none" w:sz="0" w:space="0" w:color="auto"/>
        <w:left w:val="none" w:sz="0" w:space="0" w:color="auto"/>
        <w:bottom w:val="none" w:sz="0" w:space="0" w:color="auto"/>
        <w:right w:val="none" w:sz="0" w:space="0" w:color="auto"/>
      </w:divBdr>
    </w:div>
    <w:div w:id="1211579625">
      <w:marLeft w:val="0"/>
      <w:marRight w:val="0"/>
      <w:marTop w:val="0"/>
      <w:marBottom w:val="120"/>
      <w:divBdr>
        <w:top w:val="none" w:sz="0" w:space="0" w:color="auto"/>
        <w:left w:val="none" w:sz="0" w:space="0" w:color="auto"/>
        <w:bottom w:val="none" w:sz="0" w:space="0" w:color="auto"/>
        <w:right w:val="none" w:sz="0" w:space="0" w:color="auto"/>
      </w:divBdr>
    </w:div>
    <w:div w:id="1230917938">
      <w:marLeft w:val="0"/>
      <w:marRight w:val="0"/>
      <w:marTop w:val="0"/>
      <w:marBottom w:val="0"/>
      <w:divBdr>
        <w:top w:val="none" w:sz="0" w:space="0" w:color="auto"/>
        <w:left w:val="none" w:sz="0" w:space="0" w:color="auto"/>
        <w:bottom w:val="none" w:sz="0" w:space="0" w:color="auto"/>
        <w:right w:val="none" w:sz="0" w:space="0" w:color="auto"/>
      </w:divBdr>
      <w:divsChild>
        <w:div w:id="1528710861">
          <w:marLeft w:val="0"/>
          <w:marRight w:val="0"/>
          <w:marTop w:val="0"/>
          <w:marBottom w:val="0"/>
          <w:divBdr>
            <w:top w:val="none" w:sz="0" w:space="0" w:color="auto"/>
            <w:left w:val="none" w:sz="0" w:space="0" w:color="auto"/>
            <w:bottom w:val="none" w:sz="0" w:space="0" w:color="auto"/>
            <w:right w:val="none" w:sz="0" w:space="0" w:color="auto"/>
          </w:divBdr>
        </w:div>
      </w:divsChild>
    </w:div>
    <w:div w:id="1245871710">
      <w:marLeft w:val="0"/>
      <w:marRight w:val="0"/>
      <w:marTop w:val="0"/>
      <w:marBottom w:val="0"/>
      <w:divBdr>
        <w:top w:val="none" w:sz="0" w:space="0" w:color="auto"/>
        <w:left w:val="none" w:sz="0" w:space="0" w:color="auto"/>
        <w:bottom w:val="none" w:sz="0" w:space="0" w:color="auto"/>
        <w:right w:val="none" w:sz="0" w:space="0" w:color="auto"/>
      </w:divBdr>
      <w:divsChild>
        <w:div w:id="2121491642">
          <w:marLeft w:val="0"/>
          <w:marRight w:val="0"/>
          <w:marTop w:val="0"/>
          <w:marBottom w:val="0"/>
          <w:divBdr>
            <w:top w:val="none" w:sz="0" w:space="0" w:color="auto"/>
            <w:left w:val="none" w:sz="0" w:space="0" w:color="auto"/>
            <w:bottom w:val="none" w:sz="0" w:space="0" w:color="auto"/>
            <w:right w:val="none" w:sz="0" w:space="0" w:color="auto"/>
          </w:divBdr>
        </w:div>
      </w:divsChild>
    </w:div>
    <w:div w:id="1246450378">
      <w:marLeft w:val="0"/>
      <w:marRight w:val="0"/>
      <w:marTop w:val="0"/>
      <w:marBottom w:val="120"/>
      <w:divBdr>
        <w:top w:val="none" w:sz="0" w:space="0" w:color="auto"/>
        <w:left w:val="none" w:sz="0" w:space="0" w:color="auto"/>
        <w:bottom w:val="none" w:sz="0" w:space="0" w:color="auto"/>
        <w:right w:val="none" w:sz="0" w:space="0" w:color="auto"/>
      </w:divBdr>
    </w:div>
    <w:div w:id="1250190977">
      <w:marLeft w:val="0"/>
      <w:marRight w:val="0"/>
      <w:marTop w:val="0"/>
      <w:marBottom w:val="120"/>
      <w:divBdr>
        <w:top w:val="none" w:sz="0" w:space="0" w:color="auto"/>
        <w:left w:val="none" w:sz="0" w:space="0" w:color="auto"/>
        <w:bottom w:val="none" w:sz="0" w:space="0" w:color="auto"/>
        <w:right w:val="none" w:sz="0" w:space="0" w:color="auto"/>
      </w:divBdr>
    </w:div>
    <w:div w:id="1252161354">
      <w:marLeft w:val="0"/>
      <w:marRight w:val="0"/>
      <w:marTop w:val="0"/>
      <w:marBottom w:val="120"/>
      <w:divBdr>
        <w:top w:val="none" w:sz="0" w:space="0" w:color="auto"/>
        <w:left w:val="none" w:sz="0" w:space="0" w:color="auto"/>
        <w:bottom w:val="none" w:sz="0" w:space="0" w:color="auto"/>
        <w:right w:val="none" w:sz="0" w:space="0" w:color="auto"/>
      </w:divBdr>
    </w:div>
    <w:div w:id="1262374754">
      <w:marLeft w:val="0"/>
      <w:marRight w:val="0"/>
      <w:marTop w:val="0"/>
      <w:marBottom w:val="120"/>
      <w:divBdr>
        <w:top w:val="none" w:sz="0" w:space="0" w:color="auto"/>
        <w:left w:val="none" w:sz="0" w:space="0" w:color="auto"/>
        <w:bottom w:val="none" w:sz="0" w:space="0" w:color="auto"/>
        <w:right w:val="none" w:sz="0" w:space="0" w:color="auto"/>
      </w:divBdr>
    </w:div>
    <w:div w:id="1266229787">
      <w:marLeft w:val="0"/>
      <w:marRight w:val="0"/>
      <w:marTop w:val="0"/>
      <w:marBottom w:val="120"/>
      <w:divBdr>
        <w:top w:val="none" w:sz="0" w:space="0" w:color="auto"/>
        <w:left w:val="none" w:sz="0" w:space="0" w:color="auto"/>
        <w:bottom w:val="none" w:sz="0" w:space="0" w:color="auto"/>
        <w:right w:val="none" w:sz="0" w:space="0" w:color="auto"/>
      </w:divBdr>
    </w:div>
    <w:div w:id="1277758545">
      <w:marLeft w:val="0"/>
      <w:marRight w:val="0"/>
      <w:marTop w:val="0"/>
      <w:marBottom w:val="120"/>
      <w:divBdr>
        <w:top w:val="none" w:sz="0" w:space="0" w:color="auto"/>
        <w:left w:val="none" w:sz="0" w:space="0" w:color="auto"/>
        <w:bottom w:val="none" w:sz="0" w:space="0" w:color="auto"/>
        <w:right w:val="none" w:sz="0" w:space="0" w:color="auto"/>
      </w:divBdr>
    </w:div>
    <w:div w:id="1279529795">
      <w:marLeft w:val="0"/>
      <w:marRight w:val="0"/>
      <w:marTop w:val="0"/>
      <w:marBottom w:val="0"/>
      <w:divBdr>
        <w:top w:val="none" w:sz="0" w:space="0" w:color="auto"/>
        <w:left w:val="none" w:sz="0" w:space="0" w:color="auto"/>
        <w:bottom w:val="none" w:sz="0" w:space="0" w:color="auto"/>
        <w:right w:val="none" w:sz="0" w:space="0" w:color="auto"/>
      </w:divBdr>
    </w:div>
    <w:div w:id="1288776610">
      <w:marLeft w:val="0"/>
      <w:marRight w:val="0"/>
      <w:marTop w:val="0"/>
      <w:marBottom w:val="120"/>
      <w:divBdr>
        <w:top w:val="none" w:sz="0" w:space="0" w:color="auto"/>
        <w:left w:val="none" w:sz="0" w:space="0" w:color="auto"/>
        <w:bottom w:val="none" w:sz="0" w:space="0" w:color="auto"/>
        <w:right w:val="none" w:sz="0" w:space="0" w:color="auto"/>
      </w:divBdr>
    </w:div>
    <w:div w:id="1292904682">
      <w:marLeft w:val="0"/>
      <w:marRight w:val="0"/>
      <w:marTop w:val="0"/>
      <w:marBottom w:val="100"/>
      <w:divBdr>
        <w:top w:val="none" w:sz="0" w:space="0" w:color="auto"/>
        <w:left w:val="none" w:sz="0" w:space="0" w:color="auto"/>
        <w:bottom w:val="none" w:sz="0" w:space="0" w:color="auto"/>
        <w:right w:val="none" w:sz="0" w:space="0" w:color="auto"/>
      </w:divBdr>
    </w:div>
    <w:div w:id="1294021640">
      <w:marLeft w:val="0"/>
      <w:marRight w:val="0"/>
      <w:marTop w:val="0"/>
      <w:marBottom w:val="120"/>
      <w:divBdr>
        <w:top w:val="none" w:sz="0" w:space="0" w:color="auto"/>
        <w:left w:val="none" w:sz="0" w:space="0" w:color="auto"/>
        <w:bottom w:val="none" w:sz="0" w:space="0" w:color="auto"/>
        <w:right w:val="none" w:sz="0" w:space="0" w:color="auto"/>
      </w:divBdr>
    </w:div>
    <w:div w:id="1297906127">
      <w:marLeft w:val="0"/>
      <w:marRight w:val="0"/>
      <w:marTop w:val="100"/>
      <w:marBottom w:val="0"/>
      <w:divBdr>
        <w:top w:val="none" w:sz="0" w:space="0" w:color="auto"/>
        <w:left w:val="none" w:sz="0" w:space="0" w:color="auto"/>
        <w:bottom w:val="none" w:sz="0" w:space="0" w:color="auto"/>
        <w:right w:val="none" w:sz="0" w:space="0" w:color="auto"/>
      </w:divBdr>
    </w:div>
    <w:div w:id="1306473328">
      <w:marLeft w:val="0"/>
      <w:marRight w:val="0"/>
      <w:marTop w:val="0"/>
      <w:marBottom w:val="120"/>
      <w:divBdr>
        <w:top w:val="none" w:sz="0" w:space="0" w:color="auto"/>
        <w:left w:val="none" w:sz="0" w:space="0" w:color="auto"/>
        <w:bottom w:val="none" w:sz="0" w:space="0" w:color="auto"/>
        <w:right w:val="none" w:sz="0" w:space="0" w:color="auto"/>
      </w:divBdr>
    </w:div>
    <w:div w:id="1314022275">
      <w:marLeft w:val="0"/>
      <w:marRight w:val="0"/>
      <w:marTop w:val="0"/>
      <w:marBottom w:val="0"/>
      <w:divBdr>
        <w:top w:val="none" w:sz="0" w:space="0" w:color="auto"/>
        <w:left w:val="none" w:sz="0" w:space="0" w:color="auto"/>
        <w:bottom w:val="none" w:sz="0" w:space="0" w:color="auto"/>
        <w:right w:val="none" w:sz="0" w:space="0" w:color="auto"/>
      </w:divBdr>
    </w:div>
    <w:div w:id="1314262286">
      <w:marLeft w:val="0"/>
      <w:marRight w:val="0"/>
      <w:marTop w:val="0"/>
      <w:marBottom w:val="0"/>
      <w:divBdr>
        <w:top w:val="none" w:sz="0" w:space="0" w:color="auto"/>
        <w:left w:val="none" w:sz="0" w:space="0" w:color="auto"/>
        <w:bottom w:val="none" w:sz="0" w:space="0" w:color="auto"/>
        <w:right w:val="none" w:sz="0" w:space="0" w:color="auto"/>
      </w:divBdr>
    </w:div>
    <w:div w:id="1314288337">
      <w:marLeft w:val="0"/>
      <w:marRight w:val="0"/>
      <w:marTop w:val="0"/>
      <w:marBottom w:val="120"/>
      <w:divBdr>
        <w:top w:val="none" w:sz="0" w:space="0" w:color="auto"/>
        <w:left w:val="none" w:sz="0" w:space="0" w:color="auto"/>
        <w:bottom w:val="none" w:sz="0" w:space="0" w:color="auto"/>
        <w:right w:val="none" w:sz="0" w:space="0" w:color="auto"/>
      </w:divBdr>
    </w:div>
    <w:div w:id="1327057187">
      <w:marLeft w:val="0"/>
      <w:marRight w:val="0"/>
      <w:marTop w:val="0"/>
      <w:marBottom w:val="0"/>
      <w:divBdr>
        <w:top w:val="none" w:sz="0" w:space="0" w:color="auto"/>
        <w:left w:val="none" w:sz="0" w:space="0" w:color="auto"/>
        <w:bottom w:val="none" w:sz="0" w:space="0" w:color="auto"/>
        <w:right w:val="none" w:sz="0" w:space="0" w:color="auto"/>
      </w:divBdr>
    </w:div>
    <w:div w:id="1328940162">
      <w:marLeft w:val="0"/>
      <w:marRight w:val="0"/>
      <w:marTop w:val="0"/>
      <w:marBottom w:val="120"/>
      <w:divBdr>
        <w:top w:val="none" w:sz="0" w:space="0" w:color="auto"/>
        <w:left w:val="none" w:sz="0" w:space="0" w:color="auto"/>
        <w:bottom w:val="none" w:sz="0" w:space="0" w:color="auto"/>
        <w:right w:val="none" w:sz="0" w:space="0" w:color="auto"/>
      </w:divBdr>
    </w:div>
    <w:div w:id="1333601316">
      <w:marLeft w:val="0"/>
      <w:marRight w:val="0"/>
      <w:marTop w:val="0"/>
      <w:marBottom w:val="120"/>
      <w:divBdr>
        <w:top w:val="none" w:sz="0" w:space="0" w:color="auto"/>
        <w:left w:val="none" w:sz="0" w:space="0" w:color="auto"/>
        <w:bottom w:val="none" w:sz="0" w:space="0" w:color="auto"/>
        <w:right w:val="none" w:sz="0" w:space="0" w:color="auto"/>
      </w:divBdr>
    </w:div>
    <w:div w:id="1352417961">
      <w:marLeft w:val="0"/>
      <w:marRight w:val="0"/>
      <w:marTop w:val="0"/>
      <w:marBottom w:val="120"/>
      <w:divBdr>
        <w:top w:val="none" w:sz="0" w:space="0" w:color="auto"/>
        <w:left w:val="none" w:sz="0" w:space="0" w:color="auto"/>
        <w:bottom w:val="none" w:sz="0" w:space="0" w:color="auto"/>
        <w:right w:val="none" w:sz="0" w:space="0" w:color="auto"/>
      </w:divBdr>
    </w:div>
    <w:div w:id="1353218995">
      <w:marLeft w:val="0"/>
      <w:marRight w:val="0"/>
      <w:marTop w:val="100"/>
      <w:marBottom w:val="20"/>
      <w:divBdr>
        <w:top w:val="none" w:sz="0" w:space="0" w:color="auto"/>
        <w:left w:val="none" w:sz="0" w:space="0" w:color="auto"/>
        <w:bottom w:val="none" w:sz="0" w:space="0" w:color="auto"/>
        <w:right w:val="none" w:sz="0" w:space="0" w:color="auto"/>
      </w:divBdr>
    </w:div>
    <w:div w:id="1354456446">
      <w:marLeft w:val="0"/>
      <w:marRight w:val="0"/>
      <w:marTop w:val="0"/>
      <w:marBottom w:val="120"/>
      <w:divBdr>
        <w:top w:val="none" w:sz="0" w:space="0" w:color="auto"/>
        <w:left w:val="none" w:sz="0" w:space="0" w:color="auto"/>
        <w:bottom w:val="none" w:sz="0" w:space="0" w:color="auto"/>
        <w:right w:val="none" w:sz="0" w:space="0" w:color="auto"/>
      </w:divBdr>
    </w:div>
    <w:div w:id="1357845767">
      <w:marLeft w:val="0"/>
      <w:marRight w:val="0"/>
      <w:marTop w:val="0"/>
      <w:marBottom w:val="120"/>
      <w:divBdr>
        <w:top w:val="none" w:sz="0" w:space="0" w:color="auto"/>
        <w:left w:val="none" w:sz="0" w:space="0" w:color="auto"/>
        <w:bottom w:val="none" w:sz="0" w:space="0" w:color="auto"/>
        <w:right w:val="none" w:sz="0" w:space="0" w:color="auto"/>
      </w:divBdr>
    </w:div>
    <w:div w:id="1363552024">
      <w:marLeft w:val="0"/>
      <w:marRight w:val="0"/>
      <w:marTop w:val="0"/>
      <w:marBottom w:val="240"/>
      <w:divBdr>
        <w:top w:val="none" w:sz="0" w:space="0" w:color="auto"/>
        <w:left w:val="none" w:sz="0" w:space="0" w:color="auto"/>
        <w:bottom w:val="none" w:sz="0" w:space="0" w:color="auto"/>
        <w:right w:val="none" w:sz="0" w:space="0" w:color="auto"/>
      </w:divBdr>
    </w:div>
    <w:div w:id="1369338924">
      <w:marLeft w:val="0"/>
      <w:marRight w:val="0"/>
      <w:marTop w:val="0"/>
      <w:marBottom w:val="0"/>
      <w:divBdr>
        <w:top w:val="none" w:sz="0" w:space="0" w:color="auto"/>
        <w:left w:val="none" w:sz="0" w:space="0" w:color="auto"/>
        <w:bottom w:val="none" w:sz="0" w:space="0" w:color="auto"/>
        <w:right w:val="none" w:sz="0" w:space="0" w:color="auto"/>
      </w:divBdr>
      <w:divsChild>
        <w:div w:id="1079671752">
          <w:marLeft w:val="0"/>
          <w:marRight w:val="0"/>
          <w:marTop w:val="0"/>
          <w:marBottom w:val="0"/>
          <w:divBdr>
            <w:top w:val="none" w:sz="0" w:space="0" w:color="auto"/>
            <w:left w:val="none" w:sz="0" w:space="0" w:color="auto"/>
            <w:bottom w:val="none" w:sz="0" w:space="0" w:color="auto"/>
            <w:right w:val="none" w:sz="0" w:space="0" w:color="auto"/>
          </w:divBdr>
        </w:div>
      </w:divsChild>
    </w:div>
    <w:div w:id="1377123747">
      <w:marLeft w:val="0"/>
      <w:marRight w:val="0"/>
      <w:marTop w:val="0"/>
      <w:marBottom w:val="120"/>
      <w:divBdr>
        <w:top w:val="none" w:sz="0" w:space="0" w:color="auto"/>
        <w:left w:val="none" w:sz="0" w:space="0" w:color="auto"/>
        <w:bottom w:val="none" w:sz="0" w:space="0" w:color="auto"/>
        <w:right w:val="none" w:sz="0" w:space="0" w:color="auto"/>
      </w:divBdr>
      <w:divsChild>
        <w:div w:id="1648318430">
          <w:marLeft w:val="0"/>
          <w:marRight w:val="0"/>
          <w:marTop w:val="0"/>
          <w:marBottom w:val="0"/>
          <w:divBdr>
            <w:top w:val="none" w:sz="0" w:space="0" w:color="auto"/>
            <w:left w:val="none" w:sz="0" w:space="0" w:color="auto"/>
            <w:bottom w:val="none" w:sz="0" w:space="0" w:color="auto"/>
            <w:right w:val="none" w:sz="0" w:space="0" w:color="auto"/>
          </w:divBdr>
        </w:div>
        <w:div w:id="1984845070">
          <w:marLeft w:val="0"/>
          <w:marRight w:val="0"/>
          <w:marTop w:val="0"/>
          <w:marBottom w:val="0"/>
          <w:divBdr>
            <w:top w:val="none" w:sz="0" w:space="0" w:color="auto"/>
            <w:left w:val="none" w:sz="0" w:space="0" w:color="auto"/>
            <w:bottom w:val="none" w:sz="0" w:space="0" w:color="auto"/>
            <w:right w:val="none" w:sz="0" w:space="0" w:color="auto"/>
          </w:divBdr>
        </w:div>
        <w:div w:id="366177080">
          <w:marLeft w:val="0"/>
          <w:marRight w:val="0"/>
          <w:marTop w:val="0"/>
          <w:marBottom w:val="0"/>
          <w:divBdr>
            <w:top w:val="none" w:sz="0" w:space="0" w:color="auto"/>
            <w:left w:val="none" w:sz="0" w:space="0" w:color="auto"/>
            <w:bottom w:val="none" w:sz="0" w:space="0" w:color="auto"/>
            <w:right w:val="none" w:sz="0" w:space="0" w:color="auto"/>
          </w:divBdr>
        </w:div>
        <w:div w:id="1805389787">
          <w:marLeft w:val="0"/>
          <w:marRight w:val="0"/>
          <w:marTop w:val="0"/>
          <w:marBottom w:val="0"/>
          <w:divBdr>
            <w:top w:val="none" w:sz="0" w:space="0" w:color="auto"/>
            <w:left w:val="none" w:sz="0" w:space="0" w:color="auto"/>
            <w:bottom w:val="none" w:sz="0" w:space="0" w:color="auto"/>
            <w:right w:val="none" w:sz="0" w:space="0" w:color="auto"/>
          </w:divBdr>
        </w:div>
      </w:divsChild>
    </w:div>
    <w:div w:id="1388183755">
      <w:marLeft w:val="0"/>
      <w:marRight w:val="0"/>
      <w:marTop w:val="0"/>
      <w:marBottom w:val="120"/>
      <w:divBdr>
        <w:top w:val="none" w:sz="0" w:space="0" w:color="auto"/>
        <w:left w:val="none" w:sz="0" w:space="0" w:color="auto"/>
        <w:bottom w:val="none" w:sz="0" w:space="0" w:color="auto"/>
        <w:right w:val="none" w:sz="0" w:space="0" w:color="auto"/>
      </w:divBdr>
    </w:div>
    <w:div w:id="1399940233">
      <w:marLeft w:val="0"/>
      <w:marRight w:val="0"/>
      <w:marTop w:val="100"/>
      <w:marBottom w:val="120"/>
      <w:divBdr>
        <w:top w:val="none" w:sz="0" w:space="0" w:color="auto"/>
        <w:left w:val="none" w:sz="0" w:space="0" w:color="auto"/>
        <w:bottom w:val="none" w:sz="0" w:space="0" w:color="auto"/>
        <w:right w:val="none" w:sz="0" w:space="0" w:color="auto"/>
      </w:divBdr>
    </w:div>
    <w:div w:id="1404333529">
      <w:marLeft w:val="0"/>
      <w:marRight w:val="0"/>
      <w:marTop w:val="0"/>
      <w:marBottom w:val="120"/>
      <w:divBdr>
        <w:top w:val="none" w:sz="0" w:space="0" w:color="auto"/>
        <w:left w:val="none" w:sz="0" w:space="0" w:color="auto"/>
        <w:bottom w:val="none" w:sz="0" w:space="0" w:color="auto"/>
        <w:right w:val="none" w:sz="0" w:space="0" w:color="auto"/>
      </w:divBdr>
    </w:div>
    <w:div w:id="1406877304">
      <w:marLeft w:val="0"/>
      <w:marRight w:val="0"/>
      <w:marTop w:val="0"/>
      <w:marBottom w:val="120"/>
      <w:divBdr>
        <w:top w:val="none" w:sz="0" w:space="0" w:color="auto"/>
        <w:left w:val="none" w:sz="0" w:space="0" w:color="auto"/>
        <w:bottom w:val="none" w:sz="0" w:space="0" w:color="auto"/>
        <w:right w:val="none" w:sz="0" w:space="0" w:color="auto"/>
      </w:divBdr>
    </w:div>
    <w:div w:id="1407412593">
      <w:marLeft w:val="0"/>
      <w:marRight w:val="0"/>
      <w:marTop w:val="0"/>
      <w:marBottom w:val="120"/>
      <w:divBdr>
        <w:top w:val="none" w:sz="0" w:space="0" w:color="auto"/>
        <w:left w:val="none" w:sz="0" w:space="0" w:color="auto"/>
        <w:bottom w:val="none" w:sz="0" w:space="0" w:color="auto"/>
        <w:right w:val="none" w:sz="0" w:space="0" w:color="auto"/>
      </w:divBdr>
    </w:div>
    <w:div w:id="1411266525">
      <w:marLeft w:val="0"/>
      <w:marRight w:val="0"/>
      <w:marTop w:val="0"/>
      <w:marBottom w:val="120"/>
      <w:divBdr>
        <w:top w:val="none" w:sz="0" w:space="0" w:color="auto"/>
        <w:left w:val="none" w:sz="0" w:space="0" w:color="auto"/>
        <w:bottom w:val="none" w:sz="0" w:space="0" w:color="auto"/>
        <w:right w:val="none" w:sz="0" w:space="0" w:color="auto"/>
      </w:divBdr>
    </w:div>
    <w:div w:id="1421100835">
      <w:marLeft w:val="0"/>
      <w:marRight w:val="0"/>
      <w:marTop w:val="0"/>
      <w:marBottom w:val="120"/>
      <w:divBdr>
        <w:top w:val="none" w:sz="0" w:space="0" w:color="auto"/>
        <w:left w:val="none" w:sz="0" w:space="0" w:color="auto"/>
        <w:bottom w:val="none" w:sz="0" w:space="0" w:color="auto"/>
        <w:right w:val="none" w:sz="0" w:space="0" w:color="auto"/>
      </w:divBdr>
    </w:div>
    <w:div w:id="1423643590">
      <w:marLeft w:val="0"/>
      <w:marRight w:val="0"/>
      <w:marTop w:val="0"/>
      <w:marBottom w:val="240"/>
      <w:divBdr>
        <w:top w:val="none" w:sz="0" w:space="0" w:color="auto"/>
        <w:left w:val="none" w:sz="0" w:space="0" w:color="auto"/>
        <w:bottom w:val="none" w:sz="0" w:space="0" w:color="auto"/>
        <w:right w:val="none" w:sz="0" w:space="0" w:color="auto"/>
      </w:divBdr>
    </w:div>
    <w:div w:id="1423835761">
      <w:marLeft w:val="0"/>
      <w:marRight w:val="0"/>
      <w:marTop w:val="0"/>
      <w:marBottom w:val="0"/>
      <w:divBdr>
        <w:top w:val="none" w:sz="0" w:space="0" w:color="auto"/>
        <w:left w:val="none" w:sz="0" w:space="0" w:color="auto"/>
        <w:bottom w:val="none" w:sz="0" w:space="0" w:color="auto"/>
        <w:right w:val="none" w:sz="0" w:space="0" w:color="auto"/>
      </w:divBdr>
      <w:divsChild>
        <w:div w:id="1058944049">
          <w:marLeft w:val="0"/>
          <w:marRight w:val="0"/>
          <w:marTop w:val="0"/>
          <w:marBottom w:val="0"/>
          <w:divBdr>
            <w:top w:val="none" w:sz="0" w:space="0" w:color="auto"/>
            <w:left w:val="none" w:sz="0" w:space="0" w:color="auto"/>
            <w:bottom w:val="none" w:sz="0" w:space="0" w:color="auto"/>
            <w:right w:val="none" w:sz="0" w:space="0" w:color="auto"/>
          </w:divBdr>
        </w:div>
      </w:divsChild>
    </w:div>
    <w:div w:id="1426077656">
      <w:marLeft w:val="0"/>
      <w:marRight w:val="0"/>
      <w:marTop w:val="0"/>
      <w:marBottom w:val="120"/>
      <w:divBdr>
        <w:top w:val="none" w:sz="0" w:space="0" w:color="auto"/>
        <w:left w:val="none" w:sz="0" w:space="0" w:color="auto"/>
        <w:bottom w:val="none" w:sz="0" w:space="0" w:color="auto"/>
        <w:right w:val="none" w:sz="0" w:space="0" w:color="auto"/>
      </w:divBdr>
    </w:div>
    <w:div w:id="1429736171">
      <w:marLeft w:val="0"/>
      <w:marRight w:val="0"/>
      <w:marTop w:val="0"/>
      <w:marBottom w:val="120"/>
      <w:divBdr>
        <w:top w:val="none" w:sz="0" w:space="0" w:color="auto"/>
        <w:left w:val="none" w:sz="0" w:space="0" w:color="auto"/>
        <w:bottom w:val="none" w:sz="0" w:space="0" w:color="auto"/>
        <w:right w:val="none" w:sz="0" w:space="0" w:color="auto"/>
      </w:divBdr>
    </w:div>
    <w:div w:id="1433361823">
      <w:marLeft w:val="0"/>
      <w:marRight w:val="0"/>
      <w:marTop w:val="100"/>
      <w:marBottom w:val="0"/>
      <w:divBdr>
        <w:top w:val="none" w:sz="0" w:space="0" w:color="auto"/>
        <w:left w:val="none" w:sz="0" w:space="0" w:color="auto"/>
        <w:bottom w:val="none" w:sz="0" w:space="0" w:color="auto"/>
        <w:right w:val="none" w:sz="0" w:space="0" w:color="auto"/>
      </w:divBdr>
    </w:div>
    <w:div w:id="1435394271">
      <w:marLeft w:val="0"/>
      <w:marRight w:val="0"/>
      <w:marTop w:val="100"/>
      <w:marBottom w:val="20"/>
      <w:divBdr>
        <w:top w:val="none" w:sz="0" w:space="0" w:color="auto"/>
        <w:left w:val="none" w:sz="0" w:space="0" w:color="auto"/>
        <w:bottom w:val="none" w:sz="0" w:space="0" w:color="auto"/>
        <w:right w:val="none" w:sz="0" w:space="0" w:color="auto"/>
      </w:divBdr>
    </w:div>
    <w:div w:id="1436364472">
      <w:marLeft w:val="0"/>
      <w:marRight w:val="0"/>
      <w:marTop w:val="0"/>
      <w:marBottom w:val="120"/>
      <w:divBdr>
        <w:top w:val="none" w:sz="0" w:space="0" w:color="auto"/>
        <w:left w:val="none" w:sz="0" w:space="0" w:color="auto"/>
        <w:bottom w:val="none" w:sz="0" w:space="0" w:color="auto"/>
        <w:right w:val="none" w:sz="0" w:space="0" w:color="auto"/>
      </w:divBdr>
    </w:div>
    <w:div w:id="1437099312">
      <w:marLeft w:val="0"/>
      <w:marRight w:val="0"/>
      <w:marTop w:val="0"/>
      <w:marBottom w:val="120"/>
      <w:divBdr>
        <w:top w:val="none" w:sz="0" w:space="0" w:color="auto"/>
        <w:left w:val="none" w:sz="0" w:space="0" w:color="auto"/>
        <w:bottom w:val="none" w:sz="0" w:space="0" w:color="auto"/>
        <w:right w:val="none" w:sz="0" w:space="0" w:color="auto"/>
      </w:divBdr>
    </w:div>
    <w:div w:id="1438522689">
      <w:marLeft w:val="0"/>
      <w:marRight w:val="0"/>
      <w:marTop w:val="0"/>
      <w:marBottom w:val="120"/>
      <w:divBdr>
        <w:top w:val="none" w:sz="0" w:space="0" w:color="auto"/>
        <w:left w:val="none" w:sz="0" w:space="0" w:color="auto"/>
        <w:bottom w:val="none" w:sz="0" w:space="0" w:color="auto"/>
        <w:right w:val="none" w:sz="0" w:space="0" w:color="auto"/>
      </w:divBdr>
    </w:div>
    <w:div w:id="1439257511">
      <w:marLeft w:val="0"/>
      <w:marRight w:val="0"/>
      <w:marTop w:val="0"/>
      <w:marBottom w:val="120"/>
      <w:divBdr>
        <w:top w:val="none" w:sz="0" w:space="0" w:color="auto"/>
        <w:left w:val="none" w:sz="0" w:space="0" w:color="auto"/>
        <w:bottom w:val="none" w:sz="0" w:space="0" w:color="auto"/>
        <w:right w:val="none" w:sz="0" w:space="0" w:color="auto"/>
      </w:divBdr>
    </w:div>
    <w:div w:id="1440026065">
      <w:marLeft w:val="0"/>
      <w:marRight w:val="0"/>
      <w:marTop w:val="0"/>
      <w:marBottom w:val="0"/>
      <w:divBdr>
        <w:top w:val="none" w:sz="0" w:space="0" w:color="auto"/>
        <w:left w:val="none" w:sz="0" w:space="0" w:color="auto"/>
        <w:bottom w:val="none" w:sz="0" w:space="0" w:color="auto"/>
        <w:right w:val="none" w:sz="0" w:space="0" w:color="auto"/>
      </w:divBdr>
    </w:div>
    <w:div w:id="1440418065">
      <w:marLeft w:val="0"/>
      <w:marRight w:val="0"/>
      <w:marTop w:val="0"/>
      <w:marBottom w:val="60"/>
      <w:divBdr>
        <w:top w:val="none" w:sz="0" w:space="0" w:color="auto"/>
        <w:left w:val="none" w:sz="0" w:space="0" w:color="auto"/>
        <w:bottom w:val="none" w:sz="0" w:space="0" w:color="auto"/>
        <w:right w:val="none" w:sz="0" w:space="0" w:color="auto"/>
      </w:divBdr>
    </w:div>
    <w:div w:id="1443069337">
      <w:marLeft w:val="0"/>
      <w:marRight w:val="0"/>
      <w:marTop w:val="0"/>
      <w:marBottom w:val="120"/>
      <w:divBdr>
        <w:top w:val="none" w:sz="0" w:space="0" w:color="auto"/>
        <w:left w:val="none" w:sz="0" w:space="0" w:color="auto"/>
        <w:bottom w:val="none" w:sz="0" w:space="0" w:color="auto"/>
        <w:right w:val="none" w:sz="0" w:space="0" w:color="auto"/>
      </w:divBdr>
    </w:div>
    <w:div w:id="1444810713">
      <w:marLeft w:val="0"/>
      <w:marRight w:val="0"/>
      <w:marTop w:val="0"/>
      <w:marBottom w:val="0"/>
      <w:divBdr>
        <w:top w:val="none" w:sz="0" w:space="0" w:color="auto"/>
        <w:left w:val="none" w:sz="0" w:space="0" w:color="auto"/>
        <w:bottom w:val="none" w:sz="0" w:space="0" w:color="auto"/>
        <w:right w:val="none" w:sz="0" w:space="0" w:color="auto"/>
      </w:divBdr>
    </w:div>
    <w:div w:id="1448625809">
      <w:marLeft w:val="0"/>
      <w:marRight w:val="0"/>
      <w:marTop w:val="0"/>
      <w:marBottom w:val="120"/>
      <w:divBdr>
        <w:top w:val="none" w:sz="0" w:space="0" w:color="auto"/>
        <w:left w:val="none" w:sz="0" w:space="0" w:color="auto"/>
        <w:bottom w:val="none" w:sz="0" w:space="0" w:color="auto"/>
        <w:right w:val="none" w:sz="0" w:space="0" w:color="auto"/>
      </w:divBdr>
    </w:div>
    <w:div w:id="1448740872">
      <w:marLeft w:val="0"/>
      <w:marRight w:val="0"/>
      <w:marTop w:val="0"/>
      <w:marBottom w:val="240"/>
      <w:divBdr>
        <w:top w:val="none" w:sz="0" w:space="0" w:color="auto"/>
        <w:left w:val="none" w:sz="0" w:space="0" w:color="auto"/>
        <w:bottom w:val="none" w:sz="0" w:space="0" w:color="auto"/>
        <w:right w:val="none" w:sz="0" w:space="0" w:color="auto"/>
      </w:divBdr>
    </w:div>
    <w:div w:id="1462573603">
      <w:marLeft w:val="0"/>
      <w:marRight w:val="0"/>
      <w:marTop w:val="0"/>
      <w:marBottom w:val="0"/>
      <w:divBdr>
        <w:top w:val="none" w:sz="0" w:space="0" w:color="auto"/>
        <w:left w:val="none" w:sz="0" w:space="0" w:color="auto"/>
        <w:bottom w:val="none" w:sz="0" w:space="0" w:color="auto"/>
        <w:right w:val="none" w:sz="0" w:space="0" w:color="auto"/>
      </w:divBdr>
      <w:divsChild>
        <w:div w:id="1645112575">
          <w:marLeft w:val="0"/>
          <w:marRight w:val="0"/>
          <w:marTop w:val="0"/>
          <w:marBottom w:val="0"/>
          <w:divBdr>
            <w:top w:val="none" w:sz="0" w:space="0" w:color="auto"/>
            <w:left w:val="none" w:sz="0" w:space="0" w:color="auto"/>
            <w:bottom w:val="none" w:sz="0" w:space="0" w:color="auto"/>
            <w:right w:val="none" w:sz="0" w:space="0" w:color="auto"/>
          </w:divBdr>
        </w:div>
        <w:div w:id="139159134">
          <w:marLeft w:val="0"/>
          <w:marRight w:val="0"/>
          <w:marTop w:val="0"/>
          <w:marBottom w:val="120"/>
          <w:divBdr>
            <w:top w:val="none" w:sz="0" w:space="0" w:color="auto"/>
            <w:left w:val="none" w:sz="0" w:space="0" w:color="auto"/>
            <w:bottom w:val="none" w:sz="0" w:space="0" w:color="auto"/>
            <w:right w:val="none" w:sz="0" w:space="0" w:color="auto"/>
          </w:divBdr>
        </w:div>
      </w:divsChild>
    </w:div>
    <w:div w:id="1463232838">
      <w:marLeft w:val="0"/>
      <w:marRight w:val="0"/>
      <w:marTop w:val="0"/>
      <w:marBottom w:val="120"/>
      <w:divBdr>
        <w:top w:val="none" w:sz="0" w:space="0" w:color="auto"/>
        <w:left w:val="none" w:sz="0" w:space="0" w:color="auto"/>
        <w:bottom w:val="none" w:sz="0" w:space="0" w:color="auto"/>
        <w:right w:val="none" w:sz="0" w:space="0" w:color="auto"/>
      </w:divBdr>
    </w:div>
    <w:div w:id="1464540335">
      <w:marLeft w:val="0"/>
      <w:marRight w:val="0"/>
      <w:marTop w:val="0"/>
      <w:marBottom w:val="120"/>
      <w:divBdr>
        <w:top w:val="none" w:sz="0" w:space="0" w:color="auto"/>
        <w:left w:val="none" w:sz="0" w:space="0" w:color="auto"/>
        <w:bottom w:val="none" w:sz="0" w:space="0" w:color="auto"/>
        <w:right w:val="none" w:sz="0" w:space="0" w:color="auto"/>
      </w:divBdr>
    </w:div>
    <w:div w:id="1467700780">
      <w:marLeft w:val="0"/>
      <w:marRight w:val="0"/>
      <w:marTop w:val="0"/>
      <w:marBottom w:val="0"/>
      <w:divBdr>
        <w:top w:val="none" w:sz="0" w:space="0" w:color="auto"/>
        <w:left w:val="none" w:sz="0" w:space="0" w:color="auto"/>
        <w:bottom w:val="none" w:sz="0" w:space="0" w:color="auto"/>
        <w:right w:val="none" w:sz="0" w:space="0" w:color="auto"/>
      </w:divBdr>
      <w:divsChild>
        <w:div w:id="940800137">
          <w:marLeft w:val="0"/>
          <w:marRight w:val="0"/>
          <w:marTop w:val="0"/>
          <w:marBottom w:val="0"/>
          <w:divBdr>
            <w:top w:val="none" w:sz="0" w:space="0" w:color="auto"/>
            <w:left w:val="none" w:sz="0" w:space="0" w:color="auto"/>
            <w:bottom w:val="none" w:sz="0" w:space="0" w:color="auto"/>
            <w:right w:val="none" w:sz="0" w:space="0" w:color="auto"/>
          </w:divBdr>
        </w:div>
      </w:divsChild>
    </w:div>
    <w:div w:id="1478572017">
      <w:marLeft w:val="0"/>
      <w:marRight w:val="0"/>
      <w:marTop w:val="0"/>
      <w:marBottom w:val="120"/>
      <w:divBdr>
        <w:top w:val="none" w:sz="0" w:space="0" w:color="auto"/>
        <w:left w:val="none" w:sz="0" w:space="0" w:color="auto"/>
        <w:bottom w:val="none" w:sz="0" w:space="0" w:color="auto"/>
        <w:right w:val="none" w:sz="0" w:space="0" w:color="auto"/>
      </w:divBdr>
    </w:div>
    <w:div w:id="1478916801">
      <w:marLeft w:val="0"/>
      <w:marRight w:val="0"/>
      <w:marTop w:val="0"/>
      <w:marBottom w:val="0"/>
      <w:divBdr>
        <w:top w:val="none" w:sz="0" w:space="0" w:color="auto"/>
        <w:left w:val="none" w:sz="0" w:space="0" w:color="auto"/>
        <w:bottom w:val="none" w:sz="0" w:space="0" w:color="auto"/>
        <w:right w:val="none" w:sz="0" w:space="0" w:color="auto"/>
      </w:divBdr>
      <w:divsChild>
        <w:div w:id="488710896">
          <w:marLeft w:val="0"/>
          <w:marRight w:val="0"/>
          <w:marTop w:val="0"/>
          <w:marBottom w:val="0"/>
          <w:divBdr>
            <w:top w:val="none" w:sz="0" w:space="0" w:color="auto"/>
            <w:left w:val="none" w:sz="0" w:space="0" w:color="auto"/>
            <w:bottom w:val="none" w:sz="0" w:space="0" w:color="auto"/>
            <w:right w:val="none" w:sz="0" w:space="0" w:color="auto"/>
          </w:divBdr>
        </w:div>
      </w:divsChild>
    </w:div>
    <w:div w:id="1481192819">
      <w:marLeft w:val="0"/>
      <w:marRight w:val="0"/>
      <w:marTop w:val="0"/>
      <w:marBottom w:val="0"/>
      <w:divBdr>
        <w:top w:val="none" w:sz="0" w:space="0" w:color="auto"/>
        <w:left w:val="none" w:sz="0" w:space="0" w:color="auto"/>
        <w:bottom w:val="none" w:sz="0" w:space="0" w:color="auto"/>
        <w:right w:val="none" w:sz="0" w:space="0" w:color="auto"/>
      </w:divBdr>
      <w:divsChild>
        <w:div w:id="1703434705">
          <w:marLeft w:val="0"/>
          <w:marRight w:val="0"/>
          <w:marTop w:val="0"/>
          <w:marBottom w:val="0"/>
          <w:divBdr>
            <w:top w:val="none" w:sz="0" w:space="0" w:color="auto"/>
            <w:left w:val="none" w:sz="0" w:space="0" w:color="auto"/>
            <w:bottom w:val="none" w:sz="0" w:space="0" w:color="auto"/>
            <w:right w:val="none" w:sz="0" w:space="0" w:color="auto"/>
          </w:divBdr>
        </w:div>
        <w:div w:id="917398277">
          <w:marLeft w:val="0"/>
          <w:marRight w:val="0"/>
          <w:marTop w:val="0"/>
          <w:marBottom w:val="0"/>
          <w:divBdr>
            <w:top w:val="none" w:sz="0" w:space="0" w:color="auto"/>
            <w:left w:val="none" w:sz="0" w:space="0" w:color="auto"/>
            <w:bottom w:val="none" w:sz="0" w:space="0" w:color="auto"/>
            <w:right w:val="none" w:sz="0" w:space="0" w:color="auto"/>
          </w:divBdr>
        </w:div>
      </w:divsChild>
    </w:div>
    <w:div w:id="1493176333">
      <w:marLeft w:val="0"/>
      <w:marRight w:val="0"/>
      <w:marTop w:val="0"/>
      <w:marBottom w:val="120"/>
      <w:divBdr>
        <w:top w:val="none" w:sz="0" w:space="0" w:color="auto"/>
        <w:left w:val="none" w:sz="0" w:space="0" w:color="auto"/>
        <w:bottom w:val="none" w:sz="0" w:space="0" w:color="auto"/>
        <w:right w:val="none" w:sz="0" w:space="0" w:color="auto"/>
      </w:divBdr>
    </w:div>
    <w:div w:id="1507357526">
      <w:marLeft w:val="0"/>
      <w:marRight w:val="0"/>
      <w:marTop w:val="0"/>
      <w:marBottom w:val="0"/>
      <w:divBdr>
        <w:top w:val="none" w:sz="0" w:space="0" w:color="auto"/>
        <w:left w:val="none" w:sz="0" w:space="0" w:color="auto"/>
        <w:bottom w:val="none" w:sz="0" w:space="0" w:color="auto"/>
        <w:right w:val="none" w:sz="0" w:space="0" w:color="auto"/>
      </w:divBdr>
      <w:divsChild>
        <w:div w:id="1631746456">
          <w:marLeft w:val="0"/>
          <w:marRight w:val="0"/>
          <w:marTop w:val="0"/>
          <w:marBottom w:val="0"/>
          <w:divBdr>
            <w:top w:val="none" w:sz="0" w:space="0" w:color="auto"/>
            <w:left w:val="none" w:sz="0" w:space="0" w:color="auto"/>
            <w:bottom w:val="none" w:sz="0" w:space="0" w:color="auto"/>
            <w:right w:val="none" w:sz="0" w:space="0" w:color="auto"/>
          </w:divBdr>
        </w:div>
      </w:divsChild>
    </w:div>
    <w:div w:id="1507400588">
      <w:marLeft w:val="0"/>
      <w:marRight w:val="0"/>
      <w:marTop w:val="0"/>
      <w:marBottom w:val="120"/>
      <w:divBdr>
        <w:top w:val="none" w:sz="0" w:space="0" w:color="auto"/>
        <w:left w:val="none" w:sz="0" w:space="0" w:color="auto"/>
        <w:bottom w:val="none" w:sz="0" w:space="0" w:color="auto"/>
        <w:right w:val="none" w:sz="0" w:space="0" w:color="auto"/>
      </w:divBdr>
    </w:div>
    <w:div w:id="1508783613">
      <w:marLeft w:val="0"/>
      <w:marRight w:val="0"/>
      <w:marTop w:val="0"/>
      <w:marBottom w:val="120"/>
      <w:divBdr>
        <w:top w:val="none" w:sz="0" w:space="0" w:color="auto"/>
        <w:left w:val="none" w:sz="0" w:space="0" w:color="auto"/>
        <w:bottom w:val="none" w:sz="0" w:space="0" w:color="auto"/>
        <w:right w:val="none" w:sz="0" w:space="0" w:color="auto"/>
      </w:divBdr>
    </w:div>
    <w:div w:id="1517764407">
      <w:marLeft w:val="0"/>
      <w:marRight w:val="0"/>
      <w:marTop w:val="0"/>
      <w:marBottom w:val="120"/>
      <w:divBdr>
        <w:top w:val="none" w:sz="0" w:space="0" w:color="auto"/>
        <w:left w:val="none" w:sz="0" w:space="0" w:color="auto"/>
        <w:bottom w:val="none" w:sz="0" w:space="0" w:color="auto"/>
        <w:right w:val="none" w:sz="0" w:space="0" w:color="auto"/>
      </w:divBdr>
    </w:div>
    <w:div w:id="1525171869">
      <w:marLeft w:val="0"/>
      <w:marRight w:val="0"/>
      <w:marTop w:val="0"/>
      <w:marBottom w:val="0"/>
      <w:divBdr>
        <w:top w:val="none" w:sz="0" w:space="0" w:color="auto"/>
        <w:left w:val="none" w:sz="0" w:space="0" w:color="auto"/>
        <w:bottom w:val="none" w:sz="0" w:space="0" w:color="auto"/>
        <w:right w:val="none" w:sz="0" w:space="0" w:color="auto"/>
      </w:divBdr>
      <w:divsChild>
        <w:div w:id="860900003">
          <w:marLeft w:val="0"/>
          <w:marRight w:val="0"/>
          <w:marTop w:val="0"/>
          <w:marBottom w:val="0"/>
          <w:divBdr>
            <w:top w:val="none" w:sz="0" w:space="0" w:color="auto"/>
            <w:left w:val="none" w:sz="0" w:space="0" w:color="auto"/>
            <w:bottom w:val="none" w:sz="0" w:space="0" w:color="auto"/>
            <w:right w:val="none" w:sz="0" w:space="0" w:color="auto"/>
          </w:divBdr>
        </w:div>
      </w:divsChild>
    </w:div>
    <w:div w:id="1531339721">
      <w:marLeft w:val="0"/>
      <w:marRight w:val="0"/>
      <w:marTop w:val="0"/>
      <w:marBottom w:val="0"/>
      <w:divBdr>
        <w:top w:val="none" w:sz="0" w:space="0" w:color="auto"/>
        <w:left w:val="none" w:sz="0" w:space="0" w:color="auto"/>
        <w:bottom w:val="none" w:sz="0" w:space="0" w:color="auto"/>
        <w:right w:val="none" w:sz="0" w:space="0" w:color="auto"/>
      </w:divBdr>
      <w:divsChild>
        <w:div w:id="1085152947">
          <w:marLeft w:val="0"/>
          <w:marRight w:val="0"/>
          <w:marTop w:val="0"/>
          <w:marBottom w:val="0"/>
          <w:divBdr>
            <w:top w:val="none" w:sz="0" w:space="0" w:color="auto"/>
            <w:left w:val="none" w:sz="0" w:space="0" w:color="auto"/>
            <w:bottom w:val="none" w:sz="0" w:space="0" w:color="auto"/>
            <w:right w:val="none" w:sz="0" w:space="0" w:color="auto"/>
          </w:divBdr>
        </w:div>
      </w:divsChild>
    </w:div>
    <w:div w:id="1531797912">
      <w:marLeft w:val="0"/>
      <w:marRight w:val="0"/>
      <w:marTop w:val="0"/>
      <w:marBottom w:val="0"/>
      <w:divBdr>
        <w:top w:val="none" w:sz="0" w:space="0" w:color="auto"/>
        <w:left w:val="none" w:sz="0" w:space="0" w:color="auto"/>
        <w:bottom w:val="none" w:sz="0" w:space="0" w:color="auto"/>
        <w:right w:val="none" w:sz="0" w:space="0" w:color="auto"/>
      </w:divBdr>
    </w:div>
    <w:div w:id="1536503352">
      <w:marLeft w:val="0"/>
      <w:marRight w:val="0"/>
      <w:marTop w:val="0"/>
      <w:marBottom w:val="0"/>
      <w:divBdr>
        <w:top w:val="none" w:sz="0" w:space="0" w:color="auto"/>
        <w:left w:val="none" w:sz="0" w:space="0" w:color="auto"/>
        <w:bottom w:val="none" w:sz="0" w:space="0" w:color="auto"/>
        <w:right w:val="none" w:sz="0" w:space="0" w:color="auto"/>
      </w:divBdr>
      <w:divsChild>
        <w:div w:id="1300266329">
          <w:marLeft w:val="0"/>
          <w:marRight w:val="0"/>
          <w:marTop w:val="0"/>
          <w:marBottom w:val="0"/>
          <w:divBdr>
            <w:top w:val="none" w:sz="0" w:space="0" w:color="auto"/>
            <w:left w:val="none" w:sz="0" w:space="0" w:color="auto"/>
            <w:bottom w:val="none" w:sz="0" w:space="0" w:color="auto"/>
            <w:right w:val="none" w:sz="0" w:space="0" w:color="auto"/>
          </w:divBdr>
          <w:divsChild>
            <w:div w:id="5828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03">
      <w:marLeft w:val="0"/>
      <w:marRight w:val="0"/>
      <w:marTop w:val="0"/>
      <w:marBottom w:val="0"/>
      <w:divBdr>
        <w:top w:val="none" w:sz="0" w:space="0" w:color="auto"/>
        <w:left w:val="none" w:sz="0" w:space="0" w:color="auto"/>
        <w:bottom w:val="none" w:sz="0" w:space="0" w:color="auto"/>
        <w:right w:val="none" w:sz="0" w:space="0" w:color="auto"/>
      </w:divBdr>
      <w:divsChild>
        <w:div w:id="376318367">
          <w:marLeft w:val="0"/>
          <w:marRight w:val="0"/>
          <w:marTop w:val="0"/>
          <w:marBottom w:val="0"/>
          <w:divBdr>
            <w:top w:val="none" w:sz="0" w:space="0" w:color="auto"/>
            <w:left w:val="none" w:sz="0" w:space="0" w:color="auto"/>
            <w:bottom w:val="none" w:sz="0" w:space="0" w:color="auto"/>
            <w:right w:val="none" w:sz="0" w:space="0" w:color="auto"/>
          </w:divBdr>
        </w:div>
      </w:divsChild>
    </w:div>
    <w:div w:id="1542211280">
      <w:marLeft w:val="0"/>
      <w:marRight w:val="0"/>
      <w:marTop w:val="0"/>
      <w:marBottom w:val="120"/>
      <w:divBdr>
        <w:top w:val="none" w:sz="0" w:space="0" w:color="auto"/>
        <w:left w:val="none" w:sz="0" w:space="0" w:color="auto"/>
        <w:bottom w:val="none" w:sz="0" w:space="0" w:color="auto"/>
        <w:right w:val="none" w:sz="0" w:space="0" w:color="auto"/>
      </w:divBdr>
    </w:div>
    <w:div w:id="1548906031">
      <w:marLeft w:val="0"/>
      <w:marRight w:val="0"/>
      <w:marTop w:val="0"/>
      <w:marBottom w:val="20"/>
      <w:divBdr>
        <w:top w:val="none" w:sz="0" w:space="0" w:color="auto"/>
        <w:left w:val="none" w:sz="0" w:space="0" w:color="auto"/>
        <w:bottom w:val="none" w:sz="0" w:space="0" w:color="auto"/>
        <w:right w:val="none" w:sz="0" w:space="0" w:color="auto"/>
      </w:divBdr>
    </w:div>
    <w:div w:id="1552495461">
      <w:marLeft w:val="0"/>
      <w:marRight w:val="0"/>
      <w:marTop w:val="0"/>
      <w:marBottom w:val="0"/>
      <w:divBdr>
        <w:top w:val="none" w:sz="0" w:space="0" w:color="auto"/>
        <w:left w:val="none" w:sz="0" w:space="0" w:color="auto"/>
        <w:bottom w:val="none" w:sz="0" w:space="0" w:color="auto"/>
        <w:right w:val="none" w:sz="0" w:space="0" w:color="auto"/>
      </w:divBdr>
      <w:divsChild>
        <w:div w:id="944462189">
          <w:marLeft w:val="0"/>
          <w:marRight w:val="0"/>
          <w:marTop w:val="0"/>
          <w:marBottom w:val="0"/>
          <w:divBdr>
            <w:top w:val="none" w:sz="0" w:space="0" w:color="auto"/>
            <w:left w:val="none" w:sz="0" w:space="0" w:color="auto"/>
            <w:bottom w:val="none" w:sz="0" w:space="0" w:color="auto"/>
            <w:right w:val="none" w:sz="0" w:space="0" w:color="auto"/>
          </w:divBdr>
        </w:div>
      </w:divsChild>
    </w:div>
    <w:div w:id="1566987223">
      <w:marLeft w:val="0"/>
      <w:marRight w:val="0"/>
      <w:marTop w:val="0"/>
      <w:marBottom w:val="20"/>
      <w:divBdr>
        <w:top w:val="none" w:sz="0" w:space="0" w:color="auto"/>
        <w:left w:val="none" w:sz="0" w:space="0" w:color="auto"/>
        <w:bottom w:val="none" w:sz="0" w:space="0" w:color="auto"/>
        <w:right w:val="none" w:sz="0" w:space="0" w:color="auto"/>
      </w:divBdr>
    </w:div>
    <w:div w:id="1572615299">
      <w:marLeft w:val="0"/>
      <w:marRight w:val="0"/>
      <w:marTop w:val="0"/>
      <w:marBottom w:val="0"/>
      <w:divBdr>
        <w:top w:val="none" w:sz="0" w:space="0" w:color="auto"/>
        <w:left w:val="none" w:sz="0" w:space="0" w:color="auto"/>
        <w:bottom w:val="none" w:sz="0" w:space="0" w:color="auto"/>
        <w:right w:val="none" w:sz="0" w:space="0" w:color="auto"/>
      </w:divBdr>
      <w:divsChild>
        <w:div w:id="1817992838">
          <w:marLeft w:val="0"/>
          <w:marRight w:val="0"/>
          <w:marTop w:val="0"/>
          <w:marBottom w:val="0"/>
          <w:divBdr>
            <w:top w:val="none" w:sz="0" w:space="0" w:color="auto"/>
            <w:left w:val="none" w:sz="0" w:space="0" w:color="auto"/>
            <w:bottom w:val="none" w:sz="0" w:space="0" w:color="auto"/>
            <w:right w:val="none" w:sz="0" w:space="0" w:color="auto"/>
          </w:divBdr>
        </w:div>
      </w:divsChild>
    </w:div>
    <w:div w:id="1573660440">
      <w:marLeft w:val="0"/>
      <w:marRight w:val="0"/>
      <w:marTop w:val="0"/>
      <w:marBottom w:val="120"/>
      <w:divBdr>
        <w:top w:val="none" w:sz="0" w:space="0" w:color="auto"/>
        <w:left w:val="none" w:sz="0" w:space="0" w:color="auto"/>
        <w:bottom w:val="none" w:sz="0" w:space="0" w:color="auto"/>
        <w:right w:val="none" w:sz="0" w:space="0" w:color="auto"/>
      </w:divBdr>
    </w:div>
    <w:div w:id="1589996282">
      <w:marLeft w:val="0"/>
      <w:marRight w:val="0"/>
      <w:marTop w:val="0"/>
      <w:marBottom w:val="120"/>
      <w:divBdr>
        <w:top w:val="none" w:sz="0" w:space="0" w:color="auto"/>
        <w:left w:val="none" w:sz="0" w:space="0" w:color="auto"/>
        <w:bottom w:val="none" w:sz="0" w:space="0" w:color="auto"/>
        <w:right w:val="none" w:sz="0" w:space="0" w:color="auto"/>
      </w:divBdr>
    </w:div>
    <w:div w:id="1599363820">
      <w:marLeft w:val="0"/>
      <w:marRight w:val="0"/>
      <w:marTop w:val="0"/>
      <w:marBottom w:val="120"/>
      <w:divBdr>
        <w:top w:val="none" w:sz="0" w:space="0" w:color="auto"/>
        <w:left w:val="none" w:sz="0" w:space="0" w:color="auto"/>
        <w:bottom w:val="none" w:sz="0" w:space="0" w:color="auto"/>
        <w:right w:val="none" w:sz="0" w:space="0" w:color="auto"/>
      </w:divBdr>
    </w:div>
    <w:div w:id="1599366229">
      <w:marLeft w:val="0"/>
      <w:marRight w:val="0"/>
      <w:marTop w:val="180"/>
      <w:marBottom w:val="0"/>
      <w:divBdr>
        <w:top w:val="none" w:sz="0" w:space="0" w:color="auto"/>
        <w:left w:val="none" w:sz="0" w:space="0" w:color="auto"/>
        <w:bottom w:val="none" w:sz="0" w:space="0" w:color="auto"/>
        <w:right w:val="none" w:sz="0" w:space="0" w:color="auto"/>
      </w:divBdr>
    </w:div>
    <w:div w:id="1603101534">
      <w:marLeft w:val="0"/>
      <w:marRight w:val="0"/>
      <w:marTop w:val="0"/>
      <w:marBottom w:val="0"/>
      <w:divBdr>
        <w:top w:val="none" w:sz="0" w:space="0" w:color="auto"/>
        <w:left w:val="none" w:sz="0" w:space="0" w:color="auto"/>
        <w:bottom w:val="none" w:sz="0" w:space="0" w:color="auto"/>
        <w:right w:val="none" w:sz="0" w:space="0" w:color="auto"/>
      </w:divBdr>
      <w:divsChild>
        <w:div w:id="941649072">
          <w:marLeft w:val="0"/>
          <w:marRight w:val="0"/>
          <w:marTop w:val="0"/>
          <w:marBottom w:val="0"/>
          <w:divBdr>
            <w:top w:val="none" w:sz="0" w:space="0" w:color="auto"/>
            <w:left w:val="none" w:sz="0" w:space="0" w:color="auto"/>
            <w:bottom w:val="none" w:sz="0" w:space="0" w:color="auto"/>
            <w:right w:val="none" w:sz="0" w:space="0" w:color="auto"/>
          </w:divBdr>
        </w:div>
        <w:div w:id="1371101855">
          <w:marLeft w:val="0"/>
          <w:marRight w:val="0"/>
          <w:marTop w:val="0"/>
          <w:marBottom w:val="0"/>
          <w:divBdr>
            <w:top w:val="none" w:sz="0" w:space="0" w:color="auto"/>
            <w:left w:val="none" w:sz="0" w:space="0" w:color="auto"/>
            <w:bottom w:val="none" w:sz="0" w:space="0" w:color="auto"/>
            <w:right w:val="none" w:sz="0" w:space="0" w:color="auto"/>
          </w:divBdr>
        </w:div>
        <w:div w:id="637226832">
          <w:marLeft w:val="0"/>
          <w:marRight w:val="0"/>
          <w:marTop w:val="0"/>
          <w:marBottom w:val="0"/>
          <w:divBdr>
            <w:top w:val="none" w:sz="0" w:space="0" w:color="auto"/>
            <w:left w:val="none" w:sz="0" w:space="0" w:color="auto"/>
            <w:bottom w:val="none" w:sz="0" w:space="0" w:color="auto"/>
            <w:right w:val="none" w:sz="0" w:space="0" w:color="auto"/>
          </w:divBdr>
        </w:div>
      </w:divsChild>
    </w:div>
    <w:div w:id="1605260762">
      <w:marLeft w:val="0"/>
      <w:marRight w:val="0"/>
      <w:marTop w:val="0"/>
      <w:marBottom w:val="120"/>
      <w:divBdr>
        <w:top w:val="none" w:sz="0" w:space="0" w:color="auto"/>
        <w:left w:val="none" w:sz="0" w:space="0" w:color="auto"/>
        <w:bottom w:val="none" w:sz="0" w:space="0" w:color="auto"/>
        <w:right w:val="none" w:sz="0" w:space="0" w:color="auto"/>
      </w:divBdr>
    </w:div>
    <w:div w:id="1606032057">
      <w:marLeft w:val="0"/>
      <w:marRight w:val="0"/>
      <w:marTop w:val="0"/>
      <w:marBottom w:val="120"/>
      <w:divBdr>
        <w:top w:val="none" w:sz="0" w:space="0" w:color="auto"/>
        <w:left w:val="none" w:sz="0" w:space="0" w:color="auto"/>
        <w:bottom w:val="none" w:sz="0" w:space="0" w:color="auto"/>
        <w:right w:val="none" w:sz="0" w:space="0" w:color="auto"/>
      </w:divBdr>
    </w:div>
    <w:div w:id="1608005934">
      <w:marLeft w:val="0"/>
      <w:marRight w:val="0"/>
      <w:marTop w:val="120"/>
      <w:marBottom w:val="120"/>
      <w:divBdr>
        <w:top w:val="none" w:sz="0" w:space="0" w:color="auto"/>
        <w:left w:val="none" w:sz="0" w:space="0" w:color="auto"/>
        <w:bottom w:val="none" w:sz="0" w:space="0" w:color="auto"/>
        <w:right w:val="none" w:sz="0" w:space="0" w:color="auto"/>
      </w:divBdr>
    </w:div>
    <w:div w:id="1610696397">
      <w:marLeft w:val="0"/>
      <w:marRight w:val="0"/>
      <w:marTop w:val="0"/>
      <w:marBottom w:val="120"/>
      <w:divBdr>
        <w:top w:val="none" w:sz="0" w:space="0" w:color="auto"/>
        <w:left w:val="none" w:sz="0" w:space="0" w:color="auto"/>
        <w:bottom w:val="none" w:sz="0" w:space="0" w:color="auto"/>
        <w:right w:val="none" w:sz="0" w:space="0" w:color="auto"/>
      </w:divBdr>
    </w:div>
    <w:div w:id="1611008899">
      <w:marLeft w:val="0"/>
      <w:marRight w:val="0"/>
      <w:marTop w:val="0"/>
      <w:marBottom w:val="120"/>
      <w:divBdr>
        <w:top w:val="none" w:sz="0" w:space="0" w:color="auto"/>
        <w:left w:val="none" w:sz="0" w:space="0" w:color="auto"/>
        <w:bottom w:val="none" w:sz="0" w:space="0" w:color="auto"/>
        <w:right w:val="none" w:sz="0" w:space="0" w:color="auto"/>
      </w:divBdr>
    </w:div>
    <w:div w:id="1614021860">
      <w:marLeft w:val="0"/>
      <w:marRight w:val="0"/>
      <w:marTop w:val="0"/>
      <w:marBottom w:val="120"/>
      <w:divBdr>
        <w:top w:val="none" w:sz="0" w:space="0" w:color="auto"/>
        <w:left w:val="none" w:sz="0" w:space="0" w:color="auto"/>
        <w:bottom w:val="none" w:sz="0" w:space="0" w:color="auto"/>
        <w:right w:val="none" w:sz="0" w:space="0" w:color="auto"/>
      </w:divBdr>
    </w:div>
    <w:div w:id="1620330725">
      <w:marLeft w:val="0"/>
      <w:marRight w:val="0"/>
      <w:marTop w:val="0"/>
      <w:marBottom w:val="120"/>
      <w:divBdr>
        <w:top w:val="none" w:sz="0" w:space="0" w:color="auto"/>
        <w:left w:val="none" w:sz="0" w:space="0" w:color="auto"/>
        <w:bottom w:val="none" w:sz="0" w:space="0" w:color="auto"/>
        <w:right w:val="none" w:sz="0" w:space="0" w:color="auto"/>
      </w:divBdr>
    </w:div>
    <w:div w:id="1624657251">
      <w:marLeft w:val="0"/>
      <w:marRight w:val="0"/>
      <w:marTop w:val="0"/>
      <w:marBottom w:val="120"/>
      <w:divBdr>
        <w:top w:val="none" w:sz="0" w:space="0" w:color="auto"/>
        <w:left w:val="none" w:sz="0" w:space="0" w:color="auto"/>
        <w:bottom w:val="none" w:sz="0" w:space="0" w:color="auto"/>
        <w:right w:val="none" w:sz="0" w:space="0" w:color="auto"/>
      </w:divBdr>
    </w:div>
    <w:div w:id="1625699339">
      <w:marLeft w:val="0"/>
      <w:marRight w:val="0"/>
      <w:marTop w:val="0"/>
      <w:marBottom w:val="120"/>
      <w:divBdr>
        <w:top w:val="none" w:sz="0" w:space="0" w:color="auto"/>
        <w:left w:val="none" w:sz="0" w:space="0" w:color="auto"/>
        <w:bottom w:val="none" w:sz="0" w:space="0" w:color="auto"/>
        <w:right w:val="none" w:sz="0" w:space="0" w:color="auto"/>
      </w:divBdr>
    </w:div>
    <w:div w:id="1641228441">
      <w:marLeft w:val="0"/>
      <w:marRight w:val="0"/>
      <w:marTop w:val="0"/>
      <w:marBottom w:val="0"/>
      <w:divBdr>
        <w:top w:val="none" w:sz="0" w:space="0" w:color="auto"/>
        <w:left w:val="none" w:sz="0" w:space="0" w:color="auto"/>
        <w:bottom w:val="none" w:sz="0" w:space="0" w:color="auto"/>
        <w:right w:val="none" w:sz="0" w:space="0" w:color="auto"/>
      </w:divBdr>
      <w:divsChild>
        <w:div w:id="1290862937">
          <w:marLeft w:val="0"/>
          <w:marRight w:val="0"/>
          <w:marTop w:val="0"/>
          <w:marBottom w:val="0"/>
          <w:divBdr>
            <w:top w:val="none" w:sz="0" w:space="0" w:color="auto"/>
            <w:left w:val="none" w:sz="0" w:space="0" w:color="auto"/>
            <w:bottom w:val="none" w:sz="0" w:space="0" w:color="auto"/>
            <w:right w:val="none" w:sz="0" w:space="0" w:color="auto"/>
          </w:divBdr>
        </w:div>
        <w:div w:id="1077365958">
          <w:marLeft w:val="0"/>
          <w:marRight w:val="0"/>
          <w:marTop w:val="0"/>
          <w:marBottom w:val="120"/>
          <w:divBdr>
            <w:top w:val="none" w:sz="0" w:space="0" w:color="auto"/>
            <w:left w:val="none" w:sz="0" w:space="0" w:color="auto"/>
            <w:bottom w:val="none" w:sz="0" w:space="0" w:color="auto"/>
            <w:right w:val="none" w:sz="0" w:space="0" w:color="auto"/>
          </w:divBdr>
        </w:div>
      </w:divsChild>
    </w:div>
    <w:div w:id="1646468831">
      <w:marLeft w:val="0"/>
      <w:marRight w:val="0"/>
      <w:marTop w:val="0"/>
      <w:marBottom w:val="100"/>
      <w:divBdr>
        <w:top w:val="none" w:sz="0" w:space="0" w:color="auto"/>
        <w:left w:val="none" w:sz="0" w:space="0" w:color="auto"/>
        <w:bottom w:val="none" w:sz="0" w:space="0" w:color="auto"/>
        <w:right w:val="none" w:sz="0" w:space="0" w:color="auto"/>
      </w:divBdr>
    </w:div>
    <w:div w:id="1647854018">
      <w:marLeft w:val="0"/>
      <w:marRight w:val="0"/>
      <w:marTop w:val="0"/>
      <w:marBottom w:val="120"/>
      <w:divBdr>
        <w:top w:val="none" w:sz="0" w:space="0" w:color="auto"/>
        <w:left w:val="none" w:sz="0" w:space="0" w:color="auto"/>
        <w:bottom w:val="none" w:sz="0" w:space="0" w:color="auto"/>
        <w:right w:val="none" w:sz="0" w:space="0" w:color="auto"/>
      </w:divBdr>
    </w:div>
    <w:div w:id="1655718408">
      <w:marLeft w:val="0"/>
      <w:marRight w:val="0"/>
      <w:marTop w:val="0"/>
      <w:marBottom w:val="120"/>
      <w:divBdr>
        <w:top w:val="none" w:sz="0" w:space="0" w:color="auto"/>
        <w:left w:val="none" w:sz="0" w:space="0" w:color="auto"/>
        <w:bottom w:val="none" w:sz="0" w:space="0" w:color="auto"/>
        <w:right w:val="none" w:sz="0" w:space="0" w:color="auto"/>
      </w:divBdr>
    </w:div>
    <w:div w:id="1661887055">
      <w:marLeft w:val="0"/>
      <w:marRight w:val="0"/>
      <w:marTop w:val="0"/>
      <w:marBottom w:val="120"/>
      <w:divBdr>
        <w:top w:val="none" w:sz="0" w:space="0" w:color="auto"/>
        <w:left w:val="none" w:sz="0" w:space="0" w:color="auto"/>
        <w:bottom w:val="none" w:sz="0" w:space="0" w:color="auto"/>
        <w:right w:val="none" w:sz="0" w:space="0" w:color="auto"/>
      </w:divBdr>
    </w:div>
    <w:div w:id="1663241405">
      <w:marLeft w:val="0"/>
      <w:marRight w:val="0"/>
      <w:marTop w:val="100"/>
      <w:marBottom w:val="120"/>
      <w:divBdr>
        <w:top w:val="none" w:sz="0" w:space="0" w:color="auto"/>
        <w:left w:val="none" w:sz="0" w:space="0" w:color="auto"/>
        <w:bottom w:val="none" w:sz="0" w:space="0" w:color="auto"/>
        <w:right w:val="none" w:sz="0" w:space="0" w:color="auto"/>
      </w:divBdr>
      <w:divsChild>
        <w:div w:id="764425325">
          <w:marLeft w:val="0"/>
          <w:marRight w:val="0"/>
          <w:marTop w:val="0"/>
          <w:marBottom w:val="0"/>
          <w:divBdr>
            <w:top w:val="none" w:sz="0" w:space="0" w:color="auto"/>
            <w:left w:val="none" w:sz="0" w:space="0" w:color="auto"/>
            <w:bottom w:val="none" w:sz="0" w:space="0" w:color="auto"/>
            <w:right w:val="none" w:sz="0" w:space="0" w:color="auto"/>
          </w:divBdr>
        </w:div>
        <w:div w:id="1204557911">
          <w:marLeft w:val="0"/>
          <w:marRight w:val="0"/>
          <w:marTop w:val="0"/>
          <w:marBottom w:val="0"/>
          <w:divBdr>
            <w:top w:val="none" w:sz="0" w:space="0" w:color="auto"/>
            <w:left w:val="none" w:sz="0" w:space="0" w:color="auto"/>
            <w:bottom w:val="none" w:sz="0" w:space="0" w:color="auto"/>
            <w:right w:val="none" w:sz="0" w:space="0" w:color="auto"/>
          </w:divBdr>
        </w:div>
        <w:div w:id="1354766358">
          <w:marLeft w:val="0"/>
          <w:marRight w:val="0"/>
          <w:marTop w:val="0"/>
          <w:marBottom w:val="0"/>
          <w:divBdr>
            <w:top w:val="none" w:sz="0" w:space="0" w:color="auto"/>
            <w:left w:val="none" w:sz="0" w:space="0" w:color="auto"/>
            <w:bottom w:val="none" w:sz="0" w:space="0" w:color="auto"/>
            <w:right w:val="none" w:sz="0" w:space="0" w:color="auto"/>
          </w:divBdr>
        </w:div>
        <w:div w:id="153420793">
          <w:marLeft w:val="0"/>
          <w:marRight w:val="0"/>
          <w:marTop w:val="0"/>
          <w:marBottom w:val="0"/>
          <w:divBdr>
            <w:top w:val="none" w:sz="0" w:space="0" w:color="auto"/>
            <w:left w:val="none" w:sz="0" w:space="0" w:color="auto"/>
            <w:bottom w:val="none" w:sz="0" w:space="0" w:color="auto"/>
            <w:right w:val="none" w:sz="0" w:space="0" w:color="auto"/>
          </w:divBdr>
        </w:div>
        <w:div w:id="4282800">
          <w:marLeft w:val="0"/>
          <w:marRight w:val="0"/>
          <w:marTop w:val="0"/>
          <w:marBottom w:val="0"/>
          <w:divBdr>
            <w:top w:val="none" w:sz="0" w:space="0" w:color="auto"/>
            <w:left w:val="none" w:sz="0" w:space="0" w:color="auto"/>
            <w:bottom w:val="none" w:sz="0" w:space="0" w:color="auto"/>
            <w:right w:val="none" w:sz="0" w:space="0" w:color="auto"/>
          </w:divBdr>
        </w:div>
        <w:div w:id="1159268495">
          <w:marLeft w:val="0"/>
          <w:marRight w:val="0"/>
          <w:marTop w:val="0"/>
          <w:marBottom w:val="0"/>
          <w:divBdr>
            <w:top w:val="none" w:sz="0" w:space="0" w:color="auto"/>
            <w:left w:val="none" w:sz="0" w:space="0" w:color="auto"/>
            <w:bottom w:val="none" w:sz="0" w:space="0" w:color="auto"/>
            <w:right w:val="none" w:sz="0" w:space="0" w:color="auto"/>
          </w:divBdr>
        </w:div>
        <w:div w:id="1522625444">
          <w:marLeft w:val="0"/>
          <w:marRight w:val="0"/>
          <w:marTop w:val="0"/>
          <w:marBottom w:val="0"/>
          <w:divBdr>
            <w:top w:val="none" w:sz="0" w:space="0" w:color="auto"/>
            <w:left w:val="none" w:sz="0" w:space="0" w:color="auto"/>
            <w:bottom w:val="none" w:sz="0" w:space="0" w:color="auto"/>
            <w:right w:val="none" w:sz="0" w:space="0" w:color="auto"/>
          </w:divBdr>
        </w:div>
      </w:divsChild>
    </w:div>
    <w:div w:id="1663241992">
      <w:marLeft w:val="0"/>
      <w:marRight w:val="0"/>
      <w:marTop w:val="0"/>
      <w:marBottom w:val="120"/>
      <w:divBdr>
        <w:top w:val="none" w:sz="0" w:space="0" w:color="auto"/>
        <w:left w:val="none" w:sz="0" w:space="0" w:color="auto"/>
        <w:bottom w:val="none" w:sz="0" w:space="0" w:color="auto"/>
        <w:right w:val="none" w:sz="0" w:space="0" w:color="auto"/>
      </w:divBdr>
    </w:div>
    <w:div w:id="1669550534">
      <w:marLeft w:val="0"/>
      <w:marRight w:val="0"/>
      <w:marTop w:val="0"/>
      <w:marBottom w:val="0"/>
      <w:divBdr>
        <w:top w:val="none" w:sz="0" w:space="0" w:color="auto"/>
        <w:left w:val="none" w:sz="0" w:space="0" w:color="auto"/>
        <w:bottom w:val="none" w:sz="0" w:space="0" w:color="auto"/>
        <w:right w:val="none" w:sz="0" w:space="0" w:color="auto"/>
      </w:divBdr>
      <w:divsChild>
        <w:div w:id="914897963">
          <w:marLeft w:val="0"/>
          <w:marRight w:val="0"/>
          <w:marTop w:val="0"/>
          <w:marBottom w:val="120"/>
          <w:divBdr>
            <w:top w:val="none" w:sz="0" w:space="0" w:color="auto"/>
            <w:left w:val="none" w:sz="0" w:space="0" w:color="auto"/>
            <w:bottom w:val="none" w:sz="0" w:space="0" w:color="auto"/>
            <w:right w:val="none" w:sz="0" w:space="0" w:color="auto"/>
          </w:divBdr>
        </w:div>
      </w:divsChild>
    </w:div>
    <w:div w:id="1671566690">
      <w:marLeft w:val="0"/>
      <w:marRight w:val="0"/>
      <w:marTop w:val="0"/>
      <w:marBottom w:val="120"/>
      <w:divBdr>
        <w:top w:val="none" w:sz="0" w:space="0" w:color="auto"/>
        <w:left w:val="none" w:sz="0" w:space="0" w:color="auto"/>
        <w:bottom w:val="none" w:sz="0" w:space="0" w:color="auto"/>
        <w:right w:val="none" w:sz="0" w:space="0" w:color="auto"/>
      </w:divBdr>
    </w:div>
    <w:div w:id="1671787345">
      <w:marLeft w:val="0"/>
      <w:marRight w:val="0"/>
      <w:marTop w:val="0"/>
      <w:marBottom w:val="120"/>
      <w:divBdr>
        <w:top w:val="none" w:sz="0" w:space="0" w:color="auto"/>
        <w:left w:val="none" w:sz="0" w:space="0" w:color="auto"/>
        <w:bottom w:val="none" w:sz="0" w:space="0" w:color="auto"/>
        <w:right w:val="none" w:sz="0" w:space="0" w:color="auto"/>
      </w:divBdr>
    </w:div>
    <w:div w:id="1677460340">
      <w:marLeft w:val="0"/>
      <w:marRight w:val="0"/>
      <w:marTop w:val="0"/>
      <w:marBottom w:val="120"/>
      <w:divBdr>
        <w:top w:val="none" w:sz="0" w:space="0" w:color="auto"/>
        <w:left w:val="none" w:sz="0" w:space="0" w:color="auto"/>
        <w:bottom w:val="none" w:sz="0" w:space="0" w:color="auto"/>
        <w:right w:val="none" w:sz="0" w:space="0" w:color="auto"/>
      </w:divBdr>
    </w:div>
    <w:div w:id="1679431427">
      <w:marLeft w:val="0"/>
      <w:marRight w:val="0"/>
      <w:marTop w:val="0"/>
      <w:marBottom w:val="100"/>
      <w:divBdr>
        <w:top w:val="none" w:sz="0" w:space="0" w:color="auto"/>
        <w:left w:val="none" w:sz="0" w:space="0" w:color="auto"/>
        <w:bottom w:val="none" w:sz="0" w:space="0" w:color="auto"/>
        <w:right w:val="none" w:sz="0" w:space="0" w:color="auto"/>
      </w:divBdr>
    </w:div>
    <w:div w:id="1693188372">
      <w:marLeft w:val="0"/>
      <w:marRight w:val="0"/>
      <w:marTop w:val="0"/>
      <w:marBottom w:val="0"/>
      <w:divBdr>
        <w:top w:val="none" w:sz="0" w:space="0" w:color="auto"/>
        <w:left w:val="none" w:sz="0" w:space="0" w:color="auto"/>
        <w:bottom w:val="none" w:sz="0" w:space="0" w:color="auto"/>
        <w:right w:val="none" w:sz="0" w:space="0" w:color="auto"/>
      </w:divBdr>
      <w:divsChild>
        <w:div w:id="1881821933">
          <w:marLeft w:val="0"/>
          <w:marRight w:val="0"/>
          <w:marTop w:val="0"/>
          <w:marBottom w:val="0"/>
          <w:divBdr>
            <w:top w:val="none" w:sz="0" w:space="0" w:color="auto"/>
            <w:left w:val="none" w:sz="0" w:space="0" w:color="auto"/>
            <w:bottom w:val="none" w:sz="0" w:space="0" w:color="auto"/>
            <w:right w:val="none" w:sz="0" w:space="0" w:color="auto"/>
          </w:divBdr>
        </w:div>
        <w:div w:id="1995865251">
          <w:marLeft w:val="0"/>
          <w:marRight w:val="0"/>
          <w:marTop w:val="0"/>
          <w:marBottom w:val="120"/>
          <w:divBdr>
            <w:top w:val="none" w:sz="0" w:space="0" w:color="auto"/>
            <w:left w:val="none" w:sz="0" w:space="0" w:color="auto"/>
            <w:bottom w:val="none" w:sz="0" w:space="0" w:color="auto"/>
            <w:right w:val="none" w:sz="0" w:space="0" w:color="auto"/>
          </w:divBdr>
        </w:div>
        <w:div w:id="516239840">
          <w:marLeft w:val="0"/>
          <w:marRight w:val="0"/>
          <w:marTop w:val="0"/>
          <w:marBottom w:val="120"/>
          <w:divBdr>
            <w:top w:val="none" w:sz="0" w:space="0" w:color="auto"/>
            <w:left w:val="none" w:sz="0" w:space="0" w:color="auto"/>
            <w:bottom w:val="none" w:sz="0" w:space="0" w:color="auto"/>
            <w:right w:val="none" w:sz="0" w:space="0" w:color="auto"/>
          </w:divBdr>
        </w:div>
      </w:divsChild>
    </w:div>
    <w:div w:id="1694763148">
      <w:marLeft w:val="0"/>
      <w:marRight w:val="0"/>
      <w:marTop w:val="0"/>
      <w:marBottom w:val="120"/>
      <w:divBdr>
        <w:top w:val="none" w:sz="0" w:space="0" w:color="auto"/>
        <w:left w:val="none" w:sz="0" w:space="0" w:color="auto"/>
        <w:bottom w:val="none" w:sz="0" w:space="0" w:color="auto"/>
        <w:right w:val="none" w:sz="0" w:space="0" w:color="auto"/>
      </w:divBdr>
    </w:div>
    <w:div w:id="1698265697">
      <w:marLeft w:val="0"/>
      <w:marRight w:val="0"/>
      <w:marTop w:val="100"/>
      <w:marBottom w:val="0"/>
      <w:divBdr>
        <w:top w:val="none" w:sz="0" w:space="0" w:color="auto"/>
        <w:left w:val="none" w:sz="0" w:space="0" w:color="auto"/>
        <w:bottom w:val="none" w:sz="0" w:space="0" w:color="auto"/>
        <w:right w:val="none" w:sz="0" w:space="0" w:color="auto"/>
      </w:divBdr>
    </w:div>
    <w:div w:id="1703244562">
      <w:marLeft w:val="0"/>
      <w:marRight w:val="0"/>
      <w:marTop w:val="0"/>
      <w:marBottom w:val="120"/>
      <w:divBdr>
        <w:top w:val="none" w:sz="0" w:space="0" w:color="auto"/>
        <w:left w:val="none" w:sz="0" w:space="0" w:color="auto"/>
        <w:bottom w:val="none" w:sz="0" w:space="0" w:color="auto"/>
        <w:right w:val="none" w:sz="0" w:space="0" w:color="auto"/>
      </w:divBdr>
    </w:div>
    <w:div w:id="1705978893">
      <w:marLeft w:val="0"/>
      <w:marRight w:val="0"/>
      <w:marTop w:val="100"/>
      <w:marBottom w:val="120"/>
      <w:divBdr>
        <w:top w:val="none" w:sz="0" w:space="0" w:color="auto"/>
        <w:left w:val="none" w:sz="0" w:space="0" w:color="auto"/>
        <w:bottom w:val="none" w:sz="0" w:space="0" w:color="auto"/>
        <w:right w:val="none" w:sz="0" w:space="0" w:color="auto"/>
      </w:divBdr>
    </w:div>
    <w:div w:id="1707675287">
      <w:marLeft w:val="0"/>
      <w:marRight w:val="0"/>
      <w:marTop w:val="0"/>
      <w:marBottom w:val="120"/>
      <w:divBdr>
        <w:top w:val="none" w:sz="0" w:space="0" w:color="auto"/>
        <w:left w:val="none" w:sz="0" w:space="0" w:color="auto"/>
        <w:bottom w:val="none" w:sz="0" w:space="0" w:color="auto"/>
        <w:right w:val="none" w:sz="0" w:space="0" w:color="auto"/>
      </w:divBdr>
    </w:div>
    <w:div w:id="1716008662">
      <w:marLeft w:val="0"/>
      <w:marRight w:val="0"/>
      <w:marTop w:val="100"/>
      <w:marBottom w:val="20"/>
      <w:divBdr>
        <w:top w:val="none" w:sz="0" w:space="0" w:color="auto"/>
        <w:left w:val="none" w:sz="0" w:space="0" w:color="auto"/>
        <w:bottom w:val="none" w:sz="0" w:space="0" w:color="auto"/>
        <w:right w:val="none" w:sz="0" w:space="0" w:color="auto"/>
      </w:divBdr>
    </w:div>
    <w:div w:id="1726492568">
      <w:marLeft w:val="0"/>
      <w:marRight w:val="0"/>
      <w:marTop w:val="0"/>
      <w:marBottom w:val="100"/>
      <w:divBdr>
        <w:top w:val="none" w:sz="0" w:space="0" w:color="auto"/>
        <w:left w:val="none" w:sz="0" w:space="0" w:color="auto"/>
        <w:bottom w:val="none" w:sz="0" w:space="0" w:color="auto"/>
        <w:right w:val="none" w:sz="0" w:space="0" w:color="auto"/>
      </w:divBdr>
    </w:div>
    <w:div w:id="1732802783">
      <w:marLeft w:val="0"/>
      <w:marRight w:val="0"/>
      <w:marTop w:val="0"/>
      <w:marBottom w:val="0"/>
      <w:divBdr>
        <w:top w:val="none" w:sz="0" w:space="0" w:color="auto"/>
        <w:left w:val="none" w:sz="0" w:space="0" w:color="auto"/>
        <w:bottom w:val="none" w:sz="0" w:space="0" w:color="auto"/>
        <w:right w:val="none" w:sz="0" w:space="0" w:color="auto"/>
      </w:divBdr>
      <w:divsChild>
        <w:div w:id="25714460">
          <w:marLeft w:val="0"/>
          <w:marRight w:val="0"/>
          <w:marTop w:val="0"/>
          <w:marBottom w:val="0"/>
          <w:divBdr>
            <w:top w:val="none" w:sz="0" w:space="0" w:color="auto"/>
            <w:left w:val="none" w:sz="0" w:space="0" w:color="auto"/>
            <w:bottom w:val="none" w:sz="0" w:space="0" w:color="auto"/>
            <w:right w:val="none" w:sz="0" w:space="0" w:color="auto"/>
          </w:divBdr>
        </w:div>
      </w:divsChild>
    </w:div>
    <w:div w:id="1736119471">
      <w:marLeft w:val="0"/>
      <w:marRight w:val="0"/>
      <w:marTop w:val="0"/>
      <w:marBottom w:val="120"/>
      <w:divBdr>
        <w:top w:val="none" w:sz="0" w:space="0" w:color="auto"/>
        <w:left w:val="none" w:sz="0" w:space="0" w:color="auto"/>
        <w:bottom w:val="none" w:sz="0" w:space="0" w:color="auto"/>
        <w:right w:val="none" w:sz="0" w:space="0" w:color="auto"/>
      </w:divBdr>
    </w:div>
    <w:div w:id="1737237498">
      <w:marLeft w:val="0"/>
      <w:marRight w:val="0"/>
      <w:marTop w:val="0"/>
      <w:marBottom w:val="0"/>
      <w:divBdr>
        <w:top w:val="none" w:sz="0" w:space="0" w:color="auto"/>
        <w:left w:val="none" w:sz="0" w:space="0" w:color="auto"/>
        <w:bottom w:val="none" w:sz="0" w:space="0" w:color="auto"/>
        <w:right w:val="none" w:sz="0" w:space="0" w:color="auto"/>
      </w:divBdr>
      <w:divsChild>
        <w:div w:id="796264281">
          <w:marLeft w:val="0"/>
          <w:marRight w:val="0"/>
          <w:marTop w:val="0"/>
          <w:marBottom w:val="0"/>
          <w:divBdr>
            <w:top w:val="none" w:sz="0" w:space="0" w:color="auto"/>
            <w:left w:val="none" w:sz="0" w:space="0" w:color="auto"/>
            <w:bottom w:val="none" w:sz="0" w:space="0" w:color="auto"/>
            <w:right w:val="none" w:sz="0" w:space="0" w:color="auto"/>
          </w:divBdr>
        </w:div>
      </w:divsChild>
    </w:div>
    <w:div w:id="1737583570">
      <w:marLeft w:val="0"/>
      <w:marRight w:val="0"/>
      <w:marTop w:val="0"/>
      <w:marBottom w:val="60"/>
      <w:divBdr>
        <w:top w:val="none" w:sz="0" w:space="0" w:color="auto"/>
        <w:left w:val="none" w:sz="0" w:space="0" w:color="auto"/>
        <w:bottom w:val="none" w:sz="0" w:space="0" w:color="auto"/>
        <w:right w:val="none" w:sz="0" w:space="0" w:color="auto"/>
      </w:divBdr>
    </w:div>
    <w:div w:id="1739942691">
      <w:marLeft w:val="0"/>
      <w:marRight w:val="0"/>
      <w:marTop w:val="0"/>
      <w:marBottom w:val="120"/>
      <w:divBdr>
        <w:top w:val="none" w:sz="0" w:space="0" w:color="auto"/>
        <w:left w:val="none" w:sz="0" w:space="0" w:color="auto"/>
        <w:bottom w:val="none" w:sz="0" w:space="0" w:color="auto"/>
        <w:right w:val="none" w:sz="0" w:space="0" w:color="auto"/>
      </w:divBdr>
    </w:div>
    <w:div w:id="1744377592">
      <w:marLeft w:val="0"/>
      <w:marRight w:val="0"/>
      <w:marTop w:val="0"/>
      <w:marBottom w:val="120"/>
      <w:divBdr>
        <w:top w:val="none" w:sz="0" w:space="0" w:color="auto"/>
        <w:left w:val="none" w:sz="0" w:space="0" w:color="auto"/>
        <w:bottom w:val="none" w:sz="0" w:space="0" w:color="auto"/>
        <w:right w:val="none" w:sz="0" w:space="0" w:color="auto"/>
      </w:divBdr>
    </w:div>
    <w:div w:id="1749573319">
      <w:marLeft w:val="0"/>
      <w:marRight w:val="0"/>
      <w:marTop w:val="0"/>
      <w:marBottom w:val="0"/>
      <w:divBdr>
        <w:top w:val="none" w:sz="0" w:space="0" w:color="auto"/>
        <w:left w:val="none" w:sz="0" w:space="0" w:color="auto"/>
        <w:bottom w:val="none" w:sz="0" w:space="0" w:color="auto"/>
        <w:right w:val="none" w:sz="0" w:space="0" w:color="auto"/>
      </w:divBdr>
    </w:div>
    <w:div w:id="1761558387">
      <w:marLeft w:val="0"/>
      <w:marRight w:val="0"/>
      <w:marTop w:val="0"/>
      <w:marBottom w:val="120"/>
      <w:divBdr>
        <w:top w:val="none" w:sz="0" w:space="0" w:color="auto"/>
        <w:left w:val="none" w:sz="0" w:space="0" w:color="auto"/>
        <w:bottom w:val="none" w:sz="0" w:space="0" w:color="auto"/>
        <w:right w:val="none" w:sz="0" w:space="0" w:color="auto"/>
      </w:divBdr>
    </w:div>
    <w:div w:id="1763838707">
      <w:marLeft w:val="0"/>
      <w:marRight w:val="0"/>
      <w:marTop w:val="0"/>
      <w:marBottom w:val="20"/>
      <w:divBdr>
        <w:top w:val="none" w:sz="0" w:space="0" w:color="auto"/>
        <w:left w:val="none" w:sz="0" w:space="0" w:color="auto"/>
        <w:bottom w:val="none" w:sz="0" w:space="0" w:color="auto"/>
        <w:right w:val="none" w:sz="0" w:space="0" w:color="auto"/>
      </w:divBdr>
    </w:div>
    <w:div w:id="1770194636">
      <w:marLeft w:val="0"/>
      <w:marRight w:val="0"/>
      <w:marTop w:val="0"/>
      <w:marBottom w:val="0"/>
      <w:divBdr>
        <w:top w:val="none" w:sz="0" w:space="0" w:color="auto"/>
        <w:left w:val="none" w:sz="0" w:space="0" w:color="auto"/>
        <w:bottom w:val="none" w:sz="0" w:space="0" w:color="auto"/>
        <w:right w:val="none" w:sz="0" w:space="0" w:color="auto"/>
      </w:divBdr>
    </w:div>
    <w:div w:id="1774322185">
      <w:marLeft w:val="0"/>
      <w:marRight w:val="0"/>
      <w:marTop w:val="0"/>
      <w:marBottom w:val="0"/>
      <w:divBdr>
        <w:top w:val="none" w:sz="0" w:space="0" w:color="auto"/>
        <w:left w:val="none" w:sz="0" w:space="0" w:color="auto"/>
        <w:bottom w:val="none" w:sz="0" w:space="0" w:color="auto"/>
        <w:right w:val="none" w:sz="0" w:space="0" w:color="auto"/>
      </w:divBdr>
    </w:div>
    <w:div w:id="1778017853">
      <w:marLeft w:val="0"/>
      <w:marRight w:val="0"/>
      <w:marTop w:val="0"/>
      <w:marBottom w:val="120"/>
      <w:divBdr>
        <w:top w:val="none" w:sz="0" w:space="0" w:color="auto"/>
        <w:left w:val="none" w:sz="0" w:space="0" w:color="auto"/>
        <w:bottom w:val="none" w:sz="0" w:space="0" w:color="auto"/>
        <w:right w:val="none" w:sz="0" w:space="0" w:color="auto"/>
      </w:divBdr>
    </w:div>
    <w:div w:id="1779762017">
      <w:marLeft w:val="0"/>
      <w:marRight w:val="0"/>
      <w:marTop w:val="0"/>
      <w:marBottom w:val="120"/>
      <w:divBdr>
        <w:top w:val="none" w:sz="0" w:space="0" w:color="auto"/>
        <w:left w:val="none" w:sz="0" w:space="0" w:color="auto"/>
        <w:bottom w:val="none" w:sz="0" w:space="0" w:color="auto"/>
        <w:right w:val="none" w:sz="0" w:space="0" w:color="auto"/>
      </w:divBdr>
    </w:div>
    <w:div w:id="1799956847">
      <w:marLeft w:val="0"/>
      <w:marRight w:val="0"/>
      <w:marTop w:val="0"/>
      <w:marBottom w:val="0"/>
      <w:divBdr>
        <w:top w:val="none" w:sz="0" w:space="0" w:color="auto"/>
        <w:left w:val="none" w:sz="0" w:space="0" w:color="auto"/>
        <w:bottom w:val="none" w:sz="0" w:space="0" w:color="auto"/>
        <w:right w:val="none" w:sz="0" w:space="0" w:color="auto"/>
      </w:divBdr>
    </w:div>
    <w:div w:id="1809517960">
      <w:marLeft w:val="0"/>
      <w:marRight w:val="0"/>
      <w:marTop w:val="0"/>
      <w:marBottom w:val="0"/>
      <w:divBdr>
        <w:top w:val="none" w:sz="0" w:space="0" w:color="auto"/>
        <w:left w:val="none" w:sz="0" w:space="0" w:color="auto"/>
        <w:bottom w:val="none" w:sz="0" w:space="0" w:color="auto"/>
        <w:right w:val="none" w:sz="0" w:space="0" w:color="auto"/>
      </w:divBdr>
      <w:divsChild>
        <w:div w:id="841436775">
          <w:marLeft w:val="0"/>
          <w:marRight w:val="0"/>
          <w:marTop w:val="0"/>
          <w:marBottom w:val="0"/>
          <w:divBdr>
            <w:top w:val="none" w:sz="0" w:space="0" w:color="auto"/>
            <w:left w:val="none" w:sz="0" w:space="0" w:color="auto"/>
            <w:bottom w:val="none" w:sz="0" w:space="0" w:color="auto"/>
            <w:right w:val="none" w:sz="0" w:space="0" w:color="auto"/>
          </w:divBdr>
        </w:div>
      </w:divsChild>
    </w:div>
    <w:div w:id="1810199360">
      <w:marLeft w:val="0"/>
      <w:marRight w:val="0"/>
      <w:marTop w:val="0"/>
      <w:marBottom w:val="0"/>
      <w:divBdr>
        <w:top w:val="none" w:sz="0" w:space="0" w:color="auto"/>
        <w:left w:val="none" w:sz="0" w:space="0" w:color="auto"/>
        <w:bottom w:val="none" w:sz="0" w:space="0" w:color="auto"/>
        <w:right w:val="none" w:sz="0" w:space="0" w:color="auto"/>
      </w:divBdr>
      <w:divsChild>
        <w:div w:id="785998834">
          <w:marLeft w:val="0"/>
          <w:marRight w:val="0"/>
          <w:marTop w:val="0"/>
          <w:marBottom w:val="0"/>
          <w:divBdr>
            <w:top w:val="none" w:sz="0" w:space="0" w:color="auto"/>
            <w:left w:val="none" w:sz="0" w:space="0" w:color="auto"/>
            <w:bottom w:val="none" w:sz="0" w:space="0" w:color="auto"/>
            <w:right w:val="none" w:sz="0" w:space="0" w:color="auto"/>
          </w:divBdr>
        </w:div>
      </w:divsChild>
    </w:div>
    <w:div w:id="1810631759">
      <w:marLeft w:val="0"/>
      <w:marRight w:val="0"/>
      <w:marTop w:val="0"/>
      <w:marBottom w:val="0"/>
      <w:divBdr>
        <w:top w:val="none" w:sz="0" w:space="0" w:color="auto"/>
        <w:left w:val="none" w:sz="0" w:space="0" w:color="auto"/>
        <w:bottom w:val="none" w:sz="0" w:space="0" w:color="auto"/>
        <w:right w:val="none" w:sz="0" w:space="0" w:color="auto"/>
      </w:divBdr>
      <w:divsChild>
        <w:div w:id="86855358">
          <w:marLeft w:val="0"/>
          <w:marRight w:val="0"/>
          <w:marTop w:val="0"/>
          <w:marBottom w:val="0"/>
          <w:divBdr>
            <w:top w:val="none" w:sz="0" w:space="0" w:color="auto"/>
            <w:left w:val="none" w:sz="0" w:space="0" w:color="auto"/>
            <w:bottom w:val="none" w:sz="0" w:space="0" w:color="auto"/>
            <w:right w:val="none" w:sz="0" w:space="0" w:color="auto"/>
          </w:divBdr>
        </w:div>
      </w:divsChild>
    </w:div>
    <w:div w:id="1810781177">
      <w:marLeft w:val="0"/>
      <w:marRight w:val="0"/>
      <w:marTop w:val="0"/>
      <w:marBottom w:val="0"/>
      <w:divBdr>
        <w:top w:val="none" w:sz="0" w:space="0" w:color="auto"/>
        <w:left w:val="none" w:sz="0" w:space="0" w:color="auto"/>
        <w:bottom w:val="none" w:sz="0" w:space="0" w:color="auto"/>
        <w:right w:val="none" w:sz="0" w:space="0" w:color="auto"/>
      </w:divBdr>
      <w:divsChild>
        <w:div w:id="61415325">
          <w:marLeft w:val="0"/>
          <w:marRight w:val="0"/>
          <w:marTop w:val="0"/>
          <w:marBottom w:val="0"/>
          <w:divBdr>
            <w:top w:val="none" w:sz="0" w:space="0" w:color="auto"/>
            <w:left w:val="none" w:sz="0" w:space="0" w:color="auto"/>
            <w:bottom w:val="none" w:sz="0" w:space="0" w:color="auto"/>
            <w:right w:val="none" w:sz="0" w:space="0" w:color="auto"/>
          </w:divBdr>
        </w:div>
      </w:divsChild>
    </w:div>
    <w:div w:id="1812558866">
      <w:marLeft w:val="0"/>
      <w:marRight w:val="0"/>
      <w:marTop w:val="0"/>
      <w:marBottom w:val="120"/>
      <w:divBdr>
        <w:top w:val="none" w:sz="0" w:space="0" w:color="auto"/>
        <w:left w:val="none" w:sz="0" w:space="0" w:color="auto"/>
        <w:bottom w:val="none" w:sz="0" w:space="0" w:color="auto"/>
        <w:right w:val="none" w:sz="0" w:space="0" w:color="auto"/>
      </w:divBdr>
    </w:div>
    <w:div w:id="1815758375">
      <w:marLeft w:val="0"/>
      <w:marRight w:val="0"/>
      <w:marTop w:val="0"/>
      <w:marBottom w:val="120"/>
      <w:divBdr>
        <w:top w:val="none" w:sz="0" w:space="0" w:color="auto"/>
        <w:left w:val="none" w:sz="0" w:space="0" w:color="auto"/>
        <w:bottom w:val="none" w:sz="0" w:space="0" w:color="auto"/>
        <w:right w:val="none" w:sz="0" w:space="0" w:color="auto"/>
      </w:divBdr>
    </w:div>
    <w:div w:id="1820490893">
      <w:marLeft w:val="0"/>
      <w:marRight w:val="0"/>
      <w:marTop w:val="0"/>
      <w:marBottom w:val="0"/>
      <w:divBdr>
        <w:top w:val="none" w:sz="0" w:space="0" w:color="auto"/>
        <w:left w:val="none" w:sz="0" w:space="0" w:color="auto"/>
        <w:bottom w:val="none" w:sz="0" w:space="0" w:color="auto"/>
        <w:right w:val="none" w:sz="0" w:space="0" w:color="auto"/>
      </w:divBdr>
      <w:divsChild>
        <w:div w:id="899631779">
          <w:marLeft w:val="0"/>
          <w:marRight w:val="0"/>
          <w:marTop w:val="0"/>
          <w:marBottom w:val="0"/>
          <w:divBdr>
            <w:top w:val="none" w:sz="0" w:space="0" w:color="auto"/>
            <w:left w:val="none" w:sz="0" w:space="0" w:color="auto"/>
            <w:bottom w:val="none" w:sz="0" w:space="0" w:color="auto"/>
            <w:right w:val="none" w:sz="0" w:space="0" w:color="auto"/>
          </w:divBdr>
        </w:div>
      </w:divsChild>
    </w:div>
    <w:div w:id="1822965213">
      <w:marLeft w:val="0"/>
      <w:marRight w:val="0"/>
      <w:marTop w:val="0"/>
      <w:marBottom w:val="120"/>
      <w:divBdr>
        <w:top w:val="none" w:sz="0" w:space="0" w:color="auto"/>
        <w:left w:val="none" w:sz="0" w:space="0" w:color="auto"/>
        <w:bottom w:val="none" w:sz="0" w:space="0" w:color="auto"/>
        <w:right w:val="none" w:sz="0" w:space="0" w:color="auto"/>
      </w:divBdr>
    </w:div>
    <w:div w:id="1824851957">
      <w:marLeft w:val="0"/>
      <w:marRight w:val="0"/>
      <w:marTop w:val="0"/>
      <w:marBottom w:val="120"/>
      <w:divBdr>
        <w:top w:val="none" w:sz="0" w:space="0" w:color="auto"/>
        <w:left w:val="none" w:sz="0" w:space="0" w:color="auto"/>
        <w:bottom w:val="none" w:sz="0" w:space="0" w:color="auto"/>
        <w:right w:val="none" w:sz="0" w:space="0" w:color="auto"/>
      </w:divBdr>
    </w:div>
    <w:div w:id="1824930393">
      <w:marLeft w:val="0"/>
      <w:marRight w:val="0"/>
      <w:marTop w:val="0"/>
      <w:marBottom w:val="0"/>
      <w:divBdr>
        <w:top w:val="none" w:sz="0" w:space="0" w:color="auto"/>
        <w:left w:val="none" w:sz="0" w:space="0" w:color="auto"/>
        <w:bottom w:val="none" w:sz="0" w:space="0" w:color="auto"/>
        <w:right w:val="none" w:sz="0" w:space="0" w:color="auto"/>
      </w:divBdr>
      <w:divsChild>
        <w:div w:id="407002605">
          <w:marLeft w:val="0"/>
          <w:marRight w:val="0"/>
          <w:marTop w:val="0"/>
          <w:marBottom w:val="120"/>
          <w:divBdr>
            <w:top w:val="none" w:sz="0" w:space="0" w:color="auto"/>
            <w:left w:val="none" w:sz="0" w:space="0" w:color="auto"/>
            <w:bottom w:val="none" w:sz="0" w:space="0" w:color="auto"/>
            <w:right w:val="none" w:sz="0" w:space="0" w:color="auto"/>
          </w:divBdr>
        </w:div>
      </w:divsChild>
    </w:div>
    <w:div w:id="1828742664">
      <w:marLeft w:val="0"/>
      <w:marRight w:val="0"/>
      <w:marTop w:val="0"/>
      <w:marBottom w:val="20"/>
      <w:divBdr>
        <w:top w:val="none" w:sz="0" w:space="0" w:color="auto"/>
        <w:left w:val="none" w:sz="0" w:space="0" w:color="auto"/>
        <w:bottom w:val="none" w:sz="0" w:space="0" w:color="auto"/>
        <w:right w:val="none" w:sz="0" w:space="0" w:color="auto"/>
      </w:divBdr>
      <w:divsChild>
        <w:div w:id="1609390582">
          <w:marLeft w:val="0"/>
          <w:marRight w:val="0"/>
          <w:marTop w:val="0"/>
          <w:marBottom w:val="0"/>
          <w:divBdr>
            <w:top w:val="none" w:sz="0" w:space="0" w:color="auto"/>
            <w:left w:val="none" w:sz="0" w:space="0" w:color="auto"/>
            <w:bottom w:val="none" w:sz="0" w:space="0" w:color="auto"/>
            <w:right w:val="none" w:sz="0" w:space="0" w:color="auto"/>
          </w:divBdr>
        </w:div>
        <w:div w:id="1233201752">
          <w:marLeft w:val="0"/>
          <w:marRight w:val="0"/>
          <w:marTop w:val="0"/>
          <w:marBottom w:val="0"/>
          <w:divBdr>
            <w:top w:val="none" w:sz="0" w:space="0" w:color="auto"/>
            <w:left w:val="none" w:sz="0" w:space="0" w:color="auto"/>
            <w:bottom w:val="none" w:sz="0" w:space="0" w:color="auto"/>
            <w:right w:val="none" w:sz="0" w:space="0" w:color="auto"/>
          </w:divBdr>
        </w:div>
      </w:divsChild>
    </w:div>
    <w:div w:id="1844011107">
      <w:marLeft w:val="0"/>
      <w:marRight w:val="0"/>
      <w:marTop w:val="0"/>
      <w:marBottom w:val="120"/>
      <w:divBdr>
        <w:top w:val="none" w:sz="0" w:space="0" w:color="auto"/>
        <w:left w:val="none" w:sz="0" w:space="0" w:color="auto"/>
        <w:bottom w:val="none" w:sz="0" w:space="0" w:color="auto"/>
        <w:right w:val="none" w:sz="0" w:space="0" w:color="auto"/>
      </w:divBdr>
    </w:div>
    <w:div w:id="1853957479">
      <w:marLeft w:val="0"/>
      <w:marRight w:val="0"/>
      <w:marTop w:val="0"/>
      <w:marBottom w:val="120"/>
      <w:divBdr>
        <w:top w:val="none" w:sz="0" w:space="0" w:color="auto"/>
        <w:left w:val="none" w:sz="0" w:space="0" w:color="auto"/>
        <w:bottom w:val="none" w:sz="0" w:space="0" w:color="auto"/>
        <w:right w:val="none" w:sz="0" w:space="0" w:color="auto"/>
      </w:divBdr>
    </w:div>
    <w:div w:id="1855849090">
      <w:marLeft w:val="0"/>
      <w:marRight w:val="0"/>
      <w:marTop w:val="0"/>
      <w:marBottom w:val="0"/>
      <w:divBdr>
        <w:top w:val="none" w:sz="0" w:space="0" w:color="auto"/>
        <w:left w:val="none" w:sz="0" w:space="0" w:color="auto"/>
        <w:bottom w:val="none" w:sz="0" w:space="0" w:color="auto"/>
        <w:right w:val="none" w:sz="0" w:space="0" w:color="auto"/>
      </w:divBdr>
    </w:div>
    <w:div w:id="1856190129">
      <w:marLeft w:val="0"/>
      <w:marRight w:val="0"/>
      <w:marTop w:val="0"/>
      <w:marBottom w:val="120"/>
      <w:divBdr>
        <w:top w:val="none" w:sz="0" w:space="0" w:color="auto"/>
        <w:left w:val="none" w:sz="0" w:space="0" w:color="auto"/>
        <w:bottom w:val="none" w:sz="0" w:space="0" w:color="auto"/>
        <w:right w:val="none" w:sz="0" w:space="0" w:color="auto"/>
      </w:divBdr>
    </w:div>
    <w:div w:id="1857578823">
      <w:marLeft w:val="0"/>
      <w:marRight w:val="0"/>
      <w:marTop w:val="0"/>
      <w:marBottom w:val="0"/>
      <w:divBdr>
        <w:top w:val="none" w:sz="0" w:space="0" w:color="auto"/>
        <w:left w:val="none" w:sz="0" w:space="0" w:color="auto"/>
        <w:bottom w:val="none" w:sz="0" w:space="0" w:color="auto"/>
        <w:right w:val="none" w:sz="0" w:space="0" w:color="auto"/>
      </w:divBdr>
    </w:div>
    <w:div w:id="1859199366">
      <w:marLeft w:val="0"/>
      <w:marRight w:val="0"/>
      <w:marTop w:val="0"/>
      <w:marBottom w:val="100"/>
      <w:divBdr>
        <w:top w:val="none" w:sz="0" w:space="0" w:color="auto"/>
        <w:left w:val="none" w:sz="0" w:space="0" w:color="auto"/>
        <w:bottom w:val="none" w:sz="0" w:space="0" w:color="auto"/>
        <w:right w:val="none" w:sz="0" w:space="0" w:color="auto"/>
      </w:divBdr>
    </w:div>
    <w:div w:id="1865514651">
      <w:marLeft w:val="0"/>
      <w:marRight w:val="0"/>
      <w:marTop w:val="100"/>
      <w:marBottom w:val="120"/>
      <w:divBdr>
        <w:top w:val="none" w:sz="0" w:space="0" w:color="auto"/>
        <w:left w:val="none" w:sz="0" w:space="0" w:color="auto"/>
        <w:bottom w:val="none" w:sz="0" w:space="0" w:color="auto"/>
        <w:right w:val="none" w:sz="0" w:space="0" w:color="auto"/>
      </w:divBdr>
    </w:div>
    <w:div w:id="1866138764">
      <w:marLeft w:val="0"/>
      <w:marRight w:val="0"/>
      <w:marTop w:val="0"/>
      <w:marBottom w:val="0"/>
      <w:divBdr>
        <w:top w:val="none" w:sz="0" w:space="0" w:color="auto"/>
        <w:left w:val="none" w:sz="0" w:space="0" w:color="auto"/>
        <w:bottom w:val="none" w:sz="0" w:space="0" w:color="auto"/>
        <w:right w:val="none" w:sz="0" w:space="0" w:color="auto"/>
      </w:divBdr>
      <w:divsChild>
        <w:div w:id="249389823">
          <w:marLeft w:val="0"/>
          <w:marRight w:val="0"/>
          <w:marTop w:val="0"/>
          <w:marBottom w:val="0"/>
          <w:divBdr>
            <w:top w:val="none" w:sz="0" w:space="0" w:color="auto"/>
            <w:left w:val="none" w:sz="0" w:space="0" w:color="auto"/>
            <w:bottom w:val="none" w:sz="0" w:space="0" w:color="auto"/>
            <w:right w:val="none" w:sz="0" w:space="0" w:color="auto"/>
          </w:divBdr>
        </w:div>
      </w:divsChild>
    </w:div>
    <w:div w:id="1867866737">
      <w:marLeft w:val="0"/>
      <w:marRight w:val="0"/>
      <w:marTop w:val="0"/>
      <w:marBottom w:val="0"/>
      <w:divBdr>
        <w:top w:val="none" w:sz="0" w:space="0" w:color="auto"/>
        <w:left w:val="none" w:sz="0" w:space="0" w:color="auto"/>
        <w:bottom w:val="none" w:sz="0" w:space="0" w:color="auto"/>
        <w:right w:val="none" w:sz="0" w:space="0" w:color="auto"/>
      </w:divBdr>
      <w:divsChild>
        <w:div w:id="33770724">
          <w:marLeft w:val="0"/>
          <w:marRight w:val="0"/>
          <w:marTop w:val="0"/>
          <w:marBottom w:val="120"/>
          <w:divBdr>
            <w:top w:val="none" w:sz="0" w:space="0" w:color="auto"/>
            <w:left w:val="none" w:sz="0" w:space="0" w:color="auto"/>
            <w:bottom w:val="none" w:sz="0" w:space="0" w:color="auto"/>
            <w:right w:val="none" w:sz="0" w:space="0" w:color="auto"/>
          </w:divBdr>
        </w:div>
      </w:divsChild>
    </w:div>
    <w:div w:id="1875462467">
      <w:marLeft w:val="0"/>
      <w:marRight w:val="0"/>
      <w:marTop w:val="0"/>
      <w:marBottom w:val="120"/>
      <w:divBdr>
        <w:top w:val="none" w:sz="0" w:space="0" w:color="auto"/>
        <w:left w:val="none" w:sz="0" w:space="0" w:color="auto"/>
        <w:bottom w:val="none" w:sz="0" w:space="0" w:color="auto"/>
        <w:right w:val="none" w:sz="0" w:space="0" w:color="auto"/>
      </w:divBdr>
    </w:div>
    <w:div w:id="1882594159">
      <w:marLeft w:val="0"/>
      <w:marRight w:val="0"/>
      <w:marTop w:val="0"/>
      <w:marBottom w:val="0"/>
      <w:divBdr>
        <w:top w:val="none" w:sz="0" w:space="0" w:color="auto"/>
        <w:left w:val="none" w:sz="0" w:space="0" w:color="auto"/>
        <w:bottom w:val="none" w:sz="0" w:space="0" w:color="auto"/>
        <w:right w:val="none" w:sz="0" w:space="0" w:color="auto"/>
      </w:divBdr>
    </w:div>
    <w:div w:id="1883244018">
      <w:marLeft w:val="0"/>
      <w:marRight w:val="0"/>
      <w:marTop w:val="0"/>
      <w:marBottom w:val="120"/>
      <w:divBdr>
        <w:top w:val="none" w:sz="0" w:space="0" w:color="auto"/>
        <w:left w:val="none" w:sz="0" w:space="0" w:color="auto"/>
        <w:bottom w:val="none" w:sz="0" w:space="0" w:color="auto"/>
        <w:right w:val="none" w:sz="0" w:space="0" w:color="auto"/>
      </w:divBdr>
    </w:div>
    <w:div w:id="1894583330">
      <w:marLeft w:val="0"/>
      <w:marRight w:val="0"/>
      <w:marTop w:val="0"/>
      <w:marBottom w:val="120"/>
      <w:divBdr>
        <w:top w:val="none" w:sz="0" w:space="0" w:color="auto"/>
        <w:left w:val="none" w:sz="0" w:space="0" w:color="auto"/>
        <w:bottom w:val="none" w:sz="0" w:space="0" w:color="auto"/>
        <w:right w:val="none" w:sz="0" w:space="0" w:color="auto"/>
      </w:divBdr>
    </w:div>
    <w:div w:id="1895923077">
      <w:marLeft w:val="0"/>
      <w:marRight w:val="0"/>
      <w:marTop w:val="0"/>
      <w:marBottom w:val="0"/>
      <w:divBdr>
        <w:top w:val="none" w:sz="0" w:space="0" w:color="auto"/>
        <w:left w:val="none" w:sz="0" w:space="0" w:color="auto"/>
        <w:bottom w:val="none" w:sz="0" w:space="0" w:color="auto"/>
        <w:right w:val="none" w:sz="0" w:space="0" w:color="auto"/>
      </w:divBdr>
      <w:divsChild>
        <w:div w:id="1280987795">
          <w:marLeft w:val="0"/>
          <w:marRight w:val="0"/>
          <w:marTop w:val="0"/>
          <w:marBottom w:val="0"/>
          <w:divBdr>
            <w:top w:val="none" w:sz="0" w:space="0" w:color="auto"/>
            <w:left w:val="none" w:sz="0" w:space="0" w:color="auto"/>
            <w:bottom w:val="none" w:sz="0" w:space="0" w:color="auto"/>
            <w:right w:val="none" w:sz="0" w:space="0" w:color="auto"/>
          </w:divBdr>
        </w:div>
      </w:divsChild>
    </w:div>
    <w:div w:id="1901865483">
      <w:marLeft w:val="0"/>
      <w:marRight w:val="0"/>
      <w:marTop w:val="0"/>
      <w:marBottom w:val="0"/>
      <w:divBdr>
        <w:top w:val="none" w:sz="0" w:space="0" w:color="auto"/>
        <w:left w:val="none" w:sz="0" w:space="0" w:color="auto"/>
        <w:bottom w:val="none" w:sz="0" w:space="0" w:color="auto"/>
        <w:right w:val="none" w:sz="0" w:space="0" w:color="auto"/>
      </w:divBdr>
      <w:divsChild>
        <w:div w:id="1085301756">
          <w:marLeft w:val="0"/>
          <w:marRight w:val="0"/>
          <w:marTop w:val="0"/>
          <w:marBottom w:val="0"/>
          <w:divBdr>
            <w:top w:val="none" w:sz="0" w:space="0" w:color="auto"/>
            <w:left w:val="none" w:sz="0" w:space="0" w:color="auto"/>
            <w:bottom w:val="none" w:sz="0" w:space="0" w:color="auto"/>
            <w:right w:val="none" w:sz="0" w:space="0" w:color="auto"/>
          </w:divBdr>
        </w:div>
        <w:div w:id="1626691993">
          <w:marLeft w:val="0"/>
          <w:marRight w:val="0"/>
          <w:marTop w:val="0"/>
          <w:marBottom w:val="120"/>
          <w:divBdr>
            <w:top w:val="none" w:sz="0" w:space="0" w:color="auto"/>
            <w:left w:val="none" w:sz="0" w:space="0" w:color="auto"/>
            <w:bottom w:val="none" w:sz="0" w:space="0" w:color="auto"/>
            <w:right w:val="none" w:sz="0" w:space="0" w:color="auto"/>
          </w:divBdr>
        </w:div>
      </w:divsChild>
    </w:div>
    <w:div w:id="1909070574">
      <w:marLeft w:val="0"/>
      <w:marRight w:val="0"/>
      <w:marTop w:val="0"/>
      <w:marBottom w:val="0"/>
      <w:divBdr>
        <w:top w:val="none" w:sz="0" w:space="0" w:color="auto"/>
        <w:left w:val="none" w:sz="0" w:space="0" w:color="auto"/>
        <w:bottom w:val="none" w:sz="0" w:space="0" w:color="auto"/>
        <w:right w:val="none" w:sz="0" w:space="0" w:color="auto"/>
      </w:divBdr>
      <w:divsChild>
        <w:div w:id="1634477959">
          <w:marLeft w:val="0"/>
          <w:marRight w:val="0"/>
          <w:marTop w:val="0"/>
          <w:marBottom w:val="0"/>
          <w:divBdr>
            <w:top w:val="none" w:sz="0" w:space="0" w:color="auto"/>
            <w:left w:val="none" w:sz="0" w:space="0" w:color="auto"/>
            <w:bottom w:val="none" w:sz="0" w:space="0" w:color="auto"/>
            <w:right w:val="none" w:sz="0" w:space="0" w:color="auto"/>
          </w:divBdr>
        </w:div>
      </w:divsChild>
    </w:div>
    <w:div w:id="1920752303">
      <w:marLeft w:val="0"/>
      <w:marRight w:val="0"/>
      <w:marTop w:val="0"/>
      <w:marBottom w:val="0"/>
      <w:divBdr>
        <w:top w:val="none" w:sz="0" w:space="0" w:color="auto"/>
        <w:left w:val="none" w:sz="0" w:space="0" w:color="auto"/>
        <w:bottom w:val="none" w:sz="0" w:space="0" w:color="auto"/>
        <w:right w:val="none" w:sz="0" w:space="0" w:color="auto"/>
      </w:divBdr>
      <w:divsChild>
        <w:div w:id="1663779517">
          <w:marLeft w:val="0"/>
          <w:marRight w:val="0"/>
          <w:marTop w:val="0"/>
          <w:marBottom w:val="0"/>
          <w:divBdr>
            <w:top w:val="none" w:sz="0" w:space="0" w:color="auto"/>
            <w:left w:val="none" w:sz="0" w:space="0" w:color="auto"/>
            <w:bottom w:val="none" w:sz="0" w:space="0" w:color="auto"/>
            <w:right w:val="none" w:sz="0" w:space="0" w:color="auto"/>
          </w:divBdr>
        </w:div>
      </w:divsChild>
    </w:div>
    <w:div w:id="1924489619">
      <w:marLeft w:val="0"/>
      <w:marRight w:val="0"/>
      <w:marTop w:val="0"/>
      <w:marBottom w:val="120"/>
      <w:divBdr>
        <w:top w:val="none" w:sz="0" w:space="0" w:color="auto"/>
        <w:left w:val="none" w:sz="0" w:space="0" w:color="auto"/>
        <w:bottom w:val="none" w:sz="0" w:space="0" w:color="auto"/>
        <w:right w:val="none" w:sz="0" w:space="0" w:color="auto"/>
      </w:divBdr>
    </w:div>
    <w:div w:id="1929801905">
      <w:marLeft w:val="0"/>
      <w:marRight w:val="0"/>
      <w:marTop w:val="0"/>
      <w:marBottom w:val="0"/>
      <w:divBdr>
        <w:top w:val="none" w:sz="0" w:space="0" w:color="auto"/>
        <w:left w:val="none" w:sz="0" w:space="0" w:color="auto"/>
        <w:bottom w:val="none" w:sz="0" w:space="0" w:color="auto"/>
        <w:right w:val="none" w:sz="0" w:space="0" w:color="auto"/>
      </w:divBdr>
    </w:div>
    <w:div w:id="1936086421">
      <w:marLeft w:val="0"/>
      <w:marRight w:val="0"/>
      <w:marTop w:val="0"/>
      <w:marBottom w:val="0"/>
      <w:divBdr>
        <w:top w:val="none" w:sz="0" w:space="0" w:color="auto"/>
        <w:left w:val="none" w:sz="0" w:space="0" w:color="auto"/>
        <w:bottom w:val="none" w:sz="0" w:space="0" w:color="auto"/>
        <w:right w:val="none" w:sz="0" w:space="0" w:color="auto"/>
      </w:divBdr>
      <w:divsChild>
        <w:div w:id="1716346923">
          <w:marLeft w:val="0"/>
          <w:marRight w:val="0"/>
          <w:marTop w:val="0"/>
          <w:marBottom w:val="0"/>
          <w:divBdr>
            <w:top w:val="none" w:sz="0" w:space="0" w:color="auto"/>
            <w:left w:val="none" w:sz="0" w:space="0" w:color="auto"/>
            <w:bottom w:val="none" w:sz="0" w:space="0" w:color="auto"/>
            <w:right w:val="none" w:sz="0" w:space="0" w:color="auto"/>
          </w:divBdr>
        </w:div>
      </w:divsChild>
    </w:div>
    <w:div w:id="1938362947">
      <w:marLeft w:val="0"/>
      <w:marRight w:val="0"/>
      <w:marTop w:val="0"/>
      <w:marBottom w:val="0"/>
      <w:divBdr>
        <w:top w:val="none" w:sz="0" w:space="0" w:color="auto"/>
        <w:left w:val="none" w:sz="0" w:space="0" w:color="auto"/>
        <w:bottom w:val="none" w:sz="0" w:space="0" w:color="auto"/>
        <w:right w:val="none" w:sz="0" w:space="0" w:color="auto"/>
      </w:divBdr>
      <w:divsChild>
        <w:div w:id="2089113249">
          <w:marLeft w:val="0"/>
          <w:marRight w:val="0"/>
          <w:marTop w:val="0"/>
          <w:marBottom w:val="0"/>
          <w:divBdr>
            <w:top w:val="none" w:sz="0" w:space="0" w:color="auto"/>
            <w:left w:val="none" w:sz="0" w:space="0" w:color="auto"/>
            <w:bottom w:val="none" w:sz="0" w:space="0" w:color="auto"/>
            <w:right w:val="none" w:sz="0" w:space="0" w:color="auto"/>
          </w:divBdr>
        </w:div>
      </w:divsChild>
    </w:div>
    <w:div w:id="1944143852">
      <w:marLeft w:val="0"/>
      <w:marRight w:val="0"/>
      <w:marTop w:val="0"/>
      <w:marBottom w:val="0"/>
      <w:divBdr>
        <w:top w:val="none" w:sz="0" w:space="0" w:color="auto"/>
        <w:left w:val="none" w:sz="0" w:space="0" w:color="auto"/>
        <w:bottom w:val="none" w:sz="0" w:space="0" w:color="auto"/>
        <w:right w:val="none" w:sz="0" w:space="0" w:color="auto"/>
      </w:divBdr>
      <w:divsChild>
        <w:div w:id="1894850198">
          <w:marLeft w:val="0"/>
          <w:marRight w:val="0"/>
          <w:marTop w:val="0"/>
          <w:marBottom w:val="0"/>
          <w:divBdr>
            <w:top w:val="none" w:sz="0" w:space="0" w:color="auto"/>
            <w:left w:val="none" w:sz="0" w:space="0" w:color="auto"/>
            <w:bottom w:val="none" w:sz="0" w:space="0" w:color="auto"/>
            <w:right w:val="none" w:sz="0" w:space="0" w:color="auto"/>
          </w:divBdr>
        </w:div>
      </w:divsChild>
    </w:div>
    <w:div w:id="1952659683">
      <w:marLeft w:val="0"/>
      <w:marRight w:val="0"/>
      <w:marTop w:val="100"/>
      <w:marBottom w:val="0"/>
      <w:divBdr>
        <w:top w:val="none" w:sz="0" w:space="0" w:color="auto"/>
        <w:left w:val="none" w:sz="0" w:space="0" w:color="auto"/>
        <w:bottom w:val="none" w:sz="0" w:space="0" w:color="auto"/>
        <w:right w:val="none" w:sz="0" w:space="0" w:color="auto"/>
      </w:divBdr>
      <w:divsChild>
        <w:div w:id="2011441084">
          <w:marLeft w:val="0"/>
          <w:marRight w:val="0"/>
          <w:marTop w:val="0"/>
          <w:marBottom w:val="0"/>
          <w:divBdr>
            <w:top w:val="none" w:sz="0" w:space="0" w:color="auto"/>
            <w:left w:val="none" w:sz="0" w:space="0" w:color="auto"/>
            <w:bottom w:val="none" w:sz="0" w:space="0" w:color="auto"/>
            <w:right w:val="none" w:sz="0" w:space="0" w:color="auto"/>
          </w:divBdr>
        </w:div>
        <w:div w:id="1846239367">
          <w:marLeft w:val="0"/>
          <w:marRight w:val="0"/>
          <w:marTop w:val="0"/>
          <w:marBottom w:val="0"/>
          <w:divBdr>
            <w:top w:val="none" w:sz="0" w:space="0" w:color="auto"/>
            <w:left w:val="none" w:sz="0" w:space="0" w:color="auto"/>
            <w:bottom w:val="none" w:sz="0" w:space="0" w:color="auto"/>
            <w:right w:val="none" w:sz="0" w:space="0" w:color="auto"/>
          </w:divBdr>
        </w:div>
        <w:div w:id="935481733">
          <w:marLeft w:val="0"/>
          <w:marRight w:val="0"/>
          <w:marTop w:val="0"/>
          <w:marBottom w:val="0"/>
          <w:divBdr>
            <w:top w:val="none" w:sz="0" w:space="0" w:color="auto"/>
            <w:left w:val="none" w:sz="0" w:space="0" w:color="auto"/>
            <w:bottom w:val="none" w:sz="0" w:space="0" w:color="auto"/>
            <w:right w:val="none" w:sz="0" w:space="0" w:color="auto"/>
          </w:divBdr>
        </w:div>
        <w:div w:id="156656020">
          <w:marLeft w:val="0"/>
          <w:marRight w:val="0"/>
          <w:marTop w:val="0"/>
          <w:marBottom w:val="0"/>
          <w:divBdr>
            <w:top w:val="none" w:sz="0" w:space="0" w:color="auto"/>
            <w:left w:val="none" w:sz="0" w:space="0" w:color="auto"/>
            <w:bottom w:val="none" w:sz="0" w:space="0" w:color="auto"/>
            <w:right w:val="none" w:sz="0" w:space="0" w:color="auto"/>
          </w:divBdr>
        </w:div>
        <w:div w:id="462500564">
          <w:marLeft w:val="0"/>
          <w:marRight w:val="0"/>
          <w:marTop w:val="0"/>
          <w:marBottom w:val="0"/>
          <w:divBdr>
            <w:top w:val="none" w:sz="0" w:space="0" w:color="auto"/>
            <w:left w:val="none" w:sz="0" w:space="0" w:color="auto"/>
            <w:bottom w:val="none" w:sz="0" w:space="0" w:color="auto"/>
            <w:right w:val="none" w:sz="0" w:space="0" w:color="auto"/>
          </w:divBdr>
        </w:div>
        <w:div w:id="256717136">
          <w:marLeft w:val="0"/>
          <w:marRight w:val="0"/>
          <w:marTop w:val="0"/>
          <w:marBottom w:val="0"/>
          <w:divBdr>
            <w:top w:val="none" w:sz="0" w:space="0" w:color="auto"/>
            <w:left w:val="none" w:sz="0" w:space="0" w:color="auto"/>
            <w:bottom w:val="none" w:sz="0" w:space="0" w:color="auto"/>
            <w:right w:val="none" w:sz="0" w:space="0" w:color="auto"/>
          </w:divBdr>
        </w:div>
        <w:div w:id="1626428743">
          <w:marLeft w:val="0"/>
          <w:marRight w:val="0"/>
          <w:marTop w:val="0"/>
          <w:marBottom w:val="0"/>
          <w:divBdr>
            <w:top w:val="none" w:sz="0" w:space="0" w:color="auto"/>
            <w:left w:val="none" w:sz="0" w:space="0" w:color="auto"/>
            <w:bottom w:val="none" w:sz="0" w:space="0" w:color="auto"/>
            <w:right w:val="none" w:sz="0" w:space="0" w:color="auto"/>
          </w:divBdr>
        </w:div>
        <w:div w:id="692537202">
          <w:marLeft w:val="0"/>
          <w:marRight w:val="0"/>
          <w:marTop w:val="0"/>
          <w:marBottom w:val="0"/>
          <w:divBdr>
            <w:top w:val="none" w:sz="0" w:space="0" w:color="auto"/>
            <w:left w:val="none" w:sz="0" w:space="0" w:color="auto"/>
            <w:bottom w:val="none" w:sz="0" w:space="0" w:color="auto"/>
            <w:right w:val="none" w:sz="0" w:space="0" w:color="auto"/>
          </w:divBdr>
        </w:div>
        <w:div w:id="234360524">
          <w:marLeft w:val="0"/>
          <w:marRight w:val="0"/>
          <w:marTop w:val="0"/>
          <w:marBottom w:val="0"/>
          <w:divBdr>
            <w:top w:val="none" w:sz="0" w:space="0" w:color="auto"/>
            <w:left w:val="none" w:sz="0" w:space="0" w:color="auto"/>
            <w:bottom w:val="none" w:sz="0" w:space="0" w:color="auto"/>
            <w:right w:val="none" w:sz="0" w:space="0" w:color="auto"/>
          </w:divBdr>
        </w:div>
        <w:div w:id="691613852">
          <w:marLeft w:val="0"/>
          <w:marRight w:val="0"/>
          <w:marTop w:val="0"/>
          <w:marBottom w:val="0"/>
          <w:divBdr>
            <w:top w:val="none" w:sz="0" w:space="0" w:color="auto"/>
            <w:left w:val="none" w:sz="0" w:space="0" w:color="auto"/>
            <w:bottom w:val="none" w:sz="0" w:space="0" w:color="auto"/>
            <w:right w:val="none" w:sz="0" w:space="0" w:color="auto"/>
          </w:divBdr>
        </w:div>
        <w:div w:id="1658455632">
          <w:marLeft w:val="0"/>
          <w:marRight w:val="0"/>
          <w:marTop w:val="0"/>
          <w:marBottom w:val="0"/>
          <w:divBdr>
            <w:top w:val="none" w:sz="0" w:space="0" w:color="auto"/>
            <w:left w:val="none" w:sz="0" w:space="0" w:color="auto"/>
            <w:bottom w:val="none" w:sz="0" w:space="0" w:color="auto"/>
            <w:right w:val="none" w:sz="0" w:space="0" w:color="auto"/>
          </w:divBdr>
        </w:div>
        <w:div w:id="941765476">
          <w:marLeft w:val="0"/>
          <w:marRight w:val="0"/>
          <w:marTop w:val="0"/>
          <w:marBottom w:val="0"/>
          <w:divBdr>
            <w:top w:val="none" w:sz="0" w:space="0" w:color="auto"/>
            <w:left w:val="none" w:sz="0" w:space="0" w:color="auto"/>
            <w:bottom w:val="none" w:sz="0" w:space="0" w:color="auto"/>
            <w:right w:val="none" w:sz="0" w:space="0" w:color="auto"/>
          </w:divBdr>
        </w:div>
        <w:div w:id="445933242">
          <w:marLeft w:val="0"/>
          <w:marRight w:val="0"/>
          <w:marTop w:val="0"/>
          <w:marBottom w:val="0"/>
          <w:divBdr>
            <w:top w:val="none" w:sz="0" w:space="0" w:color="auto"/>
            <w:left w:val="none" w:sz="0" w:space="0" w:color="auto"/>
            <w:bottom w:val="none" w:sz="0" w:space="0" w:color="auto"/>
            <w:right w:val="none" w:sz="0" w:space="0" w:color="auto"/>
          </w:divBdr>
        </w:div>
        <w:div w:id="486170810">
          <w:marLeft w:val="0"/>
          <w:marRight w:val="0"/>
          <w:marTop w:val="0"/>
          <w:marBottom w:val="0"/>
          <w:divBdr>
            <w:top w:val="none" w:sz="0" w:space="0" w:color="auto"/>
            <w:left w:val="none" w:sz="0" w:space="0" w:color="auto"/>
            <w:bottom w:val="none" w:sz="0" w:space="0" w:color="auto"/>
            <w:right w:val="none" w:sz="0" w:space="0" w:color="auto"/>
          </w:divBdr>
        </w:div>
        <w:div w:id="1605961055">
          <w:marLeft w:val="0"/>
          <w:marRight w:val="0"/>
          <w:marTop w:val="0"/>
          <w:marBottom w:val="0"/>
          <w:divBdr>
            <w:top w:val="none" w:sz="0" w:space="0" w:color="auto"/>
            <w:left w:val="none" w:sz="0" w:space="0" w:color="auto"/>
            <w:bottom w:val="none" w:sz="0" w:space="0" w:color="auto"/>
            <w:right w:val="none" w:sz="0" w:space="0" w:color="auto"/>
          </w:divBdr>
        </w:div>
        <w:div w:id="286861921">
          <w:marLeft w:val="0"/>
          <w:marRight w:val="0"/>
          <w:marTop w:val="0"/>
          <w:marBottom w:val="0"/>
          <w:divBdr>
            <w:top w:val="none" w:sz="0" w:space="0" w:color="auto"/>
            <w:left w:val="none" w:sz="0" w:space="0" w:color="auto"/>
            <w:bottom w:val="none" w:sz="0" w:space="0" w:color="auto"/>
            <w:right w:val="none" w:sz="0" w:space="0" w:color="auto"/>
          </w:divBdr>
        </w:div>
        <w:div w:id="1607275730">
          <w:marLeft w:val="0"/>
          <w:marRight w:val="0"/>
          <w:marTop w:val="0"/>
          <w:marBottom w:val="0"/>
          <w:divBdr>
            <w:top w:val="none" w:sz="0" w:space="0" w:color="auto"/>
            <w:left w:val="none" w:sz="0" w:space="0" w:color="auto"/>
            <w:bottom w:val="none" w:sz="0" w:space="0" w:color="auto"/>
            <w:right w:val="none" w:sz="0" w:space="0" w:color="auto"/>
          </w:divBdr>
        </w:div>
        <w:div w:id="942957305">
          <w:marLeft w:val="0"/>
          <w:marRight w:val="0"/>
          <w:marTop w:val="0"/>
          <w:marBottom w:val="0"/>
          <w:divBdr>
            <w:top w:val="none" w:sz="0" w:space="0" w:color="auto"/>
            <w:left w:val="none" w:sz="0" w:space="0" w:color="auto"/>
            <w:bottom w:val="none" w:sz="0" w:space="0" w:color="auto"/>
            <w:right w:val="none" w:sz="0" w:space="0" w:color="auto"/>
          </w:divBdr>
        </w:div>
        <w:div w:id="160244393">
          <w:marLeft w:val="0"/>
          <w:marRight w:val="0"/>
          <w:marTop w:val="0"/>
          <w:marBottom w:val="0"/>
          <w:divBdr>
            <w:top w:val="none" w:sz="0" w:space="0" w:color="auto"/>
            <w:left w:val="none" w:sz="0" w:space="0" w:color="auto"/>
            <w:bottom w:val="none" w:sz="0" w:space="0" w:color="auto"/>
            <w:right w:val="none" w:sz="0" w:space="0" w:color="auto"/>
          </w:divBdr>
        </w:div>
        <w:div w:id="1025979824">
          <w:marLeft w:val="0"/>
          <w:marRight w:val="0"/>
          <w:marTop w:val="0"/>
          <w:marBottom w:val="0"/>
          <w:divBdr>
            <w:top w:val="none" w:sz="0" w:space="0" w:color="auto"/>
            <w:left w:val="none" w:sz="0" w:space="0" w:color="auto"/>
            <w:bottom w:val="none" w:sz="0" w:space="0" w:color="auto"/>
            <w:right w:val="none" w:sz="0" w:space="0" w:color="auto"/>
          </w:divBdr>
        </w:div>
        <w:div w:id="1051080253">
          <w:marLeft w:val="0"/>
          <w:marRight w:val="0"/>
          <w:marTop w:val="0"/>
          <w:marBottom w:val="0"/>
          <w:divBdr>
            <w:top w:val="none" w:sz="0" w:space="0" w:color="auto"/>
            <w:left w:val="none" w:sz="0" w:space="0" w:color="auto"/>
            <w:bottom w:val="none" w:sz="0" w:space="0" w:color="auto"/>
            <w:right w:val="none" w:sz="0" w:space="0" w:color="auto"/>
          </w:divBdr>
        </w:div>
        <w:div w:id="1776635968">
          <w:marLeft w:val="0"/>
          <w:marRight w:val="0"/>
          <w:marTop w:val="0"/>
          <w:marBottom w:val="0"/>
          <w:divBdr>
            <w:top w:val="none" w:sz="0" w:space="0" w:color="auto"/>
            <w:left w:val="none" w:sz="0" w:space="0" w:color="auto"/>
            <w:bottom w:val="none" w:sz="0" w:space="0" w:color="auto"/>
            <w:right w:val="none" w:sz="0" w:space="0" w:color="auto"/>
          </w:divBdr>
        </w:div>
        <w:div w:id="932974646">
          <w:marLeft w:val="0"/>
          <w:marRight w:val="0"/>
          <w:marTop w:val="0"/>
          <w:marBottom w:val="0"/>
          <w:divBdr>
            <w:top w:val="none" w:sz="0" w:space="0" w:color="auto"/>
            <w:left w:val="none" w:sz="0" w:space="0" w:color="auto"/>
            <w:bottom w:val="none" w:sz="0" w:space="0" w:color="auto"/>
            <w:right w:val="none" w:sz="0" w:space="0" w:color="auto"/>
          </w:divBdr>
        </w:div>
        <w:div w:id="1880311957">
          <w:marLeft w:val="0"/>
          <w:marRight w:val="0"/>
          <w:marTop w:val="0"/>
          <w:marBottom w:val="0"/>
          <w:divBdr>
            <w:top w:val="none" w:sz="0" w:space="0" w:color="auto"/>
            <w:left w:val="none" w:sz="0" w:space="0" w:color="auto"/>
            <w:bottom w:val="none" w:sz="0" w:space="0" w:color="auto"/>
            <w:right w:val="none" w:sz="0" w:space="0" w:color="auto"/>
          </w:divBdr>
        </w:div>
        <w:div w:id="680158780">
          <w:marLeft w:val="0"/>
          <w:marRight w:val="0"/>
          <w:marTop w:val="0"/>
          <w:marBottom w:val="0"/>
          <w:divBdr>
            <w:top w:val="none" w:sz="0" w:space="0" w:color="auto"/>
            <w:left w:val="none" w:sz="0" w:space="0" w:color="auto"/>
            <w:bottom w:val="none" w:sz="0" w:space="0" w:color="auto"/>
            <w:right w:val="none" w:sz="0" w:space="0" w:color="auto"/>
          </w:divBdr>
        </w:div>
        <w:div w:id="550459408">
          <w:marLeft w:val="0"/>
          <w:marRight w:val="0"/>
          <w:marTop w:val="0"/>
          <w:marBottom w:val="0"/>
          <w:divBdr>
            <w:top w:val="none" w:sz="0" w:space="0" w:color="auto"/>
            <w:left w:val="none" w:sz="0" w:space="0" w:color="auto"/>
            <w:bottom w:val="none" w:sz="0" w:space="0" w:color="auto"/>
            <w:right w:val="none" w:sz="0" w:space="0" w:color="auto"/>
          </w:divBdr>
        </w:div>
        <w:div w:id="2143691746">
          <w:marLeft w:val="0"/>
          <w:marRight w:val="0"/>
          <w:marTop w:val="0"/>
          <w:marBottom w:val="0"/>
          <w:divBdr>
            <w:top w:val="none" w:sz="0" w:space="0" w:color="auto"/>
            <w:left w:val="none" w:sz="0" w:space="0" w:color="auto"/>
            <w:bottom w:val="none" w:sz="0" w:space="0" w:color="auto"/>
            <w:right w:val="none" w:sz="0" w:space="0" w:color="auto"/>
          </w:divBdr>
        </w:div>
        <w:div w:id="628979949">
          <w:marLeft w:val="0"/>
          <w:marRight w:val="0"/>
          <w:marTop w:val="0"/>
          <w:marBottom w:val="0"/>
          <w:divBdr>
            <w:top w:val="none" w:sz="0" w:space="0" w:color="auto"/>
            <w:left w:val="none" w:sz="0" w:space="0" w:color="auto"/>
            <w:bottom w:val="none" w:sz="0" w:space="0" w:color="auto"/>
            <w:right w:val="none" w:sz="0" w:space="0" w:color="auto"/>
          </w:divBdr>
        </w:div>
        <w:div w:id="1475174377">
          <w:marLeft w:val="0"/>
          <w:marRight w:val="0"/>
          <w:marTop w:val="0"/>
          <w:marBottom w:val="0"/>
          <w:divBdr>
            <w:top w:val="none" w:sz="0" w:space="0" w:color="auto"/>
            <w:left w:val="none" w:sz="0" w:space="0" w:color="auto"/>
            <w:bottom w:val="none" w:sz="0" w:space="0" w:color="auto"/>
            <w:right w:val="none" w:sz="0" w:space="0" w:color="auto"/>
          </w:divBdr>
        </w:div>
        <w:div w:id="363095557">
          <w:marLeft w:val="0"/>
          <w:marRight w:val="0"/>
          <w:marTop w:val="0"/>
          <w:marBottom w:val="0"/>
          <w:divBdr>
            <w:top w:val="none" w:sz="0" w:space="0" w:color="auto"/>
            <w:left w:val="none" w:sz="0" w:space="0" w:color="auto"/>
            <w:bottom w:val="none" w:sz="0" w:space="0" w:color="auto"/>
            <w:right w:val="none" w:sz="0" w:space="0" w:color="auto"/>
          </w:divBdr>
        </w:div>
        <w:div w:id="1779912397">
          <w:marLeft w:val="0"/>
          <w:marRight w:val="0"/>
          <w:marTop w:val="0"/>
          <w:marBottom w:val="0"/>
          <w:divBdr>
            <w:top w:val="none" w:sz="0" w:space="0" w:color="auto"/>
            <w:left w:val="none" w:sz="0" w:space="0" w:color="auto"/>
            <w:bottom w:val="none" w:sz="0" w:space="0" w:color="auto"/>
            <w:right w:val="none" w:sz="0" w:space="0" w:color="auto"/>
          </w:divBdr>
        </w:div>
        <w:div w:id="470900317">
          <w:marLeft w:val="0"/>
          <w:marRight w:val="0"/>
          <w:marTop w:val="0"/>
          <w:marBottom w:val="0"/>
          <w:divBdr>
            <w:top w:val="none" w:sz="0" w:space="0" w:color="auto"/>
            <w:left w:val="none" w:sz="0" w:space="0" w:color="auto"/>
            <w:bottom w:val="none" w:sz="0" w:space="0" w:color="auto"/>
            <w:right w:val="none" w:sz="0" w:space="0" w:color="auto"/>
          </w:divBdr>
        </w:div>
        <w:div w:id="845480896">
          <w:marLeft w:val="0"/>
          <w:marRight w:val="0"/>
          <w:marTop w:val="0"/>
          <w:marBottom w:val="0"/>
          <w:divBdr>
            <w:top w:val="none" w:sz="0" w:space="0" w:color="auto"/>
            <w:left w:val="none" w:sz="0" w:space="0" w:color="auto"/>
            <w:bottom w:val="none" w:sz="0" w:space="0" w:color="auto"/>
            <w:right w:val="none" w:sz="0" w:space="0" w:color="auto"/>
          </w:divBdr>
        </w:div>
        <w:div w:id="1563057247">
          <w:marLeft w:val="0"/>
          <w:marRight w:val="0"/>
          <w:marTop w:val="0"/>
          <w:marBottom w:val="0"/>
          <w:divBdr>
            <w:top w:val="none" w:sz="0" w:space="0" w:color="auto"/>
            <w:left w:val="none" w:sz="0" w:space="0" w:color="auto"/>
            <w:bottom w:val="none" w:sz="0" w:space="0" w:color="auto"/>
            <w:right w:val="none" w:sz="0" w:space="0" w:color="auto"/>
          </w:divBdr>
        </w:div>
        <w:div w:id="1469740368">
          <w:marLeft w:val="0"/>
          <w:marRight w:val="0"/>
          <w:marTop w:val="0"/>
          <w:marBottom w:val="0"/>
          <w:divBdr>
            <w:top w:val="none" w:sz="0" w:space="0" w:color="auto"/>
            <w:left w:val="none" w:sz="0" w:space="0" w:color="auto"/>
            <w:bottom w:val="none" w:sz="0" w:space="0" w:color="auto"/>
            <w:right w:val="none" w:sz="0" w:space="0" w:color="auto"/>
          </w:divBdr>
        </w:div>
        <w:div w:id="700010109">
          <w:marLeft w:val="0"/>
          <w:marRight w:val="0"/>
          <w:marTop w:val="0"/>
          <w:marBottom w:val="0"/>
          <w:divBdr>
            <w:top w:val="none" w:sz="0" w:space="0" w:color="auto"/>
            <w:left w:val="none" w:sz="0" w:space="0" w:color="auto"/>
            <w:bottom w:val="none" w:sz="0" w:space="0" w:color="auto"/>
            <w:right w:val="none" w:sz="0" w:space="0" w:color="auto"/>
          </w:divBdr>
        </w:div>
        <w:div w:id="1132402833">
          <w:marLeft w:val="0"/>
          <w:marRight w:val="0"/>
          <w:marTop w:val="0"/>
          <w:marBottom w:val="0"/>
          <w:divBdr>
            <w:top w:val="none" w:sz="0" w:space="0" w:color="auto"/>
            <w:left w:val="none" w:sz="0" w:space="0" w:color="auto"/>
            <w:bottom w:val="none" w:sz="0" w:space="0" w:color="auto"/>
            <w:right w:val="none" w:sz="0" w:space="0" w:color="auto"/>
          </w:divBdr>
        </w:div>
        <w:div w:id="22219011">
          <w:marLeft w:val="0"/>
          <w:marRight w:val="0"/>
          <w:marTop w:val="0"/>
          <w:marBottom w:val="0"/>
          <w:divBdr>
            <w:top w:val="none" w:sz="0" w:space="0" w:color="auto"/>
            <w:left w:val="none" w:sz="0" w:space="0" w:color="auto"/>
            <w:bottom w:val="none" w:sz="0" w:space="0" w:color="auto"/>
            <w:right w:val="none" w:sz="0" w:space="0" w:color="auto"/>
          </w:divBdr>
        </w:div>
        <w:div w:id="1103264478">
          <w:marLeft w:val="0"/>
          <w:marRight w:val="0"/>
          <w:marTop w:val="0"/>
          <w:marBottom w:val="0"/>
          <w:divBdr>
            <w:top w:val="none" w:sz="0" w:space="0" w:color="auto"/>
            <w:left w:val="none" w:sz="0" w:space="0" w:color="auto"/>
            <w:bottom w:val="none" w:sz="0" w:space="0" w:color="auto"/>
            <w:right w:val="none" w:sz="0" w:space="0" w:color="auto"/>
          </w:divBdr>
        </w:div>
        <w:div w:id="1018576868">
          <w:marLeft w:val="0"/>
          <w:marRight w:val="0"/>
          <w:marTop w:val="0"/>
          <w:marBottom w:val="0"/>
          <w:divBdr>
            <w:top w:val="none" w:sz="0" w:space="0" w:color="auto"/>
            <w:left w:val="none" w:sz="0" w:space="0" w:color="auto"/>
            <w:bottom w:val="none" w:sz="0" w:space="0" w:color="auto"/>
            <w:right w:val="none" w:sz="0" w:space="0" w:color="auto"/>
          </w:divBdr>
        </w:div>
        <w:div w:id="405693590">
          <w:marLeft w:val="0"/>
          <w:marRight w:val="0"/>
          <w:marTop w:val="0"/>
          <w:marBottom w:val="0"/>
          <w:divBdr>
            <w:top w:val="none" w:sz="0" w:space="0" w:color="auto"/>
            <w:left w:val="none" w:sz="0" w:space="0" w:color="auto"/>
            <w:bottom w:val="none" w:sz="0" w:space="0" w:color="auto"/>
            <w:right w:val="none" w:sz="0" w:space="0" w:color="auto"/>
          </w:divBdr>
        </w:div>
        <w:div w:id="1996643023">
          <w:marLeft w:val="0"/>
          <w:marRight w:val="0"/>
          <w:marTop w:val="0"/>
          <w:marBottom w:val="0"/>
          <w:divBdr>
            <w:top w:val="none" w:sz="0" w:space="0" w:color="auto"/>
            <w:left w:val="none" w:sz="0" w:space="0" w:color="auto"/>
            <w:bottom w:val="none" w:sz="0" w:space="0" w:color="auto"/>
            <w:right w:val="none" w:sz="0" w:space="0" w:color="auto"/>
          </w:divBdr>
        </w:div>
        <w:div w:id="1676611234">
          <w:marLeft w:val="0"/>
          <w:marRight w:val="0"/>
          <w:marTop w:val="0"/>
          <w:marBottom w:val="0"/>
          <w:divBdr>
            <w:top w:val="none" w:sz="0" w:space="0" w:color="auto"/>
            <w:left w:val="none" w:sz="0" w:space="0" w:color="auto"/>
            <w:bottom w:val="none" w:sz="0" w:space="0" w:color="auto"/>
            <w:right w:val="none" w:sz="0" w:space="0" w:color="auto"/>
          </w:divBdr>
        </w:div>
        <w:div w:id="1730609263">
          <w:marLeft w:val="0"/>
          <w:marRight w:val="0"/>
          <w:marTop w:val="0"/>
          <w:marBottom w:val="0"/>
          <w:divBdr>
            <w:top w:val="none" w:sz="0" w:space="0" w:color="auto"/>
            <w:left w:val="none" w:sz="0" w:space="0" w:color="auto"/>
            <w:bottom w:val="none" w:sz="0" w:space="0" w:color="auto"/>
            <w:right w:val="none" w:sz="0" w:space="0" w:color="auto"/>
          </w:divBdr>
        </w:div>
        <w:div w:id="638071006">
          <w:marLeft w:val="0"/>
          <w:marRight w:val="0"/>
          <w:marTop w:val="0"/>
          <w:marBottom w:val="0"/>
          <w:divBdr>
            <w:top w:val="none" w:sz="0" w:space="0" w:color="auto"/>
            <w:left w:val="none" w:sz="0" w:space="0" w:color="auto"/>
            <w:bottom w:val="none" w:sz="0" w:space="0" w:color="auto"/>
            <w:right w:val="none" w:sz="0" w:space="0" w:color="auto"/>
          </w:divBdr>
        </w:div>
        <w:div w:id="1478693137">
          <w:marLeft w:val="0"/>
          <w:marRight w:val="0"/>
          <w:marTop w:val="0"/>
          <w:marBottom w:val="0"/>
          <w:divBdr>
            <w:top w:val="none" w:sz="0" w:space="0" w:color="auto"/>
            <w:left w:val="none" w:sz="0" w:space="0" w:color="auto"/>
            <w:bottom w:val="none" w:sz="0" w:space="0" w:color="auto"/>
            <w:right w:val="none" w:sz="0" w:space="0" w:color="auto"/>
          </w:divBdr>
        </w:div>
        <w:div w:id="1205557329">
          <w:marLeft w:val="0"/>
          <w:marRight w:val="0"/>
          <w:marTop w:val="0"/>
          <w:marBottom w:val="0"/>
          <w:divBdr>
            <w:top w:val="none" w:sz="0" w:space="0" w:color="auto"/>
            <w:left w:val="none" w:sz="0" w:space="0" w:color="auto"/>
            <w:bottom w:val="none" w:sz="0" w:space="0" w:color="auto"/>
            <w:right w:val="none" w:sz="0" w:space="0" w:color="auto"/>
          </w:divBdr>
        </w:div>
        <w:div w:id="1070620830">
          <w:marLeft w:val="0"/>
          <w:marRight w:val="0"/>
          <w:marTop w:val="0"/>
          <w:marBottom w:val="0"/>
          <w:divBdr>
            <w:top w:val="none" w:sz="0" w:space="0" w:color="auto"/>
            <w:left w:val="none" w:sz="0" w:space="0" w:color="auto"/>
            <w:bottom w:val="none" w:sz="0" w:space="0" w:color="auto"/>
            <w:right w:val="none" w:sz="0" w:space="0" w:color="auto"/>
          </w:divBdr>
        </w:div>
        <w:div w:id="1086875639">
          <w:marLeft w:val="0"/>
          <w:marRight w:val="0"/>
          <w:marTop w:val="0"/>
          <w:marBottom w:val="0"/>
          <w:divBdr>
            <w:top w:val="none" w:sz="0" w:space="0" w:color="auto"/>
            <w:left w:val="none" w:sz="0" w:space="0" w:color="auto"/>
            <w:bottom w:val="none" w:sz="0" w:space="0" w:color="auto"/>
            <w:right w:val="none" w:sz="0" w:space="0" w:color="auto"/>
          </w:divBdr>
        </w:div>
        <w:div w:id="68620060">
          <w:marLeft w:val="0"/>
          <w:marRight w:val="0"/>
          <w:marTop w:val="0"/>
          <w:marBottom w:val="0"/>
          <w:divBdr>
            <w:top w:val="none" w:sz="0" w:space="0" w:color="auto"/>
            <w:left w:val="none" w:sz="0" w:space="0" w:color="auto"/>
            <w:bottom w:val="none" w:sz="0" w:space="0" w:color="auto"/>
            <w:right w:val="none" w:sz="0" w:space="0" w:color="auto"/>
          </w:divBdr>
        </w:div>
        <w:div w:id="1010839104">
          <w:marLeft w:val="0"/>
          <w:marRight w:val="0"/>
          <w:marTop w:val="0"/>
          <w:marBottom w:val="0"/>
          <w:divBdr>
            <w:top w:val="none" w:sz="0" w:space="0" w:color="auto"/>
            <w:left w:val="none" w:sz="0" w:space="0" w:color="auto"/>
            <w:bottom w:val="none" w:sz="0" w:space="0" w:color="auto"/>
            <w:right w:val="none" w:sz="0" w:space="0" w:color="auto"/>
          </w:divBdr>
        </w:div>
        <w:div w:id="1536044742">
          <w:marLeft w:val="0"/>
          <w:marRight w:val="0"/>
          <w:marTop w:val="0"/>
          <w:marBottom w:val="0"/>
          <w:divBdr>
            <w:top w:val="none" w:sz="0" w:space="0" w:color="auto"/>
            <w:left w:val="none" w:sz="0" w:space="0" w:color="auto"/>
            <w:bottom w:val="none" w:sz="0" w:space="0" w:color="auto"/>
            <w:right w:val="none" w:sz="0" w:space="0" w:color="auto"/>
          </w:divBdr>
        </w:div>
      </w:divsChild>
    </w:div>
    <w:div w:id="1954046533">
      <w:marLeft w:val="0"/>
      <w:marRight w:val="0"/>
      <w:marTop w:val="0"/>
      <w:marBottom w:val="120"/>
      <w:divBdr>
        <w:top w:val="none" w:sz="0" w:space="0" w:color="auto"/>
        <w:left w:val="none" w:sz="0" w:space="0" w:color="auto"/>
        <w:bottom w:val="none" w:sz="0" w:space="0" w:color="auto"/>
        <w:right w:val="none" w:sz="0" w:space="0" w:color="auto"/>
      </w:divBdr>
    </w:div>
    <w:div w:id="1959336129">
      <w:marLeft w:val="0"/>
      <w:marRight w:val="0"/>
      <w:marTop w:val="0"/>
      <w:marBottom w:val="0"/>
      <w:divBdr>
        <w:top w:val="none" w:sz="0" w:space="0" w:color="auto"/>
        <w:left w:val="none" w:sz="0" w:space="0" w:color="auto"/>
        <w:bottom w:val="none" w:sz="0" w:space="0" w:color="auto"/>
        <w:right w:val="none" w:sz="0" w:space="0" w:color="auto"/>
      </w:divBdr>
      <w:divsChild>
        <w:div w:id="1312369883">
          <w:marLeft w:val="0"/>
          <w:marRight w:val="0"/>
          <w:marTop w:val="0"/>
          <w:marBottom w:val="120"/>
          <w:divBdr>
            <w:top w:val="none" w:sz="0" w:space="0" w:color="auto"/>
            <w:left w:val="none" w:sz="0" w:space="0" w:color="auto"/>
            <w:bottom w:val="none" w:sz="0" w:space="0" w:color="auto"/>
            <w:right w:val="none" w:sz="0" w:space="0" w:color="auto"/>
          </w:divBdr>
        </w:div>
      </w:divsChild>
    </w:div>
    <w:div w:id="1959875508">
      <w:marLeft w:val="0"/>
      <w:marRight w:val="0"/>
      <w:marTop w:val="0"/>
      <w:marBottom w:val="120"/>
      <w:divBdr>
        <w:top w:val="none" w:sz="0" w:space="0" w:color="auto"/>
        <w:left w:val="none" w:sz="0" w:space="0" w:color="auto"/>
        <w:bottom w:val="none" w:sz="0" w:space="0" w:color="auto"/>
        <w:right w:val="none" w:sz="0" w:space="0" w:color="auto"/>
      </w:divBdr>
    </w:div>
    <w:div w:id="1965378905">
      <w:marLeft w:val="0"/>
      <w:marRight w:val="0"/>
      <w:marTop w:val="0"/>
      <w:marBottom w:val="120"/>
      <w:divBdr>
        <w:top w:val="none" w:sz="0" w:space="0" w:color="auto"/>
        <w:left w:val="none" w:sz="0" w:space="0" w:color="auto"/>
        <w:bottom w:val="none" w:sz="0" w:space="0" w:color="auto"/>
        <w:right w:val="none" w:sz="0" w:space="0" w:color="auto"/>
      </w:divBdr>
    </w:div>
    <w:div w:id="1989825523">
      <w:marLeft w:val="0"/>
      <w:marRight w:val="0"/>
      <w:marTop w:val="0"/>
      <w:marBottom w:val="120"/>
      <w:divBdr>
        <w:top w:val="none" w:sz="0" w:space="0" w:color="auto"/>
        <w:left w:val="none" w:sz="0" w:space="0" w:color="auto"/>
        <w:bottom w:val="none" w:sz="0" w:space="0" w:color="auto"/>
        <w:right w:val="none" w:sz="0" w:space="0" w:color="auto"/>
      </w:divBdr>
    </w:div>
    <w:div w:id="1990818208">
      <w:marLeft w:val="0"/>
      <w:marRight w:val="0"/>
      <w:marTop w:val="0"/>
      <w:marBottom w:val="120"/>
      <w:divBdr>
        <w:top w:val="none" w:sz="0" w:space="0" w:color="auto"/>
        <w:left w:val="none" w:sz="0" w:space="0" w:color="auto"/>
        <w:bottom w:val="none" w:sz="0" w:space="0" w:color="auto"/>
        <w:right w:val="none" w:sz="0" w:space="0" w:color="auto"/>
      </w:divBdr>
    </w:div>
    <w:div w:id="1992559630">
      <w:marLeft w:val="0"/>
      <w:marRight w:val="0"/>
      <w:marTop w:val="0"/>
      <w:marBottom w:val="0"/>
      <w:divBdr>
        <w:top w:val="none" w:sz="0" w:space="0" w:color="auto"/>
        <w:left w:val="none" w:sz="0" w:space="0" w:color="auto"/>
        <w:bottom w:val="none" w:sz="0" w:space="0" w:color="auto"/>
        <w:right w:val="none" w:sz="0" w:space="0" w:color="auto"/>
      </w:divBdr>
      <w:divsChild>
        <w:div w:id="1827092817">
          <w:marLeft w:val="0"/>
          <w:marRight w:val="0"/>
          <w:marTop w:val="0"/>
          <w:marBottom w:val="0"/>
          <w:divBdr>
            <w:top w:val="none" w:sz="0" w:space="0" w:color="auto"/>
            <w:left w:val="none" w:sz="0" w:space="0" w:color="auto"/>
            <w:bottom w:val="none" w:sz="0" w:space="0" w:color="auto"/>
            <w:right w:val="none" w:sz="0" w:space="0" w:color="auto"/>
          </w:divBdr>
        </w:div>
      </w:divsChild>
    </w:div>
    <w:div w:id="1998223292">
      <w:marLeft w:val="0"/>
      <w:marRight w:val="0"/>
      <w:marTop w:val="0"/>
      <w:marBottom w:val="120"/>
      <w:divBdr>
        <w:top w:val="none" w:sz="0" w:space="0" w:color="auto"/>
        <w:left w:val="none" w:sz="0" w:space="0" w:color="auto"/>
        <w:bottom w:val="none" w:sz="0" w:space="0" w:color="auto"/>
        <w:right w:val="none" w:sz="0" w:space="0" w:color="auto"/>
      </w:divBdr>
    </w:div>
    <w:div w:id="2002074717">
      <w:marLeft w:val="0"/>
      <w:marRight w:val="0"/>
      <w:marTop w:val="0"/>
      <w:marBottom w:val="120"/>
      <w:divBdr>
        <w:top w:val="none" w:sz="0" w:space="0" w:color="auto"/>
        <w:left w:val="none" w:sz="0" w:space="0" w:color="auto"/>
        <w:bottom w:val="none" w:sz="0" w:space="0" w:color="auto"/>
        <w:right w:val="none" w:sz="0" w:space="0" w:color="auto"/>
      </w:divBdr>
    </w:div>
    <w:div w:id="2002465381">
      <w:marLeft w:val="0"/>
      <w:marRight w:val="0"/>
      <w:marTop w:val="0"/>
      <w:marBottom w:val="120"/>
      <w:divBdr>
        <w:top w:val="none" w:sz="0" w:space="0" w:color="auto"/>
        <w:left w:val="none" w:sz="0" w:space="0" w:color="auto"/>
        <w:bottom w:val="none" w:sz="0" w:space="0" w:color="auto"/>
        <w:right w:val="none" w:sz="0" w:space="0" w:color="auto"/>
      </w:divBdr>
    </w:div>
    <w:div w:id="2003311802">
      <w:marLeft w:val="0"/>
      <w:marRight w:val="0"/>
      <w:marTop w:val="0"/>
      <w:marBottom w:val="0"/>
      <w:divBdr>
        <w:top w:val="none" w:sz="0" w:space="0" w:color="auto"/>
        <w:left w:val="none" w:sz="0" w:space="0" w:color="auto"/>
        <w:bottom w:val="none" w:sz="0" w:space="0" w:color="auto"/>
        <w:right w:val="none" w:sz="0" w:space="0" w:color="auto"/>
      </w:divBdr>
      <w:divsChild>
        <w:div w:id="1334259261">
          <w:marLeft w:val="0"/>
          <w:marRight w:val="0"/>
          <w:marTop w:val="0"/>
          <w:marBottom w:val="0"/>
          <w:divBdr>
            <w:top w:val="none" w:sz="0" w:space="0" w:color="auto"/>
            <w:left w:val="none" w:sz="0" w:space="0" w:color="auto"/>
            <w:bottom w:val="none" w:sz="0" w:space="0" w:color="auto"/>
            <w:right w:val="none" w:sz="0" w:space="0" w:color="auto"/>
          </w:divBdr>
        </w:div>
      </w:divsChild>
    </w:div>
    <w:div w:id="2003728824">
      <w:marLeft w:val="0"/>
      <w:marRight w:val="0"/>
      <w:marTop w:val="0"/>
      <w:marBottom w:val="0"/>
      <w:divBdr>
        <w:top w:val="none" w:sz="0" w:space="0" w:color="auto"/>
        <w:left w:val="none" w:sz="0" w:space="0" w:color="auto"/>
        <w:bottom w:val="none" w:sz="0" w:space="0" w:color="auto"/>
        <w:right w:val="none" w:sz="0" w:space="0" w:color="auto"/>
      </w:divBdr>
      <w:divsChild>
        <w:div w:id="590896174">
          <w:marLeft w:val="0"/>
          <w:marRight w:val="0"/>
          <w:marTop w:val="0"/>
          <w:marBottom w:val="0"/>
          <w:divBdr>
            <w:top w:val="none" w:sz="0" w:space="0" w:color="auto"/>
            <w:left w:val="none" w:sz="0" w:space="0" w:color="auto"/>
            <w:bottom w:val="none" w:sz="0" w:space="0" w:color="auto"/>
            <w:right w:val="none" w:sz="0" w:space="0" w:color="auto"/>
          </w:divBdr>
        </w:div>
      </w:divsChild>
    </w:div>
    <w:div w:id="2006979404">
      <w:marLeft w:val="0"/>
      <w:marRight w:val="0"/>
      <w:marTop w:val="0"/>
      <w:marBottom w:val="120"/>
      <w:divBdr>
        <w:top w:val="none" w:sz="0" w:space="0" w:color="auto"/>
        <w:left w:val="none" w:sz="0" w:space="0" w:color="auto"/>
        <w:bottom w:val="none" w:sz="0" w:space="0" w:color="auto"/>
        <w:right w:val="none" w:sz="0" w:space="0" w:color="auto"/>
      </w:divBdr>
    </w:div>
    <w:div w:id="2009555054">
      <w:marLeft w:val="0"/>
      <w:marRight w:val="0"/>
      <w:marTop w:val="0"/>
      <w:marBottom w:val="120"/>
      <w:divBdr>
        <w:top w:val="none" w:sz="0" w:space="0" w:color="auto"/>
        <w:left w:val="none" w:sz="0" w:space="0" w:color="auto"/>
        <w:bottom w:val="none" w:sz="0" w:space="0" w:color="auto"/>
        <w:right w:val="none" w:sz="0" w:space="0" w:color="auto"/>
      </w:divBdr>
    </w:div>
    <w:div w:id="2010408115">
      <w:marLeft w:val="0"/>
      <w:marRight w:val="0"/>
      <w:marTop w:val="0"/>
      <w:marBottom w:val="120"/>
      <w:divBdr>
        <w:top w:val="none" w:sz="0" w:space="0" w:color="auto"/>
        <w:left w:val="none" w:sz="0" w:space="0" w:color="auto"/>
        <w:bottom w:val="none" w:sz="0" w:space="0" w:color="auto"/>
        <w:right w:val="none" w:sz="0" w:space="0" w:color="auto"/>
      </w:divBdr>
    </w:div>
    <w:div w:id="2022706280">
      <w:marLeft w:val="0"/>
      <w:marRight w:val="0"/>
      <w:marTop w:val="0"/>
      <w:marBottom w:val="120"/>
      <w:divBdr>
        <w:top w:val="none" w:sz="0" w:space="0" w:color="auto"/>
        <w:left w:val="none" w:sz="0" w:space="0" w:color="auto"/>
        <w:bottom w:val="none" w:sz="0" w:space="0" w:color="auto"/>
        <w:right w:val="none" w:sz="0" w:space="0" w:color="auto"/>
      </w:divBdr>
    </w:div>
    <w:div w:id="2030981504">
      <w:marLeft w:val="0"/>
      <w:marRight w:val="0"/>
      <w:marTop w:val="0"/>
      <w:marBottom w:val="120"/>
      <w:divBdr>
        <w:top w:val="none" w:sz="0" w:space="0" w:color="auto"/>
        <w:left w:val="none" w:sz="0" w:space="0" w:color="auto"/>
        <w:bottom w:val="none" w:sz="0" w:space="0" w:color="auto"/>
        <w:right w:val="none" w:sz="0" w:space="0" w:color="auto"/>
      </w:divBdr>
    </w:div>
    <w:div w:id="2031485488">
      <w:marLeft w:val="0"/>
      <w:marRight w:val="0"/>
      <w:marTop w:val="0"/>
      <w:marBottom w:val="120"/>
      <w:divBdr>
        <w:top w:val="none" w:sz="0" w:space="0" w:color="auto"/>
        <w:left w:val="none" w:sz="0" w:space="0" w:color="auto"/>
        <w:bottom w:val="none" w:sz="0" w:space="0" w:color="auto"/>
        <w:right w:val="none" w:sz="0" w:space="0" w:color="auto"/>
      </w:divBdr>
    </w:div>
    <w:div w:id="2032417144">
      <w:marLeft w:val="0"/>
      <w:marRight w:val="0"/>
      <w:marTop w:val="0"/>
      <w:marBottom w:val="0"/>
      <w:divBdr>
        <w:top w:val="none" w:sz="0" w:space="0" w:color="auto"/>
        <w:left w:val="none" w:sz="0" w:space="0" w:color="auto"/>
        <w:bottom w:val="none" w:sz="0" w:space="0" w:color="auto"/>
        <w:right w:val="none" w:sz="0" w:space="0" w:color="auto"/>
      </w:divBdr>
    </w:div>
    <w:div w:id="2034382599">
      <w:marLeft w:val="0"/>
      <w:marRight w:val="0"/>
      <w:marTop w:val="0"/>
      <w:marBottom w:val="120"/>
      <w:divBdr>
        <w:top w:val="none" w:sz="0" w:space="0" w:color="auto"/>
        <w:left w:val="none" w:sz="0" w:space="0" w:color="auto"/>
        <w:bottom w:val="none" w:sz="0" w:space="0" w:color="auto"/>
        <w:right w:val="none" w:sz="0" w:space="0" w:color="auto"/>
      </w:divBdr>
    </w:div>
    <w:div w:id="2037927524">
      <w:marLeft w:val="0"/>
      <w:marRight w:val="0"/>
      <w:marTop w:val="0"/>
      <w:marBottom w:val="120"/>
      <w:divBdr>
        <w:top w:val="none" w:sz="0" w:space="0" w:color="auto"/>
        <w:left w:val="none" w:sz="0" w:space="0" w:color="auto"/>
        <w:bottom w:val="none" w:sz="0" w:space="0" w:color="auto"/>
        <w:right w:val="none" w:sz="0" w:space="0" w:color="auto"/>
      </w:divBdr>
    </w:div>
    <w:div w:id="2038041384">
      <w:marLeft w:val="0"/>
      <w:marRight w:val="0"/>
      <w:marTop w:val="100"/>
      <w:marBottom w:val="0"/>
      <w:divBdr>
        <w:top w:val="none" w:sz="0" w:space="0" w:color="auto"/>
        <w:left w:val="none" w:sz="0" w:space="0" w:color="auto"/>
        <w:bottom w:val="none" w:sz="0" w:space="0" w:color="auto"/>
        <w:right w:val="none" w:sz="0" w:space="0" w:color="auto"/>
      </w:divBdr>
    </w:div>
    <w:div w:id="2038264583">
      <w:marLeft w:val="0"/>
      <w:marRight w:val="0"/>
      <w:marTop w:val="100"/>
      <w:marBottom w:val="120"/>
      <w:divBdr>
        <w:top w:val="none" w:sz="0" w:space="0" w:color="auto"/>
        <w:left w:val="none" w:sz="0" w:space="0" w:color="auto"/>
        <w:bottom w:val="none" w:sz="0" w:space="0" w:color="auto"/>
        <w:right w:val="none" w:sz="0" w:space="0" w:color="auto"/>
      </w:divBdr>
    </w:div>
    <w:div w:id="2041127157">
      <w:marLeft w:val="0"/>
      <w:marRight w:val="0"/>
      <w:marTop w:val="0"/>
      <w:marBottom w:val="0"/>
      <w:divBdr>
        <w:top w:val="none" w:sz="0" w:space="0" w:color="auto"/>
        <w:left w:val="none" w:sz="0" w:space="0" w:color="auto"/>
        <w:bottom w:val="none" w:sz="0" w:space="0" w:color="auto"/>
        <w:right w:val="none" w:sz="0" w:space="0" w:color="auto"/>
      </w:divBdr>
      <w:divsChild>
        <w:div w:id="443034310">
          <w:marLeft w:val="0"/>
          <w:marRight w:val="0"/>
          <w:marTop w:val="0"/>
          <w:marBottom w:val="0"/>
          <w:divBdr>
            <w:top w:val="none" w:sz="0" w:space="0" w:color="auto"/>
            <w:left w:val="none" w:sz="0" w:space="0" w:color="auto"/>
            <w:bottom w:val="none" w:sz="0" w:space="0" w:color="auto"/>
            <w:right w:val="none" w:sz="0" w:space="0" w:color="auto"/>
          </w:divBdr>
        </w:div>
      </w:divsChild>
    </w:div>
    <w:div w:id="2044397768">
      <w:marLeft w:val="0"/>
      <w:marRight w:val="0"/>
      <w:marTop w:val="0"/>
      <w:marBottom w:val="0"/>
      <w:divBdr>
        <w:top w:val="none" w:sz="0" w:space="0" w:color="auto"/>
        <w:left w:val="none" w:sz="0" w:space="0" w:color="auto"/>
        <w:bottom w:val="none" w:sz="0" w:space="0" w:color="auto"/>
        <w:right w:val="none" w:sz="0" w:space="0" w:color="auto"/>
      </w:divBdr>
      <w:divsChild>
        <w:div w:id="181819081">
          <w:marLeft w:val="0"/>
          <w:marRight w:val="0"/>
          <w:marTop w:val="0"/>
          <w:marBottom w:val="0"/>
          <w:divBdr>
            <w:top w:val="none" w:sz="0" w:space="0" w:color="auto"/>
            <w:left w:val="none" w:sz="0" w:space="0" w:color="auto"/>
            <w:bottom w:val="none" w:sz="0" w:space="0" w:color="auto"/>
            <w:right w:val="none" w:sz="0" w:space="0" w:color="auto"/>
          </w:divBdr>
        </w:div>
      </w:divsChild>
    </w:div>
    <w:div w:id="2046061251">
      <w:marLeft w:val="0"/>
      <w:marRight w:val="0"/>
      <w:marTop w:val="0"/>
      <w:marBottom w:val="0"/>
      <w:divBdr>
        <w:top w:val="none" w:sz="0" w:space="0" w:color="auto"/>
        <w:left w:val="none" w:sz="0" w:space="0" w:color="auto"/>
        <w:bottom w:val="none" w:sz="0" w:space="0" w:color="auto"/>
        <w:right w:val="none" w:sz="0" w:space="0" w:color="auto"/>
      </w:divBdr>
      <w:divsChild>
        <w:div w:id="1893156495">
          <w:marLeft w:val="0"/>
          <w:marRight w:val="0"/>
          <w:marTop w:val="0"/>
          <w:marBottom w:val="0"/>
          <w:divBdr>
            <w:top w:val="none" w:sz="0" w:space="0" w:color="auto"/>
            <w:left w:val="none" w:sz="0" w:space="0" w:color="auto"/>
            <w:bottom w:val="none" w:sz="0" w:space="0" w:color="auto"/>
            <w:right w:val="none" w:sz="0" w:space="0" w:color="auto"/>
          </w:divBdr>
        </w:div>
      </w:divsChild>
    </w:div>
    <w:div w:id="2048025010">
      <w:marLeft w:val="0"/>
      <w:marRight w:val="0"/>
      <w:marTop w:val="0"/>
      <w:marBottom w:val="0"/>
      <w:divBdr>
        <w:top w:val="none" w:sz="0" w:space="0" w:color="auto"/>
        <w:left w:val="none" w:sz="0" w:space="0" w:color="auto"/>
        <w:bottom w:val="none" w:sz="0" w:space="0" w:color="auto"/>
        <w:right w:val="none" w:sz="0" w:space="0" w:color="auto"/>
      </w:divBdr>
      <w:divsChild>
        <w:div w:id="1003241610">
          <w:marLeft w:val="0"/>
          <w:marRight w:val="0"/>
          <w:marTop w:val="0"/>
          <w:marBottom w:val="0"/>
          <w:divBdr>
            <w:top w:val="none" w:sz="0" w:space="0" w:color="auto"/>
            <w:left w:val="none" w:sz="0" w:space="0" w:color="auto"/>
            <w:bottom w:val="none" w:sz="0" w:space="0" w:color="auto"/>
            <w:right w:val="none" w:sz="0" w:space="0" w:color="auto"/>
          </w:divBdr>
        </w:div>
      </w:divsChild>
    </w:div>
    <w:div w:id="2049450601">
      <w:marLeft w:val="0"/>
      <w:marRight w:val="0"/>
      <w:marTop w:val="0"/>
      <w:marBottom w:val="0"/>
      <w:divBdr>
        <w:top w:val="none" w:sz="0" w:space="0" w:color="auto"/>
        <w:left w:val="none" w:sz="0" w:space="0" w:color="auto"/>
        <w:bottom w:val="none" w:sz="0" w:space="0" w:color="auto"/>
        <w:right w:val="none" w:sz="0" w:space="0" w:color="auto"/>
      </w:divBdr>
    </w:div>
    <w:div w:id="2050033047">
      <w:marLeft w:val="0"/>
      <w:marRight w:val="0"/>
      <w:marTop w:val="0"/>
      <w:marBottom w:val="120"/>
      <w:divBdr>
        <w:top w:val="none" w:sz="0" w:space="0" w:color="auto"/>
        <w:left w:val="none" w:sz="0" w:space="0" w:color="auto"/>
        <w:bottom w:val="none" w:sz="0" w:space="0" w:color="auto"/>
        <w:right w:val="none" w:sz="0" w:space="0" w:color="auto"/>
      </w:divBdr>
    </w:div>
    <w:div w:id="2053190574">
      <w:marLeft w:val="0"/>
      <w:marRight w:val="0"/>
      <w:marTop w:val="0"/>
      <w:marBottom w:val="120"/>
      <w:divBdr>
        <w:top w:val="none" w:sz="0" w:space="0" w:color="auto"/>
        <w:left w:val="none" w:sz="0" w:space="0" w:color="auto"/>
        <w:bottom w:val="none" w:sz="0" w:space="0" w:color="auto"/>
        <w:right w:val="none" w:sz="0" w:space="0" w:color="auto"/>
      </w:divBdr>
    </w:div>
    <w:div w:id="2054452603">
      <w:marLeft w:val="0"/>
      <w:marRight w:val="0"/>
      <w:marTop w:val="0"/>
      <w:marBottom w:val="0"/>
      <w:divBdr>
        <w:top w:val="none" w:sz="0" w:space="0" w:color="auto"/>
        <w:left w:val="none" w:sz="0" w:space="0" w:color="auto"/>
        <w:bottom w:val="none" w:sz="0" w:space="0" w:color="auto"/>
        <w:right w:val="none" w:sz="0" w:space="0" w:color="auto"/>
      </w:divBdr>
      <w:divsChild>
        <w:div w:id="1057969965">
          <w:marLeft w:val="0"/>
          <w:marRight w:val="0"/>
          <w:marTop w:val="0"/>
          <w:marBottom w:val="120"/>
          <w:divBdr>
            <w:top w:val="none" w:sz="0" w:space="0" w:color="auto"/>
            <w:left w:val="none" w:sz="0" w:space="0" w:color="auto"/>
            <w:bottom w:val="none" w:sz="0" w:space="0" w:color="auto"/>
            <w:right w:val="none" w:sz="0" w:space="0" w:color="auto"/>
          </w:divBdr>
        </w:div>
      </w:divsChild>
    </w:div>
    <w:div w:id="2054845915">
      <w:marLeft w:val="0"/>
      <w:marRight w:val="0"/>
      <w:marTop w:val="0"/>
      <w:marBottom w:val="120"/>
      <w:divBdr>
        <w:top w:val="none" w:sz="0" w:space="0" w:color="auto"/>
        <w:left w:val="none" w:sz="0" w:space="0" w:color="auto"/>
        <w:bottom w:val="none" w:sz="0" w:space="0" w:color="auto"/>
        <w:right w:val="none" w:sz="0" w:space="0" w:color="auto"/>
      </w:divBdr>
    </w:div>
    <w:div w:id="2059668219">
      <w:marLeft w:val="0"/>
      <w:marRight w:val="0"/>
      <w:marTop w:val="0"/>
      <w:marBottom w:val="120"/>
      <w:divBdr>
        <w:top w:val="none" w:sz="0" w:space="0" w:color="auto"/>
        <w:left w:val="none" w:sz="0" w:space="0" w:color="auto"/>
        <w:bottom w:val="none" w:sz="0" w:space="0" w:color="auto"/>
        <w:right w:val="none" w:sz="0" w:space="0" w:color="auto"/>
      </w:divBdr>
    </w:div>
    <w:div w:id="2065132097">
      <w:marLeft w:val="0"/>
      <w:marRight w:val="0"/>
      <w:marTop w:val="0"/>
      <w:marBottom w:val="120"/>
      <w:divBdr>
        <w:top w:val="none" w:sz="0" w:space="0" w:color="auto"/>
        <w:left w:val="none" w:sz="0" w:space="0" w:color="auto"/>
        <w:bottom w:val="none" w:sz="0" w:space="0" w:color="auto"/>
        <w:right w:val="none" w:sz="0" w:space="0" w:color="auto"/>
      </w:divBdr>
    </w:div>
    <w:div w:id="2068331001">
      <w:marLeft w:val="0"/>
      <w:marRight w:val="0"/>
      <w:marTop w:val="0"/>
      <w:marBottom w:val="120"/>
      <w:divBdr>
        <w:top w:val="none" w:sz="0" w:space="0" w:color="auto"/>
        <w:left w:val="none" w:sz="0" w:space="0" w:color="auto"/>
        <w:bottom w:val="none" w:sz="0" w:space="0" w:color="auto"/>
        <w:right w:val="none" w:sz="0" w:space="0" w:color="auto"/>
      </w:divBdr>
    </w:div>
    <w:div w:id="2074572410">
      <w:marLeft w:val="0"/>
      <w:marRight w:val="0"/>
      <w:marTop w:val="0"/>
      <w:marBottom w:val="120"/>
      <w:divBdr>
        <w:top w:val="none" w:sz="0" w:space="0" w:color="auto"/>
        <w:left w:val="none" w:sz="0" w:space="0" w:color="auto"/>
        <w:bottom w:val="none" w:sz="0" w:space="0" w:color="auto"/>
        <w:right w:val="none" w:sz="0" w:space="0" w:color="auto"/>
      </w:divBdr>
    </w:div>
    <w:div w:id="2078353238">
      <w:marLeft w:val="0"/>
      <w:marRight w:val="0"/>
      <w:marTop w:val="0"/>
      <w:marBottom w:val="120"/>
      <w:divBdr>
        <w:top w:val="none" w:sz="0" w:space="0" w:color="auto"/>
        <w:left w:val="none" w:sz="0" w:space="0" w:color="auto"/>
        <w:bottom w:val="none" w:sz="0" w:space="0" w:color="auto"/>
        <w:right w:val="none" w:sz="0" w:space="0" w:color="auto"/>
      </w:divBdr>
    </w:div>
    <w:div w:id="2084329687">
      <w:marLeft w:val="0"/>
      <w:marRight w:val="0"/>
      <w:marTop w:val="0"/>
      <w:marBottom w:val="120"/>
      <w:divBdr>
        <w:top w:val="none" w:sz="0" w:space="0" w:color="auto"/>
        <w:left w:val="none" w:sz="0" w:space="0" w:color="auto"/>
        <w:bottom w:val="none" w:sz="0" w:space="0" w:color="auto"/>
        <w:right w:val="none" w:sz="0" w:space="0" w:color="auto"/>
      </w:divBdr>
    </w:div>
    <w:div w:id="2090887045">
      <w:marLeft w:val="0"/>
      <w:marRight w:val="0"/>
      <w:marTop w:val="0"/>
      <w:marBottom w:val="120"/>
      <w:divBdr>
        <w:top w:val="none" w:sz="0" w:space="0" w:color="auto"/>
        <w:left w:val="none" w:sz="0" w:space="0" w:color="auto"/>
        <w:bottom w:val="none" w:sz="0" w:space="0" w:color="auto"/>
        <w:right w:val="none" w:sz="0" w:space="0" w:color="auto"/>
      </w:divBdr>
    </w:div>
    <w:div w:id="2100902520">
      <w:marLeft w:val="0"/>
      <w:marRight w:val="0"/>
      <w:marTop w:val="0"/>
      <w:marBottom w:val="120"/>
      <w:divBdr>
        <w:top w:val="none" w:sz="0" w:space="0" w:color="auto"/>
        <w:left w:val="none" w:sz="0" w:space="0" w:color="auto"/>
        <w:bottom w:val="none" w:sz="0" w:space="0" w:color="auto"/>
        <w:right w:val="none" w:sz="0" w:space="0" w:color="auto"/>
      </w:divBdr>
    </w:div>
    <w:div w:id="2104257598">
      <w:marLeft w:val="0"/>
      <w:marRight w:val="0"/>
      <w:marTop w:val="0"/>
      <w:marBottom w:val="120"/>
      <w:divBdr>
        <w:top w:val="none" w:sz="0" w:space="0" w:color="auto"/>
        <w:left w:val="none" w:sz="0" w:space="0" w:color="auto"/>
        <w:bottom w:val="none" w:sz="0" w:space="0" w:color="auto"/>
        <w:right w:val="none" w:sz="0" w:space="0" w:color="auto"/>
      </w:divBdr>
    </w:div>
    <w:div w:id="2106995737">
      <w:marLeft w:val="0"/>
      <w:marRight w:val="0"/>
      <w:marTop w:val="0"/>
      <w:marBottom w:val="0"/>
      <w:divBdr>
        <w:top w:val="none" w:sz="0" w:space="0" w:color="auto"/>
        <w:left w:val="none" w:sz="0" w:space="0" w:color="auto"/>
        <w:bottom w:val="none" w:sz="0" w:space="0" w:color="auto"/>
        <w:right w:val="none" w:sz="0" w:space="0" w:color="auto"/>
      </w:divBdr>
      <w:divsChild>
        <w:div w:id="323747993">
          <w:marLeft w:val="0"/>
          <w:marRight w:val="0"/>
          <w:marTop w:val="0"/>
          <w:marBottom w:val="0"/>
          <w:divBdr>
            <w:top w:val="none" w:sz="0" w:space="0" w:color="auto"/>
            <w:left w:val="none" w:sz="0" w:space="0" w:color="auto"/>
            <w:bottom w:val="none" w:sz="0" w:space="0" w:color="auto"/>
            <w:right w:val="none" w:sz="0" w:space="0" w:color="auto"/>
          </w:divBdr>
        </w:div>
      </w:divsChild>
    </w:div>
    <w:div w:id="2109613271">
      <w:marLeft w:val="0"/>
      <w:marRight w:val="0"/>
      <w:marTop w:val="0"/>
      <w:marBottom w:val="0"/>
      <w:divBdr>
        <w:top w:val="none" w:sz="0" w:space="0" w:color="auto"/>
        <w:left w:val="none" w:sz="0" w:space="0" w:color="auto"/>
        <w:bottom w:val="none" w:sz="0" w:space="0" w:color="auto"/>
        <w:right w:val="none" w:sz="0" w:space="0" w:color="auto"/>
      </w:divBdr>
    </w:div>
    <w:div w:id="2109812874">
      <w:marLeft w:val="0"/>
      <w:marRight w:val="0"/>
      <w:marTop w:val="0"/>
      <w:marBottom w:val="120"/>
      <w:divBdr>
        <w:top w:val="none" w:sz="0" w:space="0" w:color="auto"/>
        <w:left w:val="none" w:sz="0" w:space="0" w:color="auto"/>
        <w:bottom w:val="none" w:sz="0" w:space="0" w:color="auto"/>
        <w:right w:val="none" w:sz="0" w:space="0" w:color="auto"/>
      </w:divBdr>
    </w:div>
    <w:div w:id="2120445366">
      <w:marLeft w:val="0"/>
      <w:marRight w:val="0"/>
      <w:marTop w:val="0"/>
      <w:marBottom w:val="0"/>
      <w:divBdr>
        <w:top w:val="none" w:sz="0" w:space="0" w:color="auto"/>
        <w:left w:val="none" w:sz="0" w:space="0" w:color="auto"/>
        <w:bottom w:val="none" w:sz="0" w:space="0" w:color="auto"/>
        <w:right w:val="none" w:sz="0" w:space="0" w:color="auto"/>
      </w:divBdr>
      <w:divsChild>
        <w:div w:id="1104230684">
          <w:marLeft w:val="0"/>
          <w:marRight w:val="0"/>
          <w:marTop w:val="0"/>
          <w:marBottom w:val="0"/>
          <w:divBdr>
            <w:top w:val="none" w:sz="0" w:space="0" w:color="auto"/>
            <w:left w:val="none" w:sz="0" w:space="0" w:color="auto"/>
            <w:bottom w:val="none" w:sz="0" w:space="0" w:color="auto"/>
            <w:right w:val="none" w:sz="0" w:space="0" w:color="auto"/>
          </w:divBdr>
        </w:div>
      </w:divsChild>
    </w:div>
    <w:div w:id="2122650065">
      <w:marLeft w:val="0"/>
      <w:marRight w:val="0"/>
      <w:marTop w:val="0"/>
      <w:marBottom w:val="120"/>
      <w:divBdr>
        <w:top w:val="none" w:sz="0" w:space="0" w:color="auto"/>
        <w:left w:val="none" w:sz="0" w:space="0" w:color="auto"/>
        <w:bottom w:val="none" w:sz="0" w:space="0" w:color="auto"/>
        <w:right w:val="none" w:sz="0" w:space="0" w:color="auto"/>
      </w:divBdr>
    </w:div>
    <w:div w:id="2123449841">
      <w:marLeft w:val="0"/>
      <w:marRight w:val="0"/>
      <w:marTop w:val="0"/>
      <w:marBottom w:val="120"/>
      <w:divBdr>
        <w:top w:val="none" w:sz="0" w:space="0" w:color="auto"/>
        <w:left w:val="none" w:sz="0" w:space="0" w:color="auto"/>
        <w:bottom w:val="none" w:sz="0" w:space="0" w:color="auto"/>
        <w:right w:val="none" w:sz="0" w:space="0" w:color="auto"/>
      </w:divBdr>
    </w:div>
    <w:div w:id="2128423792">
      <w:marLeft w:val="0"/>
      <w:marRight w:val="0"/>
      <w:marTop w:val="0"/>
      <w:marBottom w:val="120"/>
      <w:divBdr>
        <w:top w:val="none" w:sz="0" w:space="0" w:color="auto"/>
        <w:left w:val="none" w:sz="0" w:space="0" w:color="auto"/>
        <w:bottom w:val="none" w:sz="0" w:space="0" w:color="auto"/>
        <w:right w:val="none" w:sz="0" w:space="0" w:color="auto"/>
      </w:divBdr>
    </w:div>
    <w:div w:id="2132435154">
      <w:marLeft w:val="0"/>
      <w:marRight w:val="0"/>
      <w:marTop w:val="0"/>
      <w:marBottom w:val="120"/>
      <w:divBdr>
        <w:top w:val="none" w:sz="0" w:space="0" w:color="auto"/>
        <w:left w:val="none" w:sz="0" w:space="0" w:color="auto"/>
        <w:bottom w:val="none" w:sz="0" w:space="0" w:color="auto"/>
        <w:right w:val="none" w:sz="0" w:space="0" w:color="auto"/>
      </w:divBdr>
    </w:div>
    <w:div w:id="2137330099">
      <w:marLeft w:val="0"/>
      <w:marRight w:val="0"/>
      <w:marTop w:val="0"/>
      <w:marBottom w:val="120"/>
      <w:divBdr>
        <w:top w:val="none" w:sz="0" w:space="0" w:color="auto"/>
        <w:left w:val="none" w:sz="0" w:space="0" w:color="auto"/>
        <w:bottom w:val="none" w:sz="0" w:space="0" w:color="auto"/>
        <w:right w:val="none" w:sz="0" w:space="0" w:color="auto"/>
      </w:divBdr>
    </w:div>
    <w:div w:id="2138449957">
      <w:marLeft w:val="0"/>
      <w:marRight w:val="0"/>
      <w:marTop w:val="0"/>
      <w:marBottom w:val="20"/>
      <w:divBdr>
        <w:top w:val="none" w:sz="0" w:space="0" w:color="auto"/>
        <w:left w:val="none" w:sz="0" w:space="0" w:color="auto"/>
        <w:bottom w:val="none" w:sz="0" w:space="0" w:color="auto"/>
        <w:right w:val="none" w:sz="0" w:space="0" w:color="auto"/>
      </w:divBdr>
    </w:div>
    <w:div w:id="2138571128">
      <w:marLeft w:val="0"/>
      <w:marRight w:val="0"/>
      <w:marTop w:val="0"/>
      <w:marBottom w:val="120"/>
      <w:divBdr>
        <w:top w:val="none" w:sz="0" w:space="0" w:color="auto"/>
        <w:left w:val="none" w:sz="0" w:space="0" w:color="auto"/>
        <w:bottom w:val="none" w:sz="0" w:space="0" w:color="auto"/>
        <w:right w:val="none" w:sz="0" w:space="0" w:color="auto"/>
      </w:divBdr>
    </w:div>
    <w:div w:id="2143882304">
      <w:marLeft w:val="0"/>
      <w:marRight w:val="0"/>
      <w:marTop w:val="0"/>
      <w:marBottom w:val="1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312-nvhisoxcerts312xq32021.htm" TargetMode="External"/><Relationship Id="rId3" Type="http://schemas.openxmlformats.org/officeDocument/2006/relationships/webSettings" Target="webSettings.xml"/><Relationship Id="rId7" Type="http://schemas.openxmlformats.org/officeDocument/2006/relationships/hyperlink" Target="a311-nvhisoxcerts311xq3202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101-agreement.htm" TargetMode="External"/><Relationship Id="rId11" Type="http://schemas.openxmlformats.org/officeDocument/2006/relationships/fontTable" Target="fontTable.xml"/><Relationship Id="rId5" Type="http://schemas.openxmlformats.org/officeDocument/2006/relationships/hyperlink" Target="https://www.sec.gov/Archives/edgar/data/0001710155/000171015521000036/nationalvisionholdingsinct.htm" TargetMode="External"/><Relationship Id="rId10" Type="http://schemas.openxmlformats.org/officeDocument/2006/relationships/hyperlink" Target="a322-nvhisoxcerts322xq32021.htm" TargetMode="External"/><Relationship Id="rId4" Type="http://schemas.openxmlformats.org/officeDocument/2006/relationships/hyperlink" Target="https://www.sec.gov/Archives/edgar/data/1710155/000171015521000036/nationalvision-thirdamende.htm" TargetMode="External"/><Relationship Id="rId9" Type="http://schemas.openxmlformats.org/officeDocument/2006/relationships/hyperlink" Target="a321-nvhisoxcerts321xq320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27700</Words>
  <Characters>157890</Characters>
  <Application>Microsoft Office Word</Application>
  <DocSecurity>0</DocSecurity>
  <Lines>1315</Lines>
  <Paragraphs>370</Paragraphs>
  <ScaleCrop>false</ScaleCrop>
  <Company/>
  <LinksUpToDate>false</LinksUpToDate>
  <CharactersWithSpaces>185220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eye-20211002</dc:title>
  <dc:subject/>
  <dc:creator>Chongjian.Yue</dc:creator>
  <cp:keywords/>
  <dc:description/>
  <cp:lastModifiedBy>Yue Chongjian</cp:lastModifiedBy>
  <cp:revision>1</cp:revision>
  <dcterms:created xsi:type="dcterms:W3CDTF">2024-01-04T15:54:00Z</dcterms:created>
  <dcterms:modified xsi:type="dcterms:W3CDTF">2024-01-04T15:54:00Z</dcterms:modified>
</cp:coreProperties>
</file>