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183441">
      <w:pPr>
        <w:divId w:val="413016882"/>
        <w:rPr>
          <w:rFonts w:eastAsia="Times New Roman"/>
          <w:vanish/>
        </w:rPr>
      </w:pPr>
      <w:r>
        <w:rPr>
          <w:rFonts w:eastAsia="Times New Roman"/>
          <w:vanish/>
        </w:rPr>
        <w:t>0001710155December 312022Q3falseP3MP1YP1YP1YP5Y00017101552022-01-022022-10-0100017101552022-10-28xbrli:shares00017101552022-10-01iso4217:USD00017101552022-01-01iso4217:USDxbrli:shares0001710155eye:ProductSalesMember2022-07-032022-10-010001710155</w:t>
      </w:r>
      <w:r>
        <w:rPr>
          <w:rFonts w:eastAsia="Times New Roman"/>
          <w:vanish/>
        </w:rPr>
        <w:t>eye:ProductSalesMember2021-07-042021-10-020001710155eye:ProductSalesMember2022-01-022022-10-010001710155eye:ProductSalesMember2021-01-032021-10-020001710155eye:ServicesAndPlansMember2022-07-032022-10-010001710155eye:ServicesAndPlansMember2021-07-042021-10-</w:t>
      </w:r>
      <w:r>
        <w:rPr>
          <w:rFonts w:eastAsia="Times New Roman"/>
          <w:vanish/>
        </w:rPr>
        <w:t>020001710155eye:ServicesAndPlansMember2022-01-022022-10-010001710155eye:ServicesAndPlansMember2021-01-032021-10-0200017101552022-07-032022-10-0100017101552021-07-042021-10-0200017101552021-01-032021-10-020001710155us-gaap:CommonStockMember2022-01-010001710</w:t>
      </w:r>
      <w:r>
        <w:rPr>
          <w:rFonts w:eastAsia="Times New Roman"/>
          <w:vanish/>
        </w:rPr>
        <w:t>155us-gaap:AdditionalPaidInCapitalMember2022-01-010001710155us-gaap:AccumulatedOtherComprehensiveIncomeMember2022-01-010001710155us-gaap:RetainedEarningsMember2022-01-010001710155us-gaap:TreasuryStockCommonMember2022-01-010001710155us-gaap:CommonStockMembe</w:t>
      </w:r>
      <w:r>
        <w:rPr>
          <w:rFonts w:eastAsia="Times New Roman"/>
          <w:vanish/>
        </w:rPr>
        <w:t>r2022-01-022022-04-020001710155us-gaap:AdditionalPaidInCapitalMember2022-01-022022-04-0200017101552022-01-022022-04-020001710155us-gaap:TreasuryStockCommonMember2022-01-022022-04-020001710155us-gaap:AccumulatedOtherComprehensiveIncomeMember2022-01-022022-0</w:t>
      </w:r>
      <w:r>
        <w:rPr>
          <w:rFonts w:eastAsia="Times New Roman"/>
          <w:vanish/>
        </w:rPr>
        <w:t>4-020001710155us-gaap:RetainedEarningsMember2022-01-022022-04-020001710155us-gaap:CommonStockMember2022-04-020001710155us-gaap:AdditionalPaidInCapitalMember2022-04-020001710155us-gaap:AccumulatedOtherComprehensiveIncomeMember2022-04-020001710155us-gaap:Ret</w:t>
      </w:r>
      <w:r>
        <w:rPr>
          <w:rFonts w:eastAsia="Times New Roman"/>
          <w:vanish/>
        </w:rPr>
        <w:t>ainedEarningsMember2022-04-020001710155us-gaap:TreasuryStockCommonMember2022-04-0200017101552022-04-020001710155us-gaap:CommonStockMember2022-04-032022-07-020001710155us-gaap:AdditionalPaidInCapitalMember2022-04-032022-07-0200017101552022-04-032022-07-0200</w:t>
      </w:r>
      <w:r>
        <w:rPr>
          <w:rFonts w:eastAsia="Times New Roman"/>
          <w:vanish/>
        </w:rPr>
        <w:t>01710155us-gaap:TreasuryStockCommonMember2022-04-032022-07-020001710155us-gaap:AccumulatedOtherComprehensiveIncomeMember2022-04-032022-07-020001710155us-gaap:RetainedEarningsMember2022-04-032022-07-020001710155us-gaap:CommonStockMember2022-07-020001710155u</w:t>
      </w:r>
      <w:r>
        <w:rPr>
          <w:rFonts w:eastAsia="Times New Roman"/>
          <w:vanish/>
        </w:rPr>
        <w:t>s-gaap:AdditionalPaidInCapitalMember2022-07-020001710155us-gaap:AccumulatedOtherComprehensiveIncomeMember2022-07-020001710155us-gaap:RetainedEarningsMember2022-07-020001710155us-gaap:TreasuryStockCommonMember2022-07-0200017101552022-07-020001710155us-gaap:</w:t>
      </w:r>
      <w:r>
        <w:rPr>
          <w:rFonts w:eastAsia="Times New Roman"/>
          <w:vanish/>
        </w:rPr>
        <w:t>CommonStockMember2022-07-032022-10-010001710155us-gaap:AdditionalPaidInCapitalMember2022-07-032022-10-010001710155us-gaap:TreasuryStockCommonMember2022-07-032022-10-010001710155us-gaap:AccumulatedOtherComprehensiveIncomeMember2022-07-032022-10-010001710155</w:t>
      </w:r>
      <w:r>
        <w:rPr>
          <w:rFonts w:eastAsia="Times New Roman"/>
          <w:vanish/>
        </w:rPr>
        <w:t>us-gaap:RetainedEarningsMember2022-07-032022-10-010001710155us-gaap:CommonStockMember2022-10-010001710155us-gaap:AdditionalPaidInCapitalMember2022-10-010001710155us-gaap:AccumulatedOtherComprehensiveIncomeMember2022-10-010001710155us-gaap:RetainedEarningsM</w:t>
      </w:r>
      <w:r>
        <w:rPr>
          <w:rFonts w:eastAsia="Times New Roman"/>
          <w:vanish/>
        </w:rPr>
        <w:t>ember2022-10-010001710155us-gaap:TreasuryStockCommonMember2022-10-010001710155us-gaap:CommonStockMember2021-01-020001710155us-gaap:AdditionalPaidInCapitalMember2021-01-020001710155us-gaap:AccumulatedOtherComprehensiveIncomeMember2021-01-020001710155us-gaap</w:t>
      </w:r>
      <w:r>
        <w:rPr>
          <w:rFonts w:eastAsia="Times New Roman"/>
          <w:vanish/>
        </w:rPr>
        <w:t>:RetainedEarningsMember2021-01-020001710155us-gaap:TreasuryStockCommonMember2021-01-0200017101552021-01-020001710155srt:CumulativeEffectPeriodOfAdoptionAdjustmentMemberus-gaap:AdditionalPaidInCapitalMember2021-01-020001710155srt:CumulativeEffectPeriodOfAdo</w:t>
      </w:r>
      <w:r>
        <w:rPr>
          <w:rFonts w:eastAsia="Times New Roman"/>
          <w:vanish/>
        </w:rPr>
        <w:t>ptionAdjustmentMemberus-gaap:RetainedEarningsMember2021-01-020001710155srt:CumulativeEffectPeriodOfAdoptionAdjustmentMember2021-01-020001710155us-gaap:CommonStockMembersrt:CumulativeEffectPeriodOfAdoptionAdjustedBalanceMember2021-01-020001710155us-gaap:Add</w:t>
      </w:r>
      <w:r>
        <w:rPr>
          <w:rFonts w:eastAsia="Times New Roman"/>
          <w:vanish/>
        </w:rPr>
        <w:t>itionalPaidInCapitalMembersrt:CumulativeEffectPeriodOfAdoptionAdjustedBalanceMember2021-01-020001710155us-gaap:AccumulatedOtherComprehensiveIncomeMembersrt:CumulativeEffectPeriodOfAdoptionAdjustedBalanceMember2021-01-020001710155us-gaap:RetainedEarningsMem</w:t>
      </w:r>
      <w:r>
        <w:rPr>
          <w:rFonts w:eastAsia="Times New Roman"/>
          <w:vanish/>
        </w:rPr>
        <w:t>bersrt:CumulativeEffectPeriodOfAdoptionAdjustedBalanceMember2021-01-020001710155us-gaap:TreasuryStockCommonMembersrt:CumulativeEffectPeriodOfAdoptionAdjustedBalanceMember2021-01-020001710155srt:CumulativeEffectPeriodOfAdoptionAdjustedBalanceMember2021-01-0</w:t>
      </w:r>
      <w:r>
        <w:rPr>
          <w:rFonts w:eastAsia="Times New Roman"/>
          <w:vanish/>
        </w:rPr>
        <w:t>20001710155us-gaap:CommonStockMember2021-01-032021-04-030001710155us-gaap:AdditionalPaidInCapitalMember2021-01-032021-04-0300017101552021-01-032021-04-030001710155us-gaap:TreasuryStockCommonMember2021-01-032021-04-030001710155us-gaap:AccumulatedOtherCompre</w:t>
      </w:r>
      <w:r>
        <w:rPr>
          <w:rFonts w:eastAsia="Times New Roman"/>
          <w:vanish/>
        </w:rPr>
        <w:t>hensiveIncomeMember2021-01-032021-04-030001710155us-gaap:RetainedEarningsMember2021-01-032021-04-030001710155us-gaap:CommonStockMember2021-04-030001710155us-gaap:AdditionalPaidInCapitalMember2021-04-030001710155us-gaap:AccumulatedOtherComprehensiveIncomeMe</w:t>
      </w:r>
      <w:r>
        <w:rPr>
          <w:rFonts w:eastAsia="Times New Roman"/>
          <w:vanish/>
        </w:rPr>
        <w:t>mber2021-04-030001710155us-gaap:RetainedEarningsMember2021-04-030001710155us-gaap:TreasuryStockCommonMember2021-04-0300017101552021-04-030001710155us-gaap:CommonStockMember2021-04-042021-07-030001710155us-gaap:AdditionalPaidInCapitalMember2021-04-042021-07</w:t>
      </w:r>
      <w:r>
        <w:rPr>
          <w:rFonts w:eastAsia="Times New Roman"/>
          <w:vanish/>
        </w:rPr>
        <w:t>-0300017101552021-04-042021-07-030001710155us-gaap:TreasuryStockCommonMember2021-04-042021-07-030001710155us-gaap:AccumulatedOtherComprehensiveIncomeMember2021-04-042021-07-030001710155us-gaap:RetainedEarningsMember2021-04-042021-07-030001710155us-gaap:Com</w:t>
      </w:r>
      <w:r>
        <w:rPr>
          <w:rFonts w:eastAsia="Times New Roman"/>
          <w:vanish/>
        </w:rPr>
        <w:t>monStockMember2021-07-030001710155us-gaap:AdditionalPaidInCapitalMember2021-07-030001710155us-gaap:AccumulatedOtherComprehensiveIncomeMember2021-07-030001710155us-gaap:RetainedEarningsMember2021-07-030001710155us-gaap:TreasuryStockCommonMember2021-07-03000</w:t>
      </w:r>
      <w:r>
        <w:rPr>
          <w:rFonts w:eastAsia="Times New Roman"/>
          <w:vanish/>
        </w:rPr>
        <w:t>17101552021-07-030001710155us-gaap:CommonStockMember2021-07-042021-10-020001710155us-gaap:AdditionalPaidInCapitalMember2021-07-042021-10-020001710155us-gaap:TreasuryStockCommonMember2021-07-042021-10-020001710155us-gaap:AccumulatedOtherComprehensiveIncomeM</w:t>
      </w:r>
      <w:r>
        <w:rPr>
          <w:rFonts w:eastAsia="Times New Roman"/>
          <w:vanish/>
        </w:rPr>
        <w:t>ember2021-07-042021-10-020001710155us-gaap:RetainedEarningsMember2021-07-042021-10-020001710155us-gaap:CommonStockMember2021-10-020001710155us-gaap:AdditionalPaidInCapitalMember2021-10-020001710155us-gaap:AccumulatedOtherComprehensiveIncomeMember2021-10-02</w:t>
      </w:r>
      <w:r>
        <w:rPr>
          <w:rFonts w:eastAsia="Times New Roman"/>
          <w:vanish/>
        </w:rPr>
        <w:t>0001710155us-gaap:RetainedEarningsMember2021-10-020001710155us-gaap:TreasuryStockCommonMember2021-10-0200017101552021-10-02eye:storeeye:storeBrand0001710155us-gaap:VariableInterestEntityPrimaryBeneficiaryMember2022-10-01eye:day0001710155us-gaap:VariableInt</w:t>
      </w:r>
      <w:r>
        <w:rPr>
          <w:rFonts w:eastAsia="Times New Roman"/>
          <w:vanish/>
        </w:rPr>
        <w:t>erestEntityPrimaryBeneficiaryMember2022-01-01xbrli:pure0001710155eye:NonconsolidatedInvesteeMember2021-07-042021-10-020001710155eye:NonconsolidatedInvesteeMember2021-01-032021-10-020001710155us-gaap:TradeAccountsReceivableMember2022-10-010001710155us-gaap:</w:t>
      </w:r>
      <w:r>
        <w:rPr>
          <w:rFonts w:eastAsia="Times New Roman"/>
          <w:vanish/>
        </w:rPr>
        <w:t>TradeAccountsReceivableMember2022-01-010001710155us-gaap:CreditCardReceivablesMember2022-10-010001710155us-gaap:CreditCardReceivablesMember2022-01-010001710155eye:OtherReceivablesMember2022-10-010001710155eye:OtherReceivablesMember2022-01-010001710155srt:M</w:t>
      </w:r>
      <w:r>
        <w:rPr>
          <w:rFonts w:eastAsia="Times New Roman"/>
          <w:vanish/>
        </w:rPr>
        <w:t>inimumMember2022-01-022022-10-010001710155srt:MaximumMember2022-01-022022-10-010001710155eye:ConvertibleSeniorNotesDueIn2025Memberus-gaap:ConvertibleDebtMember2022-10-010001710155us-gaap:FairValueInputsLevel2Membereye:ConvertibleSeniorNotesDueIn2025Memberu</w:t>
      </w:r>
      <w:r>
        <w:rPr>
          <w:rFonts w:eastAsia="Times New Roman"/>
          <w:vanish/>
        </w:rPr>
        <w:t>s-gaap:EstimateOfFairValueFairValueDisclosureMemberus-gaap:ConvertibleDebtMember2022-10-010001710155us-gaap:FairValueInputsLevel2Membereye:ConvertibleSeniorNotesDueIn2025Memberus-gaap:EstimateOfFairValueFairValueDisclosureMemberus-gaap:ConvertibleDebtMembe</w:t>
      </w:r>
      <w:r>
        <w:rPr>
          <w:rFonts w:eastAsia="Times New Roman"/>
          <w:vanish/>
        </w:rPr>
        <w:t>r2022-01-010001710155eye:ConvertibleSeniorNotesDueIn2025Memberus-gaap:ConvertibleDebtMember2022-01-010001710155us-gaap:LoansPayableMembereye:FirstLienTermALoanDueJuly182024Member2022-10-010001710155us-gaap:LoansPayableMembereye:FirstLienTermALoanDueJuly182</w:t>
      </w:r>
      <w:r>
        <w:rPr>
          <w:rFonts w:eastAsia="Times New Roman"/>
          <w:vanish/>
        </w:rPr>
        <w:t>024Member2022-01-010001710155us-gaap:RevolvingCreditFacilityMemberus-gaap:LineOfCreditMember2022-10-010001710155us-gaap:RevolvingCreditFacilityMemberus-gaap:LineOfCreditMember2022-01-010001710155eye:ConvertibleSeniorNotesDueIn2025Memberus-gaap:ConvertibleD</w:t>
      </w:r>
      <w:r>
        <w:rPr>
          <w:rFonts w:eastAsia="Times New Roman"/>
          <w:vanish/>
        </w:rPr>
        <w:t>ebtMember2022-07-032022-10-010001710155eye:ConvertibleSeniorNotesDueIn2025Memberus-gaap:ConvertibleDebtMember2021-07-042021-10-020001710155eye:ConvertibleSeniorNotesDueIn2025Memberus-gaap:ConvertibleDebtMember2022-01-022022-10-010001710155eye:ConvertibleSe</w:t>
      </w:r>
      <w:r>
        <w:rPr>
          <w:rFonts w:eastAsia="Times New Roman"/>
          <w:vanish/>
        </w:rPr>
        <w:t>niorNotesDueIn2025Memberus-gaap:ConvertibleDebtMember2021-01-032021-10-020001710155eye:InterestRateCollarMember2022-10-010001710155eye:InterestRateCollarMemberus-gaap:NondesignatedMember2022-10-010001710155eye:InterestRateCollarMemberus-gaap:PrepaidExpense</w:t>
      </w:r>
      <w:r>
        <w:rPr>
          <w:rFonts w:eastAsia="Times New Roman"/>
          <w:vanish/>
        </w:rPr>
        <w:t>sAndOtherCurrentAssetsMemberus-gaap:NondesignatedMember2022-10-010001710155us-gaap:OtherAssetsMembereye:InterestRateCollarMemberus-gaap:NondesignatedMember2022-10-010001710155eye:InterestRateCollarMemberus-gaap:NondesignatedMember2022-01-010001710155us-gaa</w:t>
      </w:r>
      <w:r>
        <w:rPr>
          <w:rFonts w:eastAsia="Times New Roman"/>
          <w:vanish/>
        </w:rPr>
        <w:t>p:AccruedLiabilitiesMembereye:InterestRateCollarMemberus-gaap:NondesignatedMember2022-01-010001710155eye:InterestRateCollarMemberus-gaap:OtherNoncurrentLiabilitiesMemberus-gaap:NondesignatedMember2022-01-010001710155eye:InterestRateCollarMember2022-07-0320</w:t>
      </w:r>
      <w:r>
        <w:rPr>
          <w:rFonts w:eastAsia="Times New Roman"/>
          <w:vanish/>
        </w:rPr>
        <w:t>22-10-010001710155eye:InterestRateCollarMember2022-01-022022-10-010001710155eye:InterestRateCollarMember2021-07-042021-10-020001710155eye:InterestRateCollarMember2021-01-032021-10-020001710155us-gaap:InterestRateSwapMember2021-01-032021-10-020001710155us-g</w:t>
      </w:r>
      <w:r>
        <w:rPr>
          <w:rFonts w:eastAsia="Times New Roman"/>
          <w:vanish/>
        </w:rPr>
        <w:t>aap:PerformanceSharesMember2022-01-022022-10-010001710155us-gaap:RestrictedStockUnitsRSUMember2022-01-022022-10-01eye:installment0001710155us-gaap:TransferredAtPointInTimeMember2022-07-032022-10-010001710155us-gaap:TransferredAtPointInTimeMember2021-07-042</w:t>
      </w:r>
      <w:r>
        <w:rPr>
          <w:rFonts w:eastAsia="Times New Roman"/>
          <w:vanish/>
        </w:rPr>
        <w:t>021-10-020001710155us-gaap:TransferredAtPointInTimeMember2022-01-022022-10-010001710155us-gaap:TransferredAtPointInTimeMember2021-01-032021-10-020001710155us-gaap:TransferredOverTimeMember2022-07-032022-10-010001710155us-gaap:TransferredOverTimeMember2021-</w:t>
      </w:r>
      <w:r>
        <w:rPr>
          <w:rFonts w:eastAsia="Times New Roman"/>
          <w:vanish/>
        </w:rPr>
        <w:t>07-042021-10-020001710155us-gaap:TransferredOverTimeMember2022-01-022022-10-010001710155us-gaap:TransferredOverTimeMember2021-01-032021-10-0200017101552022-10-022022-10-0100017101552023-01-012022-10-0100017101552023-12-312022-10-0100017101552024-12-292022-</w:t>
      </w:r>
      <w:r>
        <w:rPr>
          <w:rFonts w:eastAsia="Times New Roman"/>
          <w:vanish/>
        </w:rPr>
        <w:t>10-0100017101552026-01-042022-10-010001710155us-gaap:BuildingAndBuildingImprovementsMembersrt:MinimumMember2022-01-022022-10-010001710155srt:MaximumMemberus-gaap:BuildingAndBuildingImprovementsMember2022-01-022022-10-01eye:segment0001710155eye:ProductSales</w:t>
      </w:r>
      <w:r>
        <w:rPr>
          <w:rFonts w:eastAsia="Times New Roman"/>
          <w:vanish/>
        </w:rPr>
        <w:t>Memberus-gaap:OperatingSegmentsMembereye:OwnedAndHostStoreBrandsMember2022-07-032022-10-010001710155eye:ProductSalesMemberus-gaap:OperatingSegmentsMembereye:LegacyMember2022-07-032022-10-010001710155eye:ProductSalesMemberus-gaap:OperatingSegmentsMemberus-g</w:t>
      </w:r>
      <w:r>
        <w:rPr>
          <w:rFonts w:eastAsia="Times New Roman"/>
          <w:vanish/>
        </w:rPr>
        <w:t>aap:CorporateAndOtherMember2022-07-032022-10-010001710155eye:ProductSalesMemberus-gaap:MaterialReconcilingItemsMember2022-07-032022-10-010001710155us-gaap:OperatingSegmentsMembereye:ServicesAndPlansMembereye:OwnedAndHostStoreBrandsMember2022-07-032022-10-0</w:t>
      </w:r>
      <w:r>
        <w:rPr>
          <w:rFonts w:eastAsia="Times New Roman"/>
          <w:vanish/>
        </w:rPr>
        <w:t>10001710155us-gaap:OperatingSegmentsMembereye:ServicesAndPlansMembereye:LegacyMember2022-07-032022-10-010001710155us-gaap:OperatingSegmentsMembereye:ServicesAndPlansMemberus-gaap:CorporateAndOtherMember2022-07-032022-10-010001710155us-gaap:MaterialReconcil</w:t>
      </w:r>
      <w:r>
        <w:rPr>
          <w:rFonts w:eastAsia="Times New Roman"/>
          <w:vanish/>
        </w:rPr>
        <w:t>ingItemsMembereye:ServicesAndPlansMember2022-07-032022-10-010001710155us-gaap:OperatingSegmentsMembereye:OwnedAndHostStoreBrandsMember2022-07-032022-10-010001710155us-gaap:OperatingSegmentsMembereye:LegacyMember2022-07-032022-10-010001710155us-gaap:Operati</w:t>
      </w:r>
      <w:r>
        <w:rPr>
          <w:rFonts w:eastAsia="Times New Roman"/>
          <w:vanish/>
        </w:rPr>
        <w:t>ngSegmentsMemberus-gaap:CorporateAndOtherMember2022-07-032022-10-010001710155us-gaap:MaterialReconcilingItemsMember2022-07-032022-10-010001710155eye:ProductSalesMemberus-gaap:OperatingSegmentsMembereye:OwnedAndHostStoreBrandsMember2021-07-042021-10-0200017</w:t>
      </w:r>
      <w:r>
        <w:rPr>
          <w:rFonts w:eastAsia="Times New Roman"/>
          <w:vanish/>
        </w:rPr>
        <w:t>10155eye:ProductSalesMemberus-gaap:OperatingSegmentsMembereye:LegacyMember2021-07-042021-10-020001710155eye:ProductSalesMemberus-gaap:OperatingSegmentsMemberus-gaap:CorporateAndOtherMember2021-07-042021-10-020001710155eye:ProductSalesMemberus-gaap:Material</w:t>
      </w:r>
      <w:r>
        <w:rPr>
          <w:rFonts w:eastAsia="Times New Roman"/>
          <w:vanish/>
        </w:rPr>
        <w:t>ReconcilingItemsMember2021-07-042021-10-020001710155us-gaap:OperatingSegmentsMembereye:ServicesAndPlansMembereye:OwnedAndHostStoreBrandsMember2021-07-042021-10-020001710155us-gaap:OperatingSegmentsMembereye:ServicesAndPlansMembereye:LegacyMember2021-07-042</w:t>
      </w:r>
      <w:r>
        <w:rPr>
          <w:rFonts w:eastAsia="Times New Roman"/>
          <w:vanish/>
        </w:rPr>
        <w:t>021-10-020001710155us-gaap:OperatingSegmentsMembereye:ServicesAndPlansMemberus-gaap:CorporateAndOtherMember2021-07-042021-10-020001710155us-gaap:MaterialReconcilingItemsMembereye:ServicesAndPlansMember2021-07-042021-10-020001710155us-gaap:OperatingSegments</w:t>
      </w:r>
      <w:r>
        <w:rPr>
          <w:rFonts w:eastAsia="Times New Roman"/>
          <w:vanish/>
        </w:rPr>
        <w:t>Membereye:OwnedAndHostStoreBrandsMember2021-07-042021-10-020001710155us-gaap:OperatingSegmentsMembereye:LegacyMember2021-07-042021-10-020001710155us-gaap:OperatingSegmentsMemberus-gaap:CorporateAndOtherMember2021-07-042021-10-020001710155us-gaap:MaterialRe</w:t>
      </w:r>
      <w:r>
        <w:rPr>
          <w:rFonts w:eastAsia="Times New Roman"/>
          <w:vanish/>
        </w:rPr>
        <w:t>concilingItemsMember2021-07-042021-10-020001710155eye:ProductSalesMemberus-gaap:OperatingSegmentsMembereye:OwnedAndHostStoreBrandsMember2022-01-022022-10-010001710155eye:ProductSalesMemberus-gaap:OperatingSegmentsMembereye:LegacyMember2022-01-022022-10-010</w:t>
      </w:r>
      <w:r>
        <w:rPr>
          <w:rFonts w:eastAsia="Times New Roman"/>
          <w:vanish/>
        </w:rPr>
        <w:t>001710155eye:ProductSalesMemberus-gaap:OperatingSegmentsMemberus-gaap:CorporateAndOtherMember2022-01-022022-10-010001710155eye:ProductSalesMemberus-gaap:MaterialReconcilingItemsMember2022-01-022022-10-010001710155us-gaap:OperatingSegmentsMembereye:Services</w:t>
      </w:r>
      <w:r>
        <w:rPr>
          <w:rFonts w:eastAsia="Times New Roman"/>
          <w:vanish/>
        </w:rPr>
        <w:t>AndPlansMembereye:OwnedAndHostStoreBrandsMember2022-01-022022-10-010001710155us-gaap:OperatingSegmentsMembereye:ServicesAndPlansMembereye:LegacyMember2022-01-022022-10-010001710155us-gaap:OperatingSegmentsMembereye:ServicesAndPlansMemberus-gaap:CorporateAn</w:t>
      </w:r>
      <w:r>
        <w:rPr>
          <w:rFonts w:eastAsia="Times New Roman"/>
          <w:vanish/>
        </w:rPr>
        <w:t>dOtherMember2022-01-022022-10-010001710155us-gaap:MaterialReconcilingItemsMembereye:ServicesAndPlansMember2022-01-022022-10-010001710155us-gaap:OperatingSegmentsMembereye:OwnedAndHostStoreBrandsMember2022-01-022022-10-010001710155us-gaap:OperatingSegmentsM</w:t>
      </w:r>
      <w:r>
        <w:rPr>
          <w:rFonts w:eastAsia="Times New Roman"/>
          <w:vanish/>
        </w:rPr>
        <w:t>embereye:LegacyMember2022-01-022022-10-010001710155us-gaap:OperatingSegmentsMemberus-gaap:CorporateAndOtherMember2022-01-022022-10-010001710155us-gaap:MaterialReconcilingItemsMember2022-01-022022-10-010001710155eye:ProductSalesMemberus-gaap:OperatingSegmen</w:t>
      </w:r>
      <w:r>
        <w:rPr>
          <w:rFonts w:eastAsia="Times New Roman"/>
          <w:vanish/>
        </w:rPr>
        <w:t>tsMembereye:OwnedAndHostStoreBrandsMember2021-01-032021-10-020001710155eye:ProductSalesMemberus-gaap:OperatingSegmentsMembereye:LegacyMember2021-01-032021-10-020001710155eye:ProductSalesMemberus-gaap:OperatingSegmentsMemberus-gaap:CorporateAndOtherMember20</w:t>
      </w:r>
      <w:r>
        <w:rPr>
          <w:rFonts w:eastAsia="Times New Roman"/>
          <w:vanish/>
        </w:rPr>
        <w:t>21-01-032021-10-020001710155eye:ProductSalesMemberus-gaap:MaterialReconcilingItemsMember2021-01-032021-10-020001710155us-gaap:OperatingSegmentsMembereye:ServicesAndPlansMembereye:OwnedAndHostStoreBrandsMember2021-01-032021-10-020001710155us-gaap:OperatingS</w:t>
      </w:r>
      <w:r>
        <w:rPr>
          <w:rFonts w:eastAsia="Times New Roman"/>
          <w:vanish/>
        </w:rPr>
        <w:t>egmentsMembereye:ServicesAndPlansMembereye:LegacyMember2021-01-032021-10-020001710155us-gaap:OperatingSegmentsMembereye:ServicesAndPlansMemberus-gaap:CorporateAndOtherMember2021-01-032021-10-020001710155us-gaap:MaterialReconcilingItemsMembereye:ServicesAnd</w:t>
      </w:r>
      <w:r>
        <w:rPr>
          <w:rFonts w:eastAsia="Times New Roman"/>
          <w:vanish/>
        </w:rPr>
        <w:t>PlansMember2021-01-032021-10-020001710155us-gaap:OperatingSegmentsMembereye:OwnedAndHostStoreBrandsMember2021-01-032021-10-020001710155us-gaap:OperatingSegmentsMembereye:LegacyMember2021-01-032021-10-020001710155us-gaap:OperatingSegmentsMemberus-gaap:Corpo</w:t>
      </w:r>
      <w:r>
        <w:rPr>
          <w:rFonts w:eastAsia="Times New Roman"/>
          <w:vanish/>
        </w:rPr>
        <w:t>rateAndOtherMember2021-01-032021-10-020001710155us-gaap:MaterialReconcilingItemsMember2021-01-032021-10-020001710155eye:StockOptionsRestrictedStockUnitsRSUsAndConvertibleNotesMember2022-07-032022-10-010001710155eye:StockOptionsRestrictedStockUnitsRSUsAndCo</w:t>
      </w:r>
      <w:r>
        <w:rPr>
          <w:rFonts w:eastAsia="Times New Roman"/>
          <w:vanish/>
        </w:rPr>
        <w:t>nvertibleNotesMember2021-07-042021-10-020001710155eye:StockOptionsRestrictedStockUnitsRSUsAndConvertibleNotesMember2022-01-022022-10-010001710155eye:StockOptionsRestrictedStockUnitsRSUsAndConvertibleNotesMember2021-01-032021-10-020001710155us-gaap:Accumula</w:t>
      </w:r>
      <w:r>
        <w:rPr>
          <w:rFonts w:eastAsia="Times New Roman"/>
          <w:vanish/>
        </w:rPr>
        <w:t>tedGainLossNetCashFlowHedgeParentMember2022-07-020001710155us-gaap:AccumulatedGainLossNetCashFlowHedgeParentMember2021-07-030001710155us-gaap:AccumulatedGainLossNetCashFlowHedgeParentMember2022-01-010001710155us-gaap:AccumulatedGainLossNetCashFlowHedgePare</w:t>
      </w:r>
      <w:r>
        <w:rPr>
          <w:rFonts w:eastAsia="Times New Roman"/>
          <w:vanish/>
        </w:rPr>
        <w:t>ntMember2021-01-020001710155us-gaap:AccumulatedGainLossNetCashFlowHedgeParentMember2022-07-032022-10-010001710155us-gaap:AccumulatedGainLossNetCashFlowHedgeParentMember2021-07-042021-10-020001710155us-gaap:AccumulatedGainLossNetCashFlowHedgeParentMember202</w:t>
      </w:r>
      <w:r>
        <w:rPr>
          <w:rFonts w:eastAsia="Times New Roman"/>
          <w:vanish/>
        </w:rPr>
        <w:t>2-01-022022-10-010001710155us-gaap:AccumulatedGainLossNetCashFlowHedgeParentMember2021-01-032021-10-020001710155us-gaap:AccumulatedGainLossNetCashFlowHedgeParentMember2022-10-010001710155us-gaap:AccumulatedGainLossNetCashFlowHedgeParentMember2021-10-02</w:t>
      </w:r>
    </w:p>
    <w:p w:rsidR="00000000" w:rsidRDefault="00183441">
      <w:pPr>
        <w:divId w:val="1079447246"/>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rPr>
          <w:divId w:val="745422517"/>
        </w:trPr>
        <w:tc>
          <w:tcPr>
            <w:tcW w:w="50" w:type="pct"/>
            <w:vAlign w:val="center"/>
            <w:hideMark/>
          </w:tcPr>
          <w:p w:rsidR="00000000" w:rsidRDefault="00183441">
            <w:pPr>
              <w:rPr>
                <w:rFonts w:eastAsia="Times New Roman"/>
              </w:rPr>
            </w:pPr>
          </w:p>
        </w:tc>
        <w:tc>
          <w:tcPr>
            <w:tcW w:w="494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745422517"/>
          <w:trHeight w:val="60"/>
        </w:trPr>
        <w:tc>
          <w:tcPr>
            <w:tcW w:w="0" w:type="auto"/>
            <w:gridSpan w:val="3"/>
            <w:tcBorders>
              <w:top w:val="single" w:sz="18" w:space="0" w:color="000000"/>
              <w:bottom w:val="single" w:sz="8" w:space="0" w:color="000000"/>
            </w:tcBorders>
            <w:tcMar>
              <w:top w:w="0" w:type="dxa"/>
              <w:left w:w="20" w:type="dxa"/>
              <w:bottom w:w="0" w:type="dxa"/>
              <w:right w:w="20" w:type="dxa"/>
            </w:tcMar>
            <w:vAlign w:val="center"/>
            <w:hideMark/>
          </w:tcPr>
          <w:p w:rsidR="00000000" w:rsidRDefault="00183441">
            <w:pPr>
              <w:spacing w:after="100"/>
              <w:rPr>
                <w:rFonts w:eastAsia="Times New Roman"/>
                <w:sz w:val="20"/>
                <w:szCs w:val="20"/>
              </w:rPr>
            </w:pPr>
          </w:p>
        </w:tc>
      </w:tr>
    </w:tbl>
    <w:p w:rsidR="00000000" w:rsidRDefault="00183441">
      <w:pPr>
        <w:jc w:val="center"/>
        <w:rPr>
          <w:rFonts w:eastAsia="Times New Roman"/>
        </w:rPr>
      </w:pPr>
      <w:r>
        <w:rPr>
          <w:rFonts w:eastAsia="Times New Roman"/>
          <w:b/>
          <w:bCs/>
          <w:color w:val="000000"/>
          <w:sz w:val="34"/>
          <w:szCs w:val="34"/>
        </w:rPr>
        <w:t>UNITED STATES</w:t>
      </w:r>
    </w:p>
    <w:p w:rsidR="00000000" w:rsidRDefault="00183441">
      <w:pPr>
        <w:jc w:val="center"/>
        <w:rPr>
          <w:rFonts w:eastAsia="Times New Roman"/>
        </w:rPr>
      </w:pPr>
      <w:r>
        <w:rPr>
          <w:rFonts w:eastAsia="Times New Roman"/>
          <w:b/>
          <w:bCs/>
          <w:color w:val="000000"/>
          <w:sz w:val="34"/>
          <w:szCs w:val="34"/>
        </w:rPr>
        <w:t>SECURITIES AND EXCHANGE COMMISSION</w:t>
      </w:r>
    </w:p>
    <w:p w:rsidR="00000000" w:rsidRDefault="00183441">
      <w:pPr>
        <w:jc w:val="center"/>
        <w:divId w:val="1071999219"/>
        <w:rPr>
          <w:rFonts w:eastAsia="Times New Roman"/>
        </w:rPr>
      </w:pPr>
      <w:r>
        <w:rPr>
          <w:rFonts w:eastAsia="Times New Roman"/>
          <w:b/>
          <w:bCs/>
          <w:color w:val="000000"/>
          <w:sz w:val="18"/>
          <w:szCs w:val="18"/>
        </w:rPr>
        <w:t>Washington, D.C. 20549</w:t>
      </w:r>
    </w:p>
    <w:p w:rsidR="00000000" w:rsidRDefault="00183441">
      <w:pPr>
        <w:jc w:val="center"/>
        <w:divId w:val="1450587407"/>
        <w:rPr>
          <w:rFonts w:eastAsia="Times New Roman"/>
        </w:rPr>
      </w:pPr>
      <w:r>
        <w:rPr>
          <w:rFonts w:eastAsia="Times New Roman"/>
          <w:b/>
          <w:bCs/>
          <w:color w:val="000000"/>
          <w:sz w:val="12"/>
          <w:szCs w:val="12"/>
        </w:rPr>
        <w:t>_______________________________________________________________________</w:t>
      </w:r>
    </w:p>
    <w:p w:rsidR="00000000" w:rsidRDefault="00183441">
      <w:pPr>
        <w:jc w:val="center"/>
        <w:rPr>
          <w:rFonts w:eastAsia="Times New Roman"/>
        </w:rPr>
      </w:pPr>
      <w:r>
        <w:rPr>
          <w:rFonts w:eastAsia="Times New Roman"/>
          <w:b/>
          <w:bCs/>
          <w:color w:val="000000"/>
          <w:sz w:val="34"/>
          <w:szCs w:val="34"/>
        </w:rPr>
        <w:t xml:space="preserve">FORM 10-Q </w:t>
      </w:r>
    </w:p>
    <w:p w:rsidR="00000000" w:rsidRDefault="00183441">
      <w:pPr>
        <w:jc w:val="center"/>
        <w:divId w:val="191068433"/>
        <w:rPr>
          <w:rFonts w:eastAsia="Times New Roman"/>
        </w:rPr>
      </w:pPr>
      <w:r>
        <w:rPr>
          <w:rFonts w:eastAsia="Times New Roman"/>
          <w:b/>
          <w:bCs/>
          <w:color w:val="000000"/>
          <w:sz w:val="12"/>
          <w:szCs w:val="12"/>
        </w:rPr>
        <w:t>_______________________________________________________________________</w:t>
      </w:r>
    </w:p>
    <w:p w:rsidR="00000000" w:rsidRDefault="00183441">
      <w:pPr>
        <w:divId w:val="513033939"/>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QUARTERLY REPORT PURSUANT TO SECTION 13 OR 15(d) OF THE SECURITIES EXCHANGE ACT OF 1934</w:t>
      </w:r>
    </w:p>
    <w:p w:rsidR="00000000" w:rsidRDefault="00183441">
      <w:pPr>
        <w:jc w:val="center"/>
        <w:divId w:val="896820630"/>
        <w:rPr>
          <w:rFonts w:eastAsia="Times New Roman"/>
        </w:rPr>
      </w:pPr>
      <w:r>
        <w:rPr>
          <w:rFonts w:eastAsia="Times New Roman"/>
          <w:b/>
          <w:bCs/>
          <w:color w:val="000000"/>
          <w:sz w:val="18"/>
          <w:szCs w:val="18"/>
        </w:rPr>
        <w:t xml:space="preserve">For the quarterly period ended October 1, 2022 </w:t>
      </w:r>
    </w:p>
    <w:p w:rsidR="00000000" w:rsidRDefault="00183441">
      <w:pPr>
        <w:jc w:val="center"/>
        <w:divId w:val="1159032590"/>
        <w:rPr>
          <w:rFonts w:eastAsia="Times New Roman"/>
        </w:rPr>
      </w:pPr>
      <w:r>
        <w:rPr>
          <w:rFonts w:eastAsia="Times New Roman"/>
          <w:b/>
          <w:bCs/>
          <w:color w:val="000000"/>
          <w:sz w:val="18"/>
          <w:szCs w:val="18"/>
        </w:rPr>
        <w:t>OR</w:t>
      </w:r>
    </w:p>
    <w:p w:rsidR="00000000" w:rsidRDefault="00183441">
      <w:pPr>
        <w:divId w:val="241062608"/>
        <w:rPr>
          <w:rFonts w:eastAsia="Times New Roman"/>
        </w:rPr>
      </w:pPr>
      <w:r>
        <w:rPr>
          <w:rFonts w:ascii="Segoe UI Symbol" w:eastAsia="Times New Roman" w:hAnsi="Segoe UI Symbol" w:cs="Segoe UI Symbol"/>
          <w:color w:val="000000"/>
          <w:sz w:val="22"/>
          <w:szCs w:val="22"/>
        </w:rPr>
        <w:t>☐</w:t>
      </w:r>
      <w:r>
        <w:rPr>
          <w:rFonts w:eastAsia="Times New Roman"/>
          <w:b/>
          <w:bCs/>
          <w:color w:val="000000"/>
          <w:sz w:val="22"/>
          <w:szCs w:val="22"/>
        </w:rPr>
        <w:t xml:space="preserve"> TRANSITION REPORT PURSUANT TO SECTION 13 </w:t>
      </w:r>
      <w:r>
        <w:rPr>
          <w:rFonts w:eastAsia="Times New Roman"/>
          <w:b/>
          <w:bCs/>
          <w:color w:val="000000"/>
          <w:sz w:val="22"/>
          <w:szCs w:val="22"/>
        </w:rPr>
        <w:t>OR 15(d) OF THE SECURITIES EXCHANGE ACT OF 1934</w:t>
      </w:r>
    </w:p>
    <w:p w:rsidR="00000000" w:rsidRDefault="00183441">
      <w:pPr>
        <w:jc w:val="center"/>
        <w:divId w:val="535236792"/>
        <w:rPr>
          <w:rFonts w:eastAsia="Times New Roman"/>
        </w:rPr>
      </w:pPr>
      <w:r>
        <w:rPr>
          <w:rFonts w:eastAsia="Times New Roman"/>
          <w:b/>
          <w:bCs/>
          <w:color w:val="000000"/>
          <w:sz w:val="18"/>
          <w:szCs w:val="18"/>
        </w:rPr>
        <w:t>For the transition period from           to         </w:t>
      </w:r>
    </w:p>
    <w:p w:rsidR="00000000" w:rsidRDefault="00183441">
      <w:pPr>
        <w:jc w:val="center"/>
        <w:divId w:val="1956788090"/>
        <w:rPr>
          <w:rFonts w:eastAsia="Times New Roman"/>
        </w:rPr>
      </w:pPr>
      <w:r>
        <w:rPr>
          <w:rFonts w:eastAsia="Times New Roman"/>
          <w:b/>
          <w:bCs/>
          <w:color w:val="000000"/>
          <w:sz w:val="18"/>
          <w:szCs w:val="18"/>
        </w:rPr>
        <w:t xml:space="preserve">Commission file number 001-38257 </w:t>
      </w:r>
    </w:p>
    <w:p w:rsidR="00000000" w:rsidRDefault="00183441">
      <w:pPr>
        <w:jc w:val="center"/>
        <w:divId w:val="1642690144"/>
        <w:rPr>
          <w:rFonts w:eastAsia="Times New Roman"/>
        </w:rPr>
      </w:pPr>
      <w:r>
        <w:rPr>
          <w:rFonts w:eastAsia="Times New Roman"/>
          <w:b/>
          <w:bCs/>
          <w:color w:val="000000"/>
          <w:sz w:val="12"/>
          <w:szCs w:val="12"/>
        </w:rPr>
        <w:t>_______________________________________________________________________</w:t>
      </w:r>
    </w:p>
    <w:p w:rsidR="00000000" w:rsidRDefault="00183441">
      <w:pPr>
        <w:jc w:val="center"/>
        <w:rPr>
          <w:rFonts w:eastAsia="Times New Roman"/>
        </w:rPr>
      </w:pPr>
      <w:r>
        <w:rPr>
          <w:rFonts w:eastAsia="Times New Roman"/>
          <w:b/>
          <w:bCs/>
          <w:color w:val="000000"/>
          <w:sz w:val="32"/>
          <w:szCs w:val="32"/>
        </w:rPr>
        <w:t>National Vision Holdings, Inc.</w:t>
      </w:r>
    </w:p>
    <w:p w:rsidR="00000000" w:rsidRDefault="00183441">
      <w:pPr>
        <w:jc w:val="center"/>
        <w:divId w:val="1887137598"/>
        <w:rPr>
          <w:rFonts w:eastAsia="Times New Roman"/>
        </w:rPr>
      </w:pPr>
      <w:r>
        <w:rPr>
          <w:rFonts w:eastAsia="Times New Roman"/>
          <w:color w:val="000000"/>
          <w:sz w:val="20"/>
          <w:szCs w:val="20"/>
        </w:rPr>
        <w:t>(Exact name of reg</w:t>
      </w:r>
      <w:r>
        <w:rPr>
          <w:rFonts w:eastAsia="Times New Roman"/>
          <w:color w:val="000000"/>
          <w:sz w:val="20"/>
          <w:szCs w:val="20"/>
        </w:rPr>
        <w:t>istrant as specified in its charter)</w:t>
      </w:r>
    </w:p>
    <w:p w:rsidR="00000000" w:rsidRDefault="00183441">
      <w:pPr>
        <w:jc w:val="center"/>
        <w:rPr>
          <w:rFonts w:eastAsia="Times New Roman"/>
        </w:rPr>
      </w:pPr>
      <w:r>
        <w:rPr>
          <w:rFonts w:eastAsia="Times New Roman"/>
          <w:b/>
          <w:bCs/>
          <w:color w:val="000000"/>
          <w:sz w:val="12"/>
          <w:szCs w:val="12"/>
        </w:rPr>
        <w:t>_______________________________________________________________________</w:t>
      </w:r>
    </w:p>
    <w:tbl>
      <w:tblPr>
        <w:tblW w:w="10440" w:type="dxa"/>
        <w:jc w:val="center"/>
        <w:tblCellMar>
          <w:top w:w="15" w:type="dxa"/>
          <w:left w:w="15" w:type="dxa"/>
          <w:bottom w:w="15" w:type="dxa"/>
          <w:right w:w="15" w:type="dxa"/>
        </w:tblCellMar>
        <w:tblLook w:val="04A0" w:firstRow="1" w:lastRow="0" w:firstColumn="1" w:lastColumn="0" w:noHBand="0" w:noVBand="1"/>
      </w:tblPr>
      <w:tblGrid>
        <w:gridCol w:w="36"/>
        <w:gridCol w:w="4835"/>
        <w:gridCol w:w="36"/>
        <w:gridCol w:w="36"/>
        <w:gridCol w:w="554"/>
        <w:gridCol w:w="36"/>
        <w:gridCol w:w="36"/>
        <w:gridCol w:w="4835"/>
        <w:gridCol w:w="36"/>
      </w:tblGrid>
      <w:tr w:rsidR="00000000">
        <w:trPr>
          <w:divId w:val="818811594"/>
          <w:jc w:val="center"/>
        </w:trPr>
        <w:tc>
          <w:tcPr>
            <w:tcW w:w="20" w:type="dxa"/>
            <w:vAlign w:val="center"/>
            <w:hideMark/>
          </w:tcPr>
          <w:p w:rsidR="00000000" w:rsidRDefault="00183441">
            <w:pPr>
              <w:jc w:val="center"/>
              <w:rPr>
                <w:rFonts w:eastAsia="Times New Roman"/>
              </w:rPr>
            </w:pPr>
          </w:p>
        </w:tc>
        <w:tc>
          <w:tcPr>
            <w:tcW w:w="488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56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488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r>
      <w:tr w:rsidR="00000000">
        <w:trPr>
          <w:divId w:val="818811594"/>
          <w:trHeight w:val="240"/>
          <w:jc w:val="center"/>
        </w:trPr>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8"/>
                <w:szCs w:val="18"/>
              </w:rPr>
              <w:t>Delaware</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8"/>
                <w:szCs w:val="18"/>
              </w:rPr>
              <w:t>46-4841717</w:t>
            </w:r>
          </w:p>
        </w:tc>
      </w:tr>
      <w:tr w:rsidR="00000000">
        <w:trPr>
          <w:divId w:val="818811594"/>
          <w:trHeight w:val="460"/>
          <w:jc w:val="center"/>
        </w:trPr>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(State or other jurisdiction of</w:t>
            </w:r>
            <w:r>
              <w:rPr>
                <w:rFonts w:eastAsia="Times New Roman"/>
                <w:color w:val="000000"/>
                <w:sz w:val="18"/>
                <w:szCs w:val="18"/>
              </w:rPr>
              <w:br/>
              <w:t>incorporation or organization)</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(I.R.S. Employer</w:t>
            </w:r>
            <w:r>
              <w:rPr>
                <w:rFonts w:eastAsia="Times New Roman"/>
                <w:color w:val="000000"/>
                <w:sz w:val="18"/>
                <w:szCs w:val="18"/>
              </w:rPr>
              <w:br/>
            </w:r>
            <w:r>
              <w:rPr>
                <w:rFonts w:eastAsia="Times New Roman"/>
                <w:color w:val="000000"/>
                <w:sz w:val="18"/>
                <w:szCs w:val="18"/>
              </w:rPr>
              <w:t>Identification No.)</w:t>
            </w:r>
          </w:p>
        </w:tc>
      </w:tr>
      <w:tr w:rsidR="00000000">
        <w:trPr>
          <w:divId w:val="818811594"/>
          <w:trHeight w:val="60"/>
          <w:jc w:val="center"/>
        </w:trPr>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818811594"/>
          <w:trHeight w:val="240"/>
          <w:jc w:val="center"/>
        </w:trPr>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8"/>
                <w:szCs w:val="18"/>
              </w:rPr>
              <w:t>2435 Commerce Ave</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 </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r>
      <w:tr w:rsidR="00000000">
        <w:trPr>
          <w:divId w:val="818811594"/>
          <w:trHeight w:val="240"/>
          <w:jc w:val="center"/>
        </w:trPr>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8"/>
                <w:szCs w:val="18"/>
              </w:rPr>
              <w:t>Building 2200</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8"/>
                <w:szCs w:val="18"/>
              </w:rPr>
              <w:t>30096</w:t>
            </w:r>
          </w:p>
        </w:tc>
      </w:tr>
      <w:tr w:rsidR="00000000">
        <w:trPr>
          <w:divId w:val="818811594"/>
          <w:trHeight w:val="240"/>
          <w:jc w:val="center"/>
        </w:trPr>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8"/>
                <w:szCs w:val="18"/>
              </w:rPr>
              <w:t>Duluth, Georgia</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(Zip Code)</w:t>
            </w:r>
          </w:p>
        </w:tc>
      </w:tr>
      <w:tr w:rsidR="00000000">
        <w:trPr>
          <w:divId w:val="818811594"/>
          <w:trHeight w:val="240"/>
          <w:jc w:val="center"/>
        </w:trPr>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(Address of principal executive offices)</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r>
    </w:tbl>
    <w:p w:rsidR="00000000" w:rsidRDefault="00183441">
      <w:pPr>
        <w:jc w:val="center"/>
        <w:rPr>
          <w:rFonts w:eastAsia="Times New Roman"/>
        </w:rPr>
      </w:pPr>
      <w:r>
        <w:rPr>
          <w:rFonts w:eastAsia="Times New Roman"/>
          <w:b/>
          <w:bCs/>
          <w:color w:val="000000"/>
          <w:sz w:val="18"/>
          <w:szCs w:val="18"/>
        </w:rPr>
        <w:t>(770) 822</w:t>
      </w:r>
      <w:r>
        <w:rPr>
          <w:rFonts w:eastAsia="Times New Roman"/>
          <w:b/>
          <w:bCs/>
          <w:color w:val="000000"/>
          <w:sz w:val="18"/>
          <w:szCs w:val="18"/>
        </w:rPr>
        <w:noBreakHyphen/>
        <w:t xml:space="preserve">3600 </w:t>
      </w:r>
    </w:p>
    <w:p w:rsidR="00000000" w:rsidRDefault="00183441">
      <w:pPr>
        <w:jc w:val="center"/>
        <w:divId w:val="1358043557"/>
        <w:rPr>
          <w:rFonts w:eastAsia="Times New Roman"/>
        </w:rPr>
      </w:pPr>
      <w:r>
        <w:rPr>
          <w:rFonts w:eastAsia="Times New Roman"/>
          <w:color w:val="000000"/>
          <w:sz w:val="18"/>
          <w:szCs w:val="18"/>
        </w:rPr>
        <w:t>(Registrant’</w:t>
      </w:r>
      <w:r>
        <w:rPr>
          <w:rFonts w:eastAsia="Times New Roman"/>
          <w:color w:val="000000"/>
          <w:sz w:val="18"/>
          <w:szCs w:val="18"/>
        </w:rPr>
        <w:t>s telephone number, including area code)</w:t>
      </w:r>
    </w:p>
    <w:p w:rsidR="00000000" w:rsidRDefault="00183441">
      <w:pPr>
        <w:jc w:val="center"/>
        <w:rPr>
          <w:rFonts w:eastAsia="Times New Roman"/>
        </w:rPr>
      </w:pPr>
      <w:r>
        <w:rPr>
          <w:rFonts w:eastAsia="Times New Roman"/>
          <w:b/>
          <w:bCs/>
          <w:color w:val="000000"/>
          <w:sz w:val="18"/>
          <w:szCs w:val="18"/>
        </w:rPr>
        <w:t>Not Applicable</w:t>
      </w:r>
    </w:p>
    <w:p w:rsidR="00000000" w:rsidRDefault="00183441">
      <w:pPr>
        <w:jc w:val="center"/>
        <w:divId w:val="1576890767"/>
        <w:rPr>
          <w:rFonts w:eastAsia="Times New Roman"/>
        </w:rPr>
      </w:pPr>
      <w:r>
        <w:rPr>
          <w:rFonts w:eastAsia="Times New Roman"/>
          <w:color w:val="000000"/>
          <w:sz w:val="18"/>
          <w:szCs w:val="18"/>
        </w:rPr>
        <w:t>(Former name, former address and former fiscal year, if changed since last report)</w:t>
      </w:r>
    </w:p>
    <w:p w:rsidR="00000000" w:rsidRDefault="00183441">
      <w:pPr>
        <w:jc w:val="center"/>
        <w:divId w:val="767971780"/>
        <w:rPr>
          <w:rFonts w:eastAsia="Times New Roman"/>
        </w:rPr>
      </w:pPr>
      <w:r>
        <w:rPr>
          <w:rFonts w:eastAsia="Times New Roman"/>
          <w:b/>
          <w:bCs/>
          <w:color w:val="000000"/>
          <w:sz w:val="12"/>
          <w:szCs w:val="12"/>
        </w:rPr>
        <w:t>_______________________________________________________________________</w:t>
      </w:r>
    </w:p>
    <w:p w:rsidR="00000000" w:rsidRDefault="00183441">
      <w:pPr>
        <w:jc w:val="center"/>
        <w:divId w:val="1951356810"/>
        <w:rPr>
          <w:rFonts w:eastAsia="Times New Roman"/>
        </w:rPr>
      </w:pPr>
      <w:r>
        <w:rPr>
          <w:rFonts w:eastAsia="Times New Roman"/>
          <w:b/>
          <w:bCs/>
          <w:color w:val="000000"/>
          <w:sz w:val="18"/>
          <w:szCs w:val="18"/>
        </w:rPr>
        <w:t>Securities registered pursuant to Section 12(</w:t>
      </w:r>
      <w:r>
        <w:rPr>
          <w:rFonts w:eastAsia="Times New Roman"/>
          <w:b/>
          <w:bCs/>
          <w:color w:val="000000"/>
          <w:sz w:val="18"/>
          <w:szCs w:val="18"/>
        </w:rPr>
        <w:t>b) of the Act</w:t>
      </w:r>
    </w:p>
    <w:tbl>
      <w:tblPr>
        <w:tblW w:w="4195" w:type="pct"/>
        <w:jc w:val="center"/>
        <w:tblCellMar>
          <w:top w:w="15" w:type="dxa"/>
          <w:left w:w="15" w:type="dxa"/>
          <w:bottom w:w="15" w:type="dxa"/>
          <w:right w:w="15" w:type="dxa"/>
        </w:tblCellMar>
        <w:tblLook w:val="04A0" w:firstRow="1" w:lastRow="0" w:firstColumn="1" w:lastColumn="0" w:noHBand="0" w:noVBand="1"/>
      </w:tblPr>
      <w:tblGrid>
        <w:gridCol w:w="44"/>
        <w:gridCol w:w="2702"/>
        <w:gridCol w:w="37"/>
        <w:gridCol w:w="36"/>
        <w:gridCol w:w="36"/>
        <w:gridCol w:w="36"/>
        <w:gridCol w:w="46"/>
        <w:gridCol w:w="1120"/>
        <w:gridCol w:w="36"/>
        <w:gridCol w:w="36"/>
        <w:gridCol w:w="36"/>
        <w:gridCol w:w="36"/>
        <w:gridCol w:w="37"/>
        <w:gridCol w:w="2695"/>
        <w:gridCol w:w="36"/>
      </w:tblGrid>
      <w:tr w:rsidR="00000000">
        <w:trPr>
          <w:divId w:val="726957509"/>
          <w:jc w:val="center"/>
        </w:trPr>
        <w:tc>
          <w:tcPr>
            <w:tcW w:w="50" w:type="pct"/>
            <w:vAlign w:val="center"/>
            <w:hideMark/>
          </w:tcPr>
          <w:p w:rsidR="00000000" w:rsidRDefault="00183441">
            <w:pPr>
              <w:jc w:val="center"/>
              <w:rPr>
                <w:rFonts w:eastAsia="Times New Roman"/>
              </w:rPr>
            </w:pPr>
          </w:p>
        </w:tc>
        <w:tc>
          <w:tcPr>
            <w:tcW w:w="195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83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95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726957509"/>
          <w:jc w:val="center"/>
        </w:trPr>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8"/>
                <w:szCs w:val="18"/>
              </w:rPr>
              <w:t xml:space="preserve">Title of each class </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8"/>
                <w:szCs w:val="18"/>
              </w:rPr>
              <w:t>Trading Symbol(s)</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8"/>
                <w:szCs w:val="18"/>
              </w:rPr>
              <w:t>Name of each exchange on which registered</w:t>
            </w:r>
          </w:p>
        </w:tc>
      </w:tr>
      <w:tr w:rsidR="00000000">
        <w:trPr>
          <w:divId w:val="726957509"/>
          <w:jc w:val="center"/>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Common Stock, par value $0.01 per share</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EYE</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NASDAQ</w:t>
            </w:r>
          </w:p>
        </w:tc>
      </w:tr>
    </w:tbl>
    <w:p w:rsidR="00000000" w:rsidRDefault="00183441">
      <w:pPr>
        <w:divId w:val="681129738"/>
        <w:rPr>
          <w:rFonts w:eastAsia="Times New Roman"/>
        </w:rPr>
      </w:pPr>
      <w:r>
        <w:rPr>
          <w:rFonts w:eastAsia="Times New Roman"/>
          <w:color w:val="000000"/>
          <w:sz w:val="18"/>
          <w:szCs w:val="18"/>
        </w:rPr>
        <w:t xml:space="preserve">Indicate by check mark whether the registrant (1) has filed all reports required to be filed by Section 13 or 15 (d) of the Securities Exchange Act of 1934 during the preceding 12 months (or for such shorter period that the registrant was required to file </w:t>
      </w:r>
      <w:r>
        <w:rPr>
          <w:rFonts w:eastAsia="Times New Roman"/>
          <w:color w:val="000000"/>
          <w:sz w:val="18"/>
          <w:szCs w:val="18"/>
        </w:rPr>
        <w:t>such reports), and (2) has been subject to such filing requirements for the past 90 days.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183441">
      <w:pPr>
        <w:divId w:val="133183956"/>
        <w:rPr>
          <w:rFonts w:eastAsia="Times New Roman"/>
        </w:rPr>
      </w:pPr>
      <w:r>
        <w:rPr>
          <w:rFonts w:eastAsia="Times New Roman"/>
          <w:color w:val="000000"/>
          <w:sz w:val="18"/>
          <w:szCs w:val="18"/>
        </w:rPr>
        <w:t>Indicate by check mark whether the registrant has submitted electronically every Interactive Data File required to be submitted pursuant to Rule 405 of</w:t>
      </w:r>
      <w:r>
        <w:rPr>
          <w:rFonts w:eastAsia="Times New Roman"/>
          <w:color w:val="000000"/>
          <w:sz w:val="18"/>
          <w:szCs w:val="18"/>
        </w:rPr>
        <w:t xml:space="preserve"> Regulation S-T during the preceding 12 months (or for such shorter period that the registrant was required to submit such files).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183441">
      <w:pPr>
        <w:divId w:val="500855314"/>
        <w:rPr>
          <w:rFonts w:eastAsia="Times New Roman"/>
        </w:rPr>
      </w:pPr>
      <w:r>
        <w:rPr>
          <w:rFonts w:eastAsia="Times New Roman"/>
          <w:color w:val="000000"/>
          <w:sz w:val="18"/>
          <w:szCs w:val="18"/>
        </w:rPr>
        <w:t>Indicate by check mark whether the registrant is a large accelerated filer, an accelerated filer, a non-accele</w:t>
      </w:r>
      <w:r>
        <w:rPr>
          <w:rFonts w:eastAsia="Times New Roman"/>
          <w:color w:val="000000"/>
          <w:sz w:val="18"/>
          <w:szCs w:val="18"/>
        </w:rPr>
        <w:t xml:space="preserve">rated filer, a smaller reporting company, or an emerging growth company. See the definitions of “large accelerated </w:t>
      </w:r>
      <w:r>
        <w:rPr>
          <w:rFonts w:eastAsia="Times New Roman"/>
          <w:color w:val="000000"/>
          <w:sz w:val="18"/>
          <w:szCs w:val="18"/>
        </w:rPr>
        <w:lastRenderedPageBreak/>
        <w:t>filer,” “accelerated filer,” “smaller reporting company,” and “emerging growth company” in Rule 12b-2 of the Exchange Act.</w:t>
      </w:r>
    </w:p>
    <w:tbl>
      <w:tblPr>
        <w:tblW w:w="10320" w:type="dxa"/>
        <w:tblCellMar>
          <w:top w:w="15" w:type="dxa"/>
          <w:left w:w="15" w:type="dxa"/>
          <w:bottom w:w="15" w:type="dxa"/>
          <w:right w:w="15" w:type="dxa"/>
        </w:tblCellMar>
        <w:tblLook w:val="04A0" w:firstRow="1" w:lastRow="0" w:firstColumn="1" w:lastColumn="0" w:noHBand="0" w:noVBand="1"/>
      </w:tblPr>
      <w:tblGrid>
        <w:gridCol w:w="37"/>
        <w:gridCol w:w="1595"/>
        <w:gridCol w:w="36"/>
        <w:gridCol w:w="36"/>
        <w:gridCol w:w="2316"/>
        <w:gridCol w:w="36"/>
        <w:gridCol w:w="36"/>
        <w:gridCol w:w="300"/>
        <w:gridCol w:w="36"/>
        <w:gridCol w:w="36"/>
        <w:gridCol w:w="1377"/>
        <w:gridCol w:w="36"/>
        <w:gridCol w:w="36"/>
        <w:gridCol w:w="2317"/>
        <w:gridCol w:w="36"/>
        <w:gridCol w:w="36"/>
        <w:gridCol w:w="315"/>
        <w:gridCol w:w="36"/>
        <w:gridCol w:w="36"/>
        <w:gridCol w:w="1595"/>
        <w:gridCol w:w="36"/>
      </w:tblGrid>
      <w:tr w:rsidR="00000000">
        <w:trPr>
          <w:divId w:val="240796894"/>
        </w:trPr>
        <w:tc>
          <w:tcPr>
            <w:tcW w:w="20" w:type="dxa"/>
            <w:vAlign w:val="center"/>
            <w:hideMark/>
          </w:tcPr>
          <w:p w:rsidR="00000000" w:rsidRDefault="00183441">
            <w:pPr>
              <w:rPr>
                <w:rFonts w:eastAsia="Times New Roman"/>
              </w:rPr>
            </w:pPr>
          </w:p>
        </w:tc>
        <w:tc>
          <w:tcPr>
            <w:tcW w:w="164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36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305"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1415"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36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32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c>
          <w:tcPr>
            <w:tcW w:w="1640" w:type="dxa"/>
            <w:vAlign w:val="center"/>
            <w:hideMark/>
          </w:tcPr>
          <w:p w:rsidR="00000000" w:rsidRDefault="00183441">
            <w:pPr>
              <w:spacing w:after="100"/>
              <w:rPr>
                <w:rFonts w:eastAsia="Times New Roman"/>
                <w:sz w:val="20"/>
                <w:szCs w:val="20"/>
              </w:rPr>
            </w:pPr>
          </w:p>
        </w:tc>
        <w:tc>
          <w:tcPr>
            <w:tcW w:w="20" w:type="dxa"/>
            <w:vAlign w:val="center"/>
            <w:hideMark/>
          </w:tcPr>
          <w:p w:rsidR="00000000" w:rsidRDefault="00183441">
            <w:pPr>
              <w:spacing w:after="100"/>
              <w:rPr>
                <w:rFonts w:eastAsia="Times New Roman"/>
                <w:sz w:val="20"/>
                <w:szCs w:val="20"/>
              </w:rPr>
            </w:pPr>
          </w:p>
        </w:tc>
      </w:tr>
      <w:tr w:rsidR="00000000">
        <w:trPr>
          <w:divId w:val="240796894"/>
          <w:trHeight w:val="240"/>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Large accelerated filer</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Accelerated filer</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r>
      <w:tr w:rsidR="00000000">
        <w:trPr>
          <w:divId w:val="240796894"/>
          <w:trHeight w:val="240"/>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hideMark/>
          </w:tcPr>
          <w:p w:rsidR="00000000" w:rsidRDefault="00183441">
            <w:pPr>
              <w:spacing w:after="100"/>
              <w:jc w:val="center"/>
              <w:rPr>
                <w:rFonts w:eastAsia="Times New Roman"/>
              </w:rPr>
            </w:pPr>
            <w:r>
              <w:rPr>
                <w:rFonts w:eastAsia="Times New Roman"/>
                <w:color w:val="000000"/>
                <w:sz w:val="18"/>
                <w:szCs w:val="18"/>
              </w:rPr>
              <w:t>Non-accelerated filer</w:t>
            </w:r>
          </w:p>
        </w:tc>
        <w:tc>
          <w:tcPr>
            <w:tcW w:w="0" w:type="auto"/>
            <w:gridSpan w:val="3"/>
            <w:tcMar>
              <w:top w:w="30" w:type="dxa"/>
              <w:left w:w="20" w:type="dxa"/>
              <w:bottom w:w="30" w:type="dxa"/>
              <w:right w:w="20" w:type="dxa"/>
            </w:tcMar>
            <w:hideMark/>
          </w:tcPr>
          <w:p w:rsidR="00000000" w:rsidRDefault="00183441">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Smaller reporting company</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r>
      <w:tr w:rsidR="00000000">
        <w:trPr>
          <w:divId w:val="240796894"/>
          <w:trHeight w:val="240"/>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Emerging growth company</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ascii="Segoe UI Symbol" w:eastAsia="Times New Roman" w:hAnsi="Segoe UI Symbol" w:cs="Segoe UI Symbol"/>
                <w:color w:val="000000"/>
                <w:sz w:val="18"/>
                <w:szCs w:val="18"/>
              </w:rPr>
              <w:t>☐</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r>
    </w:tbl>
    <w:p w:rsidR="00000000" w:rsidRDefault="00183441">
      <w:pPr>
        <w:divId w:val="54356934"/>
        <w:rPr>
          <w:rFonts w:eastAsia="Times New Roman"/>
        </w:rPr>
      </w:pPr>
      <w:r>
        <w:rPr>
          <w:rFonts w:eastAsia="Times New Roman"/>
          <w:color w:val="000000"/>
          <w:sz w:val="18"/>
          <w:szCs w:val="18"/>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18"/>
          <w:szCs w:val="18"/>
        </w:rPr>
        <w:t>☐</w:t>
      </w:r>
    </w:p>
    <w:p w:rsidR="00000000" w:rsidRDefault="00183441">
      <w:pPr>
        <w:divId w:val="950556138"/>
        <w:rPr>
          <w:rFonts w:eastAsia="Times New Roman"/>
        </w:rPr>
      </w:pPr>
      <w:r>
        <w:rPr>
          <w:rFonts w:eastAsia="Times New Roman"/>
          <w:color w:val="000000"/>
          <w:sz w:val="18"/>
          <w:szCs w:val="18"/>
        </w:rPr>
        <w:t>Ind</w:t>
      </w:r>
      <w:r>
        <w:rPr>
          <w:rFonts w:eastAsia="Times New Roman"/>
          <w:color w:val="000000"/>
          <w:sz w:val="18"/>
          <w:szCs w:val="18"/>
        </w:rPr>
        <w:t>icate by check mark whether the registrant is a shell company (as defined in Rule 12b-2 of the Exchange Act). Yes  </w:t>
      </w:r>
      <w:r>
        <w:rPr>
          <w:rFonts w:ascii="Segoe UI Symbol" w:eastAsia="Times New Roman" w:hAnsi="Segoe UI Symbol" w:cs="Segoe UI Symbol"/>
          <w:color w:val="000000"/>
          <w:sz w:val="18"/>
          <w:szCs w:val="18"/>
        </w:rPr>
        <w:t>☐</w:t>
      </w:r>
      <w:r>
        <w:rPr>
          <w:rFonts w:eastAsia="Times New Roman"/>
          <w:color w:val="000000"/>
          <w:sz w:val="18"/>
          <w:szCs w:val="18"/>
        </w:rPr>
        <w:t>  No  </w:t>
      </w:r>
      <w:r>
        <w:rPr>
          <w:rFonts w:ascii="Segoe UI Symbol" w:eastAsia="Times New Roman" w:hAnsi="Segoe UI Symbol" w:cs="Segoe UI Symbol"/>
          <w:color w:val="000000"/>
          <w:sz w:val="18"/>
          <w:szCs w:val="18"/>
        </w:rPr>
        <w:t>☒</w:t>
      </w:r>
    </w:p>
    <w:p w:rsidR="00000000" w:rsidRDefault="00183441">
      <w:pPr>
        <w:divId w:val="571165215"/>
        <w:rPr>
          <w:rFonts w:eastAsia="Times New Roman"/>
        </w:rPr>
      </w:pPr>
      <w:r>
        <w:rPr>
          <w:rFonts w:eastAsia="Times New Roman"/>
          <w:color w:val="000000"/>
          <w:sz w:val="18"/>
          <w:szCs w:val="18"/>
        </w:rPr>
        <w:t xml:space="preserve">Indicate the number of shares outstanding of each of the issuer’s classes of common stock, as of the latest practicable date. </w:t>
      </w:r>
    </w:p>
    <w:tbl>
      <w:tblPr>
        <w:tblW w:w="5000" w:type="pct"/>
        <w:tblCellMar>
          <w:top w:w="15" w:type="dxa"/>
          <w:left w:w="15" w:type="dxa"/>
          <w:bottom w:w="15" w:type="dxa"/>
          <w:right w:w="15" w:type="dxa"/>
        </w:tblCellMar>
        <w:tblLook w:val="04A0" w:firstRow="1" w:lastRow="0" w:firstColumn="1" w:lastColumn="0" w:noHBand="0" w:noVBand="1"/>
      </w:tblPr>
      <w:tblGrid>
        <w:gridCol w:w="69"/>
        <w:gridCol w:w="3523"/>
        <w:gridCol w:w="36"/>
        <w:gridCol w:w="69"/>
        <w:gridCol w:w="945"/>
        <w:gridCol w:w="36"/>
        <w:gridCol w:w="69"/>
        <w:gridCol w:w="3523"/>
        <w:gridCol w:w="36"/>
      </w:tblGrid>
      <w:tr w:rsidR="00000000">
        <w:trPr>
          <w:divId w:val="1239556286"/>
        </w:trPr>
        <w:tc>
          <w:tcPr>
            <w:tcW w:w="50" w:type="pct"/>
            <w:vAlign w:val="center"/>
            <w:hideMark/>
          </w:tcPr>
          <w:p w:rsidR="00000000" w:rsidRDefault="00183441">
            <w:pPr>
              <w:rPr>
                <w:rFonts w:eastAsia="Times New Roman"/>
              </w:rPr>
            </w:pPr>
          </w:p>
        </w:tc>
        <w:tc>
          <w:tcPr>
            <w:tcW w:w="2128"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7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2128"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239556286"/>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Class</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 </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Outstanding at October 28, 2022</w:t>
            </w:r>
          </w:p>
        </w:tc>
      </w:tr>
      <w:tr w:rsidR="00000000">
        <w:trPr>
          <w:divId w:val="1239556286"/>
        </w:trPr>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Common stock, $0.01 par value</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78,912,459</w:t>
            </w:r>
          </w:p>
        </w:tc>
      </w:tr>
    </w:tbl>
    <w:tbl>
      <w:tblPr>
        <w:tblW w:w="5000" w:type="pct"/>
        <w:tblCellMar>
          <w:top w:w="15" w:type="dxa"/>
          <w:left w:w="15" w:type="dxa"/>
          <w:bottom w:w="15" w:type="dxa"/>
          <w:right w:w="15" w:type="dxa"/>
        </w:tblCellMar>
        <w:tblLook w:val="04A0" w:firstRow="1" w:lastRow="0" w:firstColumn="1" w:lastColumn="0" w:noHBand="0" w:noVBand="1"/>
      </w:tblPr>
      <w:tblGrid>
        <w:gridCol w:w="69"/>
        <w:gridCol w:w="8201"/>
        <w:gridCol w:w="36"/>
      </w:tblGrid>
      <w:tr w:rsidR="00000000">
        <w:tc>
          <w:tcPr>
            <w:tcW w:w="50" w:type="pct"/>
            <w:vAlign w:val="center"/>
            <w:hideMark/>
          </w:tcPr>
          <w:p w:rsidR="00000000" w:rsidRDefault="00183441">
            <w:pPr>
              <w:rPr>
                <w:rFonts w:eastAsia="Times New Roman"/>
              </w:rPr>
            </w:pPr>
          </w:p>
        </w:tc>
        <w:tc>
          <w:tcPr>
            <w:tcW w:w="494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trHeight w:val="60"/>
        </w:trPr>
        <w:tc>
          <w:tcPr>
            <w:tcW w:w="0" w:type="auto"/>
            <w:gridSpan w:val="3"/>
            <w:tcBorders>
              <w:top w:val="single" w:sz="8" w:space="0" w:color="000000"/>
              <w:bottom w:val="single" w:sz="18" w:space="0" w:color="000000"/>
            </w:tcBorders>
            <w:tcMar>
              <w:top w:w="0" w:type="dxa"/>
              <w:left w:w="20" w:type="dxa"/>
              <w:bottom w:w="0" w:type="dxa"/>
              <w:right w:w="20" w:type="dxa"/>
            </w:tcMar>
            <w:vAlign w:val="center"/>
            <w:hideMark/>
          </w:tcPr>
          <w:p w:rsidR="00000000" w:rsidRDefault="00183441">
            <w:pPr>
              <w:spacing w:after="100"/>
              <w:rPr>
                <w:rFonts w:eastAsia="Times New Roman"/>
                <w:sz w:val="20"/>
                <w:szCs w:val="20"/>
              </w:rPr>
            </w:pPr>
          </w:p>
        </w:tc>
      </w:tr>
    </w:tbl>
    <w:p w:rsidR="00000000" w:rsidRDefault="00183441">
      <w:pPr>
        <w:divId w:val="535775102"/>
        <w:rPr>
          <w:rFonts w:eastAsia="Times New Roman"/>
        </w:rPr>
      </w:pPr>
    </w:p>
    <w:p w:rsidR="00000000" w:rsidRDefault="00183441">
      <w:pPr>
        <w:rPr>
          <w:rFonts w:eastAsia="Times New Roman"/>
        </w:rPr>
      </w:pPr>
      <w:r>
        <w:rPr>
          <w:rFonts w:eastAsia="Times New Roman"/>
        </w:rPr>
        <w:pict>
          <v:rect id="_x0000_i1025" style="width:0;height:1.5pt" o:hralign="center" o:hrstd="t" o:hr="t" fillcolor="#a0a0a0" stroked="f"/>
        </w:pict>
      </w:r>
    </w:p>
    <w:p w:rsidR="00000000" w:rsidRDefault="00183441">
      <w:pPr>
        <w:divId w:val="69890569"/>
        <w:rPr>
          <w:rFonts w:eastAsia="Times New Roman"/>
        </w:rPr>
      </w:pPr>
    </w:p>
    <w:p w:rsidR="00000000" w:rsidRDefault="00183441">
      <w:pPr>
        <w:jc w:val="center"/>
        <w:divId w:val="150757105"/>
        <w:rPr>
          <w:rFonts w:eastAsia="Times New Roman"/>
        </w:rPr>
      </w:pPr>
      <w:r>
        <w:rPr>
          <w:rFonts w:eastAsia="Times New Roman"/>
          <w:b/>
          <w:bCs/>
          <w:color w:val="000000"/>
          <w:sz w:val="22"/>
          <w:szCs w:val="22"/>
        </w:rPr>
        <w:t>NATIONAL VISION HOLDINGS, INC. AND SUBSIDIARIES</w:t>
      </w:r>
    </w:p>
    <w:p w:rsidR="00000000" w:rsidRDefault="00183441">
      <w:pPr>
        <w:jc w:val="both"/>
        <w:rPr>
          <w:rFonts w:eastAsia="Times New Roman"/>
        </w:rPr>
      </w:pPr>
    </w:p>
    <w:p w:rsidR="00000000" w:rsidRDefault="00183441">
      <w:pPr>
        <w:jc w:val="both"/>
        <w:rPr>
          <w:rFonts w:eastAsia="Times New Roman"/>
        </w:rPr>
      </w:pPr>
    </w:p>
    <w:p w:rsidR="00000000" w:rsidRDefault="00183441">
      <w:pPr>
        <w:jc w:val="center"/>
        <w:rPr>
          <w:rFonts w:eastAsia="Times New Roman"/>
        </w:rPr>
      </w:pPr>
      <w:r>
        <w:rPr>
          <w:rFonts w:eastAsia="Times New Roman"/>
          <w:b/>
          <w:bCs/>
          <w:color w:val="000000"/>
          <w:sz w:val="22"/>
          <w:szCs w:val="22"/>
        </w:rPr>
        <w:t>Table of Contents</w:t>
      </w:r>
    </w:p>
    <w:tbl>
      <w:tblPr>
        <w:tblW w:w="4858" w:type="pct"/>
        <w:jc w:val="center"/>
        <w:tblCellMar>
          <w:top w:w="15" w:type="dxa"/>
          <w:left w:w="15" w:type="dxa"/>
          <w:bottom w:w="15" w:type="dxa"/>
          <w:right w:w="15" w:type="dxa"/>
        </w:tblCellMar>
        <w:tblLook w:val="04A0" w:firstRow="1" w:lastRow="0" w:firstColumn="1" w:lastColumn="0" w:noHBand="0" w:noVBand="1"/>
      </w:tblPr>
      <w:tblGrid>
        <w:gridCol w:w="62"/>
        <w:gridCol w:w="225"/>
        <w:gridCol w:w="37"/>
        <w:gridCol w:w="62"/>
        <w:gridCol w:w="583"/>
        <w:gridCol w:w="37"/>
        <w:gridCol w:w="63"/>
        <w:gridCol w:w="6507"/>
        <w:gridCol w:w="37"/>
        <w:gridCol w:w="81"/>
        <w:gridCol w:w="340"/>
        <w:gridCol w:w="36"/>
      </w:tblGrid>
      <w:tr w:rsidR="00000000">
        <w:trPr>
          <w:divId w:val="965162956"/>
          <w:jc w:val="center"/>
        </w:trPr>
        <w:tc>
          <w:tcPr>
            <w:tcW w:w="50" w:type="pct"/>
            <w:vAlign w:val="center"/>
            <w:hideMark/>
          </w:tcPr>
          <w:p w:rsidR="00000000" w:rsidRDefault="00183441">
            <w:pPr>
              <w:jc w:val="center"/>
              <w:rPr>
                <w:rFonts w:eastAsia="Times New Roman"/>
              </w:rPr>
            </w:pPr>
          </w:p>
        </w:tc>
        <w:tc>
          <w:tcPr>
            <w:tcW w:w="15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7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04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21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83441">
            <w:pPr>
              <w:spacing w:after="100"/>
              <w:divId w:val="1845973747"/>
              <w:rPr>
                <w:rFonts w:eastAsia="Times New Roman"/>
              </w:rPr>
            </w:pPr>
            <w:r>
              <w:rPr>
                <w:rFonts w:eastAsia="Times New Roman"/>
                <w:color w:val="000000"/>
                <w:sz w:val="20"/>
                <w:szCs w:val="20"/>
              </w:rPr>
              <w:t>Page</w:t>
            </w:r>
          </w:p>
        </w:tc>
      </w:tr>
      <w:tr w:rsidR="00000000">
        <w:trPr>
          <w:divId w:val="965162956"/>
          <w:jc w:val="center"/>
        </w:trPr>
        <w:tc>
          <w:tcPr>
            <w:tcW w:w="0" w:type="auto"/>
            <w:gridSpan w:val="9"/>
            <w:tcMar>
              <w:top w:w="30" w:type="dxa"/>
              <w:left w:w="20" w:type="dxa"/>
              <w:bottom w:w="30" w:type="dxa"/>
              <w:right w:w="20" w:type="dxa"/>
            </w:tcMar>
            <w:vAlign w:val="center"/>
            <w:hideMark/>
          </w:tcPr>
          <w:p w:rsidR="00000000" w:rsidRDefault="00183441">
            <w:pPr>
              <w:spacing w:after="100"/>
              <w:divId w:val="1496147218"/>
              <w:rPr>
                <w:rFonts w:eastAsia="Times New Roman"/>
              </w:rPr>
            </w:pPr>
            <w:hyperlink w:anchor="i51b2a36d66cb4139a869f9e4043fbbb7_10" w:history="1">
              <w:r>
                <w:rPr>
                  <w:rStyle w:val="a3"/>
                  <w:rFonts w:eastAsia="Times New Roman"/>
                  <w:sz w:val="20"/>
                  <w:szCs w:val="20"/>
                </w:rPr>
                <w:t>SPECIAL NOTE REGARDING FORWARD-LOOKING STATEMENTS</w:t>
              </w:r>
            </w:hyperlink>
          </w:p>
        </w:tc>
        <w:tc>
          <w:tcPr>
            <w:tcW w:w="0" w:type="auto"/>
            <w:gridSpan w:val="3"/>
            <w:tcMar>
              <w:top w:w="30" w:type="dxa"/>
              <w:left w:w="20" w:type="dxa"/>
              <w:bottom w:w="30" w:type="dxa"/>
              <w:right w:w="20" w:type="dxa"/>
            </w:tcMar>
            <w:vAlign w:val="center"/>
            <w:hideMark/>
          </w:tcPr>
          <w:p w:rsidR="00000000" w:rsidRDefault="00183441">
            <w:pPr>
              <w:spacing w:after="100"/>
              <w:divId w:val="245892058"/>
              <w:rPr>
                <w:rFonts w:eastAsia="Times New Roman"/>
              </w:rPr>
            </w:pPr>
            <w:hyperlink w:anchor="i51b2a36d66cb4139a869f9e4043fbbb7_10" w:history="1">
              <w:r>
                <w:rPr>
                  <w:rStyle w:val="a3"/>
                  <w:rFonts w:eastAsia="Times New Roman"/>
                  <w:sz w:val="20"/>
                  <w:szCs w:val="20"/>
                </w:rPr>
                <w:t>3</w:t>
              </w:r>
            </w:hyperlink>
          </w:p>
        </w:tc>
      </w:tr>
      <w:tr w:rsidR="00000000">
        <w:trPr>
          <w:divId w:val="965162956"/>
          <w:jc w:val="center"/>
        </w:trPr>
        <w:tc>
          <w:tcPr>
            <w:tcW w:w="0" w:type="auto"/>
            <w:gridSpan w:val="9"/>
            <w:tcMar>
              <w:top w:w="30" w:type="dxa"/>
              <w:left w:w="20" w:type="dxa"/>
              <w:bottom w:w="30" w:type="dxa"/>
              <w:right w:w="20" w:type="dxa"/>
            </w:tcMar>
            <w:vAlign w:val="center"/>
            <w:hideMark/>
          </w:tcPr>
          <w:p w:rsidR="00000000" w:rsidRDefault="00183441">
            <w:pPr>
              <w:spacing w:after="100"/>
              <w:divId w:val="1014040716"/>
              <w:rPr>
                <w:rFonts w:eastAsia="Times New Roman"/>
              </w:rPr>
            </w:pPr>
            <w:hyperlink w:anchor="i51b2a36d66cb4139a869f9e4043fbbb7_16" w:history="1">
              <w:r>
                <w:rPr>
                  <w:rStyle w:val="a3"/>
                  <w:rFonts w:eastAsia="Times New Roman"/>
                  <w:sz w:val="20"/>
                  <w:szCs w:val="20"/>
                </w:rPr>
                <w:t>PART I – FINANCIAL INFORMATION</w:t>
              </w:r>
            </w:hyperlink>
          </w:p>
        </w:tc>
        <w:tc>
          <w:tcPr>
            <w:tcW w:w="0" w:type="auto"/>
            <w:gridSpan w:val="3"/>
            <w:tcMar>
              <w:top w:w="30" w:type="dxa"/>
              <w:left w:w="20" w:type="dxa"/>
              <w:bottom w:w="30" w:type="dxa"/>
              <w:right w:w="20" w:type="dxa"/>
            </w:tcMar>
            <w:vAlign w:val="center"/>
            <w:hideMark/>
          </w:tcPr>
          <w:p w:rsidR="00000000" w:rsidRDefault="00183441">
            <w:pPr>
              <w:spacing w:after="100"/>
              <w:divId w:val="1631010141"/>
              <w:rPr>
                <w:rFonts w:eastAsia="Times New Roman"/>
              </w:rPr>
            </w:pPr>
            <w:hyperlink w:anchor="i51b2a36d66cb4139a869f9e4043fbbb7_16" w:history="1">
              <w:r>
                <w:rPr>
                  <w:rStyle w:val="a3"/>
                  <w:rFonts w:eastAsia="Times New Roman"/>
                  <w:sz w:val="20"/>
                  <w:szCs w:val="20"/>
                </w:rPr>
                <w:t>5</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711920983"/>
              <w:rPr>
                <w:rFonts w:eastAsia="Times New Roman"/>
              </w:rPr>
            </w:pPr>
            <w:hyperlink w:anchor="i51b2a36d66cb4139a869f9e4043fbbb7_19"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183441">
            <w:pPr>
              <w:spacing w:after="100"/>
              <w:divId w:val="1542477375"/>
              <w:rPr>
                <w:rFonts w:eastAsia="Times New Roman"/>
              </w:rPr>
            </w:pPr>
            <w:hyperlink w:anchor="i51b2a36d66cb4139a869f9e4043fbbb7_19" w:history="1">
              <w:r>
                <w:rPr>
                  <w:rStyle w:val="a3"/>
                  <w:rFonts w:eastAsia="Times New Roman"/>
                  <w:sz w:val="20"/>
                  <w:szCs w:val="20"/>
                </w:rPr>
                <w:t>Financial Statements (Unaudited)</w:t>
              </w:r>
            </w:hyperlink>
          </w:p>
        </w:tc>
        <w:tc>
          <w:tcPr>
            <w:tcW w:w="0" w:type="auto"/>
            <w:gridSpan w:val="3"/>
            <w:tcMar>
              <w:top w:w="30" w:type="dxa"/>
              <w:left w:w="20" w:type="dxa"/>
              <w:bottom w:w="30" w:type="dxa"/>
              <w:right w:w="20" w:type="dxa"/>
            </w:tcMar>
            <w:vAlign w:val="center"/>
            <w:hideMark/>
          </w:tcPr>
          <w:p w:rsidR="00000000" w:rsidRDefault="00183441">
            <w:pPr>
              <w:spacing w:after="100"/>
              <w:divId w:val="1186361546"/>
              <w:rPr>
                <w:rFonts w:eastAsia="Times New Roman"/>
              </w:rPr>
            </w:pPr>
            <w:hyperlink w:anchor="i51b2a36d66cb4139a869f9e4043fbbb7_19" w:history="1">
              <w:r>
                <w:rPr>
                  <w:rStyle w:val="a3"/>
                  <w:rFonts w:eastAsia="Times New Roman"/>
                  <w:sz w:val="20"/>
                  <w:szCs w:val="20"/>
                </w:rPr>
                <w:t>5</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83441">
            <w:pPr>
              <w:spacing w:after="100"/>
              <w:ind w:hanging="360"/>
              <w:divId w:val="772676250"/>
              <w:rPr>
                <w:rFonts w:eastAsia="Times New Roman"/>
              </w:rPr>
            </w:pPr>
            <w:hyperlink w:anchor="i51b2a36d66cb4139a869f9e4043fbbb7_22" w:history="1">
              <w:r>
                <w:rPr>
                  <w:rStyle w:val="a3"/>
                  <w:rFonts w:eastAsia="Times New Roman"/>
                  <w:sz w:val="20"/>
                  <w:szCs w:val="20"/>
                </w:rPr>
                <w:t>Condensed Consolidated Balance Sheets</w:t>
              </w:r>
            </w:hyperlink>
          </w:p>
        </w:tc>
        <w:tc>
          <w:tcPr>
            <w:tcW w:w="0" w:type="auto"/>
            <w:gridSpan w:val="3"/>
            <w:tcMar>
              <w:top w:w="30" w:type="dxa"/>
              <w:left w:w="20" w:type="dxa"/>
              <w:bottom w:w="30" w:type="dxa"/>
              <w:right w:w="20" w:type="dxa"/>
            </w:tcMar>
            <w:vAlign w:val="center"/>
            <w:hideMark/>
          </w:tcPr>
          <w:p w:rsidR="00000000" w:rsidRDefault="00183441">
            <w:pPr>
              <w:spacing w:after="100"/>
              <w:divId w:val="527985950"/>
              <w:rPr>
                <w:rFonts w:eastAsia="Times New Roman"/>
              </w:rPr>
            </w:pPr>
            <w:hyperlink w:anchor="i51b2a36d66cb4139a869f9e4043fbbb7_22" w:history="1">
              <w:r>
                <w:rPr>
                  <w:rStyle w:val="a3"/>
                  <w:rFonts w:eastAsia="Times New Roman"/>
                  <w:sz w:val="20"/>
                  <w:szCs w:val="20"/>
                </w:rPr>
                <w:t>5</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83441">
            <w:pPr>
              <w:spacing w:after="100"/>
              <w:divId w:val="1161040380"/>
              <w:rPr>
                <w:rFonts w:eastAsia="Times New Roman"/>
              </w:rPr>
            </w:pPr>
            <w:hyperlink w:anchor="i51b2a36d66cb4139a869f9e4043fbbb7_25" w:history="1">
              <w:r>
                <w:rPr>
                  <w:rStyle w:val="a3"/>
                  <w:rFonts w:eastAsia="Times New Roman"/>
                  <w:sz w:val="20"/>
                  <w:szCs w:val="20"/>
                </w:rPr>
                <w:t>Condensed Consolidated Statements of Operations and Comprehensive Income</w:t>
              </w:r>
            </w:hyperlink>
          </w:p>
        </w:tc>
        <w:tc>
          <w:tcPr>
            <w:tcW w:w="0" w:type="auto"/>
            <w:gridSpan w:val="3"/>
            <w:tcMar>
              <w:top w:w="30" w:type="dxa"/>
              <w:left w:w="20" w:type="dxa"/>
              <w:bottom w:w="30" w:type="dxa"/>
              <w:right w:w="20" w:type="dxa"/>
            </w:tcMar>
            <w:vAlign w:val="center"/>
            <w:hideMark/>
          </w:tcPr>
          <w:p w:rsidR="00000000" w:rsidRDefault="00183441">
            <w:pPr>
              <w:spacing w:after="100"/>
              <w:divId w:val="1985305713"/>
              <w:rPr>
                <w:rFonts w:eastAsia="Times New Roman"/>
              </w:rPr>
            </w:pPr>
            <w:hyperlink w:anchor="i51b2a36d66cb4139a869f9e4043fbbb7_25" w:history="1">
              <w:r>
                <w:rPr>
                  <w:rStyle w:val="a3"/>
                  <w:rFonts w:eastAsia="Times New Roman"/>
                  <w:sz w:val="20"/>
                  <w:szCs w:val="20"/>
                </w:rPr>
                <w:t>6</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83441">
            <w:pPr>
              <w:spacing w:after="100"/>
              <w:ind w:hanging="360"/>
              <w:divId w:val="42219648"/>
              <w:rPr>
                <w:rFonts w:eastAsia="Times New Roman"/>
              </w:rPr>
            </w:pPr>
            <w:hyperlink w:anchor="i51b2a36d66cb4139a869f9e4043fbbb7_31" w:history="1">
              <w:r>
                <w:rPr>
                  <w:rStyle w:val="a3"/>
                  <w:rFonts w:eastAsia="Times New Roman"/>
                  <w:sz w:val="20"/>
                  <w:szCs w:val="20"/>
                </w:rPr>
                <w:t>Condensed Consolidated Statements of Stockholders’ Equity</w:t>
              </w:r>
            </w:hyperlink>
          </w:p>
        </w:tc>
        <w:tc>
          <w:tcPr>
            <w:tcW w:w="0" w:type="auto"/>
            <w:gridSpan w:val="3"/>
            <w:tcMar>
              <w:top w:w="30" w:type="dxa"/>
              <w:left w:w="20" w:type="dxa"/>
              <w:bottom w:w="30" w:type="dxa"/>
              <w:right w:w="20" w:type="dxa"/>
            </w:tcMar>
            <w:vAlign w:val="center"/>
            <w:hideMark/>
          </w:tcPr>
          <w:p w:rsidR="00000000" w:rsidRDefault="00183441">
            <w:pPr>
              <w:spacing w:after="100"/>
              <w:divId w:val="506676858"/>
              <w:rPr>
                <w:rFonts w:eastAsia="Times New Roman"/>
              </w:rPr>
            </w:pPr>
            <w:hyperlink w:anchor="i51b2a36d66cb4139a869f9e4043fbbb7_31" w:history="1">
              <w:r>
                <w:rPr>
                  <w:rStyle w:val="a3"/>
                  <w:rFonts w:eastAsia="Times New Roman"/>
                  <w:sz w:val="20"/>
                  <w:szCs w:val="20"/>
                </w:rPr>
                <w:t>7</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83441">
            <w:pPr>
              <w:spacing w:after="100"/>
              <w:ind w:hanging="360"/>
              <w:divId w:val="1124882507"/>
              <w:rPr>
                <w:rFonts w:eastAsia="Times New Roman"/>
              </w:rPr>
            </w:pPr>
            <w:hyperlink w:anchor="i51b2a36d66cb4139a869f9e4043fbbb7_34" w:history="1">
              <w:r>
                <w:rPr>
                  <w:rStyle w:val="a3"/>
                  <w:rFonts w:eastAsia="Times New Roman"/>
                  <w:sz w:val="20"/>
                  <w:szCs w:val="20"/>
                </w:rPr>
                <w:t>Condensed Consolidated Statements of Cash Flows</w:t>
              </w:r>
            </w:hyperlink>
          </w:p>
        </w:tc>
        <w:tc>
          <w:tcPr>
            <w:tcW w:w="0" w:type="auto"/>
            <w:gridSpan w:val="3"/>
            <w:tcMar>
              <w:top w:w="30" w:type="dxa"/>
              <w:left w:w="20" w:type="dxa"/>
              <w:bottom w:w="30" w:type="dxa"/>
              <w:right w:w="20" w:type="dxa"/>
            </w:tcMar>
            <w:vAlign w:val="center"/>
            <w:hideMark/>
          </w:tcPr>
          <w:p w:rsidR="00000000" w:rsidRDefault="00183441">
            <w:pPr>
              <w:spacing w:after="100"/>
              <w:divId w:val="1378092781"/>
              <w:rPr>
                <w:rFonts w:eastAsia="Times New Roman"/>
              </w:rPr>
            </w:pPr>
            <w:hyperlink w:anchor="i51b2a36d66cb4139a869f9e4043fbbb7_34" w:history="1">
              <w:r>
                <w:rPr>
                  <w:rStyle w:val="a3"/>
                  <w:rFonts w:eastAsia="Times New Roman"/>
                  <w:sz w:val="20"/>
                  <w:szCs w:val="20"/>
                </w:rPr>
                <w:t>9</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83441">
            <w:pPr>
              <w:spacing w:after="100"/>
              <w:ind w:hanging="360"/>
              <w:divId w:val="864944524"/>
              <w:rPr>
                <w:rFonts w:eastAsia="Times New Roman"/>
              </w:rPr>
            </w:pPr>
            <w:hyperlink w:anchor="i51b2a36d66cb4139a869f9e4043fbbb7_37" w:history="1">
              <w:r>
                <w:rPr>
                  <w:rStyle w:val="a3"/>
                  <w:rFonts w:eastAsia="Times New Roman"/>
                  <w:sz w:val="20"/>
                  <w:szCs w:val="20"/>
                </w:rPr>
                <w:t>Notes to Conde</w:t>
              </w:r>
              <w:r>
                <w:rPr>
                  <w:rStyle w:val="a3"/>
                  <w:rFonts w:eastAsia="Times New Roman"/>
                  <w:sz w:val="20"/>
                  <w:szCs w:val="20"/>
                </w:rPr>
                <w:t>nsed Consolidated Financial Statements</w:t>
              </w:r>
            </w:hyperlink>
          </w:p>
        </w:tc>
        <w:tc>
          <w:tcPr>
            <w:tcW w:w="0" w:type="auto"/>
            <w:gridSpan w:val="3"/>
            <w:tcMar>
              <w:top w:w="30" w:type="dxa"/>
              <w:left w:w="20" w:type="dxa"/>
              <w:bottom w:w="30" w:type="dxa"/>
              <w:right w:w="20" w:type="dxa"/>
            </w:tcMar>
            <w:vAlign w:val="center"/>
            <w:hideMark/>
          </w:tcPr>
          <w:p w:rsidR="00000000" w:rsidRDefault="00183441">
            <w:pPr>
              <w:spacing w:after="100"/>
              <w:divId w:val="1370184114"/>
              <w:rPr>
                <w:rFonts w:eastAsia="Times New Roman"/>
              </w:rPr>
            </w:pPr>
            <w:hyperlink w:anchor="i51b2a36d66cb4139a869f9e4043fbbb7_37" w:history="1">
              <w:r>
                <w:rPr>
                  <w:rStyle w:val="a3"/>
                  <w:rFonts w:eastAsia="Times New Roman"/>
                  <w:sz w:val="20"/>
                  <w:szCs w:val="20"/>
                </w:rPr>
                <w:t>10</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629673413"/>
              <w:rPr>
                <w:rFonts w:eastAsia="Times New Roman"/>
              </w:rPr>
            </w:pPr>
            <w:hyperlink w:anchor="i51b2a36d66cb4139a869f9e4043fbbb7_124"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183441">
            <w:pPr>
              <w:spacing w:after="100"/>
              <w:divId w:val="1399016248"/>
              <w:rPr>
                <w:rFonts w:eastAsia="Times New Roman"/>
              </w:rPr>
            </w:pPr>
            <w:hyperlink w:anchor="i51b2a36d66cb4139a869f9e4043fbbb7_124" w:history="1">
              <w:r>
                <w:rPr>
                  <w:rStyle w:val="a3"/>
                  <w:rFonts w:eastAsia="Times New Roman"/>
                  <w:sz w:val="20"/>
                  <w:szCs w:val="20"/>
                </w:rPr>
                <w:t>Management’s Discussion and Analysis of Financial Condition and Results of Operations</w:t>
              </w:r>
            </w:hyperlink>
          </w:p>
        </w:tc>
        <w:tc>
          <w:tcPr>
            <w:tcW w:w="0" w:type="auto"/>
            <w:gridSpan w:val="3"/>
            <w:tcMar>
              <w:top w:w="30" w:type="dxa"/>
              <w:left w:w="20" w:type="dxa"/>
              <w:bottom w:w="30" w:type="dxa"/>
              <w:right w:w="20" w:type="dxa"/>
            </w:tcMar>
            <w:vAlign w:val="center"/>
            <w:hideMark/>
          </w:tcPr>
          <w:p w:rsidR="00000000" w:rsidRDefault="00183441">
            <w:pPr>
              <w:spacing w:after="100"/>
              <w:divId w:val="1221600558"/>
              <w:rPr>
                <w:rFonts w:eastAsia="Times New Roman"/>
              </w:rPr>
            </w:pPr>
            <w:hyperlink w:anchor="i51b2a36d66cb4139a869f9e4043fbbb7_124" w:history="1">
              <w:r>
                <w:rPr>
                  <w:rStyle w:val="a3"/>
                  <w:rFonts w:eastAsia="Times New Roman"/>
                  <w:sz w:val="20"/>
                  <w:szCs w:val="20"/>
                </w:rPr>
                <w:t>22</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1684818185"/>
              <w:rPr>
                <w:rFonts w:eastAsia="Times New Roman"/>
              </w:rPr>
            </w:pPr>
            <w:hyperlink w:anchor="i51b2a36d66cb4139a869f9e4043fbbb7_154"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183441">
            <w:pPr>
              <w:spacing w:after="100"/>
              <w:divId w:val="1783570107"/>
              <w:rPr>
                <w:rFonts w:eastAsia="Times New Roman"/>
              </w:rPr>
            </w:pPr>
            <w:hyperlink w:anchor="i51b2a36d66cb4139a869f9e4043fbbb7_154" w:history="1">
              <w:r>
                <w:rPr>
                  <w:rStyle w:val="a3"/>
                  <w:rFonts w:eastAsia="Times New Roman"/>
                  <w:sz w:val="20"/>
                  <w:szCs w:val="20"/>
                </w:rPr>
                <w:t>Quantitative and Qualitative Disclosures About Market Risk</w:t>
              </w:r>
            </w:hyperlink>
          </w:p>
        </w:tc>
        <w:tc>
          <w:tcPr>
            <w:tcW w:w="0" w:type="auto"/>
            <w:gridSpan w:val="3"/>
            <w:tcMar>
              <w:top w:w="30" w:type="dxa"/>
              <w:left w:w="20" w:type="dxa"/>
              <w:bottom w:w="30" w:type="dxa"/>
              <w:right w:w="20" w:type="dxa"/>
            </w:tcMar>
            <w:vAlign w:val="center"/>
            <w:hideMark/>
          </w:tcPr>
          <w:p w:rsidR="00000000" w:rsidRDefault="00183441">
            <w:pPr>
              <w:spacing w:after="100"/>
              <w:divId w:val="71586383"/>
              <w:rPr>
                <w:rFonts w:eastAsia="Times New Roman"/>
              </w:rPr>
            </w:pPr>
            <w:hyperlink w:anchor="i51b2a36d66cb4139a869f9e4043fbbb7_154" w:history="1">
              <w:r>
                <w:rPr>
                  <w:rStyle w:val="a3"/>
                  <w:rFonts w:eastAsia="Times New Roman"/>
                  <w:sz w:val="20"/>
                  <w:szCs w:val="20"/>
                </w:rPr>
                <w:t>39</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1047989953"/>
              <w:rPr>
                <w:rFonts w:eastAsia="Times New Roman"/>
              </w:rPr>
            </w:pPr>
            <w:hyperlink w:anchor="i51b2a36d66cb4139a869f9e4043fbbb7_157"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183441">
            <w:pPr>
              <w:spacing w:after="100"/>
              <w:divId w:val="293095815"/>
              <w:rPr>
                <w:rFonts w:eastAsia="Times New Roman"/>
              </w:rPr>
            </w:pPr>
            <w:hyperlink w:anchor="i51b2a36d66cb4139a869f9e4043fbbb7_157" w:history="1">
              <w:r>
                <w:rPr>
                  <w:rStyle w:val="a3"/>
                  <w:rFonts w:eastAsia="Times New Roman"/>
                  <w:sz w:val="20"/>
                  <w:szCs w:val="20"/>
                </w:rPr>
                <w:t>Controls and Procedures</w:t>
              </w:r>
            </w:hyperlink>
          </w:p>
        </w:tc>
        <w:tc>
          <w:tcPr>
            <w:tcW w:w="0" w:type="auto"/>
            <w:gridSpan w:val="3"/>
            <w:tcMar>
              <w:top w:w="30" w:type="dxa"/>
              <w:left w:w="20" w:type="dxa"/>
              <w:bottom w:w="30" w:type="dxa"/>
              <w:right w:w="20" w:type="dxa"/>
            </w:tcMar>
            <w:vAlign w:val="center"/>
            <w:hideMark/>
          </w:tcPr>
          <w:p w:rsidR="00000000" w:rsidRDefault="00183441">
            <w:pPr>
              <w:spacing w:after="100"/>
              <w:divId w:val="1835953152"/>
              <w:rPr>
                <w:rFonts w:eastAsia="Times New Roman"/>
              </w:rPr>
            </w:pPr>
            <w:hyperlink w:anchor="i51b2a36d66cb4139a869f9e4043fbbb7_157" w:history="1">
              <w:r>
                <w:rPr>
                  <w:rStyle w:val="a3"/>
                  <w:rFonts w:eastAsia="Times New Roman"/>
                  <w:sz w:val="20"/>
                  <w:szCs w:val="20"/>
                </w:rPr>
                <w:t>39</w:t>
              </w:r>
            </w:hyperlink>
          </w:p>
        </w:tc>
      </w:tr>
      <w:tr w:rsidR="00000000">
        <w:trPr>
          <w:divId w:val="965162956"/>
          <w:jc w:val="center"/>
        </w:trPr>
        <w:tc>
          <w:tcPr>
            <w:tcW w:w="0" w:type="auto"/>
            <w:gridSpan w:val="9"/>
            <w:tcMar>
              <w:top w:w="30" w:type="dxa"/>
              <w:left w:w="20" w:type="dxa"/>
              <w:bottom w:w="30" w:type="dxa"/>
              <w:right w:w="20" w:type="dxa"/>
            </w:tcMar>
            <w:vAlign w:val="center"/>
            <w:hideMark/>
          </w:tcPr>
          <w:p w:rsidR="00000000" w:rsidRDefault="00183441">
            <w:pPr>
              <w:spacing w:after="100"/>
              <w:divId w:val="1680496775"/>
              <w:rPr>
                <w:rFonts w:eastAsia="Times New Roman"/>
              </w:rPr>
            </w:pPr>
            <w:hyperlink w:anchor="i51b2a36d66cb4139a869f9e4043fbbb7_160" w:history="1">
              <w:r>
                <w:rPr>
                  <w:rStyle w:val="a3"/>
                  <w:rFonts w:eastAsia="Times New Roman"/>
                  <w:sz w:val="20"/>
                  <w:szCs w:val="20"/>
                </w:rPr>
                <w:t>PART II – OTHER INFORMATION</w:t>
              </w:r>
            </w:hyperlink>
          </w:p>
        </w:tc>
        <w:tc>
          <w:tcPr>
            <w:tcW w:w="0" w:type="auto"/>
            <w:gridSpan w:val="3"/>
            <w:tcMar>
              <w:top w:w="30" w:type="dxa"/>
              <w:left w:w="20" w:type="dxa"/>
              <w:bottom w:w="30" w:type="dxa"/>
              <w:right w:w="20" w:type="dxa"/>
            </w:tcMar>
            <w:vAlign w:val="center"/>
            <w:hideMark/>
          </w:tcPr>
          <w:p w:rsidR="00000000" w:rsidRDefault="00183441">
            <w:pPr>
              <w:spacing w:after="100"/>
              <w:divId w:val="1366364292"/>
              <w:rPr>
                <w:rFonts w:eastAsia="Times New Roman"/>
              </w:rPr>
            </w:pPr>
            <w:hyperlink w:anchor="i51b2a36d66cb4139a869f9e4043fbbb7_160" w:history="1">
              <w:r>
                <w:rPr>
                  <w:rStyle w:val="a3"/>
                  <w:rFonts w:eastAsia="Times New Roman"/>
                  <w:sz w:val="20"/>
                  <w:szCs w:val="20"/>
                </w:rPr>
                <w:t>41</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480194482"/>
              <w:rPr>
                <w:rFonts w:eastAsia="Times New Roman"/>
              </w:rPr>
            </w:pPr>
            <w:hyperlink w:anchor="i51b2a36d66cb4139a869f9e4043fbbb7_163" w:history="1">
              <w:r>
                <w:rPr>
                  <w:rStyle w:val="a3"/>
                  <w:rFonts w:eastAsia="Times New Roman"/>
                  <w:sz w:val="20"/>
                  <w:szCs w:val="20"/>
                </w:rPr>
                <w:t>Item 1.</w:t>
              </w:r>
            </w:hyperlink>
          </w:p>
        </w:tc>
        <w:tc>
          <w:tcPr>
            <w:tcW w:w="0" w:type="auto"/>
            <w:gridSpan w:val="3"/>
            <w:tcMar>
              <w:top w:w="30" w:type="dxa"/>
              <w:left w:w="20" w:type="dxa"/>
              <w:bottom w:w="30" w:type="dxa"/>
              <w:right w:w="20" w:type="dxa"/>
            </w:tcMar>
            <w:vAlign w:val="center"/>
            <w:hideMark/>
          </w:tcPr>
          <w:p w:rsidR="00000000" w:rsidRDefault="00183441">
            <w:pPr>
              <w:spacing w:after="100"/>
              <w:divId w:val="1201092829"/>
              <w:rPr>
                <w:rFonts w:eastAsia="Times New Roman"/>
              </w:rPr>
            </w:pPr>
            <w:hyperlink w:anchor="i51b2a36d66cb4139a869f9e4043fbbb7_163" w:history="1">
              <w:r>
                <w:rPr>
                  <w:rStyle w:val="a3"/>
                  <w:rFonts w:eastAsia="Times New Roman"/>
                  <w:sz w:val="20"/>
                  <w:szCs w:val="20"/>
                </w:rPr>
                <w:t>Legal Proceedings</w:t>
              </w:r>
            </w:hyperlink>
          </w:p>
        </w:tc>
        <w:tc>
          <w:tcPr>
            <w:tcW w:w="0" w:type="auto"/>
            <w:gridSpan w:val="3"/>
            <w:tcMar>
              <w:top w:w="30" w:type="dxa"/>
              <w:left w:w="20" w:type="dxa"/>
              <w:bottom w:w="30" w:type="dxa"/>
              <w:right w:w="20" w:type="dxa"/>
            </w:tcMar>
            <w:vAlign w:val="center"/>
            <w:hideMark/>
          </w:tcPr>
          <w:p w:rsidR="00000000" w:rsidRDefault="00183441">
            <w:pPr>
              <w:spacing w:after="100"/>
              <w:divId w:val="2092892499"/>
              <w:rPr>
                <w:rFonts w:eastAsia="Times New Roman"/>
              </w:rPr>
            </w:pPr>
            <w:hyperlink w:anchor="i51b2a36d66cb4139a869f9e4043fbbb7_163" w:history="1">
              <w:r>
                <w:rPr>
                  <w:rStyle w:val="a3"/>
                  <w:rFonts w:eastAsia="Times New Roman"/>
                  <w:sz w:val="20"/>
                  <w:szCs w:val="20"/>
                </w:rPr>
                <w:t>41</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1143161291"/>
              <w:rPr>
                <w:rFonts w:eastAsia="Times New Roman"/>
              </w:rPr>
            </w:pPr>
            <w:hyperlink w:anchor="i51b2a36d66cb4139a869f9e4043fbbb7_166" w:history="1">
              <w:r>
                <w:rPr>
                  <w:rStyle w:val="a3"/>
                  <w:rFonts w:eastAsia="Times New Roman"/>
                  <w:sz w:val="20"/>
                  <w:szCs w:val="20"/>
                </w:rPr>
                <w:t>Item 1A.</w:t>
              </w:r>
            </w:hyperlink>
          </w:p>
        </w:tc>
        <w:tc>
          <w:tcPr>
            <w:tcW w:w="0" w:type="auto"/>
            <w:gridSpan w:val="3"/>
            <w:tcMar>
              <w:top w:w="30" w:type="dxa"/>
              <w:left w:w="20" w:type="dxa"/>
              <w:bottom w:w="30" w:type="dxa"/>
              <w:right w:w="20" w:type="dxa"/>
            </w:tcMar>
            <w:vAlign w:val="center"/>
            <w:hideMark/>
          </w:tcPr>
          <w:p w:rsidR="00000000" w:rsidRDefault="00183441">
            <w:pPr>
              <w:spacing w:after="100"/>
              <w:divId w:val="849491319"/>
              <w:rPr>
                <w:rFonts w:eastAsia="Times New Roman"/>
              </w:rPr>
            </w:pPr>
            <w:hyperlink w:anchor="i51b2a36d66cb4139a869f9e4043fbbb7_166" w:history="1">
              <w:r>
                <w:rPr>
                  <w:rStyle w:val="a3"/>
                  <w:rFonts w:eastAsia="Times New Roman"/>
                  <w:sz w:val="20"/>
                  <w:szCs w:val="20"/>
                </w:rPr>
                <w:t>Risk Factors</w:t>
              </w:r>
            </w:hyperlink>
          </w:p>
        </w:tc>
        <w:tc>
          <w:tcPr>
            <w:tcW w:w="0" w:type="auto"/>
            <w:gridSpan w:val="3"/>
            <w:tcMar>
              <w:top w:w="30" w:type="dxa"/>
              <w:left w:w="20" w:type="dxa"/>
              <w:bottom w:w="30" w:type="dxa"/>
              <w:right w:w="20" w:type="dxa"/>
            </w:tcMar>
            <w:vAlign w:val="center"/>
            <w:hideMark/>
          </w:tcPr>
          <w:p w:rsidR="00000000" w:rsidRDefault="00183441">
            <w:pPr>
              <w:spacing w:after="100"/>
              <w:divId w:val="851066820"/>
              <w:rPr>
                <w:rFonts w:eastAsia="Times New Roman"/>
              </w:rPr>
            </w:pPr>
            <w:hyperlink w:anchor="i51b2a36d66cb4139a869f9e4043fbbb7_166" w:history="1">
              <w:r>
                <w:rPr>
                  <w:rStyle w:val="a3"/>
                  <w:rFonts w:eastAsia="Times New Roman"/>
                  <w:sz w:val="20"/>
                  <w:szCs w:val="20"/>
                </w:rPr>
                <w:t>41</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1659991480"/>
              <w:rPr>
                <w:rFonts w:eastAsia="Times New Roman"/>
              </w:rPr>
            </w:pPr>
            <w:hyperlink w:anchor="i51b2a36d66cb4139a869f9e4043fbbb7_172" w:history="1">
              <w:r>
                <w:rPr>
                  <w:rStyle w:val="a3"/>
                  <w:rFonts w:eastAsia="Times New Roman"/>
                  <w:sz w:val="20"/>
                  <w:szCs w:val="20"/>
                </w:rPr>
                <w:t>Item 2.</w:t>
              </w:r>
            </w:hyperlink>
          </w:p>
        </w:tc>
        <w:tc>
          <w:tcPr>
            <w:tcW w:w="0" w:type="auto"/>
            <w:gridSpan w:val="3"/>
            <w:tcMar>
              <w:top w:w="30" w:type="dxa"/>
              <w:left w:w="20" w:type="dxa"/>
              <w:bottom w:w="30" w:type="dxa"/>
              <w:right w:w="20" w:type="dxa"/>
            </w:tcMar>
            <w:vAlign w:val="center"/>
            <w:hideMark/>
          </w:tcPr>
          <w:p w:rsidR="00000000" w:rsidRDefault="00183441">
            <w:pPr>
              <w:spacing w:after="100"/>
              <w:divId w:val="856698203"/>
              <w:rPr>
                <w:rFonts w:eastAsia="Times New Roman"/>
              </w:rPr>
            </w:pPr>
            <w:hyperlink w:anchor="i51b2a36d66cb4139a869f9e4043fbbb7_172" w:history="1">
              <w:r>
                <w:rPr>
                  <w:rStyle w:val="a3"/>
                  <w:rFonts w:eastAsia="Times New Roman"/>
                  <w:sz w:val="20"/>
                  <w:szCs w:val="20"/>
                </w:rPr>
                <w:t>Unregistered Sales of Equity Securities and Use of Proceeds</w:t>
              </w:r>
            </w:hyperlink>
          </w:p>
        </w:tc>
        <w:tc>
          <w:tcPr>
            <w:tcW w:w="0" w:type="auto"/>
            <w:gridSpan w:val="3"/>
            <w:tcMar>
              <w:top w:w="30" w:type="dxa"/>
              <w:left w:w="20" w:type="dxa"/>
              <w:bottom w:w="30" w:type="dxa"/>
              <w:right w:w="20" w:type="dxa"/>
            </w:tcMar>
            <w:vAlign w:val="center"/>
            <w:hideMark/>
          </w:tcPr>
          <w:p w:rsidR="00000000" w:rsidRDefault="00183441">
            <w:pPr>
              <w:spacing w:after="100"/>
              <w:divId w:val="493231147"/>
              <w:rPr>
                <w:rFonts w:eastAsia="Times New Roman"/>
              </w:rPr>
            </w:pPr>
            <w:hyperlink w:anchor="i51b2a36d66cb4139a869f9e4043fbbb7_172" w:history="1">
              <w:r>
                <w:rPr>
                  <w:rStyle w:val="a3"/>
                  <w:rFonts w:eastAsia="Times New Roman"/>
                  <w:sz w:val="20"/>
                  <w:szCs w:val="20"/>
                </w:rPr>
                <w:t>41</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479735368"/>
              <w:rPr>
                <w:rFonts w:eastAsia="Times New Roman"/>
              </w:rPr>
            </w:pPr>
            <w:hyperlink w:anchor="i51b2a36d66cb4139a869f9e4043fbbb7_175" w:history="1">
              <w:r>
                <w:rPr>
                  <w:rStyle w:val="a3"/>
                  <w:rFonts w:eastAsia="Times New Roman"/>
                  <w:sz w:val="20"/>
                  <w:szCs w:val="20"/>
                </w:rPr>
                <w:t>Item 3.</w:t>
              </w:r>
            </w:hyperlink>
          </w:p>
        </w:tc>
        <w:tc>
          <w:tcPr>
            <w:tcW w:w="0" w:type="auto"/>
            <w:gridSpan w:val="3"/>
            <w:tcMar>
              <w:top w:w="30" w:type="dxa"/>
              <w:left w:w="20" w:type="dxa"/>
              <w:bottom w:w="30" w:type="dxa"/>
              <w:right w:w="20" w:type="dxa"/>
            </w:tcMar>
            <w:vAlign w:val="center"/>
            <w:hideMark/>
          </w:tcPr>
          <w:p w:rsidR="00000000" w:rsidRDefault="00183441">
            <w:pPr>
              <w:spacing w:after="100"/>
              <w:divId w:val="457722464"/>
              <w:rPr>
                <w:rFonts w:eastAsia="Times New Roman"/>
              </w:rPr>
            </w:pPr>
            <w:hyperlink w:anchor="i51b2a36d66cb4139a869f9e4043fbbb7_175" w:history="1">
              <w:r>
                <w:rPr>
                  <w:rStyle w:val="a3"/>
                  <w:rFonts w:eastAsia="Times New Roman"/>
                  <w:sz w:val="20"/>
                  <w:szCs w:val="20"/>
                </w:rPr>
                <w:t>Defaults Upon Senior Securities</w:t>
              </w:r>
            </w:hyperlink>
          </w:p>
        </w:tc>
        <w:tc>
          <w:tcPr>
            <w:tcW w:w="0" w:type="auto"/>
            <w:gridSpan w:val="3"/>
            <w:tcMar>
              <w:top w:w="30" w:type="dxa"/>
              <w:left w:w="20" w:type="dxa"/>
              <w:bottom w:w="30" w:type="dxa"/>
              <w:right w:w="20" w:type="dxa"/>
            </w:tcMar>
            <w:vAlign w:val="center"/>
            <w:hideMark/>
          </w:tcPr>
          <w:p w:rsidR="00000000" w:rsidRDefault="00183441">
            <w:pPr>
              <w:spacing w:after="100"/>
              <w:divId w:val="1574967594"/>
              <w:rPr>
                <w:rFonts w:eastAsia="Times New Roman"/>
              </w:rPr>
            </w:pPr>
            <w:hyperlink w:anchor="i51b2a36d66cb4139a869f9e4043fbbb7_175" w:history="1">
              <w:r>
                <w:rPr>
                  <w:rStyle w:val="a3"/>
                  <w:rFonts w:eastAsia="Times New Roman"/>
                  <w:sz w:val="20"/>
                  <w:szCs w:val="20"/>
                </w:rPr>
                <w:t>41</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2086414207"/>
              <w:rPr>
                <w:rFonts w:eastAsia="Times New Roman"/>
              </w:rPr>
            </w:pPr>
            <w:hyperlink w:anchor="i51b2a36d66cb4139a869f9e4043fbbb7_178" w:history="1">
              <w:r>
                <w:rPr>
                  <w:rStyle w:val="a3"/>
                  <w:rFonts w:eastAsia="Times New Roman"/>
                  <w:sz w:val="20"/>
                  <w:szCs w:val="20"/>
                </w:rPr>
                <w:t>Item 4.</w:t>
              </w:r>
            </w:hyperlink>
          </w:p>
        </w:tc>
        <w:tc>
          <w:tcPr>
            <w:tcW w:w="0" w:type="auto"/>
            <w:gridSpan w:val="3"/>
            <w:tcMar>
              <w:top w:w="30" w:type="dxa"/>
              <w:left w:w="20" w:type="dxa"/>
              <w:bottom w:w="30" w:type="dxa"/>
              <w:right w:w="20" w:type="dxa"/>
            </w:tcMar>
            <w:vAlign w:val="center"/>
            <w:hideMark/>
          </w:tcPr>
          <w:p w:rsidR="00000000" w:rsidRDefault="00183441">
            <w:pPr>
              <w:spacing w:after="100"/>
              <w:divId w:val="970402562"/>
              <w:rPr>
                <w:rFonts w:eastAsia="Times New Roman"/>
              </w:rPr>
            </w:pPr>
            <w:hyperlink w:anchor="i51b2a36d66cb4139a869f9e4043fbbb7_178" w:history="1">
              <w:r>
                <w:rPr>
                  <w:rStyle w:val="a3"/>
                  <w:rFonts w:eastAsia="Times New Roman"/>
                  <w:sz w:val="20"/>
                  <w:szCs w:val="20"/>
                </w:rPr>
                <w:t>Mine Safety Disclosures</w:t>
              </w:r>
            </w:hyperlink>
          </w:p>
        </w:tc>
        <w:tc>
          <w:tcPr>
            <w:tcW w:w="0" w:type="auto"/>
            <w:gridSpan w:val="3"/>
            <w:tcMar>
              <w:top w:w="30" w:type="dxa"/>
              <w:left w:w="20" w:type="dxa"/>
              <w:bottom w:w="30" w:type="dxa"/>
              <w:right w:w="20" w:type="dxa"/>
            </w:tcMar>
            <w:vAlign w:val="center"/>
            <w:hideMark/>
          </w:tcPr>
          <w:p w:rsidR="00000000" w:rsidRDefault="00183441">
            <w:pPr>
              <w:spacing w:after="100"/>
              <w:divId w:val="116603156"/>
              <w:rPr>
                <w:rFonts w:eastAsia="Times New Roman"/>
              </w:rPr>
            </w:pPr>
            <w:hyperlink w:anchor="i51b2a36d66cb4139a869f9e4043fbbb7_178" w:history="1">
              <w:r>
                <w:rPr>
                  <w:rStyle w:val="a3"/>
                  <w:rFonts w:eastAsia="Times New Roman"/>
                  <w:sz w:val="20"/>
                  <w:szCs w:val="20"/>
                </w:rPr>
                <w:t>41</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1594775630"/>
              <w:rPr>
                <w:rFonts w:eastAsia="Times New Roman"/>
              </w:rPr>
            </w:pPr>
            <w:hyperlink w:anchor="i51b2a36d66cb4139a869f9e4043fbbb7_181" w:history="1">
              <w:r>
                <w:rPr>
                  <w:rStyle w:val="a3"/>
                  <w:rFonts w:eastAsia="Times New Roman"/>
                  <w:sz w:val="20"/>
                  <w:szCs w:val="20"/>
                </w:rPr>
                <w:t>Item 5.</w:t>
              </w:r>
            </w:hyperlink>
          </w:p>
        </w:tc>
        <w:tc>
          <w:tcPr>
            <w:tcW w:w="0" w:type="auto"/>
            <w:gridSpan w:val="3"/>
            <w:tcMar>
              <w:top w:w="30" w:type="dxa"/>
              <w:left w:w="20" w:type="dxa"/>
              <w:bottom w:w="30" w:type="dxa"/>
              <w:right w:w="20" w:type="dxa"/>
            </w:tcMar>
            <w:vAlign w:val="center"/>
            <w:hideMark/>
          </w:tcPr>
          <w:p w:rsidR="00000000" w:rsidRDefault="00183441">
            <w:pPr>
              <w:spacing w:after="100"/>
              <w:divId w:val="1024671076"/>
              <w:rPr>
                <w:rFonts w:eastAsia="Times New Roman"/>
              </w:rPr>
            </w:pPr>
            <w:hyperlink w:anchor="i51b2a36d66cb4139a869f9e4043fbbb7_181" w:history="1">
              <w:r>
                <w:rPr>
                  <w:rStyle w:val="a3"/>
                  <w:rFonts w:eastAsia="Times New Roman"/>
                  <w:sz w:val="20"/>
                  <w:szCs w:val="20"/>
                </w:rPr>
                <w:t>Other Information</w:t>
              </w:r>
            </w:hyperlink>
          </w:p>
        </w:tc>
        <w:tc>
          <w:tcPr>
            <w:tcW w:w="0" w:type="auto"/>
            <w:gridSpan w:val="3"/>
            <w:tcMar>
              <w:top w:w="30" w:type="dxa"/>
              <w:left w:w="20" w:type="dxa"/>
              <w:bottom w:w="30" w:type="dxa"/>
              <w:right w:w="20" w:type="dxa"/>
            </w:tcMar>
            <w:vAlign w:val="center"/>
            <w:hideMark/>
          </w:tcPr>
          <w:p w:rsidR="00000000" w:rsidRDefault="00183441">
            <w:pPr>
              <w:spacing w:after="100"/>
              <w:divId w:val="991181725"/>
              <w:rPr>
                <w:rFonts w:eastAsia="Times New Roman"/>
              </w:rPr>
            </w:pPr>
            <w:hyperlink w:anchor="i51b2a36d66cb4139a869f9e4043fbbb7_181" w:history="1">
              <w:r>
                <w:rPr>
                  <w:rStyle w:val="a3"/>
                  <w:rFonts w:eastAsia="Times New Roman"/>
                  <w:sz w:val="20"/>
                  <w:szCs w:val="20"/>
                </w:rPr>
                <w:t>41</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vAlign w:val="center"/>
            <w:hideMark/>
          </w:tcPr>
          <w:p w:rsidR="00000000" w:rsidRDefault="00183441">
            <w:pPr>
              <w:spacing w:after="100"/>
              <w:divId w:val="142241837"/>
              <w:rPr>
                <w:rFonts w:eastAsia="Times New Roman"/>
              </w:rPr>
            </w:pPr>
            <w:hyperlink w:anchor="i51b2a36d66cb4139a869f9e4043fbbb7_184" w:history="1">
              <w:r>
                <w:rPr>
                  <w:rStyle w:val="a3"/>
                  <w:rFonts w:eastAsia="Times New Roman"/>
                  <w:sz w:val="20"/>
                  <w:szCs w:val="20"/>
                </w:rPr>
                <w:t>Item 6.</w:t>
              </w:r>
            </w:hyperlink>
          </w:p>
        </w:tc>
        <w:tc>
          <w:tcPr>
            <w:tcW w:w="0" w:type="auto"/>
            <w:gridSpan w:val="3"/>
            <w:tcMar>
              <w:top w:w="30" w:type="dxa"/>
              <w:left w:w="20" w:type="dxa"/>
              <w:bottom w:w="30" w:type="dxa"/>
              <w:right w:w="20" w:type="dxa"/>
            </w:tcMar>
            <w:vAlign w:val="center"/>
            <w:hideMark/>
          </w:tcPr>
          <w:p w:rsidR="00000000" w:rsidRDefault="00183441">
            <w:pPr>
              <w:spacing w:after="100"/>
              <w:divId w:val="190268214"/>
              <w:rPr>
                <w:rFonts w:eastAsia="Times New Roman"/>
              </w:rPr>
            </w:pPr>
            <w:hyperlink w:anchor="i51b2a36d66cb4139a869f9e4043fbbb7_184" w:history="1">
              <w:r>
                <w:rPr>
                  <w:rStyle w:val="a3"/>
                  <w:rFonts w:eastAsia="Times New Roman"/>
                  <w:sz w:val="20"/>
                  <w:szCs w:val="20"/>
                </w:rPr>
                <w:t>Exhibits</w:t>
              </w:r>
            </w:hyperlink>
          </w:p>
        </w:tc>
        <w:tc>
          <w:tcPr>
            <w:tcW w:w="0" w:type="auto"/>
            <w:gridSpan w:val="3"/>
            <w:tcMar>
              <w:top w:w="30" w:type="dxa"/>
              <w:left w:w="20" w:type="dxa"/>
              <w:bottom w:w="30" w:type="dxa"/>
              <w:right w:w="20" w:type="dxa"/>
            </w:tcMar>
            <w:vAlign w:val="center"/>
            <w:hideMark/>
          </w:tcPr>
          <w:p w:rsidR="00000000" w:rsidRDefault="00183441">
            <w:pPr>
              <w:spacing w:after="100"/>
              <w:divId w:val="241843248"/>
              <w:rPr>
                <w:rFonts w:eastAsia="Times New Roman"/>
              </w:rPr>
            </w:pPr>
            <w:hyperlink w:anchor="i51b2a36d66cb4139a869f9e4043fbbb7_184" w:history="1">
              <w:r>
                <w:rPr>
                  <w:rStyle w:val="a3"/>
                  <w:rFonts w:eastAsia="Times New Roman"/>
                  <w:sz w:val="20"/>
                  <w:szCs w:val="20"/>
                </w:rPr>
                <w:t>42</w:t>
              </w:r>
            </w:hyperlink>
          </w:p>
        </w:tc>
      </w:tr>
      <w:tr w:rsidR="00000000">
        <w:trPr>
          <w:divId w:val="96516295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83441">
            <w:pPr>
              <w:spacing w:after="100"/>
              <w:divId w:val="137766130"/>
              <w:rPr>
                <w:rFonts w:eastAsia="Times New Roman"/>
              </w:rPr>
            </w:pPr>
            <w:hyperlink w:anchor="i51b2a36d66cb4139a869f9e4043fbbb7_187"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center"/>
            <w:hideMark/>
          </w:tcPr>
          <w:p w:rsidR="00000000" w:rsidRDefault="00183441">
            <w:pPr>
              <w:spacing w:after="100"/>
              <w:divId w:val="1927418874"/>
              <w:rPr>
                <w:rFonts w:eastAsia="Times New Roman"/>
              </w:rPr>
            </w:pPr>
            <w:hyperlink w:anchor="i51b2a36d66cb4139a869f9e4043fbbb7_187" w:history="1">
              <w:r>
                <w:rPr>
                  <w:rStyle w:val="a3"/>
                  <w:rFonts w:eastAsia="Times New Roman"/>
                  <w:sz w:val="20"/>
                  <w:szCs w:val="20"/>
                </w:rPr>
                <w:t>43</w:t>
              </w:r>
            </w:hyperlink>
          </w:p>
        </w:tc>
      </w:tr>
    </w:tbl>
    <w:p w:rsidR="00000000" w:rsidRDefault="00183441">
      <w:pPr>
        <w:divId w:val="697000787"/>
        <w:rPr>
          <w:rFonts w:eastAsia="Times New Roman"/>
        </w:rPr>
      </w:pPr>
    </w:p>
    <w:p w:rsidR="00000000" w:rsidRDefault="00183441">
      <w:pPr>
        <w:divId w:val="162863882"/>
        <w:rPr>
          <w:rFonts w:eastAsia="Times New Roman"/>
        </w:rPr>
      </w:pPr>
    </w:p>
    <w:p w:rsidR="00000000" w:rsidRDefault="00183441">
      <w:pPr>
        <w:rPr>
          <w:rFonts w:eastAsia="Times New Roman"/>
        </w:rPr>
      </w:pPr>
      <w:r>
        <w:rPr>
          <w:rFonts w:eastAsia="Times New Roman"/>
        </w:rPr>
        <w:pict>
          <v:rect id="_x0000_i1026" style="width:0;height:1.5pt" o:hralign="center" o:hrstd="t" o:hr="t" fillcolor="#a0a0a0" stroked="f"/>
        </w:pict>
      </w:r>
    </w:p>
    <w:p w:rsidR="00000000" w:rsidRDefault="00183441">
      <w:pPr>
        <w:divId w:val="55399039"/>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divId w:val="22098128"/>
        <w:rPr>
          <w:rFonts w:eastAsia="Times New Roman"/>
        </w:rPr>
      </w:pPr>
    </w:p>
    <w:p w:rsidR="00000000" w:rsidRDefault="00183441">
      <w:pPr>
        <w:divId w:val="796526229"/>
        <w:rPr>
          <w:rFonts w:eastAsia="Times New Roman"/>
        </w:rPr>
      </w:pPr>
      <w:r>
        <w:rPr>
          <w:rFonts w:eastAsia="Times New Roman"/>
          <w:b/>
          <w:bCs/>
          <w:color w:val="000000"/>
          <w:sz w:val="20"/>
          <w:szCs w:val="20"/>
        </w:rPr>
        <w:t>SPECIAL NOTE REGARDING FORWARD-LOOKING STATEMENTS</w:t>
      </w:r>
    </w:p>
    <w:p w:rsidR="00000000" w:rsidRDefault="00183441">
      <w:pPr>
        <w:jc w:val="both"/>
        <w:divId w:val="1371613780"/>
        <w:rPr>
          <w:rFonts w:eastAsia="Times New Roman"/>
        </w:rPr>
      </w:pPr>
      <w:r>
        <w:rPr>
          <w:rFonts w:eastAsia="Times New Roman"/>
          <w:color w:val="000000"/>
          <w:sz w:val="20"/>
          <w:szCs w:val="20"/>
        </w:rPr>
        <w:t xml:space="preserve">This Quarterly Report on Form 10-Q (this “Form 10-Q”) contains “forward-looking statements” </w:t>
      </w:r>
      <w:r>
        <w:rPr>
          <w:rFonts w:eastAsia="Times New Roman"/>
          <w:color w:val="000000"/>
          <w:sz w:val="20"/>
          <w:szCs w:val="20"/>
        </w:rPr>
        <w:t>within the meaning of Section 27A of the Securities Act of 1933, as amended (the “Securities Act”), and Section 21E of the Securities Exchange Act of 1934, as amended (the “Exchange Act”), which are subject to the “safe harbor” created by those sections. A</w:t>
      </w:r>
      <w:r>
        <w:rPr>
          <w:rFonts w:eastAsia="Times New Roman"/>
          <w:color w:val="000000"/>
          <w:sz w:val="20"/>
          <w:szCs w:val="20"/>
        </w:rPr>
        <w:t xml:space="preserve">ll statements, other than statements of historical facts included in this Form 10-Q, including statements concerning our plans, objectives, goals, beliefs, business strategies, future events, business conditions, results of operations, financial position, </w:t>
      </w:r>
      <w:r>
        <w:rPr>
          <w:rFonts w:eastAsia="Times New Roman"/>
          <w:color w:val="000000"/>
          <w:sz w:val="20"/>
          <w:szCs w:val="20"/>
        </w:rPr>
        <w:t>business outlook, business trends and other information, may be forward-looking statements.</w:t>
      </w:r>
    </w:p>
    <w:p w:rsidR="00000000" w:rsidRDefault="00183441">
      <w:pPr>
        <w:jc w:val="both"/>
        <w:divId w:val="2103330343"/>
        <w:rPr>
          <w:rFonts w:eastAsia="Times New Roman"/>
        </w:rPr>
      </w:pPr>
      <w:r>
        <w:rPr>
          <w:rFonts w:eastAsia="Times New Roman"/>
          <w:color w:val="000000"/>
          <w:sz w:val="20"/>
          <w:szCs w:val="20"/>
        </w:rPr>
        <w:t>Words such as “believes,” “expects,” “may,” “will,” “should,” “seeks,” “intends,” “plans,” “estimates,” or “anticipates,” and variations of such words or similar ex</w:t>
      </w:r>
      <w:r>
        <w:rPr>
          <w:rFonts w:eastAsia="Times New Roman"/>
          <w:color w:val="000000"/>
          <w:sz w:val="20"/>
          <w:szCs w:val="20"/>
        </w:rPr>
        <w:t>pressions are intended to identify forward-looking statements. The forward-looking statements are not historical facts or guarantees of future performance and are based upon our current expectations, beliefs, estimates and projections, and various assumpti</w:t>
      </w:r>
      <w:r>
        <w:rPr>
          <w:rFonts w:eastAsia="Times New Roman"/>
          <w:color w:val="000000"/>
          <w:sz w:val="20"/>
          <w:szCs w:val="20"/>
        </w:rPr>
        <w:t>ons, many of which, by their nature, are inherently uncertain and beyond our control. Our expectations, beliefs, and projections are expressed in good faith and we believe there is a reasonable basis for them. However, there can be no assurance that manage</w:t>
      </w:r>
      <w:r>
        <w:rPr>
          <w:rFonts w:eastAsia="Times New Roman"/>
          <w:color w:val="000000"/>
          <w:sz w:val="20"/>
          <w:szCs w:val="20"/>
        </w:rPr>
        <w:t>ment’s expectations, beliefs and projections will result or be achieved and actual results may vary materially from what is expressed in or indicated by the forward-looking statements.</w:t>
      </w:r>
    </w:p>
    <w:p w:rsidR="00000000" w:rsidRDefault="00183441">
      <w:pPr>
        <w:jc w:val="both"/>
        <w:divId w:val="1542938778"/>
        <w:rPr>
          <w:rFonts w:eastAsia="Times New Roman"/>
        </w:rPr>
      </w:pPr>
      <w:r>
        <w:rPr>
          <w:rFonts w:eastAsia="Times New Roman"/>
          <w:color w:val="000000"/>
          <w:sz w:val="20"/>
          <w:szCs w:val="20"/>
        </w:rPr>
        <w:t>There are a number of risks, uncertainties and other important factors,</w:t>
      </w:r>
      <w:r>
        <w:rPr>
          <w:rFonts w:eastAsia="Times New Roman"/>
          <w:color w:val="000000"/>
          <w:sz w:val="20"/>
          <w:szCs w:val="20"/>
        </w:rPr>
        <w:t xml:space="preserve"> many of which are beyond our control, that could cause our actual results to differ materially from the forward-looking statements contained in this Form 10-Q. Such risks, uncertainties and other important factors that could cause actual results to differ</w:t>
      </w:r>
      <w:r>
        <w:rPr>
          <w:rFonts w:eastAsia="Times New Roman"/>
          <w:color w:val="000000"/>
          <w:sz w:val="20"/>
          <w:szCs w:val="20"/>
        </w:rPr>
        <w:t xml:space="preserve"> include, among others, the risks, uncertainties and factors set forth in Part II, Item 1A - “Risk Factors” in this Form 10-Q and Part I, Item 1A - “Risk Factors” in the Company’s Annual Report on Form 10-K for the year ended January 1, 2022 (the “2021 Ann</w:t>
      </w:r>
      <w:r>
        <w:rPr>
          <w:rFonts w:eastAsia="Times New Roman"/>
          <w:color w:val="000000"/>
          <w:sz w:val="20"/>
          <w:szCs w:val="20"/>
        </w:rPr>
        <w:t>ual Report on Form 10-K”), as filed with the Securities and Exchange Commission (the “SEC”), as such risk factors may be updated from time to time in our periodic filings with the SEC, which are accessible on the SEC’s website at www.sec.gov, and also incl</w:t>
      </w:r>
      <w:r>
        <w:rPr>
          <w:rFonts w:eastAsia="Times New Roman"/>
          <w:color w:val="000000"/>
          <w:sz w:val="20"/>
          <w:szCs w:val="20"/>
        </w:rPr>
        <w:t>ude the following:</w:t>
      </w:r>
    </w:p>
    <w:p w:rsidR="00000000" w:rsidRDefault="00183441">
      <w:pPr>
        <w:ind w:hanging="180"/>
        <w:jc w:val="both"/>
        <w:rPr>
          <w:rFonts w:eastAsia="Times New Roman"/>
        </w:rPr>
      </w:pPr>
      <w:r>
        <w:rPr>
          <w:rFonts w:eastAsia="Times New Roman"/>
          <w:color w:val="000000"/>
          <w:sz w:val="20"/>
          <w:szCs w:val="20"/>
        </w:rPr>
        <w:t>•the COVID-19 pandemic and its resurgence and variants, and the impact of evolving federal, state, and local governmental actions in response thereto, including risks stemming from vaccination and testing programs and mandates;</w:t>
      </w:r>
    </w:p>
    <w:p w:rsidR="00000000" w:rsidRDefault="00183441">
      <w:pPr>
        <w:ind w:hanging="180"/>
        <w:jc w:val="both"/>
        <w:rPr>
          <w:rFonts w:eastAsia="Times New Roman"/>
        </w:rPr>
      </w:pPr>
      <w:r>
        <w:rPr>
          <w:rFonts w:eastAsia="Times New Roman"/>
          <w:color w:val="000000"/>
          <w:sz w:val="20"/>
          <w:szCs w:val="20"/>
        </w:rPr>
        <w:t>•customer</w:t>
      </w:r>
      <w:r>
        <w:rPr>
          <w:rFonts w:eastAsia="Times New Roman"/>
          <w:color w:val="000000"/>
          <w:sz w:val="20"/>
          <w:szCs w:val="20"/>
        </w:rPr>
        <w:t xml:space="preserve"> behavior in response to the continuing pandemic and its more recent outbreaks of variants, including the impact of such behavior on in-store traffic and sales;</w:t>
      </w:r>
    </w:p>
    <w:p w:rsidR="00000000" w:rsidRDefault="00183441">
      <w:pPr>
        <w:ind w:hanging="180"/>
        <w:jc w:val="both"/>
        <w:rPr>
          <w:rFonts w:eastAsia="Times New Roman"/>
        </w:rPr>
      </w:pPr>
      <w:r>
        <w:rPr>
          <w:rFonts w:eastAsia="Times New Roman"/>
          <w:color w:val="000000"/>
          <w:sz w:val="20"/>
          <w:szCs w:val="20"/>
        </w:rPr>
        <w:t>•</w:t>
      </w:r>
      <w:r>
        <w:rPr>
          <w:rFonts w:eastAsia="Times New Roman"/>
          <w:color w:val="000000"/>
          <w:sz w:val="20"/>
          <w:szCs w:val="20"/>
        </w:rPr>
        <w:t>overall decline in the health of the economy and other factors impacting consumer spending, including inflation, rising interest rates and geopolitical instability;</w:t>
      </w:r>
    </w:p>
    <w:p w:rsidR="00000000" w:rsidRDefault="00183441">
      <w:pPr>
        <w:ind w:hanging="180"/>
        <w:jc w:val="both"/>
        <w:rPr>
          <w:rFonts w:eastAsia="Times New Roman"/>
        </w:rPr>
      </w:pPr>
      <w:r>
        <w:rPr>
          <w:rFonts w:eastAsia="Times New Roman"/>
          <w:color w:val="000000"/>
          <w:sz w:val="20"/>
          <w:szCs w:val="20"/>
        </w:rPr>
        <w:t xml:space="preserve">•our ability to open and operate new stores in a timely and cost-effective manner, or keep </w:t>
      </w:r>
      <w:r>
        <w:rPr>
          <w:rFonts w:eastAsia="Times New Roman"/>
          <w:color w:val="000000"/>
          <w:sz w:val="20"/>
          <w:szCs w:val="20"/>
        </w:rPr>
        <w:t>stores safely open in light of the continuing COVID-19 pandemic, and to successfully enter new markets;</w:t>
      </w:r>
    </w:p>
    <w:p w:rsidR="00000000" w:rsidRDefault="00183441">
      <w:pPr>
        <w:ind w:hanging="180"/>
        <w:divId w:val="438262307"/>
        <w:rPr>
          <w:rFonts w:eastAsia="Times New Roman"/>
        </w:rPr>
      </w:pPr>
      <w:r>
        <w:rPr>
          <w:rFonts w:eastAsia="Times New Roman"/>
          <w:color w:val="000000"/>
          <w:sz w:val="20"/>
          <w:szCs w:val="20"/>
        </w:rPr>
        <w:t>•our ability to recruit and retain vision care professionals for our stores in general and in light of the pandemic;</w:t>
      </w:r>
    </w:p>
    <w:p w:rsidR="00000000" w:rsidRDefault="00183441">
      <w:pPr>
        <w:ind w:hanging="180"/>
        <w:jc w:val="both"/>
        <w:rPr>
          <w:rFonts w:eastAsia="Times New Roman"/>
        </w:rPr>
      </w:pPr>
      <w:r>
        <w:rPr>
          <w:rFonts w:eastAsia="Times New Roman"/>
          <w:color w:val="000000"/>
          <w:sz w:val="20"/>
          <w:szCs w:val="20"/>
        </w:rPr>
        <w:t>•our ability to develop, maintain a</w:t>
      </w:r>
      <w:r>
        <w:rPr>
          <w:rFonts w:eastAsia="Times New Roman"/>
          <w:color w:val="000000"/>
          <w:sz w:val="20"/>
          <w:szCs w:val="20"/>
        </w:rPr>
        <w:t>nd extend relationships with managed vision care companies, vision insurance providers and other third-party payors;</w:t>
      </w:r>
    </w:p>
    <w:p w:rsidR="00000000" w:rsidRDefault="00183441">
      <w:pPr>
        <w:ind w:hanging="180"/>
        <w:divId w:val="478235245"/>
        <w:rPr>
          <w:rFonts w:eastAsia="Times New Roman"/>
        </w:rPr>
      </w:pPr>
      <w:r>
        <w:rPr>
          <w:rFonts w:eastAsia="Times New Roman"/>
          <w:color w:val="000000"/>
          <w:sz w:val="20"/>
          <w:szCs w:val="20"/>
        </w:rPr>
        <w:t>•our ability to maintain the performance of our Host and Legacy brands and our current operating relationships with our Host and Legacy par</w:t>
      </w:r>
      <w:r>
        <w:rPr>
          <w:rFonts w:eastAsia="Times New Roman"/>
          <w:color w:val="000000"/>
          <w:sz w:val="20"/>
          <w:szCs w:val="20"/>
        </w:rPr>
        <w:t>tners;</w:t>
      </w:r>
    </w:p>
    <w:p w:rsidR="00000000" w:rsidRDefault="00183441">
      <w:pPr>
        <w:ind w:hanging="180"/>
        <w:divId w:val="1148672996"/>
        <w:rPr>
          <w:rFonts w:eastAsia="Times New Roman"/>
        </w:rPr>
      </w:pPr>
      <w:r>
        <w:rPr>
          <w:rFonts w:eastAsia="Times New Roman"/>
          <w:color w:val="000000"/>
          <w:sz w:val="20"/>
          <w:szCs w:val="20"/>
        </w:rPr>
        <w:t>•our ability to adhere to extensive state, local and federal vision care and healthcare laws and regulations;</w:t>
      </w:r>
    </w:p>
    <w:p w:rsidR="00000000" w:rsidRDefault="00183441">
      <w:pPr>
        <w:ind w:hanging="180"/>
        <w:divId w:val="1391803119"/>
        <w:rPr>
          <w:rFonts w:eastAsia="Times New Roman"/>
        </w:rPr>
      </w:pPr>
      <w:r>
        <w:rPr>
          <w:rFonts w:eastAsia="Times New Roman"/>
          <w:color w:val="000000"/>
          <w:sz w:val="20"/>
          <w:szCs w:val="20"/>
        </w:rPr>
        <w:t>•our compliance with managed vision care laws and regulations;</w:t>
      </w:r>
    </w:p>
    <w:p w:rsidR="00000000" w:rsidRDefault="00183441">
      <w:pPr>
        <w:ind w:hanging="180"/>
        <w:jc w:val="both"/>
        <w:rPr>
          <w:rFonts w:eastAsia="Times New Roman"/>
        </w:rPr>
      </w:pPr>
      <w:r>
        <w:rPr>
          <w:rFonts w:eastAsia="Times New Roman"/>
          <w:color w:val="000000"/>
          <w:sz w:val="20"/>
          <w:szCs w:val="20"/>
        </w:rPr>
        <w:t>•</w:t>
      </w:r>
      <w:r>
        <w:rPr>
          <w:rFonts w:eastAsia="Times New Roman"/>
          <w:color w:val="000000"/>
          <w:sz w:val="20"/>
          <w:szCs w:val="20"/>
        </w:rPr>
        <w:t>our ability to maintain sufficient levels of cash flow from our operations to execute or sustain our growth strategy or obtain additional financing at satisfactory terms or at all;</w:t>
      </w:r>
    </w:p>
    <w:p w:rsidR="00000000" w:rsidRDefault="00183441">
      <w:pPr>
        <w:ind w:hanging="180"/>
        <w:jc w:val="both"/>
        <w:rPr>
          <w:rFonts w:eastAsia="Times New Roman"/>
        </w:rPr>
      </w:pPr>
      <w:r>
        <w:rPr>
          <w:rFonts w:eastAsia="Times New Roman"/>
          <w:color w:val="000000"/>
          <w:sz w:val="20"/>
          <w:szCs w:val="20"/>
        </w:rPr>
        <w:lastRenderedPageBreak/>
        <w:t>•the loss of, or disruption in the operations of, one or more of our distri</w:t>
      </w:r>
      <w:r>
        <w:rPr>
          <w:rFonts w:eastAsia="Times New Roman"/>
          <w:color w:val="000000"/>
          <w:sz w:val="20"/>
          <w:szCs w:val="20"/>
        </w:rPr>
        <w:t>bution centers and/or optical laboratories,</w:t>
      </w:r>
      <w:r>
        <w:rPr>
          <w:rFonts w:eastAsia="Times New Roman"/>
          <w:b/>
          <w:bCs/>
          <w:color w:val="0000FF"/>
          <w:sz w:val="20"/>
          <w:szCs w:val="20"/>
        </w:rPr>
        <w:t xml:space="preserve"> </w:t>
      </w:r>
      <w:r>
        <w:rPr>
          <w:rFonts w:eastAsia="Times New Roman"/>
          <w:color w:val="000000"/>
          <w:sz w:val="20"/>
          <w:szCs w:val="20"/>
        </w:rPr>
        <w:t>resulting in the inability to fulfill customer orders and deliver our products in a timely manner;</w:t>
      </w:r>
    </w:p>
    <w:p w:rsidR="00000000" w:rsidRDefault="00183441">
      <w:pPr>
        <w:ind w:hanging="180"/>
        <w:jc w:val="both"/>
        <w:rPr>
          <w:rFonts w:eastAsia="Times New Roman"/>
        </w:rPr>
      </w:pPr>
      <w:r>
        <w:rPr>
          <w:rFonts w:eastAsia="Times New Roman"/>
          <w:color w:val="000000"/>
          <w:sz w:val="20"/>
          <w:szCs w:val="20"/>
        </w:rPr>
        <w:t>•risks associated with vendors from whom our products are sourced, including our dependence on a limited number o</w:t>
      </w:r>
      <w:r>
        <w:rPr>
          <w:rFonts w:eastAsia="Times New Roman"/>
          <w:color w:val="000000"/>
          <w:sz w:val="20"/>
          <w:szCs w:val="20"/>
        </w:rPr>
        <w:t>f suppliers;</w:t>
      </w:r>
    </w:p>
    <w:p w:rsidR="00000000" w:rsidRDefault="00183441">
      <w:pPr>
        <w:ind w:hanging="180"/>
        <w:jc w:val="both"/>
        <w:rPr>
          <w:rFonts w:eastAsia="Times New Roman"/>
        </w:rPr>
      </w:pPr>
      <w:r>
        <w:rPr>
          <w:rFonts w:eastAsia="Times New Roman"/>
          <w:color w:val="000000"/>
          <w:sz w:val="20"/>
          <w:szCs w:val="20"/>
        </w:rPr>
        <w:t>•our ability to compete successfully;</w:t>
      </w:r>
    </w:p>
    <w:p w:rsidR="00000000" w:rsidRDefault="00183441">
      <w:pPr>
        <w:ind w:hanging="180"/>
        <w:jc w:val="both"/>
        <w:rPr>
          <w:rFonts w:eastAsia="Times New Roman"/>
        </w:rPr>
      </w:pPr>
      <w:r>
        <w:rPr>
          <w:rFonts w:eastAsia="Times New Roman"/>
          <w:color w:val="000000"/>
          <w:sz w:val="20"/>
          <w:szCs w:val="20"/>
        </w:rPr>
        <w:t>•our ability to effectively operate our information technology systems and prevent interruption or security breach;</w:t>
      </w:r>
    </w:p>
    <w:p w:rsidR="00000000" w:rsidRDefault="00183441">
      <w:pPr>
        <w:ind w:hanging="180"/>
        <w:jc w:val="both"/>
        <w:rPr>
          <w:rFonts w:eastAsia="Times New Roman"/>
        </w:rPr>
      </w:pPr>
      <w:r>
        <w:rPr>
          <w:rFonts w:eastAsia="Times New Roman"/>
          <w:color w:val="000000"/>
          <w:sz w:val="20"/>
          <w:szCs w:val="20"/>
        </w:rPr>
        <w:t>•the impact of wage rate increases, inflation, cost increases and increases in raw materi</w:t>
      </w:r>
      <w:r>
        <w:rPr>
          <w:rFonts w:eastAsia="Times New Roman"/>
          <w:color w:val="000000"/>
          <w:sz w:val="20"/>
          <w:szCs w:val="20"/>
        </w:rPr>
        <w:t>al prices and energy prices;</w:t>
      </w:r>
    </w:p>
    <w:p w:rsidR="00000000" w:rsidRDefault="00183441">
      <w:pPr>
        <w:ind w:hanging="180"/>
        <w:jc w:val="both"/>
        <w:rPr>
          <w:rFonts w:eastAsia="Times New Roman"/>
        </w:rPr>
      </w:pPr>
      <w:r>
        <w:rPr>
          <w:rFonts w:eastAsia="Times New Roman"/>
          <w:color w:val="000000"/>
          <w:sz w:val="20"/>
          <w:szCs w:val="20"/>
        </w:rPr>
        <w:t>•our growth strategy straining our existing resources and causing the performance of our existing stores to suffer;</w:t>
      </w:r>
    </w:p>
    <w:p w:rsidR="00000000" w:rsidRDefault="00183441">
      <w:pPr>
        <w:ind w:hanging="180"/>
        <w:jc w:val="both"/>
        <w:rPr>
          <w:rFonts w:eastAsia="Times New Roman"/>
        </w:rPr>
      </w:pPr>
      <w:r>
        <w:rPr>
          <w:rFonts w:eastAsia="Times New Roman"/>
          <w:color w:val="000000"/>
          <w:sz w:val="20"/>
          <w:szCs w:val="20"/>
        </w:rPr>
        <w:t>•our ability to successfully and efficiently implement our marketing, advertising and promotional efforts;</w:t>
      </w:r>
    </w:p>
    <w:p w:rsidR="00000000" w:rsidRDefault="00183441">
      <w:pPr>
        <w:ind w:hanging="180"/>
        <w:jc w:val="both"/>
        <w:rPr>
          <w:rFonts w:eastAsia="Times New Roman"/>
        </w:rPr>
      </w:pPr>
      <w:r>
        <w:rPr>
          <w:rFonts w:eastAsia="Times New Roman"/>
          <w:color w:val="000000"/>
          <w:sz w:val="20"/>
          <w:szCs w:val="20"/>
        </w:rPr>
        <w:t>•ris</w:t>
      </w:r>
      <w:r>
        <w:rPr>
          <w:rFonts w:eastAsia="Times New Roman"/>
          <w:color w:val="000000"/>
          <w:sz w:val="20"/>
          <w:szCs w:val="20"/>
        </w:rPr>
        <w:t>ks associated with leasing substantial amounts of space, including future increases in occupancy costs;</w:t>
      </w:r>
    </w:p>
    <w:p w:rsidR="00000000" w:rsidRDefault="00183441">
      <w:pPr>
        <w:ind w:hanging="180"/>
        <w:jc w:val="both"/>
        <w:rPr>
          <w:rFonts w:eastAsia="Times New Roman"/>
        </w:rPr>
      </w:pPr>
      <w:r>
        <w:rPr>
          <w:rFonts w:eastAsia="Times New Roman"/>
          <w:color w:val="000000"/>
          <w:sz w:val="20"/>
          <w:szCs w:val="20"/>
        </w:rPr>
        <w:t>•the impact of certain technological advances, and the greater availability of, or increased consumer preferences for, vision correction alternatives to</w:t>
      </w:r>
      <w:r>
        <w:rPr>
          <w:rFonts w:eastAsia="Times New Roman"/>
          <w:color w:val="000000"/>
          <w:sz w:val="20"/>
          <w:szCs w:val="20"/>
        </w:rPr>
        <w:t xml:space="preserve"> prescription eyeglasses or contact lenses, and future drug development for the correction of vision-related problems;</w:t>
      </w:r>
    </w:p>
    <w:p w:rsidR="00000000" w:rsidRDefault="00183441">
      <w:pPr>
        <w:ind w:hanging="180"/>
        <w:jc w:val="both"/>
        <w:rPr>
          <w:rFonts w:eastAsia="Times New Roman"/>
        </w:rPr>
      </w:pPr>
      <w:r>
        <w:rPr>
          <w:rFonts w:eastAsia="Times New Roman"/>
          <w:color w:val="000000"/>
          <w:sz w:val="20"/>
          <w:szCs w:val="20"/>
        </w:rPr>
        <w:t>•our ability to retain our existing senior management team and attract qualified new personnel;</w:t>
      </w:r>
    </w:p>
    <w:p w:rsidR="00000000" w:rsidRDefault="00183441">
      <w:pPr>
        <w:jc w:val="center"/>
        <w:divId w:val="2055932474"/>
        <w:rPr>
          <w:rFonts w:eastAsia="Times New Roman"/>
        </w:rPr>
      </w:pPr>
      <w:r>
        <w:rPr>
          <w:rFonts w:eastAsia="Times New Roman"/>
          <w:color w:val="000000"/>
          <w:sz w:val="20"/>
          <w:szCs w:val="20"/>
        </w:rPr>
        <w:t>3</w:t>
      </w:r>
    </w:p>
    <w:p w:rsidR="00000000" w:rsidRDefault="00183441">
      <w:pPr>
        <w:rPr>
          <w:rFonts w:eastAsia="Times New Roman"/>
        </w:rPr>
      </w:pPr>
      <w:r>
        <w:rPr>
          <w:rFonts w:eastAsia="Times New Roman"/>
        </w:rPr>
        <w:pict>
          <v:rect id="_x0000_i1027" style="width:0;height:1.5pt" o:hralign="center" o:hrstd="t" o:hr="t" fillcolor="#a0a0a0" stroked="f"/>
        </w:pict>
      </w:r>
    </w:p>
    <w:p w:rsidR="00000000" w:rsidRDefault="00183441">
      <w:pPr>
        <w:divId w:val="762069020"/>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ind w:hanging="180"/>
        <w:jc w:val="both"/>
        <w:rPr>
          <w:rFonts w:eastAsia="Times New Roman"/>
        </w:rPr>
      </w:pPr>
      <w:r>
        <w:rPr>
          <w:rFonts w:eastAsia="Times New Roman"/>
          <w:color w:val="000000"/>
          <w:sz w:val="20"/>
          <w:szCs w:val="20"/>
        </w:rPr>
        <w:t>•our ability to manage our inventory;</w:t>
      </w:r>
    </w:p>
    <w:p w:rsidR="00000000" w:rsidRDefault="00183441">
      <w:pPr>
        <w:ind w:hanging="180"/>
        <w:jc w:val="both"/>
        <w:rPr>
          <w:rFonts w:eastAsia="Times New Roman"/>
        </w:rPr>
      </w:pPr>
      <w:r>
        <w:rPr>
          <w:rFonts w:eastAsia="Times New Roman"/>
          <w:color w:val="000000"/>
          <w:sz w:val="20"/>
          <w:szCs w:val="20"/>
        </w:rPr>
        <w:t>•seasonal fluctuations in our operating results and inventory levels;</w:t>
      </w:r>
    </w:p>
    <w:p w:rsidR="00000000" w:rsidRDefault="00183441">
      <w:pPr>
        <w:ind w:hanging="180"/>
        <w:jc w:val="both"/>
        <w:rPr>
          <w:rFonts w:eastAsia="Times New Roman"/>
        </w:rPr>
      </w:pPr>
      <w:r>
        <w:rPr>
          <w:rFonts w:eastAsia="Times New Roman"/>
          <w:color w:val="000000"/>
          <w:sz w:val="20"/>
          <w:szCs w:val="20"/>
        </w:rPr>
        <w:t>•our reliance on third-party coverage and reimbursement, including governm</w:t>
      </w:r>
      <w:r>
        <w:rPr>
          <w:rFonts w:eastAsia="Times New Roman"/>
          <w:color w:val="000000"/>
          <w:sz w:val="20"/>
          <w:szCs w:val="20"/>
        </w:rPr>
        <w:t>ent programs, for an increasing portion of our revenues;</w:t>
      </w:r>
    </w:p>
    <w:p w:rsidR="00000000" w:rsidRDefault="00183441">
      <w:pPr>
        <w:ind w:hanging="180"/>
        <w:jc w:val="both"/>
        <w:rPr>
          <w:rFonts w:eastAsia="Times New Roman"/>
        </w:rPr>
      </w:pPr>
      <w:r>
        <w:rPr>
          <w:rFonts w:eastAsia="Times New Roman"/>
          <w:color w:val="000000"/>
          <w:sz w:val="20"/>
          <w:szCs w:val="20"/>
        </w:rPr>
        <w:t>•risks associated with our e-commerce and omni-channel business;</w:t>
      </w:r>
    </w:p>
    <w:p w:rsidR="00000000" w:rsidRDefault="00183441">
      <w:pPr>
        <w:ind w:hanging="180"/>
        <w:jc w:val="both"/>
        <w:rPr>
          <w:rFonts w:eastAsia="Times New Roman"/>
        </w:rPr>
      </w:pPr>
      <w:r>
        <w:rPr>
          <w:rFonts w:eastAsia="Times New Roman"/>
          <w:color w:val="000000"/>
          <w:sz w:val="20"/>
          <w:szCs w:val="20"/>
        </w:rPr>
        <w:t>•product liability, product recall or personal injury issues;</w:t>
      </w:r>
    </w:p>
    <w:p w:rsidR="00000000" w:rsidRDefault="00183441">
      <w:pPr>
        <w:ind w:hanging="180"/>
        <w:jc w:val="both"/>
        <w:rPr>
          <w:rFonts w:eastAsia="Times New Roman"/>
        </w:rPr>
      </w:pPr>
      <w:r>
        <w:rPr>
          <w:rFonts w:eastAsia="Times New Roman"/>
          <w:color w:val="000000"/>
          <w:sz w:val="20"/>
          <w:szCs w:val="20"/>
        </w:rPr>
        <w:t>•our failure to comply with, or changes in, laws, regulations, enforceme</w:t>
      </w:r>
      <w:r>
        <w:rPr>
          <w:rFonts w:eastAsia="Times New Roman"/>
          <w:color w:val="000000"/>
          <w:sz w:val="20"/>
          <w:szCs w:val="20"/>
        </w:rPr>
        <w:t>nt activities and other requirements;</w:t>
      </w:r>
    </w:p>
    <w:p w:rsidR="00000000" w:rsidRDefault="00183441">
      <w:pPr>
        <w:ind w:hanging="180"/>
        <w:jc w:val="both"/>
        <w:rPr>
          <w:rFonts w:eastAsia="Times New Roman"/>
        </w:rPr>
      </w:pPr>
      <w:r>
        <w:rPr>
          <w:rFonts w:eastAsia="Times New Roman"/>
          <w:color w:val="000000"/>
          <w:sz w:val="20"/>
          <w:szCs w:val="20"/>
        </w:rPr>
        <w:t>•the impact of any adverse litigation judgments or settlements resulting from legal proceedings relating to our business operations;</w:t>
      </w:r>
    </w:p>
    <w:p w:rsidR="00000000" w:rsidRDefault="00183441">
      <w:pPr>
        <w:ind w:hanging="180"/>
        <w:jc w:val="both"/>
        <w:rPr>
          <w:rFonts w:eastAsia="Times New Roman"/>
        </w:rPr>
      </w:pPr>
      <w:r>
        <w:rPr>
          <w:rFonts w:eastAsia="Times New Roman"/>
          <w:color w:val="000000"/>
          <w:sz w:val="20"/>
          <w:szCs w:val="20"/>
        </w:rPr>
        <w:t>•risk of losses arising from our investments in technological innovators in the optic</w:t>
      </w:r>
      <w:r>
        <w:rPr>
          <w:rFonts w:eastAsia="Times New Roman"/>
          <w:color w:val="000000"/>
          <w:sz w:val="20"/>
          <w:szCs w:val="20"/>
        </w:rPr>
        <w:t>al retail industry;</w:t>
      </w:r>
    </w:p>
    <w:p w:rsidR="00000000" w:rsidRDefault="00183441">
      <w:pPr>
        <w:ind w:hanging="180"/>
        <w:jc w:val="both"/>
        <w:rPr>
          <w:rFonts w:eastAsia="Times New Roman"/>
        </w:rPr>
      </w:pPr>
      <w:r>
        <w:rPr>
          <w:rFonts w:eastAsia="Times New Roman"/>
          <w:color w:val="000000"/>
          <w:sz w:val="20"/>
          <w:szCs w:val="20"/>
        </w:rPr>
        <w:t>•our ability to adequately protect our intellectual property;</w:t>
      </w:r>
    </w:p>
    <w:p w:rsidR="00000000" w:rsidRDefault="00183441">
      <w:pPr>
        <w:ind w:hanging="180"/>
        <w:jc w:val="both"/>
        <w:rPr>
          <w:rFonts w:eastAsia="Times New Roman"/>
        </w:rPr>
      </w:pPr>
      <w:r>
        <w:rPr>
          <w:rFonts w:eastAsia="Times New Roman"/>
          <w:color w:val="000000"/>
          <w:sz w:val="20"/>
          <w:szCs w:val="20"/>
        </w:rPr>
        <w:t xml:space="preserve">•risks associated with environmental, social and governance issues, including climate change; </w:t>
      </w:r>
    </w:p>
    <w:p w:rsidR="00000000" w:rsidRDefault="00183441">
      <w:pPr>
        <w:ind w:hanging="180"/>
        <w:jc w:val="both"/>
        <w:rPr>
          <w:rFonts w:eastAsia="Times New Roman"/>
        </w:rPr>
      </w:pPr>
      <w:r>
        <w:rPr>
          <w:rFonts w:eastAsia="Times New Roman"/>
          <w:color w:val="000000"/>
          <w:sz w:val="20"/>
          <w:szCs w:val="20"/>
        </w:rPr>
        <w:t xml:space="preserve">•our significant amount of indebtedness and our ability to generate sufficient </w:t>
      </w:r>
      <w:r>
        <w:rPr>
          <w:rFonts w:eastAsia="Times New Roman"/>
          <w:color w:val="000000"/>
          <w:sz w:val="20"/>
          <w:szCs w:val="20"/>
        </w:rPr>
        <w:t>cash flow to satisfy our debt obligations;</w:t>
      </w:r>
    </w:p>
    <w:p w:rsidR="00000000" w:rsidRDefault="00183441">
      <w:pPr>
        <w:ind w:hanging="180"/>
        <w:jc w:val="both"/>
        <w:rPr>
          <w:rFonts w:eastAsia="Times New Roman"/>
        </w:rPr>
      </w:pPr>
      <w:r>
        <w:rPr>
          <w:rFonts w:eastAsia="Times New Roman"/>
          <w:color w:val="000000"/>
          <w:sz w:val="20"/>
          <w:szCs w:val="20"/>
        </w:rPr>
        <w:t>•a change in interest rates as well as changes in benchmark rates and uncertainty related to the foregoing;</w:t>
      </w:r>
    </w:p>
    <w:p w:rsidR="00000000" w:rsidRDefault="00183441">
      <w:pPr>
        <w:ind w:hanging="180"/>
        <w:jc w:val="both"/>
        <w:rPr>
          <w:rFonts w:eastAsia="Times New Roman"/>
        </w:rPr>
      </w:pPr>
      <w:r>
        <w:rPr>
          <w:rFonts w:eastAsia="Times New Roman"/>
          <w:color w:val="000000"/>
          <w:sz w:val="20"/>
          <w:szCs w:val="20"/>
        </w:rPr>
        <w:t>•</w:t>
      </w:r>
      <w:r>
        <w:rPr>
          <w:rFonts w:eastAsia="Times New Roman"/>
          <w:color w:val="000000"/>
          <w:sz w:val="20"/>
          <w:szCs w:val="20"/>
        </w:rPr>
        <w:t>restrictions in our credit agreement that limits our flexibility in operating our business;</w:t>
      </w:r>
    </w:p>
    <w:p w:rsidR="00000000" w:rsidRDefault="00183441">
      <w:pPr>
        <w:ind w:hanging="180"/>
        <w:jc w:val="both"/>
        <w:rPr>
          <w:rFonts w:eastAsia="Times New Roman"/>
        </w:rPr>
      </w:pPr>
      <w:r>
        <w:rPr>
          <w:rFonts w:eastAsia="Times New Roman"/>
          <w:color w:val="000000"/>
          <w:sz w:val="20"/>
          <w:szCs w:val="20"/>
        </w:rPr>
        <w:t>•</w:t>
      </w:r>
      <w:r>
        <w:rPr>
          <w:rFonts w:eastAsia="Times New Roman"/>
          <w:color w:val="000000"/>
          <w:sz w:val="20"/>
          <w:szCs w:val="20"/>
        </w:rPr>
        <w:t>potential dilution to existing stockholders upon the conversion of our convertible notes; and</w:t>
      </w:r>
    </w:p>
    <w:p w:rsidR="00000000" w:rsidRDefault="00183441">
      <w:pPr>
        <w:ind w:hanging="180"/>
        <w:jc w:val="both"/>
        <w:divId w:val="1445537971"/>
        <w:rPr>
          <w:rFonts w:eastAsia="Times New Roman"/>
        </w:rPr>
      </w:pPr>
      <w:r>
        <w:rPr>
          <w:rFonts w:eastAsia="Times New Roman"/>
          <w:color w:val="000000"/>
          <w:sz w:val="20"/>
          <w:szCs w:val="20"/>
        </w:rPr>
        <w:t>•risks related to owning our common stock, including our ability to comply with requirements to design and implement and maintain effective internal controls.</w:t>
      </w:r>
    </w:p>
    <w:p w:rsidR="00000000" w:rsidRDefault="00183441">
      <w:pPr>
        <w:jc w:val="both"/>
        <w:divId w:val="2129545156"/>
        <w:rPr>
          <w:rFonts w:eastAsia="Times New Roman"/>
        </w:rPr>
      </w:pPr>
      <w:r>
        <w:rPr>
          <w:rFonts w:eastAsia="Times New Roman"/>
          <w:color w:val="000000"/>
          <w:sz w:val="20"/>
          <w:szCs w:val="20"/>
        </w:rPr>
        <w:t xml:space="preserve">We </w:t>
      </w:r>
      <w:r>
        <w:rPr>
          <w:rFonts w:eastAsia="Times New Roman"/>
          <w:color w:val="000000"/>
          <w:sz w:val="20"/>
          <w:szCs w:val="20"/>
        </w:rPr>
        <w:t>caution you that the risks, uncertainties and other factors referenced above may not contain all of the risks, uncertainties and other factors that are important to you. In addition, we cannot assure you that we will realize the results, benefits or develo</w:t>
      </w:r>
      <w:r>
        <w:rPr>
          <w:rFonts w:eastAsia="Times New Roman"/>
          <w:color w:val="000000"/>
          <w:sz w:val="20"/>
          <w:szCs w:val="20"/>
        </w:rPr>
        <w:t>pments that we expect or anticipate or, even if substantially realized, that they will result in the consequences or affect us or our business in the way expected. There can be no assurance that (i) we have correctly measured or identified all of the facto</w:t>
      </w:r>
      <w:r>
        <w:rPr>
          <w:rFonts w:eastAsia="Times New Roman"/>
          <w:color w:val="000000"/>
          <w:sz w:val="20"/>
          <w:szCs w:val="20"/>
        </w:rPr>
        <w:t>rs affecting our business or the extent of these factors’ likely impact, (ii) the available information with respect to these factors on which such analysis is based is complete or accurate, (iii) such analysis is correct or (iv) our strategy, which is bas</w:t>
      </w:r>
      <w:r>
        <w:rPr>
          <w:rFonts w:eastAsia="Times New Roman"/>
          <w:color w:val="000000"/>
          <w:sz w:val="20"/>
          <w:szCs w:val="20"/>
        </w:rPr>
        <w:t>ed in part on this analysis, will be successful. All forward-looking statements in this Form 10-Q apply only as of the date of this Form 10-Q or as of the date they were made and, except as required by applicable law, we undertake no obligation to publicly</w:t>
      </w:r>
      <w:r>
        <w:rPr>
          <w:rFonts w:eastAsia="Times New Roman"/>
          <w:color w:val="000000"/>
          <w:sz w:val="20"/>
          <w:szCs w:val="20"/>
        </w:rPr>
        <w:t xml:space="preserve"> update or revise any forward-looking statement, whether as a result of new information, future developments or otherwise.</w:t>
      </w:r>
    </w:p>
    <w:p w:rsidR="00000000" w:rsidRDefault="00183441">
      <w:pPr>
        <w:jc w:val="both"/>
        <w:divId w:val="1352755268"/>
        <w:rPr>
          <w:rFonts w:eastAsia="Times New Roman"/>
        </w:rPr>
      </w:pPr>
      <w:r>
        <w:rPr>
          <w:rFonts w:eastAsia="Times New Roman"/>
          <w:color w:val="000000"/>
          <w:sz w:val="20"/>
          <w:szCs w:val="20"/>
        </w:rPr>
        <w:t>All references to “we,” “us,” “our,” or the “Company” in this Form 10-Q mean National Vision Holdings, Inc. and its subsidiaries, unl</w:t>
      </w:r>
      <w:r>
        <w:rPr>
          <w:rFonts w:eastAsia="Times New Roman"/>
          <w:color w:val="000000"/>
          <w:sz w:val="20"/>
          <w:szCs w:val="20"/>
        </w:rPr>
        <w:t>ess the context otherwise requires. References to “eye care practitioners” in this Form 10-Q mean optometrists and ophthalmologists and references to “vision care professionals” mean optometrists (including optometrists employed by us or by professional co</w:t>
      </w:r>
      <w:r>
        <w:rPr>
          <w:rFonts w:eastAsia="Times New Roman"/>
          <w:color w:val="000000"/>
          <w:sz w:val="20"/>
          <w:szCs w:val="20"/>
        </w:rPr>
        <w:t>rporations owned by eye care practitioners with which we have arrangements) and opticians.</w:t>
      </w:r>
    </w:p>
    <w:p w:rsidR="00000000" w:rsidRDefault="00183441">
      <w:pPr>
        <w:jc w:val="both"/>
        <w:divId w:val="474300434"/>
        <w:rPr>
          <w:rFonts w:eastAsia="Times New Roman"/>
        </w:rPr>
      </w:pPr>
      <w:r>
        <w:rPr>
          <w:rFonts w:eastAsia="Times New Roman"/>
          <w:b/>
          <w:bCs/>
          <w:color w:val="000000"/>
          <w:sz w:val="20"/>
          <w:szCs w:val="20"/>
        </w:rPr>
        <w:t>Website Disclosure</w:t>
      </w:r>
    </w:p>
    <w:p w:rsidR="00000000" w:rsidRDefault="00183441">
      <w:pPr>
        <w:jc w:val="both"/>
        <w:divId w:val="334497460"/>
        <w:rPr>
          <w:rFonts w:eastAsia="Times New Roman"/>
        </w:rPr>
      </w:pPr>
      <w:r>
        <w:rPr>
          <w:rFonts w:eastAsia="Times New Roman"/>
          <w:color w:val="000000"/>
          <w:sz w:val="20"/>
          <w:szCs w:val="20"/>
        </w:rPr>
        <w:lastRenderedPageBreak/>
        <w:t>We use our website www.nationalvision.com as a channel of distribution of Company information. Financial and other important information regarding</w:t>
      </w:r>
      <w:r>
        <w:rPr>
          <w:rFonts w:eastAsia="Times New Roman"/>
          <w:color w:val="000000"/>
          <w:sz w:val="20"/>
          <w:szCs w:val="20"/>
        </w:rPr>
        <w:t xml:space="preserve"> the Company is routinely accessible through and posted on our website. Accordingly, investors should monitor our website, in addition to following our press releases, SEC filings and public conference calls and webcasts. In addition, you may automatically</w:t>
      </w:r>
      <w:r>
        <w:rPr>
          <w:rFonts w:eastAsia="Times New Roman"/>
          <w:color w:val="000000"/>
          <w:sz w:val="20"/>
          <w:szCs w:val="20"/>
        </w:rPr>
        <w:t xml:space="preserve"> receive e-mail alerts and other information about National Vision Holdings, Inc. when you enroll your e-mail address by visiting the “Email Alerts” page of the Investor Resources section of our website at www.nationalvision.com/investors. The contents of </w:t>
      </w:r>
      <w:r>
        <w:rPr>
          <w:rFonts w:eastAsia="Times New Roman"/>
          <w:color w:val="000000"/>
          <w:sz w:val="20"/>
          <w:szCs w:val="20"/>
        </w:rPr>
        <w:t>our website are not, however, a part of this Form 10-Q.</w:t>
      </w:r>
    </w:p>
    <w:p w:rsidR="00000000" w:rsidRDefault="00183441">
      <w:pPr>
        <w:jc w:val="center"/>
        <w:divId w:val="963267337"/>
        <w:rPr>
          <w:rFonts w:eastAsia="Times New Roman"/>
        </w:rPr>
      </w:pPr>
      <w:r>
        <w:rPr>
          <w:rFonts w:eastAsia="Times New Roman"/>
          <w:color w:val="000000"/>
          <w:sz w:val="20"/>
          <w:szCs w:val="20"/>
        </w:rPr>
        <w:t>4</w:t>
      </w:r>
    </w:p>
    <w:p w:rsidR="00000000" w:rsidRDefault="00183441">
      <w:pPr>
        <w:rPr>
          <w:rFonts w:eastAsia="Times New Roman"/>
        </w:rPr>
      </w:pPr>
      <w:r>
        <w:rPr>
          <w:rFonts w:eastAsia="Times New Roman"/>
        </w:rPr>
        <w:pict>
          <v:rect id="_x0000_i1028" style="width:0;height:1.5pt" o:hralign="center" o:hrstd="t" o:hr="t" fillcolor="#a0a0a0" stroked="f"/>
        </w:pict>
      </w:r>
    </w:p>
    <w:p w:rsidR="00000000" w:rsidRDefault="00183441">
      <w:pPr>
        <w:divId w:val="578100261"/>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center"/>
        <w:divId w:val="1195967865"/>
        <w:rPr>
          <w:rFonts w:eastAsia="Times New Roman"/>
        </w:rPr>
      </w:pPr>
    </w:p>
    <w:p w:rsidR="00000000" w:rsidRDefault="00183441">
      <w:pPr>
        <w:divId w:val="104546615"/>
        <w:rPr>
          <w:rFonts w:eastAsia="Times New Roman"/>
        </w:rPr>
      </w:pPr>
      <w:r>
        <w:rPr>
          <w:rFonts w:eastAsia="Times New Roman"/>
          <w:b/>
          <w:bCs/>
          <w:color w:val="000000"/>
          <w:sz w:val="20"/>
          <w:szCs w:val="20"/>
        </w:rPr>
        <w:t>PART I – FINANCIAL INFORMATION</w:t>
      </w:r>
    </w:p>
    <w:p w:rsidR="00000000" w:rsidRDefault="00183441">
      <w:pPr>
        <w:divId w:val="2903197"/>
        <w:rPr>
          <w:rFonts w:eastAsia="Times New Roman"/>
        </w:rPr>
      </w:pPr>
    </w:p>
    <w:p w:rsidR="00000000" w:rsidRDefault="00183441">
      <w:pPr>
        <w:divId w:val="1381516625"/>
        <w:rPr>
          <w:rFonts w:eastAsia="Times New Roman"/>
        </w:rPr>
      </w:pPr>
      <w:r>
        <w:rPr>
          <w:rFonts w:eastAsia="Times New Roman"/>
          <w:b/>
          <w:bCs/>
          <w:color w:val="000000"/>
          <w:sz w:val="20"/>
          <w:szCs w:val="20"/>
        </w:rPr>
        <w:t>Item 1.  Financial Statements (Unaudited)</w:t>
      </w:r>
    </w:p>
    <w:p w:rsidR="00000000" w:rsidRDefault="00183441">
      <w:pPr>
        <w:divId w:val="1323318840"/>
        <w:rPr>
          <w:rFonts w:eastAsia="Times New Roman"/>
        </w:rPr>
      </w:pPr>
    </w:p>
    <w:p w:rsidR="00000000" w:rsidRDefault="00183441">
      <w:pPr>
        <w:jc w:val="center"/>
        <w:rPr>
          <w:rFonts w:eastAsia="Times New Roman"/>
        </w:rPr>
      </w:pPr>
      <w:r>
        <w:rPr>
          <w:rFonts w:eastAsia="Times New Roman"/>
          <w:b/>
          <w:bCs/>
          <w:color w:val="000000"/>
          <w:sz w:val="20"/>
          <w:szCs w:val="20"/>
        </w:rPr>
        <w:t>Nationa</w:t>
      </w:r>
      <w:r>
        <w:rPr>
          <w:rFonts w:eastAsia="Times New Roman"/>
          <w:b/>
          <w:bCs/>
          <w:color w:val="000000"/>
          <w:sz w:val="20"/>
          <w:szCs w:val="20"/>
        </w:rPr>
        <w:t>l Vision Holdings, Inc. and Subsidiaries</w:t>
      </w:r>
    </w:p>
    <w:p w:rsidR="00000000" w:rsidRDefault="00183441">
      <w:pPr>
        <w:jc w:val="center"/>
        <w:rPr>
          <w:rFonts w:eastAsia="Times New Roman"/>
        </w:rPr>
      </w:pPr>
      <w:r>
        <w:rPr>
          <w:rFonts w:eastAsia="Times New Roman"/>
          <w:b/>
          <w:bCs/>
          <w:color w:val="000000"/>
          <w:sz w:val="20"/>
          <w:szCs w:val="20"/>
        </w:rPr>
        <w:t>Condensed Consolidated Balance Sheets</w:t>
      </w:r>
    </w:p>
    <w:p w:rsidR="00000000" w:rsidRDefault="00183441">
      <w:pPr>
        <w:jc w:val="center"/>
        <w:rPr>
          <w:rFonts w:eastAsia="Times New Roman"/>
        </w:rPr>
      </w:pPr>
      <w:r>
        <w:rPr>
          <w:rFonts w:eastAsia="Times New Roman"/>
          <w:i/>
          <w:iCs/>
          <w:color w:val="000000"/>
          <w:sz w:val="20"/>
          <w:szCs w:val="20"/>
        </w:rPr>
        <w:t>In Thousands, Except Par Value</w:t>
      </w:r>
    </w:p>
    <w:p w:rsidR="00000000" w:rsidRDefault="00183441">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911"/>
        <w:gridCol w:w="38"/>
        <w:gridCol w:w="120"/>
        <w:gridCol w:w="1462"/>
        <w:gridCol w:w="36"/>
        <w:gridCol w:w="36"/>
        <w:gridCol w:w="36"/>
        <w:gridCol w:w="36"/>
        <w:gridCol w:w="120"/>
        <w:gridCol w:w="1435"/>
        <w:gridCol w:w="36"/>
      </w:tblGrid>
      <w:tr w:rsidR="00000000">
        <w:trPr>
          <w:divId w:val="557935930"/>
        </w:trPr>
        <w:tc>
          <w:tcPr>
            <w:tcW w:w="50" w:type="pct"/>
            <w:vAlign w:val="center"/>
            <w:hideMark/>
          </w:tcPr>
          <w:p w:rsidR="00000000" w:rsidRDefault="00183441">
            <w:pPr>
              <w:jc w:val="center"/>
              <w:rPr>
                <w:rFonts w:eastAsia="Times New Roman"/>
              </w:rPr>
            </w:pPr>
          </w:p>
        </w:tc>
        <w:tc>
          <w:tcPr>
            <w:tcW w:w="298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90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90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1, 2022</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557935930"/>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 xml:space="preserve">ASSETS </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FFFF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256,209 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305,800 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Accounts receivable, net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63,823 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55,697 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Inventories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122,032 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123,669 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Prepaid expenses and other current assets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34,999 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29,410 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51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Total current assets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477,063 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514,576 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Height w:val="220"/>
        </w:trPr>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CCEE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Noncurrent assets: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358,599 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346,436 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Goodwill</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777,613 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777,613 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Trademarks and trade names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240,547 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240,547 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Other intangible assets, net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36,402 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42,020 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Right of use assets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379,668 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354,900 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Other assets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21,844 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16,999 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51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Total non-current assets</w:t>
            </w: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1,814,673 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1,778,515 </w:t>
            </w:r>
          </w:p>
        </w:tc>
        <w:tc>
          <w:tcPr>
            <w:tcW w:w="0" w:type="auto"/>
            <w:tcBorders>
              <w:top w:val="single" w:sz="8" w:space="0" w:color="000000"/>
            </w:tcBorders>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2,291,736 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2,293,091 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Height w:val="180"/>
        </w:trPr>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CCEE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FFFF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68,979 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64,331 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lastRenderedPageBreak/>
              <w:t>Other payables and accrued expenses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100,878 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119,323 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Unearned revenue</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32,691 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29,895 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63,875 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65,325 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Current maturities of long-term debt and finance lease obligations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3,975 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3,999 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Current operating lease obligations</w:t>
            </w:r>
          </w:p>
        </w:tc>
        <w:tc>
          <w:tcPr>
            <w:tcW w:w="0" w:type="auto"/>
            <w:gridSpan w:val="2"/>
            <w:shd w:val="clear" w:color="auto" w:fill="FFFF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66,227 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60,930 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51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Total 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336,625 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343,803 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Height w:val="180"/>
        </w:trPr>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CCEE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Noncurrent liabilities: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564,180 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566,081 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Non-current operating lease obligations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364,796 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342,241 </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Deferred revenue</w:t>
            </w:r>
          </w:p>
        </w:tc>
        <w:tc>
          <w:tcPr>
            <w:tcW w:w="0" w:type="auto"/>
            <w:gridSpan w:val="2"/>
            <w:shd w:val="clear" w:color="auto" w:fill="FFFF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22,572 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23,166 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Other liabilities</w:t>
            </w: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8,945 </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8,974 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Deferred income taxes, net</w:t>
            </w:r>
          </w:p>
        </w:tc>
        <w:tc>
          <w:tcPr>
            <w:tcW w:w="0" w:type="auto"/>
            <w:gridSpan w:val="2"/>
            <w:shd w:val="clear" w:color="auto" w:fill="FFFF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87,693 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82,846 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51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Total non-current liabilities</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1,048,186 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1,023,308 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Commitments and contingencies (See Note 9)</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CCEE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Stockholders’ equity:</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57935930"/>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jc w:val="both"/>
              <w:rPr>
                <w:rFonts w:eastAsia="Times New Roman"/>
              </w:rPr>
            </w:pPr>
            <w:r>
              <w:rPr>
                <w:rFonts w:eastAsia="Times New Roman"/>
                <w:color w:val="000000"/>
                <w:sz w:val="20"/>
                <w:szCs w:val="20"/>
              </w:rPr>
              <w:t xml:space="preserve">Common stock, $0.01 par value; 200,000 shares authorized; 84,173 and 83,840 </w:t>
            </w:r>
            <w:r>
              <w:rPr>
                <w:rFonts w:eastAsia="Times New Roman"/>
                <w:color w:val="000000"/>
                <w:sz w:val="20"/>
                <w:szCs w:val="20"/>
              </w:rPr>
              <w:t>shares issued as of October 1, 2022 and January 1, 2022, respectively; 78,910 and 81,405 shares outstanding as of October 1, 2022 and January 1, 2022, respectively</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841 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838 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763,166 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750,478 </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(1,372)</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(1,940)</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24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Retained earnings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329,778 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278,395 </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jc w:val="both"/>
              <w:rPr>
                <w:rFonts w:eastAsia="Times New Roman"/>
              </w:rPr>
            </w:pPr>
            <w:r>
              <w:rPr>
                <w:rFonts w:eastAsia="Times New Roman"/>
                <w:color w:val="000000"/>
                <w:sz w:val="20"/>
                <w:szCs w:val="20"/>
              </w:rPr>
              <w:t xml:space="preserve">Treasury stock, at cost; 5,263 and 2,435 </w:t>
            </w:r>
            <w:r>
              <w:rPr>
                <w:rFonts w:eastAsia="Times New Roman"/>
                <w:color w:val="000000"/>
                <w:sz w:val="20"/>
                <w:szCs w:val="20"/>
              </w:rPr>
              <w:t>shares as of October 1, 2022 and January 1, 2022, respectively</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(185,488)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(101,791)</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CCEEFF"/>
            <w:tcMar>
              <w:top w:w="30" w:type="dxa"/>
              <w:left w:w="51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Total stockholders’ equity</w:t>
            </w: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906,925 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925,980 </w:t>
            </w:r>
          </w:p>
        </w:tc>
        <w:tc>
          <w:tcPr>
            <w:tcW w:w="0" w:type="auto"/>
            <w:tcBorders>
              <w:top w:val="single" w:sz="8" w:space="0" w:color="000000"/>
            </w:tcBorders>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557935930"/>
        </w:trPr>
        <w:tc>
          <w:tcPr>
            <w:tcW w:w="0" w:type="auto"/>
            <w:gridSpan w:val="3"/>
            <w:shd w:val="clear" w:color="auto" w:fill="FFFF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2,291,736 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2,293,091 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r>
    </w:tbl>
    <w:p w:rsidR="00000000" w:rsidRDefault="00183441">
      <w:pPr>
        <w:jc w:val="center"/>
        <w:divId w:val="1978879816"/>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183441">
      <w:pPr>
        <w:jc w:val="center"/>
        <w:divId w:val="803695846"/>
        <w:rPr>
          <w:rFonts w:eastAsia="Times New Roman"/>
        </w:rPr>
      </w:pPr>
      <w:r>
        <w:rPr>
          <w:rFonts w:eastAsia="Times New Roman"/>
          <w:color w:val="000000"/>
          <w:sz w:val="20"/>
          <w:szCs w:val="20"/>
        </w:rPr>
        <w:t>5</w:t>
      </w:r>
    </w:p>
    <w:p w:rsidR="00000000" w:rsidRDefault="00183441">
      <w:pPr>
        <w:rPr>
          <w:rFonts w:eastAsia="Times New Roman"/>
        </w:rPr>
      </w:pPr>
      <w:r>
        <w:rPr>
          <w:rFonts w:eastAsia="Times New Roman"/>
        </w:rPr>
        <w:pict>
          <v:rect id="_x0000_i1029" style="width:0;height:1.5pt" o:hralign="center" o:hrstd="t" o:hr="t" fillcolor="#a0a0a0" stroked="f"/>
        </w:pict>
      </w:r>
    </w:p>
    <w:p w:rsidR="00000000" w:rsidRDefault="00183441">
      <w:pPr>
        <w:divId w:val="2123762007"/>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ind w:firstLine="720"/>
        <w:jc w:val="center"/>
        <w:rPr>
          <w:rFonts w:eastAsia="Times New Roman"/>
        </w:rPr>
      </w:pPr>
      <w:r>
        <w:rPr>
          <w:rFonts w:eastAsia="Times New Roman"/>
          <w:b/>
          <w:bCs/>
          <w:color w:val="000000"/>
          <w:sz w:val="20"/>
          <w:szCs w:val="20"/>
        </w:rPr>
        <w:t>National Vision Holdings, Inc. and Subsidiaries</w:t>
      </w:r>
    </w:p>
    <w:p w:rsidR="00000000" w:rsidRDefault="00183441">
      <w:pPr>
        <w:jc w:val="center"/>
        <w:rPr>
          <w:rFonts w:eastAsia="Times New Roman"/>
        </w:rPr>
      </w:pPr>
      <w:r>
        <w:rPr>
          <w:rFonts w:eastAsia="Times New Roman"/>
          <w:b/>
          <w:bCs/>
          <w:color w:val="000000"/>
          <w:sz w:val="20"/>
          <w:szCs w:val="20"/>
        </w:rPr>
        <w:t>Condensed Consolidated Statements of Operations and Comprehensive Income</w:t>
      </w:r>
    </w:p>
    <w:p w:rsidR="00000000" w:rsidRDefault="00183441">
      <w:pPr>
        <w:jc w:val="center"/>
        <w:rPr>
          <w:rFonts w:eastAsia="Times New Roman"/>
        </w:rPr>
      </w:pPr>
      <w:r>
        <w:rPr>
          <w:rFonts w:eastAsia="Times New Roman"/>
          <w:i/>
          <w:iCs/>
          <w:color w:val="000000"/>
          <w:sz w:val="20"/>
          <w:szCs w:val="20"/>
        </w:rPr>
        <w:t>In Thousands, Except Earnings Per Share</w:t>
      </w:r>
    </w:p>
    <w:p w:rsidR="00000000" w:rsidRDefault="00183441">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216"/>
        <w:gridCol w:w="40"/>
        <w:gridCol w:w="120"/>
        <w:gridCol w:w="1042"/>
        <w:gridCol w:w="36"/>
        <w:gridCol w:w="36"/>
        <w:gridCol w:w="36"/>
        <w:gridCol w:w="36"/>
        <w:gridCol w:w="120"/>
        <w:gridCol w:w="1005"/>
        <w:gridCol w:w="36"/>
        <w:gridCol w:w="36"/>
        <w:gridCol w:w="36"/>
        <w:gridCol w:w="36"/>
        <w:gridCol w:w="120"/>
        <w:gridCol w:w="1007"/>
        <w:gridCol w:w="36"/>
        <w:gridCol w:w="36"/>
        <w:gridCol w:w="36"/>
        <w:gridCol w:w="36"/>
        <w:gridCol w:w="120"/>
        <w:gridCol w:w="1007"/>
        <w:gridCol w:w="36"/>
      </w:tblGrid>
      <w:tr w:rsidR="00000000">
        <w:trPr>
          <w:divId w:val="1921720891"/>
          <w:jc w:val="center"/>
        </w:trPr>
        <w:tc>
          <w:tcPr>
            <w:tcW w:w="50" w:type="pct"/>
            <w:vAlign w:val="center"/>
            <w:hideMark/>
          </w:tcPr>
          <w:p w:rsidR="00000000" w:rsidRDefault="00183441">
            <w:pPr>
              <w:jc w:val="center"/>
              <w:rPr>
                <w:rFonts w:eastAsia="Times New Roman"/>
              </w:rPr>
            </w:pPr>
          </w:p>
        </w:tc>
        <w:tc>
          <w:tcPr>
            <w:tcW w:w="197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58"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58"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58"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58"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921720891"/>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1921720891"/>
          <w:jc w:val="center"/>
        </w:trPr>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1921720891"/>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921720891"/>
          <w:jc w:val="center"/>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410,701 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425,594 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1,265,554 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1,326,867 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Net sales of services and plans </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88,506 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92,411 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270,919 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274,807 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38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499,207 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518,005 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1,536,473 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1,601,674 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921720891"/>
          <w:jc w:val="center"/>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Products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160,645 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158,371 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488,225 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485,090 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Services and plans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72,155 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68,087 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215,179 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202,004 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38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232,800 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226,458 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703,404 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687,094 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921720891"/>
          <w:jc w:val="center"/>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Selling, general and administrative expenses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225,028 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218,214 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681,411 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676,042 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24,852 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25,059 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75,248 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72,639 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1,263 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(95)</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(2,437)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(2,567)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38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Total operating expenses </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251,048 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240,836 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762,007 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747,592 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Income from operations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15,359 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50,711 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71,062 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166,988 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Interest expense (income), net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(1,977)</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5,743 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(2,158)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22,261 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Earnings before income taxes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17,336 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44,968 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73,220 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144,727 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Income tax provision</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5,834 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3,976 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21,837 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22,702 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122,025 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trHeight w:val="240"/>
          <w:jc w:val="center"/>
        </w:trPr>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921720891"/>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Earnings per share:</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921720891"/>
          <w:jc w:val="center"/>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0.64 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0.45 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0.63 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Weighted average shares outstanding:</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921720891"/>
          <w:jc w:val="center"/>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78,910 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82,290 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80,133 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81,729 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79,304 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96,508 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93,477 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96,193 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trHeight w:val="240"/>
          <w:jc w:val="center"/>
        </w:trPr>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921720891"/>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Comprehensive income:</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921720891"/>
          <w:jc w:val="center"/>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11,502 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40,992 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51,383 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122,025 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Unrealized gain on hedge instruments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340 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762 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4,949 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Tax provision of unrealized gain on hedge instruments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3,389 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21720891"/>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Comprehensive income </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11,692 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41,245 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51,951 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123,585 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center"/>
        <w:divId w:val="1400707735"/>
        <w:rPr>
          <w:rFonts w:eastAsia="Times New Roman"/>
        </w:rPr>
      </w:pPr>
    </w:p>
    <w:p w:rsidR="00000000" w:rsidRDefault="00183441">
      <w:pPr>
        <w:jc w:val="center"/>
        <w:divId w:val="829830858"/>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183441">
      <w:pPr>
        <w:jc w:val="center"/>
        <w:divId w:val="1975212772"/>
        <w:rPr>
          <w:rFonts w:eastAsia="Times New Roman"/>
        </w:rPr>
      </w:pPr>
      <w:r>
        <w:rPr>
          <w:rFonts w:eastAsia="Times New Roman"/>
          <w:color w:val="000000"/>
          <w:sz w:val="20"/>
          <w:szCs w:val="20"/>
        </w:rPr>
        <w:t>6</w:t>
      </w:r>
    </w:p>
    <w:p w:rsidR="00000000" w:rsidRDefault="00183441">
      <w:pPr>
        <w:rPr>
          <w:rFonts w:eastAsia="Times New Roman"/>
        </w:rPr>
      </w:pPr>
      <w:r>
        <w:rPr>
          <w:rFonts w:eastAsia="Times New Roman"/>
        </w:rPr>
        <w:pict>
          <v:rect id="_x0000_i1030" style="width:0;height:1.5pt" o:hralign="center" o:hrstd="t" o:hr="t" fillcolor="#a0a0a0" stroked="f"/>
        </w:pict>
      </w:r>
    </w:p>
    <w:p w:rsidR="00000000" w:rsidRDefault="00183441">
      <w:pPr>
        <w:divId w:val="1174881316"/>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divId w:val="980385559"/>
        <w:rPr>
          <w:rFonts w:eastAsia="Times New Roman"/>
        </w:rPr>
      </w:pPr>
    </w:p>
    <w:p w:rsidR="00000000" w:rsidRDefault="00183441">
      <w:pPr>
        <w:jc w:val="center"/>
        <w:rPr>
          <w:rFonts w:eastAsia="Times New Roman"/>
        </w:rPr>
      </w:pPr>
    </w:p>
    <w:p w:rsidR="00000000" w:rsidRDefault="00183441">
      <w:pPr>
        <w:jc w:val="center"/>
        <w:rPr>
          <w:rFonts w:eastAsia="Times New Roman"/>
        </w:rPr>
      </w:pPr>
      <w:r>
        <w:rPr>
          <w:rFonts w:eastAsia="Times New Roman"/>
          <w:b/>
          <w:bCs/>
          <w:color w:val="000000"/>
          <w:sz w:val="20"/>
          <w:szCs w:val="20"/>
        </w:rPr>
        <w:t>National Vision Holdings, Inc. and Subsidiaries</w:t>
      </w:r>
    </w:p>
    <w:p w:rsidR="00000000" w:rsidRDefault="00183441">
      <w:pPr>
        <w:jc w:val="center"/>
        <w:rPr>
          <w:rFonts w:eastAsia="Times New Roman"/>
        </w:rPr>
      </w:pPr>
      <w:r>
        <w:rPr>
          <w:rFonts w:eastAsia="Times New Roman"/>
          <w:b/>
          <w:bCs/>
          <w:color w:val="000000"/>
          <w:sz w:val="20"/>
          <w:szCs w:val="20"/>
        </w:rPr>
        <w:t>Condensed Consolidated Statements of Stockholders’ Equity</w:t>
      </w:r>
    </w:p>
    <w:p w:rsidR="00000000" w:rsidRDefault="00183441">
      <w:pPr>
        <w:jc w:val="center"/>
        <w:rPr>
          <w:rFonts w:eastAsia="Times New Roman"/>
        </w:rPr>
      </w:pPr>
      <w:r>
        <w:rPr>
          <w:rFonts w:eastAsia="Times New Roman"/>
          <w:i/>
          <w:iCs/>
          <w:color w:val="000000"/>
          <w:sz w:val="20"/>
          <w:szCs w:val="20"/>
        </w:rPr>
        <w:t>In Thousands</w:t>
      </w:r>
    </w:p>
    <w:p w:rsidR="00000000" w:rsidRDefault="00183441">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1483"/>
        <w:gridCol w:w="38"/>
        <w:gridCol w:w="76"/>
        <w:gridCol w:w="544"/>
        <w:gridCol w:w="39"/>
        <w:gridCol w:w="121"/>
        <w:gridCol w:w="603"/>
        <w:gridCol w:w="37"/>
        <w:gridCol w:w="121"/>
        <w:gridCol w:w="800"/>
        <w:gridCol w:w="36"/>
        <w:gridCol w:w="121"/>
        <w:gridCol w:w="1196"/>
        <w:gridCol w:w="36"/>
        <w:gridCol w:w="120"/>
        <w:gridCol w:w="700"/>
        <w:gridCol w:w="36"/>
        <w:gridCol w:w="120"/>
        <w:gridCol w:w="784"/>
        <w:gridCol w:w="36"/>
        <w:gridCol w:w="121"/>
        <w:gridCol w:w="1054"/>
        <w:gridCol w:w="36"/>
      </w:tblGrid>
      <w:tr w:rsidR="00000000">
        <w:trPr>
          <w:divId w:val="462428028"/>
          <w:jc w:val="center"/>
        </w:trPr>
        <w:tc>
          <w:tcPr>
            <w:tcW w:w="50" w:type="pct"/>
            <w:vAlign w:val="center"/>
            <w:hideMark/>
          </w:tcPr>
          <w:p w:rsidR="00000000" w:rsidRDefault="00183441">
            <w:pPr>
              <w:jc w:val="center"/>
              <w:rPr>
                <w:rFonts w:eastAsia="Times New Roman"/>
              </w:rPr>
            </w:pPr>
          </w:p>
        </w:tc>
        <w:tc>
          <w:tcPr>
            <w:tcW w:w="128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6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6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5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6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4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9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462428028"/>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and Nine Months Ended October 1, 2022</w:t>
            </w:r>
          </w:p>
        </w:tc>
      </w:tr>
      <w:tr w:rsidR="00000000">
        <w:trPr>
          <w:divId w:val="462428028"/>
          <w:trHeight w:val="300"/>
          <w:jc w:val="center"/>
        </w:trPr>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462428028"/>
          <w:trHeight w:val="540"/>
          <w:jc w:val="center"/>
        </w:trPr>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r>
      <w:tr w:rsidR="00000000">
        <w:trPr>
          <w:divId w:val="46242802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Balances at January 1, 2022</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81,405 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838 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750,478 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(1,940)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278,395 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(101,791)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925,980 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1,366 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1,369 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3,692 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3,692 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(272)</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(10,649)</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(10,649)</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Settlement of 2025 Notes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30,147 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30,147 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Balances at April 2,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81,422 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755,535 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(1,752)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308,542 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(112,440)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950,726 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Stock based compensation</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3,606 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3,606 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(2,555)</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(73,008)</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(73,008)</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9,734 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9,734 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Balances at July 2, 2022</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78,885 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841 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759,562 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(1,562)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318,276 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(185,448)</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891,669 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CCEE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Issuance of common stock</w:t>
            </w: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26 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483 </w:t>
            </w:r>
          </w:p>
        </w:tc>
        <w:tc>
          <w:tcPr>
            <w:tcW w:w="0" w:type="auto"/>
            <w:tcBorders>
              <w:top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Stock based compensation</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3,121 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3,121 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CCEE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Purchase of treasury stock</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CCEE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11,502 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11,502 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46242802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Balances at October 1, 2022</w:t>
            </w:r>
          </w:p>
        </w:tc>
        <w:tc>
          <w:tcPr>
            <w:tcW w:w="0" w:type="auto"/>
            <w:gridSpan w:val="2"/>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78,910 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841 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763,166 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(1,372)</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329,778 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w:t>
            </w:r>
            <w:r>
              <w:rPr>
                <w:rFonts w:eastAsia="Times New Roman"/>
                <w:color w:val="000000"/>
                <w:sz w:val="20"/>
                <w:szCs w:val="20"/>
              </w:rPr>
              <w:t>185,488)</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906,925 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center"/>
        <w:divId w:val="1890876180"/>
        <w:rPr>
          <w:rFonts w:eastAsia="Times New Roman"/>
        </w:rPr>
      </w:pPr>
    </w:p>
    <w:p w:rsidR="00000000" w:rsidRDefault="00183441">
      <w:pPr>
        <w:jc w:val="center"/>
        <w:divId w:val="1764178959"/>
        <w:rPr>
          <w:rFonts w:eastAsia="Times New Roman"/>
        </w:rPr>
      </w:pPr>
      <w:r>
        <w:rPr>
          <w:rFonts w:eastAsia="Times New Roman"/>
          <w:color w:val="000000"/>
          <w:sz w:val="20"/>
          <w:szCs w:val="20"/>
        </w:rPr>
        <w:t>7</w:t>
      </w:r>
    </w:p>
    <w:p w:rsidR="00000000" w:rsidRDefault="00183441">
      <w:pPr>
        <w:rPr>
          <w:rFonts w:eastAsia="Times New Roman"/>
        </w:rPr>
      </w:pPr>
      <w:r>
        <w:rPr>
          <w:rFonts w:eastAsia="Times New Roman"/>
        </w:rPr>
        <w:pict>
          <v:rect id="_x0000_i1031" style="width:0;height:1.5pt" o:hralign="center" o:hrstd="t" o:hr="t" fillcolor="#a0a0a0" stroked="f"/>
        </w:pict>
      </w:r>
    </w:p>
    <w:p w:rsidR="00000000" w:rsidRDefault="00183441">
      <w:pPr>
        <w:divId w:val="1429765592"/>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divId w:val="1911768997"/>
        <w:rPr>
          <w:rFonts w:eastAsia="Times New Roman"/>
        </w:rPr>
      </w:pPr>
    </w:p>
    <w:p w:rsidR="00000000" w:rsidRDefault="00183441">
      <w:pPr>
        <w:jc w:val="center"/>
        <w:rPr>
          <w:rFonts w:eastAsia="Times New Roman"/>
        </w:rPr>
      </w:pPr>
      <w:r>
        <w:rPr>
          <w:rFonts w:eastAsia="Times New Roman"/>
          <w:b/>
          <w:bCs/>
          <w:color w:val="000000"/>
          <w:sz w:val="20"/>
          <w:szCs w:val="20"/>
        </w:rPr>
        <w:t>National Vision Holdings, Inc. and Subsidiaries</w:t>
      </w:r>
    </w:p>
    <w:p w:rsidR="00000000" w:rsidRDefault="00183441">
      <w:pPr>
        <w:jc w:val="center"/>
        <w:rPr>
          <w:rFonts w:eastAsia="Times New Roman"/>
        </w:rPr>
      </w:pPr>
      <w:r>
        <w:rPr>
          <w:rFonts w:eastAsia="Times New Roman"/>
          <w:b/>
          <w:bCs/>
          <w:color w:val="000000"/>
          <w:sz w:val="20"/>
          <w:szCs w:val="20"/>
        </w:rPr>
        <w:t>Condensed Consolidated Statements of Stockholders’ Equity</w:t>
      </w:r>
    </w:p>
    <w:p w:rsidR="00000000" w:rsidRDefault="00183441">
      <w:pPr>
        <w:jc w:val="center"/>
        <w:rPr>
          <w:rFonts w:eastAsia="Times New Roman"/>
        </w:rPr>
      </w:pPr>
      <w:r>
        <w:rPr>
          <w:rFonts w:eastAsia="Times New Roman"/>
          <w:i/>
          <w:iCs/>
          <w:color w:val="000000"/>
          <w:sz w:val="20"/>
          <w:szCs w:val="20"/>
        </w:rPr>
        <w:t>In Thousands</w:t>
      </w:r>
    </w:p>
    <w:p w:rsidR="00000000" w:rsidRDefault="00183441">
      <w:pPr>
        <w:jc w:val="center"/>
        <w:rPr>
          <w:rFonts w:eastAsia="Times New Roman"/>
        </w:rPr>
      </w:pPr>
      <w:r>
        <w:rPr>
          <w:rFonts w:eastAsia="Times New Roman"/>
          <w:b/>
          <w:bCs/>
          <w:color w:val="000000"/>
          <w:sz w:val="20"/>
          <w:szCs w:val="20"/>
        </w:rPr>
        <w:t>(Unaudited)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8"/>
        <w:gridCol w:w="1583"/>
        <w:gridCol w:w="38"/>
        <w:gridCol w:w="76"/>
        <w:gridCol w:w="544"/>
        <w:gridCol w:w="39"/>
        <w:gridCol w:w="121"/>
        <w:gridCol w:w="603"/>
        <w:gridCol w:w="37"/>
        <w:gridCol w:w="121"/>
        <w:gridCol w:w="800"/>
        <w:gridCol w:w="36"/>
        <w:gridCol w:w="121"/>
        <w:gridCol w:w="1196"/>
        <w:gridCol w:w="36"/>
        <w:gridCol w:w="120"/>
        <w:gridCol w:w="700"/>
        <w:gridCol w:w="36"/>
        <w:gridCol w:w="120"/>
        <w:gridCol w:w="684"/>
        <w:gridCol w:w="36"/>
        <w:gridCol w:w="121"/>
        <w:gridCol w:w="1054"/>
        <w:gridCol w:w="36"/>
      </w:tblGrid>
      <w:tr w:rsidR="00000000">
        <w:trPr>
          <w:divId w:val="38019213"/>
          <w:jc w:val="center"/>
        </w:trPr>
        <w:tc>
          <w:tcPr>
            <w:tcW w:w="50" w:type="pct"/>
            <w:vAlign w:val="center"/>
            <w:hideMark/>
          </w:tcPr>
          <w:p w:rsidR="00000000" w:rsidRDefault="00183441">
            <w:pPr>
              <w:jc w:val="center"/>
              <w:rPr>
                <w:rFonts w:eastAsia="Times New Roman"/>
              </w:rPr>
            </w:pPr>
          </w:p>
        </w:tc>
        <w:tc>
          <w:tcPr>
            <w:tcW w:w="128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6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6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5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6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4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9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38019213"/>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1"/>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and Nine Months Ended October 2, 2021</w:t>
            </w:r>
          </w:p>
        </w:tc>
      </w:tr>
      <w:tr w:rsidR="00000000">
        <w:trPr>
          <w:divId w:val="38019213"/>
          <w:trHeight w:val="300"/>
          <w:jc w:val="center"/>
        </w:trPr>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Common 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 xml:space="preserve">Additional </w:t>
            </w:r>
            <w:r>
              <w:rPr>
                <w:rFonts w:eastAsia="Times New Roman"/>
                <w:color w:val="000000"/>
                <w:sz w:val="20"/>
                <w:szCs w:val="20"/>
              </w:rPr>
              <w:br/>
              <w:t xml:space="preserve">Paid-In </w:t>
            </w:r>
            <w:r>
              <w:rPr>
                <w:rFonts w:eastAsia="Times New Roman"/>
                <w:color w:val="000000"/>
                <w:sz w:val="20"/>
                <w:szCs w:val="20"/>
              </w:rPr>
              <w:br/>
              <w:t>Capital</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Accumulated</w:t>
            </w:r>
            <w:r>
              <w:rPr>
                <w:rFonts w:eastAsia="Times New Roman"/>
                <w:color w:val="000000"/>
                <w:sz w:val="20"/>
                <w:szCs w:val="20"/>
              </w:rPr>
              <w:br/>
              <w:t>Other</w:t>
            </w:r>
            <w:r>
              <w:rPr>
                <w:rFonts w:eastAsia="Times New Roman"/>
                <w:color w:val="000000"/>
                <w:sz w:val="20"/>
                <w:szCs w:val="20"/>
              </w:rPr>
              <w:br/>
            </w:r>
            <w:r>
              <w:rPr>
                <w:rFonts w:eastAsia="Times New Roman"/>
                <w:color w:val="000000"/>
                <w:sz w:val="20"/>
                <w:szCs w:val="20"/>
              </w:rPr>
              <w:t xml:space="preserve">Comprehensive </w:t>
            </w:r>
            <w:r>
              <w:rPr>
                <w:rFonts w:eastAsia="Times New Roman"/>
                <w:color w:val="000000"/>
                <w:sz w:val="20"/>
                <w:szCs w:val="20"/>
              </w:rPr>
              <w:br/>
              <w:t>Loss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Retained Earnings</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Treasury</w:t>
            </w:r>
            <w:r>
              <w:rPr>
                <w:rFonts w:eastAsia="Times New Roman"/>
                <w:color w:val="000000"/>
                <w:sz w:val="20"/>
                <w:szCs w:val="20"/>
              </w:rPr>
              <w:br/>
              <w:t>Stock</w:t>
            </w:r>
          </w:p>
        </w:tc>
        <w:tc>
          <w:tcPr>
            <w:tcW w:w="0" w:type="auto"/>
            <w:gridSpan w:val="3"/>
            <w:vMerge w:val="restart"/>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 xml:space="preserve">Total </w:t>
            </w:r>
            <w:r>
              <w:rPr>
                <w:rFonts w:eastAsia="Times New Roman"/>
                <w:color w:val="000000"/>
                <w:sz w:val="20"/>
                <w:szCs w:val="20"/>
              </w:rPr>
              <w:br/>
              <w:t xml:space="preserve">Stockholders’ </w:t>
            </w:r>
            <w:r>
              <w:rPr>
                <w:rFonts w:eastAsia="Times New Roman"/>
                <w:color w:val="000000"/>
                <w:sz w:val="20"/>
                <w:szCs w:val="20"/>
              </w:rPr>
              <w:br/>
              <w:t xml:space="preserve">Equity </w:t>
            </w:r>
          </w:p>
        </w:tc>
      </w:tr>
      <w:tr w:rsidR="00000000">
        <w:trPr>
          <w:divId w:val="38019213"/>
          <w:trHeight w:val="540"/>
          <w:jc w:val="center"/>
        </w:trPr>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Shares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Amount</w:t>
            </w: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c>
          <w:tcPr>
            <w:tcW w:w="0" w:type="auto"/>
            <w:gridSpan w:val="3"/>
            <w:vMerge/>
            <w:tcBorders>
              <w:top w:val="single" w:sz="8" w:space="0" w:color="000000"/>
            </w:tcBorders>
            <w:vAlign w:val="center"/>
            <w:hideMark/>
          </w:tcPr>
          <w:p w:rsidR="00000000" w:rsidRDefault="00183441">
            <w:pPr>
              <w:spacing w:after="100"/>
              <w:rPr>
                <w:rFonts w:eastAsia="Times New Roman"/>
              </w:rPr>
            </w:pPr>
          </w:p>
        </w:tc>
      </w:tr>
      <w:tr w:rsidR="00000000">
        <w:trPr>
          <w:divId w:val="38019213"/>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Balances at January 2,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81,239 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795,697 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(4,400)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142,880 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(28,496)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906,502 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Cumulative effect of change in accounting principle </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(71,385)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7,271 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(64,114)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Balances at January 3, 2021 - as adjusted</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81,239 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821 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724,312 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(4,400)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150,151 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(28,496)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842,388 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174 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1,056 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1,058 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2,971 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(1,421)</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(896)</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43,432 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Balances at April 3,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81,385 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728,339 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(5,296)</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193,583 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(29,917)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887,532 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Issuance of common stock</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471 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3,863 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3,868 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7,178 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7,178 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2,203 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2,203 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37,601 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37,601 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Balances at July 3, 2021</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81,855 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739,380 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(3,093)</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231,184 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(29,962)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938,337 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Issuance of common stock</w:t>
            </w: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839 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5,423 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5,431 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Stock based compensation</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3,619 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3,619 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Unrealized gain (loss) on hedge instruments, net of tax</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FFFFFF"/>
            <w:tcMar>
              <w:top w:w="30" w:type="dxa"/>
              <w:left w:w="11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40,992 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40,992 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019213"/>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Balances at October 2, 2021</w:t>
            </w:r>
          </w:p>
        </w:tc>
        <w:tc>
          <w:tcPr>
            <w:tcW w:w="0" w:type="auto"/>
            <w:gridSpan w:val="2"/>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82,693 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748,422 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272,176 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(30,037)</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988,557 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center"/>
        <w:divId w:val="1605183471"/>
        <w:rPr>
          <w:rFonts w:eastAsia="Times New Roman"/>
        </w:rPr>
      </w:pPr>
      <w:r>
        <w:rPr>
          <w:rFonts w:eastAsia="Times New Roman"/>
          <w:i/>
          <w:iCs/>
          <w:color w:val="000000"/>
          <w:sz w:val="20"/>
          <w:szCs w:val="20"/>
        </w:rPr>
        <w:t>The accompanying notes are an integral part of these</w:t>
      </w:r>
      <w:r>
        <w:rPr>
          <w:rFonts w:eastAsia="Times New Roman"/>
          <w:i/>
          <w:iCs/>
          <w:color w:val="000000"/>
          <w:sz w:val="20"/>
          <w:szCs w:val="20"/>
        </w:rPr>
        <w:t xml:space="preserve"> condensed consolidated financial statements.</w:t>
      </w:r>
    </w:p>
    <w:p w:rsidR="00000000" w:rsidRDefault="00183441">
      <w:pPr>
        <w:jc w:val="center"/>
        <w:divId w:val="257951995"/>
        <w:rPr>
          <w:rFonts w:eastAsia="Times New Roman"/>
        </w:rPr>
      </w:pPr>
      <w:r>
        <w:rPr>
          <w:rFonts w:eastAsia="Times New Roman"/>
          <w:color w:val="000000"/>
          <w:sz w:val="20"/>
          <w:szCs w:val="20"/>
        </w:rPr>
        <w:t>8</w:t>
      </w:r>
    </w:p>
    <w:p w:rsidR="00000000" w:rsidRDefault="00183441">
      <w:pPr>
        <w:rPr>
          <w:rFonts w:eastAsia="Times New Roman"/>
        </w:rPr>
      </w:pPr>
      <w:r>
        <w:rPr>
          <w:rFonts w:eastAsia="Times New Roman"/>
        </w:rPr>
        <w:pict>
          <v:rect id="_x0000_i1032" style="width:0;height:1.5pt" o:hralign="center" o:hrstd="t" o:hr="t" fillcolor="#a0a0a0" stroked="f"/>
        </w:pict>
      </w:r>
    </w:p>
    <w:p w:rsidR="00000000" w:rsidRDefault="00183441">
      <w:pPr>
        <w:divId w:val="1244488863"/>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divId w:val="1298950142"/>
        <w:rPr>
          <w:rFonts w:eastAsia="Times New Roman"/>
        </w:rPr>
      </w:pPr>
    </w:p>
    <w:p w:rsidR="00000000" w:rsidRDefault="00183441">
      <w:pPr>
        <w:divId w:val="395856835"/>
        <w:rPr>
          <w:rFonts w:eastAsia="Times New Roman"/>
        </w:rPr>
      </w:pPr>
    </w:p>
    <w:p w:rsidR="00000000" w:rsidRDefault="00183441">
      <w:pPr>
        <w:divId w:val="83575086"/>
        <w:rPr>
          <w:rFonts w:eastAsia="Times New Roman"/>
        </w:rPr>
      </w:pPr>
    </w:p>
    <w:p w:rsidR="00000000" w:rsidRDefault="00183441">
      <w:pPr>
        <w:divId w:val="685134545"/>
        <w:rPr>
          <w:rFonts w:eastAsia="Times New Roman"/>
        </w:rPr>
      </w:pPr>
    </w:p>
    <w:p w:rsidR="00000000" w:rsidRDefault="00183441">
      <w:pPr>
        <w:jc w:val="center"/>
        <w:rPr>
          <w:rFonts w:eastAsia="Times New Roman"/>
        </w:rPr>
      </w:pPr>
      <w:r>
        <w:rPr>
          <w:rFonts w:eastAsia="Times New Roman"/>
          <w:b/>
          <w:bCs/>
          <w:color w:val="000000"/>
          <w:sz w:val="20"/>
          <w:szCs w:val="20"/>
        </w:rPr>
        <w:t>National Vision Holdings, Inc. and Subsidiaries</w:t>
      </w:r>
    </w:p>
    <w:p w:rsidR="00000000" w:rsidRDefault="00183441">
      <w:pPr>
        <w:jc w:val="center"/>
        <w:rPr>
          <w:rFonts w:eastAsia="Times New Roman"/>
        </w:rPr>
      </w:pPr>
      <w:r>
        <w:rPr>
          <w:rFonts w:eastAsia="Times New Roman"/>
          <w:b/>
          <w:bCs/>
          <w:color w:val="000000"/>
          <w:sz w:val="20"/>
          <w:szCs w:val="20"/>
        </w:rPr>
        <w:t>Condensed Consolidated Statements of Cash Flows</w:t>
      </w:r>
    </w:p>
    <w:p w:rsidR="00000000" w:rsidRDefault="00183441">
      <w:pPr>
        <w:jc w:val="center"/>
        <w:rPr>
          <w:rFonts w:eastAsia="Times New Roman"/>
        </w:rPr>
      </w:pPr>
      <w:r>
        <w:rPr>
          <w:rFonts w:eastAsia="Times New Roman"/>
          <w:i/>
          <w:iCs/>
          <w:color w:val="000000"/>
          <w:sz w:val="20"/>
          <w:szCs w:val="20"/>
        </w:rPr>
        <w:t>In Thousands</w:t>
      </w:r>
    </w:p>
    <w:p w:rsidR="00000000" w:rsidRDefault="00183441">
      <w:pPr>
        <w:jc w:val="center"/>
        <w:rPr>
          <w:rFonts w:eastAsia="Times New Roman"/>
        </w:rPr>
      </w:pPr>
      <w:r>
        <w:rPr>
          <w:rFonts w:eastAsia="Times New Roman"/>
          <w:b/>
          <w:bCs/>
          <w:color w:val="000000"/>
          <w:sz w:val="20"/>
          <w:szCs w:val="20"/>
        </w:rPr>
        <w:t>(Unaudited)</w:t>
      </w:r>
    </w:p>
    <w:tbl>
      <w:tblPr>
        <w:tblW w:w="5000" w:type="pct"/>
        <w:tblCellMar>
          <w:top w:w="15" w:type="dxa"/>
          <w:left w:w="15" w:type="dxa"/>
          <w:bottom w:w="15" w:type="dxa"/>
          <w:right w:w="15" w:type="dxa"/>
        </w:tblCellMar>
        <w:tblLook w:val="04A0" w:firstRow="1" w:lastRow="0" w:firstColumn="1" w:lastColumn="0" w:noHBand="0" w:noVBand="1"/>
      </w:tblPr>
      <w:tblGrid>
        <w:gridCol w:w="43"/>
        <w:gridCol w:w="5621"/>
        <w:gridCol w:w="39"/>
        <w:gridCol w:w="110"/>
        <w:gridCol w:w="1107"/>
        <w:gridCol w:w="36"/>
        <w:gridCol w:w="36"/>
        <w:gridCol w:w="36"/>
        <w:gridCol w:w="36"/>
        <w:gridCol w:w="110"/>
        <w:gridCol w:w="1096"/>
        <w:gridCol w:w="36"/>
      </w:tblGrid>
      <w:tr w:rsidR="00000000">
        <w:trPr>
          <w:divId w:val="1330599295"/>
        </w:trPr>
        <w:tc>
          <w:tcPr>
            <w:tcW w:w="50" w:type="pct"/>
            <w:vAlign w:val="center"/>
            <w:hideMark/>
          </w:tcPr>
          <w:p w:rsidR="00000000" w:rsidRDefault="00183441">
            <w:pPr>
              <w:jc w:val="center"/>
              <w:rPr>
                <w:rFonts w:eastAsia="Times New Roman"/>
              </w:rPr>
            </w:pPr>
          </w:p>
        </w:tc>
        <w:tc>
          <w:tcPr>
            <w:tcW w:w="340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9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98"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330599295"/>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Nine Months Ended</w:t>
            </w:r>
          </w:p>
        </w:tc>
      </w:tr>
      <w:tr w:rsidR="00000000">
        <w:trPr>
          <w:divId w:val="1330599295"/>
        </w:trPr>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18"/>
                <w:szCs w:val="18"/>
              </w:rPr>
              <w:t>October 2, 2021</w:t>
            </w:r>
          </w:p>
        </w:tc>
      </w:tr>
      <w:tr w:rsidR="00000000">
        <w:trPr>
          <w:divId w:val="1330599295"/>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330599295"/>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Net income</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51,383 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122,025 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75,248 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72,639 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Amortization of debt discount and deferred financing costs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2,456 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3,140 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5,178 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1,478 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 xml:space="preserve">Deferred income tax expense </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4,652 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23,585 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Stock based compensation expense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10,540 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13,866 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Losses (gains) on change in fair value of derivatives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(16,724)</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(421)</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Inventory adjustments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2,218 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1,546 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3,531 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(242)</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(8,896)</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2,746 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Inventories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(582)</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(14,909)</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Operating lease right of use assets and lease liabilities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262 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(456)</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Other assets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3,070 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(6,813)</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Accounts payable</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4,648 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11,263 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Deferred and unearned revenue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752 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15,699 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Other liabilities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(16,399)</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(11,339)</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Net cash provided by operating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121,337 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233,807 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Purchase of property and equipment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(86,120)</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(58,920)</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Other</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2,475 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Net cash used for investing activities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(86,067)</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(56,445)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Repayments on long-term debt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(117,375)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Proceeds from issuance of common stock</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2,515 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11,170 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Purchase of treasury stock</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(83,676)</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(1,414)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Payments of debt issuance costs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(900)</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Payments on 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(3,459)</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(3,546)</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Net cash used for financing activities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(84,624)</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(112,065)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Net change in cash, cash equivalents and restricted cash</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(49,354)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65,297 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Cash, cash equivalents and restricted cash, beginning of year</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306,876 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375,159 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Cash, cash equivalents and restricted cash, end of period</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257,522 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440,456 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Height w:val="180"/>
        </w:trPr>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330599295"/>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Supplemental cash flow disclosure information:</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330599295"/>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Cash paid for interest</w:t>
            </w: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11,000 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17,316 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Cash paid for taxes</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6,617 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9,293 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330599295"/>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Capital expenditures accrued at the end of the period</w:t>
            </w: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11,167 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10,455 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divId w:val="1330599295"/>
        <w:rPr>
          <w:rFonts w:eastAsia="Times New Roman"/>
        </w:rPr>
      </w:pPr>
      <w:r>
        <w:rPr>
          <w:rFonts w:eastAsia="Times New Roman"/>
          <w:color w:val="000000"/>
          <w:sz w:val="20"/>
          <w:szCs w:val="20"/>
        </w:rPr>
        <w:t>    </w:t>
      </w:r>
    </w:p>
    <w:p w:rsidR="00000000" w:rsidRDefault="00183441">
      <w:pPr>
        <w:jc w:val="center"/>
        <w:divId w:val="2081633775"/>
        <w:rPr>
          <w:rFonts w:eastAsia="Times New Roman"/>
        </w:rPr>
      </w:pPr>
      <w:r>
        <w:rPr>
          <w:rFonts w:eastAsia="Times New Roman"/>
          <w:i/>
          <w:iCs/>
          <w:color w:val="000000"/>
          <w:sz w:val="20"/>
          <w:szCs w:val="20"/>
        </w:rPr>
        <w:t>The accompanying notes are an integral part of these condensed consolidated financial statements.</w:t>
      </w:r>
    </w:p>
    <w:p w:rsidR="00000000" w:rsidRDefault="00183441">
      <w:pPr>
        <w:jc w:val="center"/>
        <w:divId w:val="962930756"/>
        <w:rPr>
          <w:rFonts w:eastAsia="Times New Roman"/>
        </w:rPr>
      </w:pPr>
      <w:r>
        <w:rPr>
          <w:rFonts w:eastAsia="Times New Roman"/>
          <w:color w:val="000000"/>
          <w:sz w:val="20"/>
          <w:szCs w:val="20"/>
        </w:rPr>
        <w:t>9</w:t>
      </w:r>
    </w:p>
    <w:p w:rsidR="00000000" w:rsidRDefault="00183441">
      <w:pPr>
        <w:rPr>
          <w:rFonts w:eastAsia="Times New Roman"/>
        </w:rPr>
      </w:pPr>
      <w:r>
        <w:rPr>
          <w:rFonts w:eastAsia="Times New Roman"/>
        </w:rPr>
        <w:pict>
          <v:rect id="_x0000_i1033" style="width:0;height:1.5pt" o:hralign="center" o:hrstd="t" o:hr="t" fillcolor="#a0a0a0" stroked="f"/>
        </w:pict>
      </w:r>
    </w:p>
    <w:p w:rsidR="00000000" w:rsidRDefault="00183441">
      <w:pPr>
        <w:divId w:val="465860183"/>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divId w:val="171191496"/>
        <w:rPr>
          <w:rFonts w:eastAsia="Times New Roman"/>
        </w:rPr>
      </w:pPr>
    </w:p>
    <w:p w:rsidR="00000000" w:rsidRDefault="00183441">
      <w:pPr>
        <w:divId w:val="2142453740"/>
        <w:rPr>
          <w:rFonts w:eastAsia="Times New Roman"/>
        </w:rPr>
      </w:pPr>
    </w:p>
    <w:p w:rsidR="00000000" w:rsidRDefault="00183441">
      <w:pPr>
        <w:divId w:val="1545749578"/>
        <w:rPr>
          <w:rFonts w:eastAsia="Times New Roman"/>
        </w:rPr>
      </w:pPr>
    </w:p>
    <w:p w:rsidR="00000000" w:rsidRDefault="00183441">
      <w:pPr>
        <w:divId w:val="1928727493"/>
        <w:rPr>
          <w:rFonts w:eastAsia="Times New Roman"/>
        </w:rPr>
      </w:pPr>
    </w:p>
    <w:p w:rsidR="00000000" w:rsidRDefault="00183441">
      <w:pPr>
        <w:divId w:val="793983709"/>
        <w:rPr>
          <w:rFonts w:eastAsia="Times New Roman"/>
        </w:rPr>
      </w:pPr>
    </w:p>
    <w:p w:rsidR="00000000" w:rsidRDefault="00183441">
      <w:pPr>
        <w:divId w:val="1290816632"/>
        <w:rPr>
          <w:rFonts w:eastAsia="Times New Roman"/>
        </w:rPr>
      </w:pPr>
    </w:p>
    <w:p w:rsidR="00000000" w:rsidRDefault="00183441">
      <w:pPr>
        <w:jc w:val="center"/>
        <w:rPr>
          <w:rFonts w:eastAsia="Times New Roman"/>
        </w:rPr>
      </w:pPr>
      <w:r>
        <w:rPr>
          <w:rFonts w:eastAsia="Times New Roman"/>
          <w:b/>
          <w:bCs/>
          <w:color w:val="000000"/>
          <w:sz w:val="20"/>
          <w:szCs w:val="20"/>
        </w:rPr>
        <w:t>National Vision Holdings, Inc. and Subsidiaries</w:t>
      </w:r>
    </w:p>
    <w:p w:rsidR="00000000" w:rsidRDefault="00183441">
      <w:pPr>
        <w:jc w:val="center"/>
        <w:rPr>
          <w:rFonts w:eastAsia="Times New Roman"/>
        </w:rPr>
      </w:pPr>
      <w:r>
        <w:rPr>
          <w:rFonts w:eastAsia="Times New Roman"/>
          <w:b/>
          <w:bCs/>
          <w:color w:val="000000"/>
          <w:sz w:val="20"/>
          <w:szCs w:val="20"/>
        </w:rPr>
        <w:t>Index to Notes to Condensed Consolidated Financial Statements</w:t>
      </w:r>
    </w:p>
    <w:p w:rsidR="00000000" w:rsidRDefault="00183441">
      <w:pPr>
        <w:divId w:val="1232346712"/>
        <w:rPr>
          <w:rFonts w:eastAsia="Times New Roman"/>
        </w:rPr>
      </w:pPr>
    </w:p>
    <w:p w:rsidR="00000000" w:rsidRDefault="00183441">
      <w:pPr>
        <w:divId w:val="828594624"/>
        <w:rPr>
          <w:rFonts w:eastAsia="Times New Roman"/>
        </w:rPr>
      </w:pPr>
    </w:p>
    <w:tbl>
      <w:tblPr>
        <w:tblW w:w="4567" w:type="pct"/>
        <w:tblCellMar>
          <w:top w:w="15" w:type="dxa"/>
          <w:left w:w="15" w:type="dxa"/>
          <w:bottom w:w="15" w:type="dxa"/>
          <w:right w:w="15" w:type="dxa"/>
        </w:tblCellMar>
        <w:tblLook w:val="04A0" w:firstRow="1" w:lastRow="0" w:firstColumn="1" w:lastColumn="0" w:noHBand="0" w:noVBand="1"/>
      </w:tblPr>
      <w:tblGrid>
        <w:gridCol w:w="61"/>
        <w:gridCol w:w="7023"/>
        <w:gridCol w:w="38"/>
        <w:gridCol w:w="70"/>
        <w:gridCol w:w="359"/>
        <w:gridCol w:w="36"/>
      </w:tblGrid>
      <w:tr w:rsidR="00000000">
        <w:trPr>
          <w:divId w:val="1041130070"/>
        </w:trPr>
        <w:tc>
          <w:tcPr>
            <w:tcW w:w="50" w:type="pct"/>
            <w:vAlign w:val="center"/>
            <w:hideMark/>
          </w:tcPr>
          <w:p w:rsidR="00000000" w:rsidRDefault="00183441">
            <w:pPr>
              <w:rPr>
                <w:rFonts w:eastAsia="Times New Roman"/>
              </w:rPr>
            </w:pPr>
          </w:p>
        </w:tc>
        <w:tc>
          <w:tcPr>
            <w:tcW w:w="463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25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041130070"/>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Page</w:t>
            </w:r>
          </w:p>
        </w:tc>
      </w:tr>
      <w:tr w:rsidR="00000000">
        <w:trPr>
          <w:divId w:val="1041130070"/>
          <w:trHeight w:val="300"/>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divId w:val="1302539113"/>
              <w:rPr>
                <w:rFonts w:eastAsia="Times New Roman"/>
              </w:rPr>
            </w:pPr>
            <w:hyperlink w:anchor="i51b2a36d66cb4139a869f9e4043fbbb7_43" w:history="1">
              <w:r>
                <w:rPr>
                  <w:rStyle w:val="a3"/>
                  <w:rFonts w:eastAsia="Times New Roman"/>
                  <w:sz w:val="20"/>
                  <w:szCs w:val="20"/>
                </w:rPr>
                <w:t>1. Description of Business and Basis of Presentation</w:t>
              </w:r>
            </w:hyperlink>
          </w:p>
        </w:tc>
        <w:tc>
          <w:tcPr>
            <w:tcW w:w="0" w:type="auto"/>
            <w:gridSpan w:val="3"/>
            <w:tcMar>
              <w:top w:w="30" w:type="dxa"/>
              <w:left w:w="20" w:type="dxa"/>
              <w:bottom w:w="30" w:type="dxa"/>
              <w:right w:w="20" w:type="dxa"/>
            </w:tcMar>
            <w:vAlign w:val="center"/>
            <w:hideMark/>
          </w:tcPr>
          <w:p w:rsidR="00000000" w:rsidRDefault="00183441">
            <w:pPr>
              <w:spacing w:after="100"/>
              <w:divId w:val="1946426985"/>
              <w:rPr>
                <w:rFonts w:eastAsia="Times New Roman"/>
              </w:rPr>
            </w:pPr>
            <w:hyperlink w:anchor="i51b2a36d66cb4139a869f9e4043fbbb7_43" w:history="1">
              <w:r>
                <w:rPr>
                  <w:rStyle w:val="a3"/>
                  <w:rFonts w:eastAsia="Times New Roman"/>
                  <w:sz w:val="20"/>
                  <w:szCs w:val="20"/>
                </w:rPr>
                <w:t>11</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divId w:val="751969520"/>
              <w:rPr>
                <w:rFonts w:eastAsia="Times New Roman"/>
              </w:rPr>
            </w:pPr>
            <w:hyperlink w:anchor="i51b2a36d66cb4139a869f9e4043fbbb7_49" w:history="1">
              <w:r>
                <w:rPr>
                  <w:rStyle w:val="a3"/>
                  <w:rFonts w:eastAsia="Times New Roman"/>
                  <w:sz w:val="20"/>
                  <w:szCs w:val="20"/>
                </w:rPr>
                <w:t>2. Details of Certain Balance Sheet Accounts</w:t>
              </w:r>
            </w:hyperlink>
          </w:p>
        </w:tc>
        <w:tc>
          <w:tcPr>
            <w:tcW w:w="0" w:type="auto"/>
            <w:gridSpan w:val="3"/>
            <w:tcMar>
              <w:top w:w="30" w:type="dxa"/>
              <w:left w:w="20" w:type="dxa"/>
              <w:bottom w:w="30" w:type="dxa"/>
              <w:right w:w="20" w:type="dxa"/>
            </w:tcMar>
            <w:vAlign w:val="center"/>
            <w:hideMark/>
          </w:tcPr>
          <w:p w:rsidR="00000000" w:rsidRDefault="00183441">
            <w:pPr>
              <w:spacing w:after="100"/>
              <w:divId w:val="328484067"/>
              <w:rPr>
                <w:rFonts w:eastAsia="Times New Roman"/>
              </w:rPr>
            </w:pPr>
            <w:hyperlink w:anchor="i51b2a36d66cb4139a869f9e4043fbbb7_49" w:history="1">
              <w:r>
                <w:rPr>
                  <w:rStyle w:val="a3"/>
                  <w:rFonts w:eastAsia="Times New Roman"/>
                  <w:sz w:val="20"/>
                  <w:szCs w:val="20"/>
                </w:rPr>
                <w:t>13</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divId w:val="1397556415"/>
              <w:rPr>
                <w:rFonts w:eastAsia="Times New Roman"/>
              </w:rPr>
            </w:pPr>
            <w:hyperlink w:anchor="i51b2a36d66cb4139a869f9e4043fbbb7_55" w:history="1">
              <w:r>
                <w:rPr>
                  <w:rStyle w:val="a3"/>
                  <w:rFonts w:eastAsia="Times New Roman"/>
                  <w:sz w:val="20"/>
                  <w:szCs w:val="20"/>
                </w:rPr>
                <w:t>3. Fair Value Measurement</w:t>
              </w:r>
            </w:hyperlink>
          </w:p>
        </w:tc>
        <w:tc>
          <w:tcPr>
            <w:tcW w:w="0" w:type="auto"/>
            <w:gridSpan w:val="3"/>
            <w:tcMar>
              <w:top w:w="30" w:type="dxa"/>
              <w:left w:w="20" w:type="dxa"/>
              <w:bottom w:w="30" w:type="dxa"/>
              <w:right w:w="20" w:type="dxa"/>
            </w:tcMar>
            <w:vAlign w:val="center"/>
            <w:hideMark/>
          </w:tcPr>
          <w:p w:rsidR="00000000" w:rsidRDefault="00183441">
            <w:pPr>
              <w:spacing w:after="100"/>
              <w:divId w:val="773018428"/>
              <w:rPr>
                <w:rFonts w:eastAsia="Times New Roman"/>
              </w:rPr>
            </w:pPr>
            <w:hyperlink w:anchor="i51b2a36d66cb4139a869f9e4043fbbb7_55" w:history="1">
              <w:r>
                <w:rPr>
                  <w:rStyle w:val="a3"/>
                  <w:rFonts w:eastAsia="Times New Roman"/>
                  <w:sz w:val="20"/>
                  <w:szCs w:val="20"/>
                </w:rPr>
                <w:t>14</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jc w:val="both"/>
              <w:rPr>
                <w:rFonts w:eastAsia="Times New Roman"/>
              </w:rPr>
            </w:pPr>
            <w:hyperlink w:anchor="i51b2a36d66cb4139a869f9e4043fbbb7_61" w:history="1">
              <w:r>
                <w:rPr>
                  <w:rStyle w:val="a3"/>
                  <w:rFonts w:eastAsia="Times New Roman"/>
                  <w:sz w:val="20"/>
                  <w:szCs w:val="20"/>
                </w:rPr>
                <w:t>4. Long-term Debt</w:t>
              </w:r>
            </w:hyperlink>
          </w:p>
        </w:tc>
        <w:tc>
          <w:tcPr>
            <w:tcW w:w="0" w:type="auto"/>
            <w:gridSpan w:val="3"/>
            <w:tcMar>
              <w:top w:w="30" w:type="dxa"/>
              <w:left w:w="20" w:type="dxa"/>
              <w:bottom w:w="30" w:type="dxa"/>
              <w:right w:w="20" w:type="dxa"/>
            </w:tcMar>
            <w:vAlign w:val="center"/>
            <w:hideMark/>
          </w:tcPr>
          <w:p w:rsidR="00000000" w:rsidRDefault="00183441">
            <w:pPr>
              <w:spacing w:after="100"/>
              <w:divId w:val="1086070654"/>
              <w:rPr>
                <w:rFonts w:eastAsia="Times New Roman"/>
              </w:rPr>
            </w:pPr>
            <w:hyperlink w:anchor="i51b2a36d66cb4139a869f9e4043fbbb7_61" w:history="1">
              <w:r>
                <w:rPr>
                  <w:rStyle w:val="a3"/>
                  <w:rFonts w:eastAsia="Times New Roman"/>
                  <w:sz w:val="20"/>
                  <w:szCs w:val="20"/>
                </w:rPr>
                <w:t>15</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jc w:val="both"/>
              <w:rPr>
                <w:rFonts w:eastAsia="Times New Roman"/>
              </w:rPr>
            </w:pPr>
            <w:hyperlink w:anchor="i51b2a36d66cb4139a869f9e4043fbbb7_67" w:history="1">
              <w:r>
                <w:rPr>
                  <w:rStyle w:val="a3"/>
                  <w:rFonts w:eastAsia="Times New Roman"/>
                  <w:sz w:val="20"/>
                  <w:szCs w:val="20"/>
                </w:rPr>
                <w:t>5. Interest Rate Derivatives</w:t>
              </w:r>
            </w:hyperlink>
          </w:p>
        </w:tc>
        <w:tc>
          <w:tcPr>
            <w:tcW w:w="0" w:type="auto"/>
            <w:gridSpan w:val="3"/>
            <w:tcMar>
              <w:top w:w="30" w:type="dxa"/>
              <w:left w:w="20" w:type="dxa"/>
              <w:bottom w:w="30" w:type="dxa"/>
              <w:right w:w="20" w:type="dxa"/>
            </w:tcMar>
            <w:vAlign w:val="center"/>
            <w:hideMark/>
          </w:tcPr>
          <w:p w:rsidR="00000000" w:rsidRDefault="00183441">
            <w:pPr>
              <w:spacing w:after="100"/>
              <w:divId w:val="1215967395"/>
              <w:rPr>
                <w:rFonts w:eastAsia="Times New Roman"/>
              </w:rPr>
            </w:pPr>
            <w:hyperlink w:anchor="i51b2a36d66cb4139a869f9e4043fbbb7_67" w:history="1">
              <w:r>
                <w:rPr>
                  <w:rStyle w:val="a3"/>
                  <w:rFonts w:eastAsia="Times New Roman"/>
                  <w:sz w:val="20"/>
                  <w:szCs w:val="20"/>
                </w:rPr>
                <w:t>15</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divId w:val="2086295026"/>
              <w:rPr>
                <w:rFonts w:eastAsia="Times New Roman"/>
              </w:rPr>
            </w:pPr>
            <w:hyperlink w:anchor="i51b2a36d66cb4139a869f9e4043fbbb7_73" w:history="1">
              <w:r>
                <w:rPr>
                  <w:rStyle w:val="a3"/>
                  <w:rFonts w:eastAsia="Times New Roman"/>
                  <w:sz w:val="20"/>
                  <w:szCs w:val="20"/>
                </w:rPr>
                <w:t>6. Stock Incentive Plans</w:t>
              </w:r>
            </w:hyperlink>
          </w:p>
        </w:tc>
        <w:tc>
          <w:tcPr>
            <w:tcW w:w="0" w:type="auto"/>
            <w:gridSpan w:val="3"/>
            <w:tcMar>
              <w:top w:w="30" w:type="dxa"/>
              <w:left w:w="20" w:type="dxa"/>
              <w:bottom w:w="30" w:type="dxa"/>
              <w:right w:w="20" w:type="dxa"/>
            </w:tcMar>
            <w:vAlign w:val="center"/>
            <w:hideMark/>
          </w:tcPr>
          <w:p w:rsidR="00000000" w:rsidRDefault="00183441">
            <w:pPr>
              <w:spacing w:after="100"/>
              <w:divId w:val="1049525555"/>
              <w:rPr>
                <w:rFonts w:eastAsia="Times New Roman"/>
              </w:rPr>
            </w:pPr>
            <w:hyperlink w:anchor="i51b2a36d66cb4139a869f9e4043fbbb7_73" w:history="1">
              <w:r>
                <w:rPr>
                  <w:rStyle w:val="a3"/>
                  <w:rFonts w:eastAsia="Times New Roman"/>
                  <w:sz w:val="20"/>
                  <w:szCs w:val="20"/>
                </w:rPr>
                <w:t>16</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jc w:val="both"/>
              <w:rPr>
                <w:rFonts w:eastAsia="Times New Roman"/>
              </w:rPr>
            </w:pPr>
            <w:hyperlink w:anchor="i51b2a36d66cb4139a869f9e4043fbbb7_82" w:history="1">
              <w:r>
                <w:rPr>
                  <w:rStyle w:val="a3"/>
                  <w:rFonts w:eastAsia="Times New Roman"/>
                  <w:sz w:val="20"/>
                  <w:szCs w:val="20"/>
                </w:rPr>
                <w:t>7. Revenue From Contracts With Customers</w:t>
              </w:r>
            </w:hyperlink>
          </w:p>
        </w:tc>
        <w:tc>
          <w:tcPr>
            <w:tcW w:w="0" w:type="auto"/>
            <w:gridSpan w:val="3"/>
            <w:tcMar>
              <w:top w:w="30" w:type="dxa"/>
              <w:left w:w="20" w:type="dxa"/>
              <w:bottom w:w="30" w:type="dxa"/>
              <w:right w:w="20" w:type="dxa"/>
            </w:tcMar>
            <w:vAlign w:val="center"/>
            <w:hideMark/>
          </w:tcPr>
          <w:p w:rsidR="00000000" w:rsidRDefault="00183441">
            <w:pPr>
              <w:spacing w:after="100"/>
              <w:divId w:val="855846214"/>
              <w:rPr>
                <w:rFonts w:eastAsia="Times New Roman"/>
              </w:rPr>
            </w:pPr>
            <w:hyperlink w:anchor="i51b2a36d66cb4139a869f9e4043fbbb7_82" w:history="1">
              <w:r>
                <w:rPr>
                  <w:rStyle w:val="a3"/>
                  <w:rFonts w:eastAsia="Times New Roman"/>
                  <w:sz w:val="20"/>
                  <w:szCs w:val="20"/>
                </w:rPr>
                <w:t>16</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jc w:val="both"/>
              <w:rPr>
                <w:rFonts w:eastAsia="Times New Roman"/>
              </w:rPr>
            </w:pPr>
            <w:hyperlink w:anchor="i51b2a36d66cb4139a869f9e4043fbbb7_88" w:history="1">
              <w:r>
                <w:rPr>
                  <w:rStyle w:val="a3"/>
                  <w:rFonts w:eastAsia="Times New Roman"/>
                  <w:sz w:val="20"/>
                  <w:szCs w:val="20"/>
                </w:rPr>
                <w:t>8. Leases</w:t>
              </w:r>
            </w:hyperlink>
          </w:p>
        </w:tc>
        <w:tc>
          <w:tcPr>
            <w:tcW w:w="0" w:type="auto"/>
            <w:gridSpan w:val="3"/>
            <w:tcMar>
              <w:top w:w="30" w:type="dxa"/>
              <w:left w:w="20" w:type="dxa"/>
              <w:bottom w:w="30" w:type="dxa"/>
              <w:right w:w="20" w:type="dxa"/>
            </w:tcMar>
            <w:vAlign w:val="center"/>
            <w:hideMark/>
          </w:tcPr>
          <w:p w:rsidR="00000000" w:rsidRDefault="00183441">
            <w:pPr>
              <w:spacing w:after="100"/>
              <w:divId w:val="1674651699"/>
              <w:rPr>
                <w:rFonts w:eastAsia="Times New Roman"/>
              </w:rPr>
            </w:pPr>
            <w:hyperlink w:anchor="i51b2a36d66cb4139a869f9e4043fbbb7_88" w:history="1">
              <w:r>
                <w:rPr>
                  <w:rStyle w:val="a3"/>
                  <w:rFonts w:eastAsia="Times New Roman"/>
                  <w:sz w:val="20"/>
                  <w:szCs w:val="20"/>
                </w:rPr>
                <w:t>17</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jc w:val="both"/>
              <w:rPr>
                <w:rFonts w:eastAsia="Times New Roman"/>
              </w:rPr>
            </w:pPr>
            <w:hyperlink w:anchor="i51b2a36d66cb4139a869f9e4043fbbb7_97" w:history="1">
              <w:r>
                <w:rPr>
                  <w:rStyle w:val="a3"/>
                  <w:rFonts w:eastAsia="Times New Roman"/>
                  <w:sz w:val="20"/>
                  <w:szCs w:val="20"/>
                </w:rPr>
                <w:t>9. Commitments and Contingencies</w:t>
              </w:r>
            </w:hyperlink>
          </w:p>
        </w:tc>
        <w:tc>
          <w:tcPr>
            <w:tcW w:w="0" w:type="auto"/>
            <w:gridSpan w:val="3"/>
            <w:tcMar>
              <w:top w:w="30" w:type="dxa"/>
              <w:left w:w="20" w:type="dxa"/>
              <w:bottom w:w="30" w:type="dxa"/>
              <w:right w:w="20" w:type="dxa"/>
            </w:tcMar>
            <w:vAlign w:val="center"/>
            <w:hideMark/>
          </w:tcPr>
          <w:p w:rsidR="00000000" w:rsidRDefault="00183441">
            <w:pPr>
              <w:spacing w:after="100"/>
              <w:divId w:val="847015766"/>
              <w:rPr>
                <w:rFonts w:eastAsia="Times New Roman"/>
              </w:rPr>
            </w:pPr>
            <w:hyperlink w:anchor="i51b2a36d66cb4139a869f9e4043fbbb7_97" w:history="1">
              <w:r>
                <w:rPr>
                  <w:rStyle w:val="a3"/>
                  <w:rFonts w:eastAsia="Times New Roman"/>
                  <w:sz w:val="20"/>
                  <w:szCs w:val="20"/>
                </w:rPr>
                <w:t>18</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jc w:val="both"/>
              <w:rPr>
                <w:rFonts w:eastAsia="Times New Roman"/>
              </w:rPr>
            </w:pPr>
            <w:hyperlink w:anchor="i51b2a36d66cb4139a869f9e4043fbbb7_103" w:history="1">
              <w:r>
                <w:rPr>
                  <w:rStyle w:val="a3"/>
                  <w:rFonts w:eastAsia="Times New Roman"/>
                  <w:sz w:val="20"/>
                  <w:szCs w:val="20"/>
                </w:rPr>
                <w:t>10. Segment Reporting</w:t>
              </w:r>
            </w:hyperlink>
          </w:p>
        </w:tc>
        <w:tc>
          <w:tcPr>
            <w:tcW w:w="0" w:type="auto"/>
            <w:gridSpan w:val="3"/>
            <w:tcMar>
              <w:top w:w="30" w:type="dxa"/>
              <w:left w:w="20" w:type="dxa"/>
              <w:bottom w:w="30" w:type="dxa"/>
              <w:right w:w="20" w:type="dxa"/>
            </w:tcMar>
            <w:vAlign w:val="center"/>
            <w:hideMark/>
          </w:tcPr>
          <w:p w:rsidR="00000000" w:rsidRDefault="00183441">
            <w:pPr>
              <w:spacing w:after="100"/>
              <w:divId w:val="1464887067"/>
              <w:rPr>
                <w:rFonts w:eastAsia="Times New Roman"/>
              </w:rPr>
            </w:pPr>
            <w:hyperlink w:anchor="i51b2a36d66cb4139a869f9e4043fbbb7_103" w:history="1">
              <w:r>
                <w:rPr>
                  <w:rStyle w:val="a3"/>
                  <w:rFonts w:eastAsia="Times New Roman"/>
                  <w:sz w:val="20"/>
                  <w:szCs w:val="20"/>
                </w:rPr>
                <w:t>18</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jc w:val="both"/>
              <w:rPr>
                <w:rFonts w:eastAsia="Times New Roman"/>
              </w:rPr>
            </w:pPr>
            <w:hyperlink w:anchor="i51b2a36d66cb4139a869f9e4043fbbb7_109" w:history="1">
              <w:r>
                <w:rPr>
                  <w:rStyle w:val="a3"/>
                  <w:rFonts w:eastAsia="Times New Roman"/>
                  <w:sz w:val="20"/>
                  <w:szCs w:val="20"/>
                </w:rPr>
                <w:t>11. Earnings Per Share</w:t>
              </w:r>
            </w:hyperlink>
          </w:p>
        </w:tc>
        <w:tc>
          <w:tcPr>
            <w:tcW w:w="0" w:type="auto"/>
            <w:gridSpan w:val="3"/>
            <w:tcMar>
              <w:top w:w="30" w:type="dxa"/>
              <w:left w:w="20" w:type="dxa"/>
              <w:bottom w:w="30" w:type="dxa"/>
              <w:right w:w="20" w:type="dxa"/>
            </w:tcMar>
            <w:vAlign w:val="center"/>
            <w:hideMark/>
          </w:tcPr>
          <w:p w:rsidR="00000000" w:rsidRDefault="00183441">
            <w:pPr>
              <w:spacing w:after="100"/>
              <w:divId w:val="550505156"/>
              <w:rPr>
                <w:rFonts w:eastAsia="Times New Roman"/>
              </w:rPr>
            </w:pPr>
            <w:hyperlink w:anchor="i51b2a36d66cb4139a869f9e4043fbbb7_109" w:history="1">
              <w:r>
                <w:rPr>
                  <w:rStyle w:val="a3"/>
                  <w:rFonts w:eastAsia="Times New Roman"/>
                  <w:sz w:val="20"/>
                  <w:szCs w:val="20"/>
                </w:rPr>
                <w:t>21</w:t>
              </w:r>
            </w:hyperlink>
          </w:p>
        </w:tc>
      </w:tr>
      <w:tr w:rsidR="00000000">
        <w:trPr>
          <w:divId w:val="1041130070"/>
        </w:trPr>
        <w:tc>
          <w:tcPr>
            <w:tcW w:w="0" w:type="auto"/>
            <w:gridSpan w:val="3"/>
            <w:tcMar>
              <w:top w:w="30" w:type="dxa"/>
              <w:left w:w="20" w:type="dxa"/>
              <w:bottom w:w="30" w:type="dxa"/>
              <w:right w:w="20" w:type="dxa"/>
            </w:tcMar>
            <w:vAlign w:val="center"/>
            <w:hideMark/>
          </w:tcPr>
          <w:p w:rsidR="00000000" w:rsidRDefault="00183441">
            <w:pPr>
              <w:spacing w:after="100"/>
              <w:jc w:val="both"/>
              <w:rPr>
                <w:rFonts w:eastAsia="Times New Roman"/>
              </w:rPr>
            </w:pPr>
            <w:hyperlink w:anchor="i51b2a36d66cb4139a869f9e4043fbbb7_118" w:history="1">
              <w:r>
                <w:rPr>
                  <w:rStyle w:val="a3"/>
                  <w:rFonts w:eastAsia="Times New Roman"/>
                  <w:sz w:val="20"/>
                  <w:szCs w:val="20"/>
                </w:rPr>
                <w:t>12. Accumulated Other Comprehensive Loss</w:t>
              </w:r>
            </w:hyperlink>
          </w:p>
        </w:tc>
        <w:tc>
          <w:tcPr>
            <w:tcW w:w="0" w:type="auto"/>
            <w:gridSpan w:val="3"/>
            <w:tcMar>
              <w:top w:w="30" w:type="dxa"/>
              <w:left w:w="20" w:type="dxa"/>
              <w:bottom w:w="30" w:type="dxa"/>
              <w:right w:w="20" w:type="dxa"/>
            </w:tcMar>
            <w:vAlign w:val="center"/>
            <w:hideMark/>
          </w:tcPr>
          <w:p w:rsidR="00000000" w:rsidRDefault="00183441">
            <w:pPr>
              <w:spacing w:after="100"/>
              <w:divId w:val="153104621"/>
              <w:rPr>
                <w:rFonts w:eastAsia="Times New Roman"/>
              </w:rPr>
            </w:pPr>
            <w:hyperlink w:anchor="i51b2a36d66cb4139a869f9e4043fbbb7_118" w:history="1">
              <w:r>
                <w:rPr>
                  <w:rStyle w:val="a3"/>
                  <w:rFonts w:eastAsia="Times New Roman"/>
                  <w:sz w:val="20"/>
                  <w:szCs w:val="20"/>
                </w:rPr>
                <w:t>21</w:t>
              </w:r>
            </w:hyperlink>
          </w:p>
        </w:tc>
      </w:tr>
      <w:tr w:rsidR="00000000">
        <w:trPr>
          <w:divId w:val="1041130070"/>
        </w:trPr>
        <w:tc>
          <w:tcPr>
            <w:tcW w:w="0" w:type="auto"/>
            <w:gridSpan w:val="3"/>
            <w:vAlign w:val="center"/>
            <w:hideMark/>
          </w:tcPr>
          <w:p w:rsidR="00000000" w:rsidRDefault="00183441">
            <w:pPr>
              <w:spacing w:after="100"/>
              <w:rPr>
                <w:rFonts w:eastAsia="Times New Roman"/>
              </w:rPr>
            </w:pPr>
          </w:p>
        </w:tc>
        <w:tc>
          <w:tcPr>
            <w:tcW w:w="0" w:type="auto"/>
            <w:gridSpan w:val="3"/>
            <w:vAlign w:val="center"/>
            <w:hideMark/>
          </w:tcPr>
          <w:p w:rsidR="00000000" w:rsidRDefault="00183441">
            <w:pPr>
              <w:spacing w:after="100"/>
              <w:rPr>
                <w:rFonts w:eastAsia="Times New Roman"/>
                <w:sz w:val="20"/>
                <w:szCs w:val="20"/>
              </w:rPr>
            </w:pPr>
          </w:p>
        </w:tc>
      </w:tr>
    </w:tbl>
    <w:p w:rsidR="00000000" w:rsidRDefault="00183441">
      <w:pPr>
        <w:jc w:val="center"/>
        <w:divId w:val="706761368"/>
        <w:rPr>
          <w:rFonts w:eastAsia="Times New Roman"/>
        </w:rPr>
      </w:pPr>
      <w:r>
        <w:rPr>
          <w:rFonts w:eastAsia="Times New Roman"/>
          <w:color w:val="000000"/>
          <w:sz w:val="20"/>
          <w:szCs w:val="20"/>
        </w:rPr>
        <w:t>10</w:t>
      </w:r>
    </w:p>
    <w:p w:rsidR="00000000" w:rsidRDefault="00183441">
      <w:pPr>
        <w:rPr>
          <w:rFonts w:eastAsia="Times New Roman"/>
        </w:rPr>
      </w:pPr>
      <w:r>
        <w:rPr>
          <w:rFonts w:eastAsia="Times New Roman"/>
        </w:rPr>
        <w:pict>
          <v:rect id="_x0000_i1034" style="width:0;height:1.5pt" o:hralign="center" o:hrstd="t" o:hr="t" fillcolor="#a0a0a0" stroked="f"/>
        </w:pict>
      </w:r>
    </w:p>
    <w:p w:rsidR="00000000" w:rsidRDefault="00183441">
      <w:pPr>
        <w:divId w:val="268585376"/>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center"/>
        <w:divId w:val="434516564"/>
        <w:rPr>
          <w:rFonts w:eastAsia="Times New Roman"/>
        </w:rPr>
      </w:pPr>
      <w:r>
        <w:rPr>
          <w:rFonts w:eastAsia="Times New Roman"/>
          <w:b/>
          <w:bCs/>
          <w:color w:val="000000"/>
          <w:sz w:val="20"/>
          <w:szCs w:val="20"/>
        </w:rPr>
        <w:t>National Vision Holdings, Inc. and Subsidiaries</w:t>
      </w:r>
    </w:p>
    <w:p w:rsidR="00000000" w:rsidRDefault="00183441">
      <w:pPr>
        <w:jc w:val="center"/>
        <w:divId w:val="514421915"/>
        <w:rPr>
          <w:rFonts w:eastAsia="Times New Roman"/>
        </w:rPr>
      </w:pPr>
      <w:r>
        <w:rPr>
          <w:rFonts w:eastAsia="Times New Roman"/>
          <w:b/>
          <w:bCs/>
          <w:color w:val="000000"/>
          <w:sz w:val="20"/>
          <w:szCs w:val="20"/>
        </w:rPr>
        <w:t>Notes to Condensed Consolidated Financial Statements (Unaudited)</w:t>
      </w:r>
    </w:p>
    <w:p w:rsidR="00000000" w:rsidRDefault="00183441">
      <w:pPr>
        <w:divId w:val="1191601744"/>
        <w:rPr>
          <w:rFonts w:eastAsia="Times New Roman"/>
        </w:rPr>
      </w:pPr>
    </w:p>
    <w:p w:rsidR="00000000" w:rsidRDefault="00183441">
      <w:pPr>
        <w:divId w:val="686906865"/>
        <w:rPr>
          <w:rFonts w:eastAsia="Times New Roman"/>
        </w:rPr>
      </w:pPr>
      <w:r>
        <w:rPr>
          <w:rFonts w:eastAsia="Times New Roman"/>
          <w:b/>
          <w:bCs/>
          <w:color w:val="000000"/>
          <w:sz w:val="20"/>
          <w:szCs w:val="20"/>
        </w:rPr>
        <w:t>1. Description of Business and Basis of Presentation</w:t>
      </w:r>
    </w:p>
    <w:p w:rsidR="00000000" w:rsidRDefault="00183441">
      <w:pPr>
        <w:divId w:val="57284518"/>
        <w:rPr>
          <w:rFonts w:eastAsia="Times New Roman"/>
        </w:rPr>
      </w:pPr>
      <w:r>
        <w:rPr>
          <w:rFonts w:eastAsia="Times New Roman"/>
          <w:i/>
          <w:iCs/>
          <w:color w:val="000000"/>
          <w:sz w:val="20"/>
          <w:szCs w:val="20"/>
        </w:rPr>
        <w:t>Nature of Operations</w:t>
      </w:r>
    </w:p>
    <w:p w:rsidR="00000000" w:rsidRDefault="00183441">
      <w:pPr>
        <w:jc w:val="both"/>
        <w:divId w:val="1279529012"/>
        <w:rPr>
          <w:rFonts w:eastAsia="Times New Roman"/>
        </w:rPr>
      </w:pPr>
      <w:r>
        <w:rPr>
          <w:rFonts w:eastAsia="Times New Roman"/>
          <w:color w:val="000000"/>
          <w:sz w:val="20"/>
          <w:szCs w:val="20"/>
        </w:rPr>
        <w:t>National Vision Holdings, Inc. (“NVHI,” the “Company,” “we,” “our,” or “us”</w:t>
      </w:r>
      <w:r>
        <w:rPr>
          <w:rFonts w:eastAsia="Times New Roman"/>
          <w:color w:val="000000"/>
          <w:sz w:val="20"/>
          <w:szCs w:val="20"/>
        </w:rPr>
        <w:t>) is a holding company whose operating subsidiaries include its indirect wholly-owned subsidiary, National Vision, Inc. (“NVI”) and NVI’s wholly-owned subsidiaries. We are a leading value retailer of eyeglasses and contact lenses in the United States. We o</w:t>
      </w:r>
      <w:r>
        <w:rPr>
          <w:rFonts w:eastAsia="Times New Roman"/>
          <w:color w:val="000000"/>
          <w:sz w:val="20"/>
          <w:szCs w:val="20"/>
        </w:rPr>
        <w:t xml:space="preserve">perated 1,332 and 1,278 retail optical locations in the United States and its territories as of October 1, 2022 and January 1, 2022, respectively, through our five store brands, including America’s Best Contacts and Eyeglasses (“America’s Best”), Eyeglass </w:t>
      </w:r>
      <w:r>
        <w:rPr>
          <w:rFonts w:eastAsia="Times New Roman"/>
          <w:color w:val="000000"/>
          <w:sz w:val="20"/>
          <w:szCs w:val="20"/>
        </w:rPr>
        <w:t>World, Vista Optical locations on select U.S. Army/Air Force military bases (“Military”) and within select Fred Meyer stores, and our management &amp; services arrangement with Walmart (“Legacy”).</w:t>
      </w:r>
    </w:p>
    <w:p w:rsidR="00000000" w:rsidRDefault="00183441">
      <w:pPr>
        <w:jc w:val="both"/>
        <w:divId w:val="849566641"/>
        <w:rPr>
          <w:rFonts w:eastAsia="Times New Roman"/>
        </w:rPr>
      </w:pPr>
      <w:r>
        <w:rPr>
          <w:rFonts w:eastAsia="Times New Roman"/>
          <w:i/>
          <w:iCs/>
          <w:color w:val="000000"/>
          <w:sz w:val="20"/>
          <w:szCs w:val="20"/>
        </w:rPr>
        <w:t xml:space="preserve">Basis of Presentation and Principles of Consolidation </w:t>
      </w:r>
    </w:p>
    <w:p w:rsidR="00000000" w:rsidRDefault="00183441">
      <w:pPr>
        <w:jc w:val="both"/>
        <w:divId w:val="1175461149"/>
        <w:rPr>
          <w:rFonts w:eastAsia="Times New Roman"/>
        </w:rPr>
      </w:pPr>
      <w:r>
        <w:rPr>
          <w:rFonts w:eastAsia="Times New Roman"/>
          <w:color w:val="000000"/>
          <w:sz w:val="20"/>
          <w:szCs w:val="20"/>
        </w:rPr>
        <w:t>We prepa</w:t>
      </w:r>
      <w:r>
        <w:rPr>
          <w:rFonts w:eastAsia="Times New Roman"/>
          <w:color w:val="000000"/>
          <w:sz w:val="20"/>
          <w:szCs w:val="20"/>
        </w:rPr>
        <w:t xml:space="preserve">re our unaudited interim condensed consolidated financial statements in accordance with accounting principles generally accepted in the United States of America (“U.S. GAAP”) for interim financial information and, therefore, do not include all information </w:t>
      </w:r>
      <w:r>
        <w:rPr>
          <w:rFonts w:eastAsia="Times New Roman"/>
          <w:color w:val="000000"/>
          <w:sz w:val="20"/>
          <w:szCs w:val="20"/>
        </w:rPr>
        <w:t>and disclosures required by U.S. GAAP for complete consolidated financial statements. The Condensed Consolidated Balance Sheet as of January 1, 2022 has been derived from the audited consolidated balance sheet for the fiscal year then ended. These condense</w:t>
      </w:r>
      <w:r>
        <w:rPr>
          <w:rFonts w:eastAsia="Times New Roman"/>
          <w:color w:val="000000"/>
          <w:sz w:val="20"/>
          <w:szCs w:val="20"/>
        </w:rPr>
        <w:t>d consolidated financial statements reflect all normal and recurring adjustments which are, in the opinion of management, necessary to present fairly the Company’s consolidated results of the interim period.</w:t>
      </w:r>
    </w:p>
    <w:p w:rsidR="00000000" w:rsidRDefault="00183441">
      <w:pPr>
        <w:jc w:val="both"/>
        <w:divId w:val="1977566618"/>
        <w:rPr>
          <w:rFonts w:eastAsia="Times New Roman"/>
        </w:rPr>
      </w:pPr>
      <w:r>
        <w:rPr>
          <w:rFonts w:eastAsia="Times New Roman"/>
          <w:color w:val="000000"/>
          <w:sz w:val="20"/>
          <w:szCs w:val="20"/>
        </w:rPr>
        <w:t>Certain information and disclosures normally inc</w:t>
      </w:r>
      <w:r>
        <w:rPr>
          <w:rFonts w:eastAsia="Times New Roman"/>
          <w:color w:val="000000"/>
          <w:sz w:val="20"/>
          <w:szCs w:val="20"/>
        </w:rPr>
        <w:t>luded in our annual consolidated financial statements have been condensed or omitted; however, we believe that the disclosures included herein are sufficient for a fair presentation of the information presented. These condensed consolidated financial state</w:t>
      </w:r>
      <w:r>
        <w:rPr>
          <w:rFonts w:eastAsia="Times New Roman"/>
          <w:color w:val="000000"/>
          <w:sz w:val="20"/>
          <w:szCs w:val="20"/>
        </w:rPr>
        <w:t>ments should be read in conjunction with our audited consolidated financial statements and the notes thereto for the fiscal year ended January 1, 2022 included in the 2021 Annual Report on Form 10-K. The Company’s significant accounting policies are set fo</w:t>
      </w:r>
      <w:r>
        <w:rPr>
          <w:rFonts w:eastAsia="Times New Roman"/>
          <w:color w:val="000000"/>
          <w:sz w:val="20"/>
          <w:szCs w:val="20"/>
        </w:rPr>
        <w:t>rth in Note 1 within those consolidated financial statements. We use the same accounting policies in preparing interim condensed consolidated financial information and annual consolidated financial statements. There were no changes to our significant accou</w:t>
      </w:r>
      <w:r>
        <w:rPr>
          <w:rFonts w:eastAsia="Times New Roman"/>
          <w:color w:val="000000"/>
          <w:sz w:val="20"/>
          <w:szCs w:val="20"/>
        </w:rPr>
        <w:t>nting policies during the nine months ended October 1, 2022.</w:t>
      </w:r>
    </w:p>
    <w:p w:rsidR="00000000" w:rsidRDefault="00183441">
      <w:pPr>
        <w:jc w:val="both"/>
        <w:divId w:val="1015808480"/>
        <w:rPr>
          <w:rFonts w:eastAsia="Times New Roman"/>
        </w:rPr>
      </w:pPr>
      <w:r>
        <w:rPr>
          <w:rFonts w:eastAsia="Times New Roman"/>
          <w:color w:val="000000"/>
          <w:sz w:val="20"/>
          <w:szCs w:val="20"/>
        </w:rPr>
        <w:t xml:space="preserve">The condensed consolidated financial statements include our accounts and those of our wholly-owned subsidiaries. All intercompany balances and transactions have been eliminated in consolidation. </w:t>
      </w:r>
      <w:r>
        <w:rPr>
          <w:rFonts w:eastAsia="Times New Roman"/>
          <w:color w:val="000000"/>
          <w:sz w:val="20"/>
          <w:szCs w:val="20"/>
        </w:rPr>
        <w:t>Certain amounts within the Condensed Consolidated Statements of Operations and Comprehensive Income and footnotes to the condensed consolidated financial statements for fiscal year 2021 have been reclassified to conform to the fiscal year 2022 presentation</w:t>
      </w:r>
      <w:r>
        <w:rPr>
          <w:rFonts w:eastAsia="Times New Roman"/>
          <w:color w:val="000000"/>
          <w:sz w:val="20"/>
          <w:szCs w:val="20"/>
        </w:rPr>
        <w:t>.</w:t>
      </w:r>
    </w:p>
    <w:p w:rsidR="00000000" w:rsidRDefault="00183441">
      <w:pPr>
        <w:jc w:val="both"/>
        <w:divId w:val="144393530"/>
        <w:rPr>
          <w:rFonts w:eastAsia="Times New Roman"/>
        </w:rPr>
      </w:pPr>
      <w:r>
        <w:rPr>
          <w:rFonts w:eastAsia="Times New Roman"/>
          <w:color w:val="000000"/>
          <w:sz w:val="20"/>
          <w:szCs w:val="20"/>
        </w:rPr>
        <w:t>The Company has consolidated certain entities meeting the definition of a variable interest entity (“VIE”) as the Company concluded that it is the primary beneficiary of the entities under the provisions of Accounting Standards Codification 810, Consolid</w:t>
      </w:r>
      <w:r>
        <w:rPr>
          <w:rFonts w:eastAsia="Times New Roman"/>
          <w:color w:val="000000"/>
          <w:sz w:val="20"/>
          <w:szCs w:val="20"/>
        </w:rPr>
        <w:t>ation. At October 1, 2022, the variable interest entities include 31 professional corporations. The total assets of the consolidated VIEs included in the accompanying Condensed Consolidated Balance Sheets as of October 1, 2022 and January 1, 2022, were $3.</w:t>
      </w:r>
      <w:r>
        <w:rPr>
          <w:rFonts w:eastAsia="Times New Roman"/>
          <w:color w:val="000000"/>
          <w:sz w:val="20"/>
          <w:szCs w:val="20"/>
        </w:rPr>
        <w:t>3 million and $6.0 million, respectively, and the total liabilities of the consolidated VIEs were $3.7 million and $6.8 million, respectively.</w:t>
      </w:r>
    </w:p>
    <w:p w:rsidR="00000000" w:rsidRDefault="00183441">
      <w:pPr>
        <w:jc w:val="both"/>
        <w:divId w:val="1702512161"/>
        <w:rPr>
          <w:rFonts w:eastAsia="Times New Roman"/>
        </w:rPr>
      </w:pPr>
      <w:r>
        <w:rPr>
          <w:rFonts w:eastAsia="Times New Roman"/>
          <w:i/>
          <w:iCs/>
          <w:color w:val="000000"/>
          <w:sz w:val="20"/>
          <w:szCs w:val="20"/>
        </w:rPr>
        <w:t>Fiscal Year</w:t>
      </w:r>
    </w:p>
    <w:p w:rsidR="00000000" w:rsidRDefault="00183441">
      <w:pPr>
        <w:jc w:val="both"/>
        <w:divId w:val="2055036548"/>
        <w:rPr>
          <w:rFonts w:eastAsia="Times New Roman"/>
        </w:rPr>
      </w:pPr>
      <w:r>
        <w:rPr>
          <w:rFonts w:eastAsia="Times New Roman"/>
          <w:color w:val="000000"/>
          <w:sz w:val="20"/>
          <w:szCs w:val="20"/>
        </w:rPr>
        <w:t>Our fiscal year consists of 52 or 53 weeks ending on the Saturday closest to December 31. Fiscal year</w:t>
      </w:r>
      <w:r>
        <w:rPr>
          <w:rFonts w:eastAsia="Times New Roman"/>
          <w:color w:val="000000"/>
          <w:sz w:val="20"/>
          <w:szCs w:val="20"/>
        </w:rPr>
        <w:t xml:space="preserve"> 2022 contains 52 weeks and will end on December 31, 2022. All three and nine month periods presented herein contain 13 and 39 weeks, respectively. All references to years and quarters relate to fiscal periods rather than calendar periods.</w:t>
      </w:r>
    </w:p>
    <w:p w:rsidR="00000000" w:rsidRDefault="00183441">
      <w:pPr>
        <w:jc w:val="center"/>
        <w:divId w:val="583027057"/>
        <w:rPr>
          <w:rFonts w:eastAsia="Times New Roman"/>
        </w:rPr>
      </w:pPr>
      <w:r>
        <w:rPr>
          <w:rFonts w:eastAsia="Times New Roman"/>
          <w:color w:val="000000"/>
          <w:sz w:val="20"/>
          <w:szCs w:val="20"/>
        </w:rPr>
        <w:t>11</w:t>
      </w:r>
    </w:p>
    <w:p w:rsidR="00000000" w:rsidRDefault="00183441">
      <w:pPr>
        <w:rPr>
          <w:rFonts w:eastAsia="Times New Roman"/>
        </w:rPr>
      </w:pPr>
      <w:r>
        <w:rPr>
          <w:rFonts w:eastAsia="Times New Roman"/>
        </w:rPr>
        <w:pict>
          <v:rect id="_x0000_i1035" style="width:0;height:1.5pt" o:hralign="center" o:hrstd="t" o:hr="t" fillcolor="#a0a0a0" stroked="f"/>
        </w:pict>
      </w:r>
    </w:p>
    <w:p w:rsidR="00000000" w:rsidRDefault="00183441">
      <w:pPr>
        <w:divId w:val="1680236477"/>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1438715763"/>
        <w:rPr>
          <w:rFonts w:eastAsia="Times New Roman"/>
        </w:rPr>
      </w:pPr>
      <w:r>
        <w:rPr>
          <w:rFonts w:eastAsia="Times New Roman"/>
          <w:i/>
          <w:iCs/>
          <w:color w:val="000000"/>
          <w:sz w:val="20"/>
          <w:szCs w:val="20"/>
        </w:rPr>
        <w:t>Seasonality</w:t>
      </w:r>
    </w:p>
    <w:p w:rsidR="00000000" w:rsidRDefault="00183441">
      <w:pPr>
        <w:jc w:val="both"/>
        <w:divId w:val="1092778100"/>
        <w:rPr>
          <w:rFonts w:eastAsia="Times New Roman"/>
        </w:rPr>
      </w:pPr>
      <w:r>
        <w:rPr>
          <w:rFonts w:eastAsia="Times New Roman"/>
          <w:color w:val="000000"/>
          <w:sz w:val="20"/>
          <w:szCs w:val="20"/>
        </w:rPr>
        <w:t>The consolidated results of operations for the three and nine months ended October 1, 2022 and October 2, 2021, are not necessarily indicative o</w:t>
      </w:r>
      <w:r>
        <w:rPr>
          <w:rFonts w:eastAsia="Times New Roman"/>
          <w:color w:val="000000"/>
          <w:sz w:val="20"/>
          <w:szCs w:val="20"/>
        </w:rPr>
        <w:t>f the results to be expected for the full fiscal year due to seasonality and uncertainty of general economic conditions that may impact our key end markets. Historically, our business has realized a higher portion of net revenue, income from operations, an</w:t>
      </w:r>
      <w:r>
        <w:rPr>
          <w:rFonts w:eastAsia="Times New Roman"/>
          <w:color w:val="000000"/>
          <w:sz w:val="20"/>
          <w:szCs w:val="20"/>
        </w:rPr>
        <w:t>d cash flows from operations in the first half of the year, and a lower portion of net revenue, income from operations, and cash flows from operations in the fourth fiscal quarter. The first half seasonality is attributable primarily to the timing of our c</w:t>
      </w:r>
      <w:r>
        <w:rPr>
          <w:rFonts w:eastAsia="Times New Roman"/>
          <w:color w:val="000000"/>
          <w:sz w:val="20"/>
          <w:szCs w:val="20"/>
        </w:rPr>
        <w:t>ustomers’ personal income tax refunds and annual health insurance program start/reset periods, although delays in tax refund timing have occurred in 2020 and 2021, and may continue to occur in future years. Seasonality related to fourth quarter holiday spe</w:t>
      </w:r>
      <w:r>
        <w:rPr>
          <w:rFonts w:eastAsia="Times New Roman"/>
          <w:color w:val="000000"/>
          <w:sz w:val="20"/>
          <w:szCs w:val="20"/>
        </w:rPr>
        <w:t xml:space="preserve">nding by retail customers generally does not impact our business. Our quarterly consolidated results generally may also be affected by the timing of new store openings, store closings, and certain holidays. </w:t>
      </w:r>
    </w:p>
    <w:p w:rsidR="00000000" w:rsidRDefault="00183441">
      <w:pPr>
        <w:jc w:val="both"/>
        <w:divId w:val="597830266"/>
        <w:rPr>
          <w:rFonts w:eastAsia="Times New Roman"/>
        </w:rPr>
      </w:pPr>
      <w:r>
        <w:rPr>
          <w:rFonts w:eastAsia="Times New Roman"/>
          <w:color w:val="000000"/>
          <w:sz w:val="20"/>
          <w:szCs w:val="20"/>
        </w:rPr>
        <w:t>Consumer behavior driven by the COVID-19 pandemi</w:t>
      </w:r>
      <w:r>
        <w:rPr>
          <w:rFonts w:eastAsia="Times New Roman"/>
          <w:color w:val="000000"/>
          <w:sz w:val="20"/>
          <w:szCs w:val="20"/>
        </w:rPr>
        <w:t>c, shifting macroeconomic trends, consumer preferences and demand have resulted in a departure from seasonal norms we have experienced in recent years. We expect COVID-19 and the current macroeconomic environment to continue to impact the seasonality we ha</w:t>
      </w:r>
      <w:r>
        <w:rPr>
          <w:rFonts w:eastAsia="Times New Roman"/>
          <w:color w:val="000000"/>
          <w:sz w:val="20"/>
          <w:szCs w:val="20"/>
        </w:rPr>
        <w:t>ve historically experienced.</w:t>
      </w:r>
    </w:p>
    <w:p w:rsidR="00000000" w:rsidRDefault="00183441">
      <w:pPr>
        <w:jc w:val="both"/>
        <w:divId w:val="670570045"/>
        <w:rPr>
          <w:rFonts w:eastAsia="Times New Roman"/>
        </w:rPr>
      </w:pPr>
      <w:r>
        <w:rPr>
          <w:rFonts w:eastAsia="Times New Roman"/>
          <w:i/>
          <w:iCs/>
          <w:color w:val="000000"/>
          <w:sz w:val="20"/>
          <w:szCs w:val="20"/>
        </w:rPr>
        <w:t>Use of Estimates</w:t>
      </w:r>
    </w:p>
    <w:p w:rsidR="00000000" w:rsidRDefault="00183441">
      <w:pPr>
        <w:jc w:val="both"/>
        <w:divId w:val="696857011"/>
        <w:rPr>
          <w:rFonts w:eastAsia="Times New Roman"/>
        </w:rPr>
      </w:pPr>
      <w:r>
        <w:rPr>
          <w:rFonts w:eastAsia="Times New Roman"/>
          <w:color w:val="000000"/>
          <w:sz w:val="20"/>
          <w:szCs w:val="20"/>
        </w:rPr>
        <w:t>The preparation of financial statements in conformity with U.S. GAAP requires management to make estimates and assumptions that affect the reported amounts of assets and liabilities and disclosure of contingent</w:t>
      </w:r>
      <w:r>
        <w:rPr>
          <w:rFonts w:eastAsia="Times New Roman"/>
          <w:color w:val="000000"/>
          <w:sz w:val="20"/>
          <w:szCs w:val="20"/>
        </w:rPr>
        <w:t xml:space="preserve"> assets and liabilities at the date of the financial statements and the reported amounts of revenues and expenses during the reporting period. Actual results could differ from those estimates.</w:t>
      </w:r>
    </w:p>
    <w:p w:rsidR="00000000" w:rsidRDefault="00183441">
      <w:pPr>
        <w:jc w:val="both"/>
        <w:divId w:val="792986895"/>
        <w:rPr>
          <w:rFonts w:eastAsia="Times New Roman"/>
        </w:rPr>
      </w:pPr>
      <w:r>
        <w:rPr>
          <w:rFonts w:eastAsia="Times New Roman"/>
          <w:i/>
          <w:iCs/>
          <w:color w:val="000000"/>
          <w:sz w:val="20"/>
          <w:szCs w:val="20"/>
        </w:rPr>
        <w:t>Income Taxes</w:t>
      </w:r>
    </w:p>
    <w:p w:rsidR="00000000" w:rsidRDefault="00183441">
      <w:pPr>
        <w:jc w:val="both"/>
        <w:divId w:val="198443687"/>
        <w:rPr>
          <w:rFonts w:eastAsia="Times New Roman"/>
        </w:rPr>
      </w:pPr>
      <w:r>
        <w:rPr>
          <w:rFonts w:eastAsia="Times New Roman"/>
          <w:color w:val="000000"/>
          <w:sz w:val="20"/>
          <w:szCs w:val="20"/>
        </w:rPr>
        <w:t>Our effective tax rates for the three months ended</w:t>
      </w:r>
      <w:r>
        <w:rPr>
          <w:rFonts w:eastAsia="Times New Roman"/>
          <w:color w:val="000000"/>
          <w:sz w:val="20"/>
          <w:szCs w:val="20"/>
        </w:rPr>
        <w:t xml:space="preserve"> October 1, 2022 and October 2, 2021 were 33.7% and 8.8%, respectively, reflecting our statutory federal and state ra</w:t>
      </w:r>
      <w:r>
        <w:rPr>
          <w:rFonts w:eastAsia="Times New Roman"/>
          <w:color w:val="000000"/>
          <w:sz w:val="20"/>
          <w:szCs w:val="20"/>
          <w:shd w:val="clear" w:color="auto" w:fill="FFFFFF"/>
        </w:rPr>
        <w:t xml:space="preserve">te of </w:t>
      </w:r>
      <w:r>
        <w:rPr>
          <w:rFonts w:eastAsia="Times New Roman"/>
          <w:color w:val="000000"/>
          <w:sz w:val="20"/>
          <w:szCs w:val="20"/>
        </w:rPr>
        <w:t xml:space="preserve">25.5% and effects of other permanent items as well as discrete benefits from stock option exercises of $9.1 million during the three </w:t>
      </w:r>
      <w:r>
        <w:rPr>
          <w:rFonts w:eastAsia="Times New Roman"/>
          <w:color w:val="000000"/>
          <w:sz w:val="20"/>
          <w:szCs w:val="20"/>
        </w:rPr>
        <w:t>months ended October 2, 2021. Our effective tax rates for the nine months ended October 1, 2022 and October 2, 2021 were 29.8% an</w:t>
      </w:r>
      <w:r>
        <w:rPr>
          <w:rFonts w:eastAsia="Times New Roman"/>
          <w:color w:val="000000"/>
          <w:sz w:val="20"/>
          <w:szCs w:val="20"/>
          <w:shd w:val="clear" w:color="auto" w:fill="FFFFFF"/>
        </w:rPr>
        <w:t>d 15.7%,</w:t>
      </w:r>
      <w:r>
        <w:rPr>
          <w:rFonts w:eastAsia="Times New Roman"/>
          <w:color w:val="000000"/>
          <w:sz w:val="20"/>
          <w:szCs w:val="20"/>
        </w:rPr>
        <w:t xml:space="preserve"> respectively, reflecting our statutory federal and state ra</w:t>
      </w:r>
      <w:r>
        <w:rPr>
          <w:rFonts w:eastAsia="Times New Roman"/>
          <w:color w:val="000000"/>
          <w:sz w:val="20"/>
          <w:szCs w:val="20"/>
          <w:shd w:val="clear" w:color="auto" w:fill="FFFFFF"/>
        </w:rPr>
        <w:t xml:space="preserve">te of </w:t>
      </w:r>
      <w:r>
        <w:rPr>
          <w:rFonts w:eastAsia="Times New Roman"/>
          <w:color w:val="000000"/>
          <w:sz w:val="20"/>
          <w:szCs w:val="20"/>
        </w:rPr>
        <w:t>25.5%</w:t>
      </w:r>
      <w:r>
        <w:rPr>
          <w:rFonts w:eastAsia="Times New Roman"/>
          <w:color w:val="000000"/>
          <w:sz w:val="20"/>
          <w:szCs w:val="20"/>
          <w:shd w:val="clear" w:color="auto" w:fill="FFFFFF"/>
        </w:rPr>
        <w:t xml:space="preserve"> an</w:t>
      </w:r>
      <w:r>
        <w:rPr>
          <w:rFonts w:eastAsia="Times New Roman"/>
          <w:color w:val="000000"/>
          <w:sz w:val="20"/>
          <w:szCs w:val="20"/>
        </w:rPr>
        <w:t xml:space="preserve">d effects of other permanent items, discrete </w:t>
      </w:r>
      <w:r>
        <w:rPr>
          <w:rFonts w:eastAsia="Times New Roman"/>
          <w:color w:val="000000"/>
          <w:sz w:val="20"/>
          <w:szCs w:val="20"/>
        </w:rPr>
        <w:t>benefits from stock option exercises of $13.6 million, as well as a stranded tax effect of $2.1 million associated with our matured interest rate swaps during the nine months ended October 2, 2021.     </w:t>
      </w:r>
    </w:p>
    <w:p w:rsidR="00000000" w:rsidRDefault="00183441">
      <w:pPr>
        <w:jc w:val="both"/>
        <w:divId w:val="1543134133"/>
        <w:rPr>
          <w:rFonts w:eastAsia="Times New Roman"/>
        </w:rPr>
      </w:pPr>
      <w:r>
        <w:rPr>
          <w:rFonts w:eastAsia="Times New Roman"/>
          <w:i/>
          <w:iCs/>
          <w:color w:val="252525"/>
          <w:sz w:val="20"/>
          <w:szCs w:val="20"/>
        </w:rPr>
        <w:t>Sale of Equity Method Investee</w:t>
      </w:r>
    </w:p>
    <w:p w:rsidR="00000000" w:rsidRDefault="00183441">
      <w:pPr>
        <w:jc w:val="both"/>
        <w:divId w:val="1511723895"/>
        <w:rPr>
          <w:rFonts w:eastAsia="Times New Roman"/>
        </w:rPr>
      </w:pPr>
      <w:r>
        <w:rPr>
          <w:rFonts w:eastAsia="Times New Roman"/>
          <w:color w:val="252525"/>
          <w:sz w:val="20"/>
          <w:szCs w:val="20"/>
        </w:rPr>
        <w:t>During t</w:t>
      </w:r>
      <w:r>
        <w:rPr>
          <w:rFonts w:eastAsia="Times New Roman"/>
          <w:color w:val="000000"/>
          <w:sz w:val="20"/>
          <w:szCs w:val="20"/>
        </w:rPr>
        <w:t>he third quart</w:t>
      </w:r>
      <w:r>
        <w:rPr>
          <w:rFonts w:eastAsia="Times New Roman"/>
          <w:color w:val="000000"/>
          <w:sz w:val="20"/>
          <w:szCs w:val="20"/>
        </w:rPr>
        <w:t>er of fiscal year 2021, a former equity method investee was acquired by a third party and in connection therewith the Company sold all of its ownership interests and received $2.4 million upon the consummation of the sale.</w:t>
      </w:r>
    </w:p>
    <w:p w:rsidR="00000000" w:rsidRDefault="00183441">
      <w:pPr>
        <w:jc w:val="both"/>
        <w:divId w:val="1559323379"/>
        <w:rPr>
          <w:rFonts w:eastAsia="Times New Roman"/>
        </w:rPr>
      </w:pPr>
      <w:r>
        <w:rPr>
          <w:rFonts w:eastAsia="Times New Roman"/>
          <w:i/>
          <w:iCs/>
          <w:color w:val="000000"/>
          <w:sz w:val="20"/>
          <w:szCs w:val="20"/>
        </w:rPr>
        <w:t>Share Repurchases</w:t>
      </w:r>
    </w:p>
    <w:p w:rsidR="00000000" w:rsidRDefault="00183441">
      <w:pPr>
        <w:jc w:val="both"/>
        <w:divId w:val="744761357"/>
        <w:rPr>
          <w:rFonts w:eastAsia="Times New Roman"/>
        </w:rPr>
      </w:pPr>
      <w:r>
        <w:rPr>
          <w:rFonts w:eastAsia="Times New Roman"/>
          <w:color w:val="000000"/>
          <w:sz w:val="20"/>
          <w:szCs w:val="20"/>
        </w:rPr>
        <w:t>During the nine months ended October 1, 2022, the Company repurchased 2.7 million shares of its common stock for $80.0 million under the share repurchase program. After these repurchases, $50.0 million remains available under the share re</w:t>
      </w:r>
      <w:r>
        <w:rPr>
          <w:rFonts w:eastAsia="Times New Roman"/>
          <w:color w:val="000000"/>
          <w:sz w:val="20"/>
          <w:szCs w:val="20"/>
        </w:rPr>
        <w:t>purchase authorization.</w:t>
      </w:r>
    </w:p>
    <w:p w:rsidR="00000000" w:rsidRDefault="00183441">
      <w:pPr>
        <w:jc w:val="both"/>
        <w:divId w:val="496850914"/>
        <w:rPr>
          <w:rFonts w:eastAsia="Times New Roman"/>
        </w:rPr>
      </w:pPr>
      <w:r>
        <w:rPr>
          <w:rFonts w:eastAsia="Times New Roman"/>
          <w:i/>
          <w:iCs/>
          <w:color w:val="000000"/>
          <w:sz w:val="20"/>
          <w:szCs w:val="20"/>
        </w:rPr>
        <w:t>Future Adoption of Accounting Pronouncements</w:t>
      </w:r>
    </w:p>
    <w:p w:rsidR="00000000" w:rsidRDefault="00183441">
      <w:pPr>
        <w:jc w:val="both"/>
        <w:divId w:val="675808490"/>
        <w:rPr>
          <w:rFonts w:eastAsia="Times New Roman"/>
        </w:rPr>
      </w:pPr>
      <w:r>
        <w:rPr>
          <w:rFonts w:eastAsia="Times New Roman"/>
          <w:i/>
          <w:iCs/>
          <w:color w:val="000000"/>
          <w:sz w:val="20"/>
          <w:szCs w:val="20"/>
        </w:rPr>
        <w:t xml:space="preserve">Reference Rate Reform. </w:t>
      </w:r>
      <w:r>
        <w:rPr>
          <w:rFonts w:eastAsia="Times New Roman"/>
          <w:color w:val="000000"/>
          <w:sz w:val="20"/>
          <w:szCs w:val="20"/>
        </w:rPr>
        <w:t xml:space="preserve">In March 2020, the FASB issued ASU No. 2020-04, </w:t>
      </w:r>
      <w:r>
        <w:rPr>
          <w:rFonts w:eastAsia="Times New Roman"/>
          <w:i/>
          <w:iCs/>
          <w:color w:val="000000"/>
          <w:sz w:val="20"/>
          <w:szCs w:val="20"/>
        </w:rPr>
        <w:t>Facilitation of the Effects of Reference Rate Reform on Financial Reporting</w:t>
      </w:r>
      <w:r>
        <w:rPr>
          <w:rFonts w:eastAsia="Times New Roman"/>
          <w:color w:val="000000"/>
          <w:sz w:val="20"/>
          <w:szCs w:val="20"/>
        </w:rPr>
        <w:t xml:space="preserve"> (“ASU 2020-04”). This guidance provides </w:t>
      </w:r>
      <w:r>
        <w:rPr>
          <w:rFonts w:eastAsia="Times New Roman"/>
          <w:color w:val="000000"/>
          <w:sz w:val="20"/>
          <w:szCs w:val="20"/>
        </w:rPr>
        <w:t>optional expedients and exceptions for applying U.S. GAAP to contracts, hedging relationships, and other transactions that may be affected by the cessation of the London Inter-bank Offered Rate (“LIBOR.”) An entity may elect to apply the amendments for con</w:t>
      </w:r>
      <w:r>
        <w:rPr>
          <w:rFonts w:eastAsia="Times New Roman"/>
          <w:color w:val="000000"/>
          <w:sz w:val="20"/>
          <w:szCs w:val="20"/>
        </w:rPr>
        <w:t>tract modifications as of any date from the beginning of an interim period that includes or is subsequent to March 12, 2020 through December 31, 2022. A portion of our debt is subject to interest payments that are indexed to LIBOR; additionally, we are par</w:t>
      </w:r>
      <w:r>
        <w:rPr>
          <w:rFonts w:eastAsia="Times New Roman"/>
          <w:color w:val="000000"/>
          <w:sz w:val="20"/>
          <w:szCs w:val="20"/>
        </w:rPr>
        <w:t>ty to an interest rate derivative based on LIBOR. We are currently evaluating the effect of this guidance and have not applied the provisions of this guidance during the current fiscal year.</w:t>
      </w:r>
    </w:p>
    <w:p w:rsidR="00000000" w:rsidRDefault="00183441">
      <w:pPr>
        <w:jc w:val="both"/>
        <w:divId w:val="50346716"/>
        <w:rPr>
          <w:rFonts w:eastAsia="Times New Roman"/>
        </w:rPr>
      </w:pPr>
      <w:r>
        <w:rPr>
          <w:rFonts w:eastAsia="Times New Roman"/>
          <w:i/>
          <w:iCs/>
          <w:color w:val="000000"/>
          <w:sz w:val="20"/>
          <w:szCs w:val="20"/>
        </w:rPr>
        <w:t>Inflation Reduction Act.</w:t>
      </w:r>
      <w:r>
        <w:rPr>
          <w:rFonts w:eastAsia="Times New Roman"/>
          <w:color w:val="000000"/>
          <w:sz w:val="20"/>
          <w:szCs w:val="20"/>
        </w:rPr>
        <w:t xml:space="preserve"> </w:t>
      </w:r>
      <w:r>
        <w:rPr>
          <w:rFonts w:eastAsia="Times New Roman"/>
          <w:color w:val="000000"/>
          <w:sz w:val="20"/>
          <w:szCs w:val="20"/>
        </w:rPr>
        <w:t xml:space="preserve">In August 2022, the U.S. government enacted the Inflation Reduction Act (“IRA”) which, among other things, provides for a 15% corporate alternative minimum tax based on a prescribed measure of income as well as a 1% excise tax on stock repurchases. We are </w:t>
      </w:r>
      <w:r>
        <w:rPr>
          <w:rFonts w:eastAsia="Times New Roman"/>
          <w:color w:val="000000"/>
          <w:sz w:val="20"/>
          <w:szCs w:val="20"/>
        </w:rPr>
        <w:t>continuing to evaluate the provisions of the IRA but currently do not anticipate either of these provisions will have a material effect on our financial statements or operations, or our current share repurchase program.</w:t>
      </w:r>
    </w:p>
    <w:p w:rsidR="00000000" w:rsidRDefault="00183441">
      <w:pPr>
        <w:jc w:val="both"/>
        <w:divId w:val="874927295"/>
        <w:rPr>
          <w:rFonts w:eastAsia="Times New Roman"/>
        </w:rPr>
      </w:pPr>
      <w:r>
        <w:rPr>
          <w:rFonts w:eastAsia="Times New Roman"/>
          <w:color w:val="000000"/>
          <w:sz w:val="20"/>
          <w:szCs w:val="20"/>
        </w:rPr>
        <w:t>The FASB issued other accounting gui</w:t>
      </w:r>
      <w:r>
        <w:rPr>
          <w:rFonts w:eastAsia="Times New Roman"/>
          <w:color w:val="000000"/>
          <w:sz w:val="20"/>
          <w:szCs w:val="20"/>
        </w:rPr>
        <w:t>dance during the period that is not currently applicable or expected to have a material impact on the Company’s condensed consolidated financial statements, and therefore, is not described above.</w:t>
      </w:r>
    </w:p>
    <w:p w:rsidR="00000000" w:rsidRDefault="00183441">
      <w:pPr>
        <w:jc w:val="center"/>
        <w:divId w:val="948510368"/>
        <w:rPr>
          <w:rFonts w:eastAsia="Times New Roman"/>
        </w:rPr>
      </w:pPr>
      <w:r>
        <w:rPr>
          <w:rFonts w:eastAsia="Times New Roman"/>
          <w:color w:val="000000"/>
          <w:sz w:val="20"/>
          <w:szCs w:val="20"/>
        </w:rPr>
        <w:t>12</w:t>
      </w:r>
    </w:p>
    <w:p w:rsidR="00000000" w:rsidRDefault="00183441">
      <w:pPr>
        <w:rPr>
          <w:rFonts w:eastAsia="Times New Roman"/>
        </w:rPr>
      </w:pPr>
      <w:r>
        <w:rPr>
          <w:rFonts w:eastAsia="Times New Roman"/>
        </w:rPr>
        <w:pict>
          <v:rect id="_x0000_i1036" style="width:0;height:1.5pt" o:hralign="center" o:hrstd="t" o:hr="t" fillcolor="#a0a0a0" stroked="f"/>
        </w:pict>
      </w:r>
    </w:p>
    <w:p w:rsidR="00000000" w:rsidRDefault="00183441">
      <w:pPr>
        <w:divId w:val="2027978232"/>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rPr>
          <w:rFonts w:eastAsia="Times New Roman"/>
        </w:rPr>
      </w:pPr>
    </w:p>
    <w:p w:rsidR="00000000" w:rsidRDefault="00183441">
      <w:pPr>
        <w:divId w:val="114257875"/>
        <w:rPr>
          <w:rFonts w:eastAsia="Times New Roman"/>
        </w:rPr>
      </w:pPr>
      <w:r>
        <w:rPr>
          <w:rFonts w:eastAsia="Times New Roman"/>
          <w:b/>
          <w:bCs/>
          <w:color w:val="000000"/>
          <w:sz w:val="20"/>
          <w:szCs w:val="20"/>
        </w:rPr>
        <w:t>2. Details of Certain Balance Sheet Accounts</w:t>
      </w:r>
    </w:p>
    <w:p w:rsidR="00000000" w:rsidRDefault="00183441">
      <w:pPr>
        <w:jc w:val="both"/>
        <w:divId w:val="614097895"/>
        <w:rPr>
          <w:rFonts w:eastAsia="Times New Roman"/>
        </w:rPr>
      </w:pPr>
      <w:r>
        <w:rPr>
          <w:rFonts w:eastAsia="Times New Roman"/>
          <w:color w:val="000000"/>
          <w:sz w:val="20"/>
          <w:szCs w:val="20"/>
        </w:rPr>
        <w:t>The following table provides a reconciliation of cash and cash equivalents reported within the Condensed Consolidated Balance sheets to the total of Cash</w:t>
      </w:r>
      <w:r>
        <w:rPr>
          <w:rFonts w:eastAsia="Times New Roman"/>
          <w:color w:val="000000"/>
          <w:sz w:val="20"/>
          <w:szCs w:val="20"/>
        </w:rPr>
        <w:t>, cash equivalents and restricted cash shown in the Condensed Consolidated Statement of Cash Flows:</w:t>
      </w:r>
    </w:p>
    <w:tbl>
      <w:tblPr>
        <w:tblW w:w="4983" w:type="pct"/>
        <w:tblCellMar>
          <w:top w:w="15" w:type="dxa"/>
          <w:left w:w="15" w:type="dxa"/>
          <w:bottom w:w="15" w:type="dxa"/>
          <w:right w:w="15" w:type="dxa"/>
        </w:tblCellMar>
        <w:tblLook w:val="04A0" w:firstRow="1" w:lastRow="0" w:firstColumn="1" w:lastColumn="0" w:noHBand="0" w:noVBand="1"/>
      </w:tblPr>
      <w:tblGrid>
        <w:gridCol w:w="39"/>
        <w:gridCol w:w="4538"/>
        <w:gridCol w:w="38"/>
        <w:gridCol w:w="120"/>
        <w:gridCol w:w="1636"/>
        <w:gridCol w:w="36"/>
        <w:gridCol w:w="36"/>
        <w:gridCol w:w="36"/>
        <w:gridCol w:w="36"/>
        <w:gridCol w:w="120"/>
        <w:gridCol w:w="1607"/>
        <w:gridCol w:w="36"/>
      </w:tblGrid>
      <w:tr w:rsidR="00000000">
        <w:trPr>
          <w:divId w:val="830488441"/>
        </w:trPr>
        <w:tc>
          <w:tcPr>
            <w:tcW w:w="50" w:type="pct"/>
            <w:vAlign w:val="center"/>
            <w:hideMark/>
          </w:tcPr>
          <w:p w:rsidR="00000000" w:rsidRDefault="00183441">
            <w:pPr>
              <w:jc w:val="both"/>
              <w:rPr>
                <w:rFonts w:eastAsia="Times New Roman"/>
              </w:rPr>
            </w:pPr>
          </w:p>
        </w:tc>
        <w:tc>
          <w:tcPr>
            <w:tcW w:w="276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830488441"/>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830488441"/>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830488441"/>
        </w:trPr>
        <w:tc>
          <w:tcPr>
            <w:tcW w:w="0" w:type="auto"/>
            <w:gridSpan w:val="3"/>
            <w:shd w:val="clear" w:color="auto" w:fill="CCEE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Cash, cash equivalents and restricted cash:</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830488441"/>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Cash and cash equivalents</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256,209 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439,117 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30488441"/>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Restricted cash included in other assets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1,313 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1,339 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30488441"/>
        </w:trPr>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257,522 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440,456 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divId w:val="332073720"/>
        <w:rPr>
          <w:rFonts w:eastAsia="Times New Roman"/>
        </w:rPr>
      </w:pPr>
    </w:p>
    <w:p w:rsidR="00000000" w:rsidRDefault="00183441">
      <w:pPr>
        <w:divId w:val="1561671680"/>
        <w:rPr>
          <w:rFonts w:eastAsia="Times New Roman"/>
        </w:rPr>
      </w:pPr>
      <w:r>
        <w:rPr>
          <w:rFonts w:eastAsia="Times New Roman"/>
          <w:color w:val="000000"/>
          <w:sz w:val="20"/>
          <w:szCs w:val="20"/>
        </w:rPr>
        <w:t>The following tables provide additional details of certain balance sheet accounts as of the dates shown below:</w:t>
      </w:r>
    </w:p>
    <w:p w:rsidR="00000000" w:rsidRDefault="00183441">
      <w:pPr>
        <w:divId w:val="1732532704"/>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8"/>
        <w:gridCol w:w="120"/>
        <w:gridCol w:w="1635"/>
        <w:gridCol w:w="36"/>
        <w:gridCol w:w="36"/>
        <w:gridCol w:w="36"/>
        <w:gridCol w:w="36"/>
        <w:gridCol w:w="120"/>
        <w:gridCol w:w="1608"/>
        <w:gridCol w:w="36"/>
      </w:tblGrid>
      <w:tr w:rsidR="00000000">
        <w:trPr>
          <w:divId w:val="1525248346"/>
        </w:trPr>
        <w:tc>
          <w:tcPr>
            <w:tcW w:w="50" w:type="pct"/>
            <w:vAlign w:val="center"/>
            <w:hideMark/>
          </w:tcPr>
          <w:p w:rsidR="00000000" w:rsidRDefault="00183441">
            <w:pPr>
              <w:rPr>
                <w:rFonts w:eastAsia="Times New Roman"/>
              </w:rPr>
            </w:pPr>
          </w:p>
        </w:tc>
        <w:tc>
          <w:tcPr>
            <w:tcW w:w="277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525248346"/>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1, 2022</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1525248346"/>
        </w:trPr>
        <w:tc>
          <w:tcPr>
            <w:tcW w:w="0" w:type="auto"/>
            <w:gridSpan w:val="3"/>
            <w:shd w:val="clear" w:color="auto" w:fill="CCEE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Accounts receivable, net: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525248346"/>
        </w:trPr>
        <w:tc>
          <w:tcPr>
            <w:tcW w:w="0" w:type="auto"/>
            <w:gridSpan w:val="3"/>
            <w:shd w:val="clear" w:color="auto" w:fill="FFFFFF"/>
            <w:tcMar>
              <w:top w:w="30" w:type="dxa"/>
              <w:left w:w="15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Trade receivables</w:t>
            </w:r>
          </w:p>
        </w:tc>
        <w:tc>
          <w:tcPr>
            <w:tcW w:w="0" w:type="auto"/>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34,213 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32,504 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1525248346"/>
        </w:trPr>
        <w:tc>
          <w:tcPr>
            <w:tcW w:w="0" w:type="auto"/>
            <w:gridSpan w:val="3"/>
            <w:shd w:val="clear" w:color="auto" w:fill="CCEEFF"/>
            <w:tcMar>
              <w:top w:w="30" w:type="dxa"/>
              <w:left w:w="15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Credit card receivables</w:t>
            </w: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16,266 </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17,010 </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1525248346"/>
        </w:trPr>
        <w:tc>
          <w:tcPr>
            <w:tcW w:w="0" w:type="auto"/>
            <w:gridSpan w:val="3"/>
            <w:shd w:val="clear" w:color="auto" w:fill="FFFFFF"/>
            <w:tcMar>
              <w:top w:w="30" w:type="dxa"/>
              <w:left w:w="20" w:type="dxa"/>
              <w:bottom w:w="30" w:type="dxa"/>
              <w:right w:w="20" w:type="dxa"/>
            </w:tcMar>
            <w:vAlign w:val="center"/>
            <w:hideMark/>
          </w:tcPr>
          <w:p w:rsidR="00000000" w:rsidRDefault="00183441">
            <w:pPr>
              <w:spacing w:after="100"/>
              <w:divId w:val="95099516"/>
              <w:rPr>
                <w:rFonts w:eastAsia="Times New Roman"/>
              </w:rPr>
            </w:pPr>
            <w:r>
              <w:rPr>
                <w:rFonts w:eastAsia="Times New Roman"/>
                <w:color w:val="000000"/>
                <w:sz w:val="20"/>
                <w:szCs w:val="20"/>
              </w:rPr>
              <w:t>Other receivables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13,988 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6,685 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1525248346"/>
        </w:trPr>
        <w:tc>
          <w:tcPr>
            <w:tcW w:w="0" w:type="auto"/>
            <w:gridSpan w:val="3"/>
            <w:shd w:val="clear" w:color="auto" w:fill="CCEEFF"/>
            <w:tcMar>
              <w:top w:w="30" w:type="dxa"/>
              <w:left w:w="15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Allowance for credit losses</w:t>
            </w: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(644)</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(502)</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1525248346"/>
        </w:trPr>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63,823 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55,697 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1525248346"/>
        </w:trPr>
        <w:tc>
          <w:tcPr>
            <w:tcW w:w="0" w:type="auto"/>
            <w:gridSpan w:val="12"/>
            <w:tcMar>
              <w:top w:w="30" w:type="dxa"/>
              <w:left w:w="20" w:type="dxa"/>
              <w:bottom w:w="30" w:type="dxa"/>
              <w:right w:w="20" w:type="dxa"/>
            </w:tcMar>
            <w:vAlign w:val="center"/>
            <w:hideMark/>
          </w:tcPr>
          <w:p w:rsidR="00000000" w:rsidRDefault="00183441">
            <w:pPr>
              <w:spacing w:after="100"/>
              <w:jc w:val="both"/>
              <w:rPr>
                <w:rFonts w:eastAsia="Times New Roman"/>
              </w:rPr>
            </w:pPr>
            <w:r>
              <w:rPr>
                <w:rFonts w:eastAsia="Times New Roman"/>
                <w:color w:val="000000"/>
                <w:sz w:val="16"/>
                <w:szCs w:val="16"/>
              </w:rPr>
              <w:t>(1) Includes Coronavirus Aid, Relief, and Economic Security (“CARES”) Act receivable in the amount of $6.7 million as of October 1, 2022.</w:t>
            </w:r>
          </w:p>
        </w:tc>
      </w:tr>
    </w:tbl>
    <w:p w:rsidR="00000000" w:rsidRDefault="00183441">
      <w:pPr>
        <w:divId w:val="559289897"/>
        <w:rPr>
          <w:rFonts w:eastAsia="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40"/>
        <w:gridCol w:w="4566"/>
        <w:gridCol w:w="36"/>
        <w:gridCol w:w="120"/>
        <w:gridCol w:w="1636"/>
        <w:gridCol w:w="36"/>
        <w:gridCol w:w="36"/>
        <w:gridCol w:w="36"/>
        <w:gridCol w:w="36"/>
        <w:gridCol w:w="120"/>
        <w:gridCol w:w="1608"/>
        <w:gridCol w:w="36"/>
      </w:tblGrid>
      <w:tr w:rsidR="00000000">
        <w:trPr>
          <w:divId w:val="467286335"/>
        </w:trPr>
        <w:tc>
          <w:tcPr>
            <w:tcW w:w="50" w:type="pct"/>
            <w:vAlign w:val="center"/>
            <w:hideMark/>
          </w:tcPr>
          <w:p w:rsidR="00000000" w:rsidRDefault="00183441">
            <w:pPr>
              <w:rPr>
                <w:rFonts w:eastAsia="Times New Roman"/>
              </w:rPr>
            </w:pPr>
          </w:p>
        </w:tc>
        <w:tc>
          <w:tcPr>
            <w:tcW w:w="277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467286335"/>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1, 2022</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467286335"/>
        </w:trPr>
        <w:tc>
          <w:tcPr>
            <w:tcW w:w="0" w:type="auto"/>
            <w:gridSpan w:val="3"/>
            <w:shd w:val="clear" w:color="auto" w:fill="CCEEFF"/>
            <w:tcMar>
              <w:top w:w="30" w:type="dxa"/>
              <w:left w:w="20" w:type="dxa"/>
              <w:bottom w:w="30" w:type="dxa"/>
              <w:right w:w="20" w:type="dxa"/>
            </w:tcMar>
            <w:vAlign w:val="center"/>
            <w:hideMark/>
          </w:tcPr>
          <w:p w:rsidR="00000000" w:rsidRDefault="00183441">
            <w:pPr>
              <w:spacing w:after="100"/>
              <w:rPr>
                <w:rFonts w:eastAsia="Times New Roman"/>
              </w:rPr>
            </w:pPr>
            <w:r>
              <w:rPr>
                <w:rFonts w:eastAsia="Times New Roman"/>
                <w:b/>
                <w:bCs/>
                <w:color w:val="000000"/>
                <w:sz w:val="20"/>
                <w:szCs w:val="20"/>
              </w:rPr>
              <w:t>Inventories: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467286335"/>
        </w:trPr>
        <w:tc>
          <w:tcPr>
            <w:tcW w:w="0" w:type="auto"/>
            <w:gridSpan w:val="3"/>
            <w:shd w:val="clear" w:color="auto" w:fill="FFFFFF"/>
            <w:tcMar>
              <w:top w:w="30" w:type="dxa"/>
              <w:left w:w="20" w:type="dxa"/>
              <w:bottom w:w="30" w:type="dxa"/>
              <w:right w:w="20" w:type="dxa"/>
            </w:tcMar>
            <w:vAlign w:val="center"/>
            <w:hideMark/>
          </w:tcPr>
          <w:p w:rsidR="00000000" w:rsidRDefault="00183441">
            <w:pPr>
              <w:spacing w:after="100"/>
              <w:divId w:val="1006009538"/>
              <w:rPr>
                <w:rFonts w:eastAsia="Times New Roman"/>
              </w:rPr>
            </w:pPr>
            <w:r>
              <w:rPr>
                <w:rFonts w:eastAsia="Times New Roman"/>
                <w:color w:val="000000"/>
                <w:sz w:val="20"/>
                <w:szCs w:val="20"/>
              </w:rPr>
              <w:t>Raw materials and work in process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65,834 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65,262 </w:t>
            </w:r>
          </w:p>
        </w:tc>
        <w:tc>
          <w:tcPr>
            <w:tcW w:w="0" w:type="auto"/>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467286335"/>
        </w:trPr>
        <w:tc>
          <w:tcPr>
            <w:tcW w:w="0" w:type="auto"/>
            <w:gridSpan w:val="3"/>
            <w:shd w:val="clear" w:color="auto" w:fill="CCEEFF"/>
            <w:tcMar>
              <w:top w:w="30" w:type="dxa"/>
              <w:left w:w="155" w:type="dxa"/>
              <w:bottom w:w="30" w:type="dxa"/>
              <w:right w:w="20" w:type="dxa"/>
            </w:tcMar>
            <w:vAlign w:val="center"/>
            <w:hideMark/>
          </w:tcPr>
          <w:p w:rsidR="00000000" w:rsidRDefault="00183441">
            <w:pPr>
              <w:spacing w:after="100"/>
              <w:rPr>
                <w:rFonts w:eastAsia="Times New Roman"/>
              </w:rPr>
            </w:pPr>
            <w:r>
              <w:rPr>
                <w:rFonts w:eastAsia="Times New Roman"/>
                <w:color w:val="000000"/>
                <w:sz w:val="20"/>
                <w:szCs w:val="20"/>
              </w:rPr>
              <w:t>Finished goods</w:t>
            </w: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56,198 </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58,407 </w:t>
            </w:r>
          </w:p>
        </w:tc>
        <w:tc>
          <w:tcPr>
            <w:tcW w:w="0" w:type="auto"/>
            <w:shd w:val="clear" w:color="auto" w:fill="CCEE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467286335"/>
        </w:trPr>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122,032 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center"/>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center"/>
            <w:hideMark/>
          </w:tcPr>
          <w:p w:rsidR="00000000" w:rsidRDefault="00183441">
            <w:pPr>
              <w:spacing w:after="100"/>
              <w:jc w:val="right"/>
              <w:rPr>
                <w:rFonts w:eastAsia="Times New Roman"/>
              </w:rPr>
            </w:pPr>
            <w:r>
              <w:rPr>
                <w:rFonts w:eastAsia="Times New Roman"/>
                <w:color w:val="000000"/>
                <w:sz w:val="20"/>
                <w:szCs w:val="20"/>
              </w:rPr>
              <w:t>123,669 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center"/>
            <w:hideMark/>
          </w:tcPr>
          <w:p w:rsidR="00000000" w:rsidRDefault="00183441">
            <w:pPr>
              <w:spacing w:after="100"/>
              <w:jc w:val="right"/>
              <w:rPr>
                <w:rFonts w:eastAsia="Times New Roman"/>
              </w:rPr>
            </w:pPr>
          </w:p>
        </w:tc>
      </w:tr>
      <w:tr w:rsidR="00000000">
        <w:trPr>
          <w:divId w:val="467286335"/>
        </w:trPr>
        <w:tc>
          <w:tcPr>
            <w:tcW w:w="0" w:type="auto"/>
            <w:gridSpan w:val="12"/>
            <w:tcMar>
              <w:top w:w="30" w:type="dxa"/>
              <w:left w:w="20" w:type="dxa"/>
              <w:bottom w:w="30" w:type="dxa"/>
              <w:right w:w="20" w:type="dxa"/>
            </w:tcMar>
            <w:vAlign w:val="center"/>
            <w:hideMark/>
          </w:tcPr>
          <w:p w:rsidR="00000000" w:rsidRDefault="00183441">
            <w:pPr>
              <w:spacing w:after="100"/>
              <w:ind w:hanging="270"/>
              <w:jc w:val="both"/>
              <w:rPr>
                <w:rFonts w:eastAsia="Times New Roman"/>
              </w:rPr>
            </w:pPr>
            <w:r>
              <w:rPr>
                <w:rFonts w:eastAsia="Times New Roman"/>
                <w:color w:val="000000"/>
                <w:sz w:val="16"/>
                <w:szCs w:val="16"/>
              </w:rPr>
              <w:t>(1)</w:t>
            </w:r>
            <w:r>
              <w:rPr>
                <w:rFonts w:eastAsia="Times New Roman"/>
                <w:color w:val="000000"/>
                <w:sz w:val="16"/>
                <w:szCs w:val="16"/>
              </w:rPr>
              <w:t>Due to the immaterial amount of estimated work in process and the short lead times for the conversion of raw materials to finished goods, the Company does not separately present raw materials and work in process.</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4606"/>
        <w:gridCol w:w="144"/>
        <w:gridCol w:w="144"/>
        <w:gridCol w:w="1677"/>
        <w:gridCol w:w="144"/>
        <w:gridCol w:w="144"/>
        <w:gridCol w:w="144"/>
        <w:gridCol w:w="144"/>
        <w:gridCol w:w="144"/>
        <w:gridCol w:w="1677"/>
        <w:gridCol w:w="144"/>
      </w:tblGrid>
      <w:tr w:rsidR="00000000">
        <w:tc>
          <w:tcPr>
            <w:tcW w:w="50" w:type="pct"/>
            <w:vAlign w:val="center"/>
            <w:hideMark/>
          </w:tcPr>
          <w:p w:rsidR="00000000" w:rsidRDefault="00183441">
            <w:pPr>
              <w:rPr>
                <w:rFonts w:eastAsia="Times New Roman"/>
              </w:rPr>
            </w:pPr>
          </w:p>
        </w:tc>
        <w:tc>
          <w:tcPr>
            <w:tcW w:w="277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1, 2022</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Other payables and accrued expenses: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922491602"/>
              <w:rPr>
                <w:rFonts w:eastAsia="Times New Roman"/>
              </w:rPr>
            </w:pPr>
            <w:r>
              <w:rPr>
                <w:rFonts w:eastAsia="Times New Roman"/>
                <w:color w:val="000000"/>
                <w:sz w:val="20"/>
                <w:szCs w:val="20"/>
              </w:rPr>
              <w:t>Associate compensation and benefits</w:t>
            </w:r>
            <w:r>
              <w:rPr>
                <w:rFonts w:eastAsia="Times New Roman"/>
                <w:color w:val="000000"/>
                <w:sz w:val="20"/>
                <w:szCs w:val="20"/>
              </w:rPr>
              <w:t xml:space="preserve"> </w:t>
            </w:r>
            <w:r>
              <w:rPr>
                <w:rFonts w:eastAsia="Times New Roman"/>
                <w:color w:val="000000"/>
                <w:sz w:val="13"/>
                <w:szCs w:val="13"/>
              </w:rPr>
              <w:t>(1</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36,761 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55,670 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9,108 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9,034 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Capital expenditures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11,167 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10,571 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Advertising</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2,122 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6,962 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Reserves for customer returns and remakes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6,841 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7,556 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Legacy management &amp; services agreement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4,966 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5,518 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Income taxes payable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7,427 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310 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Supplies and other store support expenses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3,679 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5,511 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Litigation settlements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309 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2,100 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Fair value of derivative liabilities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2,846 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18,498 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13,245 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100,878 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119,323 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c>
          <w:tcPr>
            <w:tcW w:w="0" w:type="auto"/>
            <w:gridSpan w:val="12"/>
            <w:shd w:val="clear" w:color="auto" w:fill="FFFFFF"/>
            <w:tcMar>
              <w:top w:w="30" w:type="dxa"/>
              <w:left w:w="20" w:type="dxa"/>
              <w:bottom w:w="30" w:type="dxa"/>
              <w:right w:w="20" w:type="dxa"/>
            </w:tcMar>
            <w:vAlign w:val="center"/>
            <w:hideMark/>
          </w:tcPr>
          <w:p w:rsidR="00000000" w:rsidRDefault="00183441">
            <w:pPr>
              <w:spacing w:after="100"/>
              <w:jc w:val="both"/>
              <w:rPr>
                <w:rFonts w:eastAsia="Times New Roman"/>
              </w:rPr>
            </w:pPr>
            <w:r>
              <w:rPr>
                <w:rFonts w:eastAsia="Times New Roman"/>
                <w:color w:val="000000"/>
                <w:sz w:val="16"/>
                <w:szCs w:val="16"/>
              </w:rPr>
              <w:t xml:space="preserve">(1) </w:t>
            </w:r>
            <w:r>
              <w:rPr>
                <w:rFonts w:eastAsia="Times New Roman"/>
                <w:color w:val="000000"/>
                <w:sz w:val="16"/>
                <w:szCs w:val="16"/>
              </w:rPr>
              <w:t>Includes the CARES Act deferred employer payroll taxes in the amount of $6.7 million as of October 1, 2022.</w:t>
            </w:r>
          </w:p>
        </w:tc>
      </w:tr>
    </w:tbl>
    <w:p w:rsidR="00000000" w:rsidRDefault="00183441">
      <w:pPr>
        <w:jc w:val="center"/>
        <w:divId w:val="274361965"/>
        <w:rPr>
          <w:rFonts w:eastAsia="Times New Roman"/>
        </w:rPr>
      </w:pPr>
      <w:r>
        <w:rPr>
          <w:rFonts w:eastAsia="Times New Roman"/>
          <w:color w:val="000000"/>
          <w:sz w:val="20"/>
          <w:szCs w:val="20"/>
        </w:rPr>
        <w:t>13</w:t>
      </w:r>
    </w:p>
    <w:p w:rsidR="00000000" w:rsidRDefault="00183441">
      <w:pPr>
        <w:rPr>
          <w:rFonts w:eastAsia="Times New Roman"/>
        </w:rPr>
      </w:pPr>
      <w:r>
        <w:rPr>
          <w:rFonts w:eastAsia="Times New Roman"/>
        </w:rPr>
        <w:pict>
          <v:rect id="_x0000_i1037" style="width:0;height:1.5pt" o:hralign="center" o:hrstd="t" o:hr="t" fillcolor="#a0a0a0" stroked="f"/>
        </w:pict>
      </w:r>
    </w:p>
    <w:p w:rsidR="00000000" w:rsidRDefault="00183441">
      <w:pPr>
        <w:divId w:val="2041123949"/>
        <w:rPr>
          <w:rFonts w:eastAsia="Times New Roman"/>
        </w:rPr>
      </w:pPr>
    </w:p>
    <w:p w:rsidR="00000000" w:rsidRDefault="00183441">
      <w:pPr>
        <w:divId w:val="665668973"/>
        <w:rPr>
          <w:rFonts w:eastAsia="Times New Roman"/>
        </w:rPr>
      </w:pPr>
      <w:hyperlink w:anchor="i51b2a36d66cb4139a869f9e4043fbbb7_7" w:history="1">
        <w:r>
          <w:rPr>
            <w:rStyle w:val="a3"/>
            <w:rFonts w:eastAsia="Times New Roman"/>
            <w:sz w:val="20"/>
            <w:szCs w:val="20"/>
          </w:rPr>
          <w:t>Table of contents</w:t>
        </w:r>
      </w:hyperlink>
    </w:p>
    <w:tbl>
      <w:tblPr>
        <w:tblW w:w="5000" w:type="pct"/>
        <w:tblCellMar>
          <w:top w:w="15" w:type="dxa"/>
          <w:left w:w="15" w:type="dxa"/>
          <w:bottom w:w="15" w:type="dxa"/>
          <w:right w:w="15" w:type="dxa"/>
        </w:tblCellMar>
        <w:tblLook w:val="04A0" w:firstRow="1" w:lastRow="0" w:firstColumn="1" w:lastColumn="0" w:noHBand="0" w:noVBand="1"/>
      </w:tblPr>
      <w:tblGrid>
        <w:gridCol w:w="40"/>
        <w:gridCol w:w="4565"/>
        <w:gridCol w:w="37"/>
        <w:gridCol w:w="121"/>
        <w:gridCol w:w="1635"/>
        <w:gridCol w:w="36"/>
        <w:gridCol w:w="36"/>
        <w:gridCol w:w="36"/>
        <w:gridCol w:w="36"/>
        <w:gridCol w:w="121"/>
        <w:gridCol w:w="1607"/>
        <w:gridCol w:w="36"/>
      </w:tblGrid>
      <w:tr w:rsidR="00000000">
        <w:trPr>
          <w:divId w:val="2144156423"/>
        </w:trPr>
        <w:tc>
          <w:tcPr>
            <w:tcW w:w="50" w:type="pct"/>
            <w:vAlign w:val="center"/>
            <w:hideMark/>
          </w:tcPr>
          <w:p w:rsidR="00000000" w:rsidRDefault="00183441">
            <w:pPr>
              <w:rPr>
                <w:rFonts w:eastAsia="Times New Roman"/>
              </w:rPr>
            </w:pPr>
          </w:p>
        </w:tc>
        <w:tc>
          <w:tcPr>
            <w:tcW w:w="277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2144156423"/>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1, 2022</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divId w:val="2144156423"/>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Other non-current liabilities:</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2144156423"/>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Fair value of derivative liabilities</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144156423"/>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Self-insurance liabilities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6,390 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6,170 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144156423"/>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2,555 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2,316 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144156423"/>
        </w:trPr>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8,945 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8,974 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divId w:val="59251400"/>
        <w:rPr>
          <w:rFonts w:eastAsia="Times New Roman"/>
        </w:rPr>
      </w:pPr>
    </w:p>
    <w:p w:rsidR="00000000" w:rsidRDefault="00183441">
      <w:pPr>
        <w:divId w:val="186142644"/>
        <w:rPr>
          <w:rFonts w:eastAsia="Times New Roman"/>
        </w:rPr>
      </w:pPr>
    </w:p>
    <w:p w:rsidR="00000000" w:rsidRDefault="00183441">
      <w:pPr>
        <w:jc w:val="both"/>
        <w:rPr>
          <w:rFonts w:eastAsia="Times New Roman"/>
        </w:rPr>
      </w:pPr>
      <w:r>
        <w:rPr>
          <w:rFonts w:eastAsia="Times New Roman"/>
          <w:b/>
          <w:bCs/>
          <w:color w:val="000000"/>
          <w:sz w:val="20"/>
          <w:szCs w:val="20"/>
        </w:rPr>
        <w:t>3. Fair Value Measurement</w:t>
      </w:r>
    </w:p>
    <w:p w:rsidR="00000000" w:rsidRDefault="00183441">
      <w:pPr>
        <w:jc w:val="both"/>
        <w:rPr>
          <w:rFonts w:eastAsia="Times New Roman"/>
        </w:rPr>
      </w:pPr>
    </w:p>
    <w:p w:rsidR="00000000" w:rsidRDefault="00183441">
      <w:pPr>
        <w:jc w:val="both"/>
        <w:divId w:val="1142961442"/>
        <w:rPr>
          <w:rFonts w:eastAsia="Times New Roman"/>
        </w:rPr>
      </w:pPr>
      <w:r>
        <w:rPr>
          <w:rFonts w:eastAsia="Times New Roman"/>
          <w:i/>
          <w:iCs/>
          <w:color w:val="000000"/>
          <w:sz w:val="20"/>
          <w:szCs w:val="20"/>
          <w:shd w:val="clear" w:color="auto" w:fill="FFFFFF"/>
        </w:rPr>
        <w:t>Recurring fair value measurements</w:t>
      </w:r>
    </w:p>
    <w:p w:rsidR="00000000" w:rsidRDefault="00183441">
      <w:pPr>
        <w:jc w:val="both"/>
        <w:divId w:val="2141141692"/>
        <w:rPr>
          <w:rFonts w:eastAsia="Times New Roman"/>
        </w:rPr>
      </w:pPr>
      <w:r>
        <w:rPr>
          <w:rFonts w:eastAsia="Times New Roman"/>
          <w:color w:val="000000"/>
          <w:sz w:val="20"/>
          <w:szCs w:val="20"/>
          <w:u w:val="single"/>
        </w:rPr>
        <w:t>Interest Rate Derivatives</w:t>
      </w:r>
    </w:p>
    <w:p w:rsidR="00000000" w:rsidRDefault="00183441">
      <w:pPr>
        <w:jc w:val="both"/>
        <w:divId w:val="1475292717"/>
        <w:rPr>
          <w:rFonts w:eastAsia="Times New Roman"/>
        </w:rPr>
      </w:pPr>
      <w:r>
        <w:rPr>
          <w:rFonts w:eastAsia="Times New Roman"/>
          <w:color w:val="000000"/>
          <w:sz w:val="20"/>
          <w:szCs w:val="20"/>
        </w:rPr>
        <w:t>We recognize as assets or liabilities at fair value the estimated amounts we would receive or pay upon a termination of interest rate derivatives prior to their scheduled expiration dates. The fai</w:t>
      </w:r>
      <w:r>
        <w:rPr>
          <w:rFonts w:eastAsia="Times New Roman"/>
          <w:color w:val="000000"/>
          <w:sz w:val="20"/>
          <w:szCs w:val="20"/>
        </w:rPr>
        <w:t>r value is based on information that is model-driven and whose inputs were observable (Level 2 inputs) such as LIBOR forward rates. See Note 5. “Interest Rate Derivatives” for further details.</w:t>
      </w:r>
    </w:p>
    <w:p w:rsidR="00000000" w:rsidRDefault="00183441">
      <w:pPr>
        <w:jc w:val="both"/>
        <w:divId w:val="36321052"/>
        <w:rPr>
          <w:rFonts w:eastAsia="Times New Roman"/>
        </w:rPr>
      </w:pPr>
      <w:r>
        <w:rPr>
          <w:rFonts w:eastAsia="Times New Roman"/>
          <w:i/>
          <w:iCs/>
          <w:color w:val="000000"/>
          <w:sz w:val="20"/>
          <w:szCs w:val="20"/>
        </w:rPr>
        <w:t>Non-recurring fair value measurements</w:t>
      </w:r>
    </w:p>
    <w:p w:rsidR="00000000" w:rsidRDefault="00183441">
      <w:pPr>
        <w:jc w:val="both"/>
        <w:divId w:val="1217550181"/>
        <w:rPr>
          <w:rFonts w:eastAsia="Times New Roman"/>
        </w:rPr>
      </w:pPr>
      <w:r>
        <w:rPr>
          <w:rFonts w:eastAsia="Times New Roman"/>
          <w:color w:val="000000"/>
          <w:sz w:val="20"/>
          <w:szCs w:val="20"/>
          <w:u w:val="single"/>
        </w:rPr>
        <w:t>Tangible Long-lived and R</w:t>
      </w:r>
      <w:r>
        <w:rPr>
          <w:rFonts w:eastAsia="Times New Roman"/>
          <w:color w:val="000000"/>
          <w:sz w:val="20"/>
          <w:szCs w:val="20"/>
          <w:u w:val="single"/>
        </w:rPr>
        <w:t>ight of Use (“ROU”) Store Assets</w:t>
      </w:r>
    </w:p>
    <w:p w:rsidR="00000000" w:rsidRDefault="00183441">
      <w:pPr>
        <w:jc w:val="both"/>
        <w:divId w:val="1669559079"/>
        <w:rPr>
          <w:rFonts w:eastAsia="Times New Roman"/>
        </w:rPr>
      </w:pPr>
      <w:r>
        <w:rPr>
          <w:rFonts w:eastAsia="Times New Roman"/>
          <w:color w:val="000000"/>
          <w:sz w:val="20"/>
          <w:szCs w:val="20"/>
        </w:rPr>
        <w:t>We recognized impairm</w:t>
      </w:r>
      <w:r>
        <w:rPr>
          <w:rFonts w:eastAsia="Times New Roman"/>
          <w:color w:val="000000"/>
          <w:sz w:val="20"/>
          <w:szCs w:val="20"/>
          <w:shd w:val="clear" w:color="auto" w:fill="FFFFFF"/>
        </w:rPr>
        <w:t>ents o</w:t>
      </w:r>
      <w:r>
        <w:rPr>
          <w:rFonts w:eastAsia="Times New Roman"/>
          <w:color w:val="000000"/>
          <w:sz w:val="20"/>
          <w:szCs w:val="20"/>
        </w:rPr>
        <w:t>f $1.3 million and $5.2 million d</w:t>
      </w:r>
      <w:r>
        <w:rPr>
          <w:rFonts w:eastAsia="Times New Roman"/>
          <w:color w:val="000000"/>
          <w:sz w:val="20"/>
          <w:szCs w:val="20"/>
          <w:shd w:val="clear" w:color="auto" w:fill="FFFFFF"/>
        </w:rPr>
        <w:t xml:space="preserve">uring the </w:t>
      </w:r>
      <w:r>
        <w:rPr>
          <w:rFonts w:eastAsia="Times New Roman"/>
          <w:color w:val="000000"/>
          <w:sz w:val="20"/>
          <w:szCs w:val="20"/>
        </w:rPr>
        <w:t>three</w:t>
      </w:r>
      <w:r>
        <w:rPr>
          <w:rFonts w:eastAsia="Times New Roman"/>
          <w:color w:val="000000"/>
          <w:sz w:val="20"/>
          <w:szCs w:val="20"/>
          <w:shd w:val="clear" w:color="auto" w:fill="FFFFFF"/>
        </w:rPr>
        <w:t xml:space="preserve"> and nine months ended October 1, 2022, respectively, and no impairment and </w:t>
      </w:r>
      <w:r>
        <w:rPr>
          <w:rFonts w:eastAsia="Times New Roman"/>
          <w:color w:val="000000"/>
          <w:sz w:val="20"/>
          <w:szCs w:val="20"/>
        </w:rPr>
        <w:t>$1.5 million</w:t>
      </w:r>
      <w:r>
        <w:rPr>
          <w:rFonts w:eastAsia="Times New Roman"/>
          <w:color w:val="000000"/>
          <w:sz w:val="20"/>
          <w:szCs w:val="20"/>
          <w:shd w:val="clear" w:color="auto" w:fill="FFFFFF"/>
        </w:rPr>
        <w:t xml:space="preserve"> </w:t>
      </w:r>
      <w:r>
        <w:rPr>
          <w:rFonts w:eastAsia="Times New Roman"/>
          <w:color w:val="000000"/>
          <w:sz w:val="20"/>
          <w:szCs w:val="20"/>
        </w:rPr>
        <w:t>d</w:t>
      </w:r>
      <w:r>
        <w:rPr>
          <w:rFonts w:eastAsia="Times New Roman"/>
          <w:color w:val="000000"/>
          <w:sz w:val="20"/>
          <w:szCs w:val="20"/>
          <w:shd w:val="clear" w:color="auto" w:fill="FFFFFF"/>
        </w:rPr>
        <w:t xml:space="preserve">uring the </w:t>
      </w:r>
      <w:r>
        <w:rPr>
          <w:rFonts w:eastAsia="Times New Roman"/>
          <w:color w:val="000000"/>
          <w:sz w:val="20"/>
          <w:szCs w:val="20"/>
        </w:rPr>
        <w:t>three</w:t>
      </w:r>
      <w:r>
        <w:rPr>
          <w:rFonts w:eastAsia="Times New Roman"/>
          <w:color w:val="000000"/>
          <w:sz w:val="20"/>
          <w:szCs w:val="20"/>
          <w:shd w:val="clear" w:color="auto" w:fill="FFFFFF"/>
        </w:rPr>
        <w:t xml:space="preserve"> and nine months ended </w:t>
      </w:r>
      <w:r>
        <w:rPr>
          <w:rFonts w:eastAsia="Times New Roman"/>
          <w:color w:val="000000"/>
          <w:sz w:val="20"/>
          <w:szCs w:val="20"/>
        </w:rPr>
        <w:t>October 2, 2021, respectively,</w:t>
      </w:r>
      <w:r>
        <w:rPr>
          <w:rFonts w:eastAsia="Times New Roman"/>
          <w:color w:val="000000"/>
          <w:sz w:val="20"/>
          <w:szCs w:val="20"/>
          <w:shd w:val="clear" w:color="auto" w:fill="FFFFFF"/>
        </w:rPr>
        <w:t xml:space="preserve"> related to our long-lived tangible store assets and RO</w:t>
      </w:r>
      <w:r>
        <w:rPr>
          <w:rFonts w:eastAsia="Times New Roman"/>
          <w:color w:val="000000"/>
          <w:sz w:val="20"/>
          <w:szCs w:val="20"/>
        </w:rPr>
        <w:t>U assets. The impairments were primarily driven by lower than projected customer sales volume in certain stores. The cash flows used in estimating fair value were discount</w:t>
      </w:r>
      <w:r>
        <w:rPr>
          <w:rFonts w:eastAsia="Times New Roman"/>
          <w:color w:val="000000"/>
          <w:sz w:val="20"/>
          <w:szCs w:val="20"/>
        </w:rPr>
        <w:t>ed using market rates from 7.5% to</w:t>
      </w:r>
      <w:r>
        <w:rPr>
          <w:rFonts w:eastAsia="Times New Roman"/>
          <w:color w:val="000000"/>
          <w:sz w:val="20"/>
          <w:szCs w:val="20"/>
          <w:shd w:val="clear" w:color="auto" w:fill="FFFFFF"/>
        </w:rPr>
        <w:t xml:space="preserve"> </w:t>
      </w:r>
      <w:r>
        <w:rPr>
          <w:rFonts w:eastAsia="Times New Roman"/>
          <w:color w:val="000000"/>
          <w:sz w:val="20"/>
          <w:szCs w:val="20"/>
        </w:rPr>
        <w:t>9.3%</w:t>
      </w:r>
      <w:r>
        <w:rPr>
          <w:rFonts w:eastAsia="Times New Roman"/>
          <w:color w:val="000000"/>
          <w:sz w:val="20"/>
          <w:szCs w:val="20"/>
          <w:shd w:val="clear" w:color="auto" w:fill="FFFFFF"/>
        </w:rPr>
        <w:t xml:space="preserve">. </w:t>
      </w:r>
      <w:r>
        <w:rPr>
          <w:rFonts w:eastAsia="Times New Roman"/>
          <w:color w:val="000000"/>
          <w:sz w:val="20"/>
          <w:szCs w:val="20"/>
        </w:rPr>
        <w:t>A decrease in the estimated cash flows would lead to a lower fair value measurement, as would an increase in the discount rate. These non-recurring fair value measurements are classified as Level 3 measurements in t</w:t>
      </w:r>
      <w:r>
        <w:rPr>
          <w:rFonts w:eastAsia="Times New Roman"/>
          <w:color w:val="000000"/>
          <w:sz w:val="20"/>
          <w:szCs w:val="20"/>
        </w:rPr>
        <w:t xml:space="preserve">he fair value hierarchy. The estimated remaining fair value of the assets impaired during </w:t>
      </w:r>
      <w:r>
        <w:rPr>
          <w:rFonts w:eastAsia="Times New Roman"/>
          <w:color w:val="000000"/>
          <w:sz w:val="20"/>
          <w:szCs w:val="20"/>
          <w:shd w:val="clear" w:color="auto" w:fill="FFFFFF"/>
        </w:rPr>
        <w:t>the</w:t>
      </w:r>
      <w:r>
        <w:rPr>
          <w:rFonts w:eastAsia="Times New Roman"/>
          <w:color w:val="000000"/>
          <w:sz w:val="20"/>
          <w:szCs w:val="20"/>
        </w:rPr>
        <w:t xml:space="preserve"> </w:t>
      </w:r>
      <w:r>
        <w:rPr>
          <w:rFonts w:eastAsia="Times New Roman"/>
          <w:color w:val="000000"/>
          <w:sz w:val="20"/>
          <w:szCs w:val="20"/>
          <w:shd w:val="clear" w:color="auto" w:fill="FFFFFF"/>
        </w:rPr>
        <w:t>nine</w:t>
      </w:r>
      <w:r>
        <w:rPr>
          <w:rFonts w:eastAsia="Times New Roman"/>
          <w:color w:val="000000"/>
          <w:sz w:val="20"/>
          <w:szCs w:val="20"/>
        </w:rPr>
        <w:t xml:space="preserve"> months ended October 1, 2022 and October 2, 2021 was $5.5 million and $2.9 million, respectively; the estimated remaining fair values include amounts estimat</w:t>
      </w:r>
      <w:r>
        <w:rPr>
          <w:rFonts w:eastAsia="Times New Roman"/>
          <w:color w:val="000000"/>
          <w:sz w:val="20"/>
          <w:szCs w:val="20"/>
        </w:rPr>
        <w:t>ed at various dates during the related fiscal years. Substantially all of the remaining fair value of the impaired store assets represents the fair value of ROU assets.</w:t>
      </w:r>
    </w:p>
    <w:p w:rsidR="00000000" w:rsidRDefault="00183441">
      <w:pPr>
        <w:jc w:val="both"/>
        <w:divId w:val="1337924339"/>
        <w:rPr>
          <w:rFonts w:eastAsia="Times New Roman"/>
        </w:rPr>
      </w:pPr>
      <w:r>
        <w:rPr>
          <w:rFonts w:eastAsia="Times New Roman"/>
          <w:i/>
          <w:iCs/>
          <w:color w:val="000000"/>
          <w:sz w:val="20"/>
          <w:szCs w:val="20"/>
        </w:rPr>
        <w:t>Additional fair value information</w:t>
      </w:r>
    </w:p>
    <w:p w:rsidR="00000000" w:rsidRDefault="00183441">
      <w:pPr>
        <w:jc w:val="both"/>
        <w:divId w:val="1828593948"/>
        <w:rPr>
          <w:rFonts w:eastAsia="Times New Roman"/>
        </w:rPr>
      </w:pPr>
      <w:r>
        <w:rPr>
          <w:rFonts w:eastAsia="Times New Roman"/>
          <w:color w:val="000000"/>
          <w:sz w:val="20"/>
          <w:szCs w:val="20"/>
          <w:u w:val="single"/>
        </w:rPr>
        <w:t>Long-term Debt - 2025 Notes</w:t>
      </w:r>
    </w:p>
    <w:p w:rsidR="00000000" w:rsidRDefault="00183441">
      <w:pPr>
        <w:jc w:val="both"/>
        <w:divId w:val="1001741890"/>
        <w:rPr>
          <w:rFonts w:eastAsia="Times New Roman"/>
        </w:rPr>
      </w:pPr>
      <w:r>
        <w:rPr>
          <w:rFonts w:eastAsia="Times New Roman"/>
          <w:color w:val="000000"/>
          <w:sz w:val="20"/>
          <w:szCs w:val="20"/>
        </w:rPr>
        <w:t>The Company ha</w:t>
      </w:r>
      <w:r>
        <w:rPr>
          <w:rFonts w:eastAsia="Times New Roman"/>
          <w:color w:val="000000"/>
          <w:sz w:val="20"/>
          <w:szCs w:val="20"/>
          <w:shd w:val="clear" w:color="auto" w:fill="FFFFFF"/>
        </w:rPr>
        <w:t xml:space="preserve">s </w:t>
      </w:r>
      <w:r>
        <w:rPr>
          <w:rFonts w:eastAsia="Times New Roman"/>
          <w:color w:val="000000"/>
          <w:sz w:val="20"/>
          <w:szCs w:val="20"/>
        </w:rPr>
        <w:t>$402.5 mi</w:t>
      </w:r>
      <w:r>
        <w:rPr>
          <w:rFonts w:eastAsia="Times New Roman"/>
          <w:color w:val="000000"/>
          <w:sz w:val="20"/>
          <w:szCs w:val="20"/>
        </w:rPr>
        <w:t>llion in aggregate principal amount of 2.50% convertible senior notes due on May 15, 2025 (the “2025 Notes”) issued and outstanding as of October 1, 2022. Refer to Note 4. “Long-term Debt” for more information on the 2025 Notes. The estimated fair value of</w:t>
      </w:r>
      <w:r>
        <w:rPr>
          <w:rFonts w:eastAsia="Times New Roman"/>
          <w:color w:val="000000"/>
          <w:sz w:val="20"/>
          <w:szCs w:val="20"/>
        </w:rPr>
        <w:t xml:space="preserve"> the 2025 Notes was approxima</w:t>
      </w:r>
      <w:r>
        <w:rPr>
          <w:rFonts w:eastAsia="Times New Roman"/>
          <w:color w:val="000000"/>
          <w:sz w:val="20"/>
          <w:szCs w:val="20"/>
          <w:shd w:val="clear" w:color="auto" w:fill="FFFFFF"/>
        </w:rPr>
        <w:t xml:space="preserve">tely </w:t>
      </w:r>
      <w:r>
        <w:rPr>
          <w:rFonts w:eastAsia="Times New Roman"/>
          <w:color w:val="000000"/>
          <w:sz w:val="20"/>
          <w:szCs w:val="20"/>
        </w:rPr>
        <w:t>$498.2 million</w:t>
      </w:r>
      <w:r>
        <w:rPr>
          <w:rFonts w:eastAsia="Times New Roman"/>
          <w:color w:val="000000"/>
          <w:sz w:val="20"/>
          <w:szCs w:val="20"/>
          <w:shd w:val="clear" w:color="auto" w:fill="FFFFFF"/>
        </w:rPr>
        <w:t xml:space="preserve"> a</w:t>
      </w:r>
      <w:r>
        <w:rPr>
          <w:rFonts w:eastAsia="Times New Roman"/>
          <w:color w:val="000000"/>
          <w:sz w:val="20"/>
          <w:szCs w:val="20"/>
        </w:rPr>
        <w:t>nd $674.9 million as of October 1, 2022 and January 1, 2022, respectively. The estimated fair value of the 2025 Notes is based on the prices the 2025 Notes have traded in the market, as well as overall mark</w:t>
      </w:r>
      <w:r>
        <w:rPr>
          <w:rFonts w:eastAsia="Times New Roman"/>
          <w:color w:val="000000"/>
          <w:sz w:val="20"/>
          <w:szCs w:val="20"/>
        </w:rPr>
        <w:t>et conditions on the date of valuation, stated coupon rates, the number of coupon payments each year and the maturity dates, and represents a Level 2 measurement in the fair value hierarchy. Refer to Note 4. “Long-term Debt” for more information on the 202</w:t>
      </w:r>
      <w:r>
        <w:rPr>
          <w:rFonts w:eastAsia="Times New Roman"/>
          <w:color w:val="000000"/>
          <w:sz w:val="20"/>
          <w:szCs w:val="20"/>
        </w:rPr>
        <w:t>5 Notes.</w:t>
      </w:r>
    </w:p>
    <w:p w:rsidR="00000000" w:rsidRDefault="00183441">
      <w:pPr>
        <w:jc w:val="both"/>
        <w:divId w:val="815226334"/>
        <w:rPr>
          <w:rFonts w:eastAsia="Times New Roman"/>
        </w:rPr>
      </w:pPr>
    </w:p>
    <w:p w:rsidR="00000000" w:rsidRDefault="00183441">
      <w:pPr>
        <w:jc w:val="center"/>
        <w:divId w:val="952400371"/>
        <w:rPr>
          <w:rFonts w:eastAsia="Times New Roman"/>
        </w:rPr>
      </w:pPr>
      <w:r>
        <w:rPr>
          <w:rFonts w:eastAsia="Times New Roman"/>
          <w:color w:val="000000"/>
          <w:sz w:val="20"/>
          <w:szCs w:val="20"/>
        </w:rPr>
        <w:t>14</w:t>
      </w:r>
    </w:p>
    <w:p w:rsidR="00000000" w:rsidRDefault="00183441">
      <w:pPr>
        <w:rPr>
          <w:rFonts w:eastAsia="Times New Roman"/>
        </w:rPr>
      </w:pPr>
      <w:r>
        <w:rPr>
          <w:rFonts w:eastAsia="Times New Roman"/>
        </w:rPr>
        <w:pict>
          <v:rect id="_x0000_i1038" style="width:0;height:1.5pt" o:hralign="center" o:hrstd="t" o:hr="t" fillcolor="#a0a0a0" stroked="f"/>
        </w:pict>
      </w:r>
    </w:p>
    <w:p w:rsidR="00000000" w:rsidRDefault="00183441">
      <w:pPr>
        <w:divId w:val="2049334340"/>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rPr>
          <w:rFonts w:eastAsia="Times New Roman"/>
        </w:rPr>
      </w:pPr>
      <w:r>
        <w:rPr>
          <w:rFonts w:eastAsia="Times New Roman"/>
          <w:b/>
          <w:bCs/>
          <w:color w:val="000000"/>
          <w:sz w:val="20"/>
          <w:szCs w:val="20"/>
        </w:rPr>
        <w:t>4. Long-term Debt</w:t>
      </w:r>
    </w:p>
    <w:p w:rsidR="00000000" w:rsidRDefault="00183441">
      <w:pPr>
        <w:jc w:val="both"/>
        <w:rPr>
          <w:rFonts w:eastAsia="Times New Roman"/>
        </w:rPr>
      </w:pPr>
    </w:p>
    <w:p w:rsidR="00000000" w:rsidRDefault="00183441">
      <w:pPr>
        <w:jc w:val="both"/>
        <w:rPr>
          <w:rFonts w:eastAsia="Times New Roman"/>
        </w:rPr>
      </w:pPr>
      <w:r>
        <w:rPr>
          <w:rFonts w:eastAsia="Times New Roman"/>
          <w:color w:val="000000"/>
          <w:sz w:val="20"/>
          <w:szCs w:val="20"/>
        </w:rPr>
        <w:t>Long-term debt consists of the following:</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911"/>
        <w:gridCol w:w="37"/>
        <w:gridCol w:w="120"/>
        <w:gridCol w:w="1463"/>
        <w:gridCol w:w="36"/>
        <w:gridCol w:w="36"/>
        <w:gridCol w:w="36"/>
        <w:gridCol w:w="36"/>
        <w:gridCol w:w="120"/>
        <w:gridCol w:w="1435"/>
        <w:gridCol w:w="36"/>
      </w:tblGrid>
      <w:tr w:rsidR="00000000">
        <w:trPr>
          <w:divId w:val="2032998589"/>
          <w:jc w:val="center"/>
        </w:trPr>
        <w:tc>
          <w:tcPr>
            <w:tcW w:w="50" w:type="pct"/>
            <w:vAlign w:val="center"/>
            <w:hideMark/>
          </w:tcPr>
          <w:p w:rsidR="00000000" w:rsidRDefault="00183441">
            <w:pPr>
              <w:jc w:val="both"/>
              <w:rPr>
                <w:rFonts w:eastAsia="Times New Roman"/>
              </w:rPr>
            </w:pPr>
          </w:p>
        </w:tc>
        <w:tc>
          <w:tcPr>
            <w:tcW w:w="298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90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90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2032998589"/>
          <w:jc w:val="center"/>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1, 2022</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r>
            <w:r>
              <w:rPr>
                <w:rFonts w:eastAsia="Times New Roman"/>
                <w:color w:val="000000"/>
                <w:sz w:val="20"/>
                <w:szCs w:val="20"/>
              </w:rPr>
              <w:t>January 1, 2022</w:t>
            </w:r>
          </w:p>
        </w:tc>
      </w:tr>
      <w:tr w:rsidR="00000000">
        <w:trPr>
          <w:divId w:val="2032998589"/>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2025 Notes, due May 15, 2025</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402,497 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402,500 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Term loan, due July 18, 2024</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150,000 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Revolving credit facility, due July 18, 2024</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Long-term debt before debt discount</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552,497 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552,500 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Unamortized discount and issuance costs - 2025 Notes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(6,314)</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(7,986)</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Unamortized discount and issuance costs - term loan</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(663)</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(948)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Long-term debt less debt discount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545,520 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543,566 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Less current maturities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Long-term debt - non-current portion</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545,520 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543,566 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Finance lease obligations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22,635 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26,514 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Less current maturities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(3,975)</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(3,999)</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032998589"/>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Long-term debt and finance lease obligations, less current portion and debt discount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564,180 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566,081 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both"/>
        <w:divId w:val="296843374"/>
        <w:rPr>
          <w:rFonts w:eastAsia="Times New Roman"/>
        </w:rPr>
      </w:pPr>
      <w:r>
        <w:rPr>
          <w:rFonts w:eastAsia="Times New Roman"/>
          <w:i/>
          <w:iCs/>
          <w:color w:val="000000"/>
          <w:sz w:val="20"/>
          <w:szCs w:val="20"/>
        </w:rPr>
        <w:t>Credit Agreement</w:t>
      </w:r>
    </w:p>
    <w:p w:rsidR="00000000" w:rsidRDefault="00183441">
      <w:pPr>
        <w:jc w:val="both"/>
        <w:divId w:val="753815869"/>
        <w:rPr>
          <w:rFonts w:eastAsia="Times New Roman"/>
        </w:rPr>
      </w:pPr>
      <w:r>
        <w:rPr>
          <w:rFonts w:eastAsia="Times New Roman"/>
          <w:color w:val="000000"/>
          <w:sz w:val="20"/>
          <w:szCs w:val="20"/>
        </w:rPr>
        <w:t>We were in compliance with all covenants related to our long-term debt as of October 1, 2022.</w:t>
      </w:r>
    </w:p>
    <w:p w:rsidR="00000000" w:rsidRDefault="00183441">
      <w:pPr>
        <w:jc w:val="both"/>
        <w:divId w:val="813185293"/>
        <w:rPr>
          <w:rFonts w:eastAsia="Times New Roman"/>
        </w:rPr>
      </w:pPr>
      <w:r>
        <w:rPr>
          <w:rFonts w:eastAsia="Times New Roman"/>
          <w:i/>
          <w:iCs/>
          <w:color w:val="000000"/>
          <w:sz w:val="20"/>
          <w:szCs w:val="20"/>
        </w:rPr>
        <w:t>2025 Notes</w:t>
      </w:r>
    </w:p>
    <w:p w:rsidR="00000000" w:rsidRDefault="00183441">
      <w:pPr>
        <w:jc w:val="both"/>
        <w:divId w:val="1368066755"/>
        <w:rPr>
          <w:rFonts w:eastAsia="Times New Roman"/>
        </w:rPr>
      </w:pPr>
      <w:r>
        <w:rPr>
          <w:rFonts w:eastAsia="Times New Roman"/>
          <w:color w:val="000000"/>
          <w:sz w:val="20"/>
          <w:szCs w:val="20"/>
        </w:rPr>
        <w:t>We recognized the following in interest expense (income), net related to the 2025 Notes:</w:t>
      </w:r>
    </w:p>
    <w:tbl>
      <w:tblPr>
        <w:tblW w:w="5000" w:type="pct"/>
        <w:tblCellMar>
          <w:top w:w="15" w:type="dxa"/>
          <w:left w:w="15" w:type="dxa"/>
          <w:bottom w:w="15" w:type="dxa"/>
          <w:right w:w="15" w:type="dxa"/>
        </w:tblCellMar>
        <w:tblLook w:val="04A0" w:firstRow="1" w:lastRow="0" w:firstColumn="1" w:lastColumn="0" w:noHBand="0" w:noVBand="1"/>
      </w:tblPr>
      <w:tblGrid>
        <w:gridCol w:w="39"/>
        <w:gridCol w:w="3696"/>
        <w:gridCol w:w="38"/>
        <w:gridCol w:w="121"/>
        <w:gridCol w:w="922"/>
        <w:gridCol w:w="37"/>
        <w:gridCol w:w="36"/>
        <w:gridCol w:w="36"/>
        <w:gridCol w:w="36"/>
        <w:gridCol w:w="121"/>
        <w:gridCol w:w="885"/>
        <w:gridCol w:w="37"/>
        <w:gridCol w:w="36"/>
        <w:gridCol w:w="36"/>
        <w:gridCol w:w="36"/>
        <w:gridCol w:w="121"/>
        <w:gridCol w:w="885"/>
        <w:gridCol w:w="37"/>
        <w:gridCol w:w="36"/>
        <w:gridCol w:w="36"/>
        <w:gridCol w:w="36"/>
        <w:gridCol w:w="121"/>
        <w:gridCol w:w="885"/>
        <w:gridCol w:w="37"/>
      </w:tblGrid>
      <w:tr w:rsidR="00000000">
        <w:trPr>
          <w:divId w:val="841093232"/>
        </w:trPr>
        <w:tc>
          <w:tcPr>
            <w:tcW w:w="50" w:type="pct"/>
            <w:vAlign w:val="center"/>
            <w:hideMark/>
          </w:tcPr>
          <w:p w:rsidR="00000000" w:rsidRDefault="00183441">
            <w:pPr>
              <w:jc w:val="both"/>
              <w:rPr>
                <w:rFonts w:eastAsia="Times New Roman"/>
              </w:rPr>
            </w:pPr>
          </w:p>
        </w:tc>
        <w:tc>
          <w:tcPr>
            <w:tcW w:w="226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8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8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8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8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841093232"/>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841093232"/>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84109323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Contractual interest expense </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2,516 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7,547 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4109323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Amortization of issuance costs</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599 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581 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1,679 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1,627 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both"/>
        <w:divId w:val="758019404"/>
        <w:rPr>
          <w:rFonts w:eastAsia="Times New Roman"/>
        </w:rPr>
      </w:pPr>
      <w:r>
        <w:rPr>
          <w:rFonts w:eastAsia="Times New Roman"/>
          <w:color w:val="000000"/>
          <w:sz w:val="20"/>
          <w:szCs w:val="20"/>
        </w:rPr>
        <w:t xml:space="preserve">As </w:t>
      </w:r>
      <w:r>
        <w:rPr>
          <w:rFonts w:eastAsia="Times New Roman"/>
          <w:color w:val="000000"/>
          <w:sz w:val="20"/>
          <w:szCs w:val="20"/>
        </w:rPr>
        <w:t>of October 1, 2022, the remaining period for the unamortized debt issuance costs balance was approximately three years. An immaterial amount of the principal balance of the 2025 Notes was converted during the nine months ended October 1, 2022.</w:t>
      </w:r>
    </w:p>
    <w:p w:rsidR="00000000" w:rsidRDefault="00183441">
      <w:pPr>
        <w:jc w:val="both"/>
        <w:divId w:val="573584987"/>
        <w:rPr>
          <w:rFonts w:eastAsia="Times New Roman"/>
        </w:rPr>
      </w:pPr>
      <w:r>
        <w:rPr>
          <w:rFonts w:eastAsia="Times New Roman"/>
          <w:color w:val="000000"/>
          <w:sz w:val="20"/>
          <w:szCs w:val="20"/>
        </w:rPr>
        <w:t>As of Octobe</w:t>
      </w:r>
      <w:r>
        <w:rPr>
          <w:rFonts w:eastAsia="Times New Roman"/>
          <w:color w:val="000000"/>
          <w:sz w:val="20"/>
          <w:szCs w:val="20"/>
        </w:rPr>
        <w:t>r 1, 2022, the stock price conditions under which the 2025 Notes can be converted at the holders’ option were not met.</w:t>
      </w:r>
    </w:p>
    <w:p w:rsidR="00000000" w:rsidRDefault="00183441">
      <w:pPr>
        <w:jc w:val="both"/>
        <w:rPr>
          <w:rFonts w:eastAsia="Times New Roman"/>
        </w:rPr>
      </w:pPr>
    </w:p>
    <w:p w:rsidR="00000000" w:rsidRDefault="00183441">
      <w:pPr>
        <w:jc w:val="both"/>
        <w:divId w:val="1674844943"/>
        <w:rPr>
          <w:rFonts w:eastAsia="Times New Roman"/>
        </w:rPr>
      </w:pPr>
      <w:r>
        <w:rPr>
          <w:rFonts w:eastAsia="Times New Roman"/>
          <w:b/>
          <w:bCs/>
          <w:color w:val="000000"/>
          <w:sz w:val="20"/>
          <w:szCs w:val="20"/>
        </w:rPr>
        <w:t>5. Interest Rate Derivatives</w:t>
      </w:r>
    </w:p>
    <w:p w:rsidR="00000000" w:rsidRDefault="00183441">
      <w:pPr>
        <w:jc w:val="both"/>
        <w:divId w:val="768355412"/>
        <w:rPr>
          <w:rFonts w:eastAsia="Times New Roman"/>
        </w:rPr>
      </w:pPr>
      <w:r>
        <w:rPr>
          <w:rFonts w:eastAsia="Times New Roman"/>
          <w:color w:val="000000"/>
          <w:sz w:val="20"/>
          <w:szCs w:val="20"/>
        </w:rPr>
        <w:t>We are party to an interest rate collar to offset the variability of cash flows in LIBOR-indexed debt inte</w:t>
      </w:r>
      <w:r>
        <w:rPr>
          <w:rFonts w:eastAsia="Times New Roman"/>
          <w:color w:val="000000"/>
          <w:sz w:val="20"/>
          <w:szCs w:val="20"/>
        </w:rPr>
        <w:t>rest payments. To manage credit risk associated with our interest rate hedging program, we select as counterparties major financial institutions with investment grade credit ratings. The aggregate notional amount of the interest rate collar, which is not d</w:t>
      </w:r>
      <w:r>
        <w:rPr>
          <w:rFonts w:eastAsia="Times New Roman"/>
          <w:color w:val="000000"/>
          <w:sz w:val="20"/>
          <w:szCs w:val="20"/>
        </w:rPr>
        <w:t>esignated as a cash flow hedge, was $350.0 million as of October 1, 2022. The fair value of our interest rate collar instrument was an asset of $14.2 million ($8.2 million in Prepaid expenses and other current assets and $6.0 million in Other assets) as of</w:t>
      </w:r>
      <w:r>
        <w:rPr>
          <w:rFonts w:eastAsia="Times New Roman"/>
          <w:color w:val="000000"/>
          <w:sz w:val="20"/>
          <w:szCs w:val="20"/>
        </w:rPr>
        <w:t xml:space="preserve"> October 1, 2022, and a liability of $3.3 million ($2.8 million in Other payables and accrued expenses and $0.5 million in Other non-current liabilities) as of January 1, 2022. See Note 3. “Fair Value Measurement” for further details.</w:t>
      </w:r>
    </w:p>
    <w:p w:rsidR="00000000" w:rsidRDefault="00183441">
      <w:pPr>
        <w:jc w:val="both"/>
        <w:divId w:val="877620511"/>
        <w:rPr>
          <w:rFonts w:eastAsia="Times New Roman"/>
        </w:rPr>
      </w:pPr>
      <w:r>
        <w:rPr>
          <w:rFonts w:eastAsia="Times New Roman"/>
          <w:color w:val="000000"/>
          <w:sz w:val="20"/>
          <w:szCs w:val="20"/>
        </w:rPr>
        <w:t>We recognized (gains)</w:t>
      </w:r>
      <w:r>
        <w:rPr>
          <w:rFonts w:eastAsia="Times New Roman"/>
          <w:color w:val="000000"/>
          <w:sz w:val="20"/>
          <w:szCs w:val="20"/>
        </w:rPr>
        <w:t xml:space="preserve"> losses on the change in fair value of the interest rate collar of $(6.7) million and $(16.5) million during the three and nine months ended October 1, 2022, respectively, and $0.2 million and $(1.3) million during the three and nine months ended October 2</w:t>
      </w:r>
      <w:r>
        <w:rPr>
          <w:rFonts w:eastAsia="Times New Roman"/>
          <w:color w:val="000000"/>
          <w:sz w:val="20"/>
          <w:szCs w:val="20"/>
        </w:rPr>
        <w:t>, 2021, respectively, in interest expense (income), net. We recognized $1.5 million in interest expense (income), net during the nine months ended October 2, 2021 related to our interest rate swaps that were considered to be highly effective hedges and tha</w:t>
      </w:r>
      <w:r>
        <w:rPr>
          <w:rFonts w:eastAsia="Times New Roman"/>
          <w:color w:val="000000"/>
          <w:sz w:val="20"/>
          <w:szCs w:val="20"/>
        </w:rPr>
        <w:t>t matured during the nine months ended October 2, 2021.</w:t>
      </w:r>
    </w:p>
    <w:p w:rsidR="00000000" w:rsidRDefault="00183441">
      <w:pPr>
        <w:jc w:val="center"/>
        <w:divId w:val="1574586850"/>
        <w:rPr>
          <w:rFonts w:eastAsia="Times New Roman"/>
        </w:rPr>
      </w:pPr>
      <w:r>
        <w:rPr>
          <w:rFonts w:eastAsia="Times New Roman"/>
          <w:color w:val="000000"/>
          <w:sz w:val="20"/>
          <w:szCs w:val="20"/>
        </w:rPr>
        <w:t>15</w:t>
      </w:r>
    </w:p>
    <w:p w:rsidR="00000000" w:rsidRDefault="00183441">
      <w:pPr>
        <w:rPr>
          <w:rFonts w:eastAsia="Times New Roman"/>
        </w:rPr>
      </w:pPr>
      <w:r>
        <w:rPr>
          <w:rFonts w:eastAsia="Times New Roman"/>
        </w:rPr>
        <w:pict>
          <v:rect id="_x0000_i1039" style="width:0;height:1.5pt" o:hralign="center" o:hrstd="t" o:hr="t" fillcolor="#a0a0a0" stroked="f"/>
        </w:pict>
      </w:r>
    </w:p>
    <w:p w:rsidR="00000000" w:rsidRDefault="00183441">
      <w:pPr>
        <w:divId w:val="1766346379"/>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1007827637"/>
        <w:rPr>
          <w:rFonts w:eastAsia="Times New Roman"/>
        </w:rPr>
      </w:pPr>
      <w:r>
        <w:rPr>
          <w:rFonts w:eastAsia="Times New Roman"/>
          <w:color w:val="000000"/>
          <w:sz w:val="20"/>
          <w:szCs w:val="20"/>
        </w:rPr>
        <w:t>Cash flows related to derivatives qualifying as hedges are included in the same section of the Condensed Consolidated Statements of Cash Flows a</w:t>
      </w:r>
      <w:r>
        <w:rPr>
          <w:rFonts w:eastAsia="Times New Roman"/>
          <w:color w:val="000000"/>
          <w:sz w:val="20"/>
          <w:szCs w:val="20"/>
        </w:rPr>
        <w:t>s the underlying assets and liabilities being hedged. Cash flows during the nine months ended October 1, 2022 and October 2, 2021 related to derivatives not qualifying as hedges were included in the operating section of the Condensed Consolidated Statement</w:t>
      </w:r>
      <w:r>
        <w:rPr>
          <w:rFonts w:eastAsia="Times New Roman"/>
          <w:color w:val="000000"/>
          <w:sz w:val="20"/>
          <w:szCs w:val="20"/>
        </w:rPr>
        <w:t xml:space="preserve">s of Cash Flows and were immaterial. </w:t>
      </w:r>
    </w:p>
    <w:p w:rsidR="00000000" w:rsidRDefault="00183441">
      <w:pPr>
        <w:jc w:val="both"/>
        <w:divId w:val="1521158650"/>
        <w:rPr>
          <w:rFonts w:eastAsia="Times New Roman"/>
        </w:rPr>
      </w:pPr>
      <w:r>
        <w:rPr>
          <w:rFonts w:eastAsia="Times New Roman"/>
          <w:color w:val="000000"/>
          <w:sz w:val="20"/>
          <w:szCs w:val="20"/>
        </w:rPr>
        <w:t>As of October 1, 2022 we expect to reclassify approximately $0.8 million of unrealized losses on derivative instruments, net of tax, from Accumulated other comprehensive loss (“AOCL”) into earnings in the next 12 month</w:t>
      </w:r>
      <w:r>
        <w:rPr>
          <w:rFonts w:eastAsia="Times New Roman"/>
          <w:color w:val="000000"/>
          <w:sz w:val="20"/>
          <w:szCs w:val="20"/>
        </w:rPr>
        <w:t>s as the derivative instruments mature. See Note 12. “Accumulated Other Comprehensive Loss” for more information about AOCL.</w:t>
      </w:r>
    </w:p>
    <w:p w:rsidR="00000000" w:rsidRDefault="00183441">
      <w:pPr>
        <w:jc w:val="both"/>
        <w:divId w:val="900484450"/>
        <w:rPr>
          <w:rFonts w:eastAsia="Times New Roman"/>
        </w:rPr>
      </w:pPr>
    </w:p>
    <w:p w:rsidR="00000000" w:rsidRDefault="00183441">
      <w:pPr>
        <w:divId w:val="1163474415"/>
        <w:rPr>
          <w:rFonts w:eastAsia="Times New Roman"/>
        </w:rPr>
      </w:pPr>
      <w:r>
        <w:rPr>
          <w:rFonts w:eastAsia="Times New Roman"/>
          <w:b/>
          <w:bCs/>
          <w:color w:val="000000"/>
          <w:sz w:val="20"/>
          <w:szCs w:val="20"/>
        </w:rPr>
        <w:t>6. Stock Incentive Plans</w:t>
      </w:r>
    </w:p>
    <w:p w:rsidR="00000000" w:rsidRDefault="00183441">
      <w:pPr>
        <w:jc w:val="both"/>
        <w:divId w:val="808590470"/>
        <w:rPr>
          <w:rFonts w:eastAsia="Times New Roman"/>
        </w:rPr>
      </w:pPr>
      <w:r>
        <w:rPr>
          <w:rFonts w:eastAsia="Times New Roman"/>
          <w:color w:val="000000"/>
          <w:sz w:val="20"/>
          <w:szCs w:val="20"/>
        </w:rPr>
        <w:t>During the nine months ended October 1, 2022, the Company granted 163,062 performance-based restricted s</w:t>
      </w:r>
      <w:r>
        <w:rPr>
          <w:rFonts w:eastAsia="Times New Roman"/>
          <w:color w:val="000000"/>
          <w:sz w:val="20"/>
          <w:szCs w:val="20"/>
        </w:rPr>
        <w:t>tock units (“PSUs”) and 317,203 time-based restricted stock units (“RSUs”) to eligible employees and non-employee directors under the National Vision Holdings, Inc. 2017 Omnibus Incentive Plan (the “2017 Omnibus Incentive Plan”). The PSUs granted in fiscal</w:t>
      </w:r>
      <w:r>
        <w:rPr>
          <w:rFonts w:eastAsia="Times New Roman"/>
          <w:color w:val="000000"/>
          <w:sz w:val="20"/>
          <w:szCs w:val="20"/>
        </w:rPr>
        <w:t xml:space="preserve"> 2022 are settled after the end of the performance period (i.e., cliff vesting), which begins on the first day of our 2022 fiscal year and ends on the last day of our 2024 fiscal year, and are based on the Company’s achievement of certain performance targe</w:t>
      </w:r>
      <w:r>
        <w:rPr>
          <w:rFonts w:eastAsia="Times New Roman"/>
          <w:color w:val="000000"/>
          <w:sz w:val="20"/>
          <w:szCs w:val="20"/>
        </w:rPr>
        <w:t>ts. The RSUs granted in fiscal 2022 vest primarily in three equal installments.</w:t>
      </w:r>
    </w:p>
    <w:p w:rsidR="00000000" w:rsidRDefault="00183441">
      <w:pPr>
        <w:jc w:val="both"/>
        <w:divId w:val="1071196699"/>
        <w:rPr>
          <w:rFonts w:eastAsia="Times New Roman"/>
        </w:rPr>
      </w:pPr>
    </w:p>
    <w:p w:rsidR="00000000" w:rsidRDefault="00183441">
      <w:pPr>
        <w:jc w:val="both"/>
        <w:divId w:val="1358777668"/>
        <w:rPr>
          <w:rFonts w:eastAsia="Times New Roman"/>
        </w:rPr>
      </w:pPr>
      <w:r>
        <w:rPr>
          <w:rFonts w:eastAsia="Times New Roman"/>
          <w:b/>
          <w:bCs/>
          <w:color w:val="000000"/>
          <w:sz w:val="20"/>
          <w:szCs w:val="20"/>
        </w:rPr>
        <w:t>7. Revenue From Contracts With Customers</w:t>
      </w:r>
    </w:p>
    <w:p w:rsidR="00000000" w:rsidRDefault="00183441">
      <w:pPr>
        <w:jc w:val="both"/>
        <w:divId w:val="1000350204"/>
        <w:rPr>
          <w:rFonts w:eastAsia="Times New Roman"/>
        </w:rPr>
      </w:pPr>
      <w:r>
        <w:rPr>
          <w:rFonts w:eastAsia="Times New Roman"/>
          <w:color w:val="000000"/>
          <w:sz w:val="20"/>
          <w:szCs w:val="20"/>
        </w:rPr>
        <w:t>The majority of our revenues are recognized either at the point of sale or upon delivery and customer acceptance, paid for at the tim</w:t>
      </w:r>
      <w:r>
        <w:rPr>
          <w:rFonts w:eastAsia="Times New Roman"/>
          <w:color w:val="000000"/>
          <w:sz w:val="20"/>
          <w:szCs w:val="20"/>
        </w:rPr>
        <w:t>e of sale in cash, credit card, or on account with managed care payors having terms generally between 14 and 120 days, with most paying within 90 days. For sales of in-store non-prescription eyewear and related accessories, and paid eye exams, we recognize</w:t>
      </w:r>
      <w:r>
        <w:rPr>
          <w:rFonts w:eastAsia="Times New Roman"/>
          <w:color w:val="000000"/>
          <w:sz w:val="20"/>
          <w:szCs w:val="20"/>
        </w:rPr>
        <w:t xml:space="preserve"> revenue at the point of sale. Our point in time revenues include 1) retail sales of prescription and non-prescription eyewear, contact lenses and related accessories to retail customers (including those covered by managed care), 2) eye exams and 3) wholes</w:t>
      </w:r>
      <w:r>
        <w:rPr>
          <w:rFonts w:eastAsia="Times New Roman"/>
          <w:color w:val="000000"/>
          <w:sz w:val="20"/>
          <w:szCs w:val="20"/>
        </w:rPr>
        <w:t>ale sales of inventory in which our customer is another retail entity. Revenues recognized over time primarily include product protection plans (i.e. warranties), eye care club memberships and management fees earned from our Legacy partner.</w:t>
      </w:r>
    </w:p>
    <w:p w:rsidR="00000000" w:rsidRDefault="00183441">
      <w:pPr>
        <w:jc w:val="both"/>
        <w:divId w:val="1406606428"/>
        <w:rPr>
          <w:rFonts w:eastAsia="Times New Roman"/>
        </w:rPr>
      </w:pPr>
      <w:r>
        <w:rPr>
          <w:rFonts w:eastAsia="Times New Roman"/>
          <w:color w:val="000000"/>
          <w:sz w:val="20"/>
          <w:szCs w:val="20"/>
        </w:rPr>
        <w:t>The following d</w:t>
      </w:r>
      <w:r>
        <w:rPr>
          <w:rFonts w:eastAsia="Times New Roman"/>
          <w:color w:val="000000"/>
          <w:sz w:val="20"/>
          <w:szCs w:val="20"/>
        </w:rPr>
        <w:t>isaggregation of revenues depicts our revenue based on the timing of revenue recognition:</w:t>
      </w:r>
    </w:p>
    <w:tbl>
      <w:tblPr>
        <w:tblW w:w="5000" w:type="pct"/>
        <w:tblCellMar>
          <w:top w:w="15" w:type="dxa"/>
          <w:left w:w="15" w:type="dxa"/>
          <w:bottom w:w="15" w:type="dxa"/>
          <w:right w:w="15" w:type="dxa"/>
        </w:tblCellMar>
        <w:tblLook w:val="04A0" w:firstRow="1" w:lastRow="0" w:firstColumn="1" w:lastColumn="0" w:noHBand="0" w:noVBand="1"/>
      </w:tblPr>
      <w:tblGrid>
        <w:gridCol w:w="38"/>
        <w:gridCol w:w="3299"/>
        <w:gridCol w:w="37"/>
        <w:gridCol w:w="120"/>
        <w:gridCol w:w="1070"/>
        <w:gridCol w:w="36"/>
        <w:gridCol w:w="36"/>
        <w:gridCol w:w="36"/>
        <w:gridCol w:w="36"/>
        <w:gridCol w:w="120"/>
        <w:gridCol w:w="927"/>
        <w:gridCol w:w="36"/>
        <w:gridCol w:w="36"/>
        <w:gridCol w:w="36"/>
        <w:gridCol w:w="36"/>
        <w:gridCol w:w="120"/>
        <w:gridCol w:w="927"/>
        <w:gridCol w:w="36"/>
        <w:gridCol w:w="36"/>
        <w:gridCol w:w="36"/>
        <w:gridCol w:w="36"/>
        <w:gridCol w:w="120"/>
        <w:gridCol w:w="1060"/>
        <w:gridCol w:w="36"/>
      </w:tblGrid>
      <w:tr w:rsidR="00000000">
        <w:trPr>
          <w:divId w:val="1243638389"/>
        </w:trPr>
        <w:tc>
          <w:tcPr>
            <w:tcW w:w="50" w:type="pct"/>
            <w:vAlign w:val="center"/>
            <w:hideMark/>
          </w:tcPr>
          <w:p w:rsidR="00000000" w:rsidRDefault="00183441">
            <w:pPr>
              <w:jc w:val="both"/>
              <w:rPr>
                <w:rFonts w:eastAsia="Times New Roman"/>
              </w:rPr>
            </w:pPr>
          </w:p>
        </w:tc>
        <w:tc>
          <w:tcPr>
            <w:tcW w:w="202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7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9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243638389"/>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1243638389"/>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124363838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Revenues recognized at a point in time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459,196 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473,449 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1,412,526 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1,471,856 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243638389"/>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Revenues recognized over time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40,011 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44,556 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123,947 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129,818 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243638389"/>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Total net revenue </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499,207 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518,005 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1,536,473 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1,601,674 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both"/>
        <w:divId w:val="910694751"/>
        <w:rPr>
          <w:rFonts w:eastAsia="Times New Roman"/>
        </w:rPr>
      </w:pPr>
      <w:r>
        <w:rPr>
          <w:rFonts w:eastAsia="Times New Roman"/>
          <w:color w:val="000000"/>
          <w:sz w:val="20"/>
          <w:szCs w:val="20"/>
        </w:rPr>
        <w:t>Refer to Note 10. “Segment Reporting” f</w:t>
      </w:r>
      <w:r>
        <w:rPr>
          <w:rFonts w:eastAsia="Times New Roman"/>
          <w:color w:val="000000"/>
          <w:sz w:val="20"/>
          <w:szCs w:val="20"/>
        </w:rPr>
        <w:t>or the Company’s disaggregation of net revenue by reportable segment. As the reportable segments are aligned by similar economic factors, trends and customers, the reportable segment disaggregation view best depicts how the nature, amount and uncertainty o</w:t>
      </w:r>
      <w:r>
        <w:rPr>
          <w:rFonts w:eastAsia="Times New Roman"/>
          <w:color w:val="000000"/>
          <w:sz w:val="20"/>
          <w:szCs w:val="20"/>
        </w:rPr>
        <w:t>f revenue and cash flows are affected by economic factors.</w:t>
      </w:r>
    </w:p>
    <w:p w:rsidR="00000000" w:rsidRDefault="00183441">
      <w:pPr>
        <w:jc w:val="both"/>
        <w:divId w:val="1920282892"/>
        <w:rPr>
          <w:rFonts w:eastAsia="Times New Roman"/>
        </w:rPr>
      </w:pPr>
      <w:r>
        <w:rPr>
          <w:rFonts w:eastAsia="Times New Roman"/>
          <w:color w:val="000000"/>
          <w:sz w:val="20"/>
          <w:szCs w:val="20"/>
        </w:rPr>
        <w:t>We record reductions in revenue for estimated price concessions granted to managed care providers. The Company considers its revenue from managed care customers to include variable consideration an</w:t>
      </w:r>
      <w:r>
        <w:rPr>
          <w:rFonts w:eastAsia="Times New Roman"/>
          <w:color w:val="000000"/>
          <w:sz w:val="20"/>
          <w:szCs w:val="20"/>
        </w:rPr>
        <w:t>d estimates such amounts associated with managed care customer revenues using the history of concessions provided and cash receipts from managed care providers; we reduced our net revenue for variable consideration of $4.3 million and $2.4 million during t</w:t>
      </w:r>
      <w:r>
        <w:rPr>
          <w:rFonts w:eastAsia="Times New Roman"/>
          <w:color w:val="000000"/>
          <w:sz w:val="20"/>
          <w:szCs w:val="20"/>
        </w:rPr>
        <w:t>he three months ended October 1, 2022 and October 2, 2021, respectively, and $10.0 million and $7.0 million during the nine months ended October 1, 2022 and October 2, 2021, respectively.</w:t>
      </w:r>
    </w:p>
    <w:p w:rsidR="00000000" w:rsidRDefault="00183441">
      <w:pPr>
        <w:jc w:val="both"/>
        <w:divId w:val="550503038"/>
        <w:rPr>
          <w:rFonts w:eastAsia="Times New Roman"/>
        </w:rPr>
      </w:pPr>
      <w:r>
        <w:rPr>
          <w:rFonts w:eastAsia="Times New Roman"/>
          <w:i/>
          <w:iCs/>
          <w:color w:val="000000"/>
          <w:sz w:val="20"/>
          <w:szCs w:val="20"/>
        </w:rPr>
        <w:t>Contract Assets and Liabilities</w:t>
      </w:r>
    </w:p>
    <w:p w:rsidR="00000000" w:rsidRDefault="00183441">
      <w:pPr>
        <w:jc w:val="both"/>
        <w:divId w:val="390231554"/>
        <w:rPr>
          <w:rFonts w:eastAsia="Times New Roman"/>
        </w:rPr>
      </w:pPr>
      <w:r>
        <w:rPr>
          <w:rFonts w:eastAsia="Times New Roman"/>
          <w:color w:val="000000"/>
          <w:sz w:val="20"/>
          <w:szCs w:val="20"/>
        </w:rPr>
        <w:t>The Company’s contract assets and co</w:t>
      </w:r>
      <w:r>
        <w:rPr>
          <w:rFonts w:eastAsia="Times New Roman"/>
          <w:color w:val="000000"/>
          <w:sz w:val="20"/>
          <w:szCs w:val="20"/>
        </w:rPr>
        <w:t>ntract liabilities primarily result from timing differences between the performance of our obligations and the customer’s payment.</w:t>
      </w:r>
    </w:p>
    <w:p w:rsidR="00000000" w:rsidRDefault="00183441">
      <w:pPr>
        <w:jc w:val="center"/>
        <w:divId w:val="1410083324"/>
        <w:rPr>
          <w:rFonts w:eastAsia="Times New Roman"/>
        </w:rPr>
      </w:pPr>
      <w:r>
        <w:rPr>
          <w:rFonts w:eastAsia="Times New Roman"/>
          <w:color w:val="000000"/>
          <w:sz w:val="20"/>
          <w:szCs w:val="20"/>
        </w:rPr>
        <w:t>16</w:t>
      </w:r>
    </w:p>
    <w:p w:rsidR="00000000" w:rsidRDefault="00183441">
      <w:pPr>
        <w:rPr>
          <w:rFonts w:eastAsia="Times New Roman"/>
        </w:rPr>
      </w:pPr>
      <w:r>
        <w:rPr>
          <w:rFonts w:eastAsia="Times New Roman"/>
        </w:rPr>
        <w:pict>
          <v:rect id="_x0000_i1040" style="width:0;height:1.5pt" o:hralign="center" o:hrstd="t" o:hr="t" fillcolor="#a0a0a0" stroked="f"/>
        </w:pict>
      </w:r>
    </w:p>
    <w:p w:rsidR="00000000" w:rsidRDefault="00183441">
      <w:pPr>
        <w:divId w:val="579875134"/>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center"/>
        <w:divId w:val="550385086"/>
        <w:rPr>
          <w:rFonts w:eastAsia="Times New Roman"/>
        </w:rPr>
      </w:pPr>
    </w:p>
    <w:p w:rsidR="00000000" w:rsidRDefault="00183441">
      <w:pPr>
        <w:jc w:val="both"/>
        <w:divId w:val="1129516024"/>
        <w:rPr>
          <w:rFonts w:eastAsia="Times New Roman"/>
        </w:rPr>
      </w:pPr>
      <w:r>
        <w:rPr>
          <w:rFonts w:eastAsia="Times New Roman"/>
          <w:color w:val="000000"/>
          <w:sz w:val="20"/>
          <w:szCs w:val="20"/>
          <w:u w:val="single"/>
        </w:rPr>
        <w:t>Accounts Receivable</w:t>
      </w:r>
    </w:p>
    <w:p w:rsidR="00000000" w:rsidRDefault="00183441">
      <w:pPr>
        <w:jc w:val="both"/>
        <w:divId w:val="1163543612"/>
        <w:rPr>
          <w:rFonts w:eastAsia="Times New Roman"/>
        </w:rPr>
      </w:pPr>
      <w:r>
        <w:rPr>
          <w:rFonts w:eastAsia="Times New Roman"/>
          <w:color w:val="000000"/>
          <w:sz w:val="20"/>
          <w:szCs w:val="20"/>
        </w:rPr>
        <w:t>Credit loss expense recognized on our receivables, which is presented in SG&amp;A expenses in the Company’s condensed consolidated statements of operations, were $0.2 million and $0.3 million for the three months ended O</w:t>
      </w:r>
      <w:r>
        <w:rPr>
          <w:rFonts w:eastAsia="Times New Roman"/>
          <w:color w:val="000000"/>
          <w:sz w:val="20"/>
          <w:szCs w:val="20"/>
        </w:rPr>
        <w:t>ctober 1, 2022 and October 2, 2021, respectively, as compared to $0.8 million and $0.6 million for the nine months ended October 1, 2022 and October 2, 2021, respectively.</w:t>
      </w:r>
    </w:p>
    <w:p w:rsidR="00000000" w:rsidRDefault="00183441">
      <w:pPr>
        <w:jc w:val="both"/>
        <w:divId w:val="1397775260"/>
        <w:rPr>
          <w:rFonts w:eastAsia="Times New Roman"/>
        </w:rPr>
      </w:pPr>
      <w:r>
        <w:rPr>
          <w:rFonts w:eastAsia="Times New Roman"/>
          <w:color w:val="000000"/>
          <w:sz w:val="20"/>
          <w:szCs w:val="20"/>
          <w:u w:val="single"/>
        </w:rPr>
        <w:t>Unsatisfied Performance Obligations (Contract Liabilities)</w:t>
      </w:r>
    </w:p>
    <w:p w:rsidR="00000000" w:rsidRDefault="00183441">
      <w:pPr>
        <w:jc w:val="both"/>
        <w:divId w:val="619796483"/>
        <w:rPr>
          <w:rFonts w:eastAsia="Times New Roman"/>
        </w:rPr>
      </w:pPr>
      <w:r>
        <w:rPr>
          <w:rFonts w:eastAsia="Times New Roman"/>
          <w:color w:val="000000"/>
          <w:sz w:val="20"/>
          <w:szCs w:val="20"/>
        </w:rPr>
        <w:t>During the three months e</w:t>
      </w:r>
      <w:r>
        <w:rPr>
          <w:rFonts w:eastAsia="Times New Roman"/>
          <w:color w:val="000000"/>
          <w:sz w:val="20"/>
          <w:szCs w:val="20"/>
        </w:rPr>
        <w:t>nded October 1, 2022 and October 2, 2021, we recognized $23.3 million and $24.6 million, respectively, of deferred revenues outstanding at the beginning of each respective period. During the nine months ended October 1, 2022 and October 2, 2021, we recogni</w:t>
      </w:r>
      <w:r>
        <w:rPr>
          <w:rFonts w:eastAsia="Times New Roman"/>
          <w:color w:val="000000"/>
          <w:sz w:val="20"/>
          <w:szCs w:val="20"/>
        </w:rPr>
        <w:t>zed $56.8 million and $50.4 million, respectively, of deferred revenues outstanding at the beginning of each respective period.</w:t>
      </w:r>
    </w:p>
    <w:p w:rsidR="00000000" w:rsidRDefault="00183441">
      <w:pPr>
        <w:jc w:val="both"/>
        <w:divId w:val="2562452"/>
        <w:rPr>
          <w:rFonts w:eastAsia="Times New Roman"/>
        </w:rPr>
      </w:pPr>
      <w:r>
        <w:rPr>
          <w:rFonts w:eastAsia="Times New Roman"/>
          <w:color w:val="000000"/>
          <w:sz w:val="20"/>
          <w:szCs w:val="20"/>
        </w:rPr>
        <w:t>Our deferred revenue balance as of October 1, 2022 was $86.4 million. We expect future revenue recognition of this balance of $2</w:t>
      </w:r>
      <w:r>
        <w:rPr>
          <w:rFonts w:eastAsia="Times New Roman"/>
          <w:color w:val="000000"/>
          <w:sz w:val="20"/>
          <w:szCs w:val="20"/>
        </w:rPr>
        <w:t>3.0 million, $46.5 million, $13.7 million, $3.1 million and $0.1 million in fiscal years 2022, 2023, 2024, 2025 and thereafter, respectively.</w:t>
      </w:r>
    </w:p>
    <w:p w:rsidR="00000000" w:rsidRDefault="00183441">
      <w:pPr>
        <w:jc w:val="both"/>
        <w:divId w:val="1067417533"/>
        <w:rPr>
          <w:rFonts w:eastAsia="Times New Roman"/>
        </w:rPr>
      </w:pPr>
    </w:p>
    <w:p w:rsidR="00000000" w:rsidRDefault="00183441">
      <w:pPr>
        <w:jc w:val="both"/>
        <w:rPr>
          <w:rFonts w:eastAsia="Times New Roman"/>
        </w:rPr>
      </w:pPr>
      <w:r>
        <w:rPr>
          <w:rFonts w:eastAsia="Times New Roman"/>
          <w:b/>
          <w:bCs/>
          <w:color w:val="000000"/>
          <w:sz w:val="20"/>
          <w:szCs w:val="20"/>
        </w:rPr>
        <w:t>8. Leases</w:t>
      </w:r>
    </w:p>
    <w:p w:rsidR="00000000" w:rsidRDefault="00183441">
      <w:pPr>
        <w:jc w:val="both"/>
        <w:rPr>
          <w:rFonts w:eastAsia="Times New Roman"/>
        </w:rPr>
      </w:pPr>
    </w:p>
    <w:p w:rsidR="00000000" w:rsidRDefault="00183441">
      <w:pPr>
        <w:jc w:val="both"/>
        <w:rPr>
          <w:rFonts w:eastAsia="Times New Roman"/>
        </w:rPr>
      </w:pPr>
      <w:r>
        <w:rPr>
          <w:rFonts w:eastAsia="Times New Roman"/>
          <w:color w:val="000000"/>
          <w:sz w:val="20"/>
          <w:szCs w:val="20"/>
        </w:rPr>
        <w:t>Our lease costs for the three and nine months ended October 1, 2022 and October 2, 2021 were as foll</w:t>
      </w:r>
      <w:r>
        <w:rPr>
          <w:rFonts w:eastAsia="Times New Roman"/>
          <w:color w:val="000000"/>
          <w:sz w:val="20"/>
          <w:szCs w:val="20"/>
        </w:rPr>
        <w:t>ows:</w:t>
      </w:r>
    </w:p>
    <w:tbl>
      <w:tblPr>
        <w:tblW w:w="5000" w:type="pct"/>
        <w:tblCellMar>
          <w:top w:w="15" w:type="dxa"/>
          <w:left w:w="15" w:type="dxa"/>
          <w:bottom w:w="15" w:type="dxa"/>
          <w:right w:w="15" w:type="dxa"/>
        </w:tblCellMar>
        <w:tblLook w:val="04A0" w:firstRow="1" w:lastRow="0" w:firstColumn="1" w:lastColumn="0" w:noHBand="0" w:noVBand="1"/>
      </w:tblPr>
      <w:tblGrid>
        <w:gridCol w:w="38"/>
        <w:gridCol w:w="3539"/>
        <w:gridCol w:w="37"/>
        <w:gridCol w:w="120"/>
        <w:gridCol w:w="963"/>
        <w:gridCol w:w="36"/>
        <w:gridCol w:w="36"/>
        <w:gridCol w:w="36"/>
        <w:gridCol w:w="36"/>
        <w:gridCol w:w="120"/>
        <w:gridCol w:w="927"/>
        <w:gridCol w:w="36"/>
        <w:gridCol w:w="36"/>
        <w:gridCol w:w="36"/>
        <w:gridCol w:w="36"/>
        <w:gridCol w:w="120"/>
        <w:gridCol w:w="927"/>
        <w:gridCol w:w="36"/>
        <w:gridCol w:w="36"/>
        <w:gridCol w:w="36"/>
        <w:gridCol w:w="36"/>
        <w:gridCol w:w="120"/>
        <w:gridCol w:w="927"/>
        <w:gridCol w:w="36"/>
      </w:tblGrid>
      <w:tr w:rsidR="00000000">
        <w:trPr>
          <w:divId w:val="2115855357"/>
        </w:trPr>
        <w:tc>
          <w:tcPr>
            <w:tcW w:w="50" w:type="pct"/>
            <w:vAlign w:val="center"/>
            <w:hideMark/>
          </w:tcPr>
          <w:p w:rsidR="00000000" w:rsidRDefault="00183441">
            <w:pPr>
              <w:jc w:val="both"/>
              <w:rPr>
                <w:rFonts w:eastAsia="Times New Roman"/>
              </w:rPr>
            </w:pPr>
          </w:p>
        </w:tc>
        <w:tc>
          <w:tcPr>
            <w:tcW w:w="216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2115855357"/>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shd w:val="clear" w:color="auto" w:fill="FFFFFF"/>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2115855357"/>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211585535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i/>
                <w:iCs/>
                <w:color w:val="000000"/>
                <w:sz w:val="20"/>
                <w:szCs w:val="20"/>
              </w:rPr>
              <w:t>Operating lease cost</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211585535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712534586"/>
              <w:rPr>
                <w:rFonts w:eastAsia="Times New Roman"/>
              </w:rPr>
            </w:pPr>
            <w:r>
              <w:rPr>
                <w:rFonts w:eastAsia="Times New Roman"/>
                <w:color w:val="000000"/>
                <w:sz w:val="20"/>
                <w:szCs w:val="20"/>
              </w:rPr>
              <w:t>Fixed lease cost</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22,985 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21,035 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67,422 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62,589 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11585535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1541630344"/>
              <w:rPr>
                <w:rFonts w:eastAsia="Times New Roman"/>
              </w:rPr>
            </w:pPr>
            <w:r>
              <w:rPr>
                <w:rFonts w:eastAsia="Times New Roman"/>
                <w:color w:val="000000"/>
                <w:sz w:val="20"/>
                <w:szCs w:val="20"/>
              </w:rPr>
              <w:t>Variable lease cost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8,215 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7,976 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24,568 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22,894 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11585535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834952202"/>
              <w:rPr>
                <w:rFonts w:eastAsia="Times New Roman"/>
              </w:rPr>
            </w:pPr>
            <w:r>
              <w:rPr>
                <w:rFonts w:eastAsia="Times New Roman"/>
                <w:color w:val="000000"/>
                <w:sz w:val="20"/>
                <w:szCs w:val="20"/>
              </w:rPr>
              <w:t>Sublease income</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(930)</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(866)</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(2,750)</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(2,695)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11585535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i/>
                <w:iCs/>
                <w:color w:val="000000"/>
                <w:sz w:val="20"/>
                <w:szCs w:val="20"/>
              </w:rPr>
              <w:t>Finance lease cost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211585535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Amortization of finance lease assets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1,025 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1,113 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3,186 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3,349 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11585535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Interest on finance lease liabilities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572 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716 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1,830 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2,239 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11585535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Net lease cost</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31,867 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29,974 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94,256 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88,376 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2115855357"/>
          <w:trHeight w:val="300"/>
        </w:trPr>
        <w:tc>
          <w:tcPr>
            <w:tcW w:w="0" w:type="auto"/>
            <w:gridSpan w:val="3"/>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2115855357"/>
        </w:trPr>
        <w:tc>
          <w:tcPr>
            <w:tcW w:w="0" w:type="auto"/>
            <w:gridSpan w:val="24"/>
            <w:tcMar>
              <w:top w:w="30" w:type="dxa"/>
              <w:left w:w="20" w:type="dxa"/>
              <w:bottom w:w="30" w:type="dxa"/>
              <w:right w:w="20" w:type="dxa"/>
            </w:tcMar>
            <w:vAlign w:val="bottom"/>
            <w:hideMark/>
          </w:tcPr>
          <w:p w:rsidR="00000000" w:rsidRDefault="00183441">
            <w:pPr>
              <w:spacing w:after="100"/>
              <w:jc w:val="both"/>
              <w:rPr>
                <w:rFonts w:eastAsia="Times New Roman"/>
              </w:rPr>
            </w:pPr>
            <w:r>
              <w:rPr>
                <w:rFonts w:eastAsia="Times New Roman"/>
                <w:color w:val="000000"/>
                <w:sz w:val="16"/>
                <w:szCs w:val="16"/>
              </w:rPr>
              <w:t>(a) Includes short-term leases, which are immaterial.</w:t>
            </w:r>
          </w:p>
        </w:tc>
      </w:tr>
      <w:tr w:rsidR="00000000">
        <w:trPr>
          <w:divId w:val="2115855357"/>
        </w:trPr>
        <w:tc>
          <w:tcPr>
            <w:tcW w:w="0" w:type="auto"/>
            <w:gridSpan w:val="24"/>
            <w:tcMar>
              <w:top w:w="30" w:type="dxa"/>
              <w:left w:w="20" w:type="dxa"/>
              <w:bottom w:w="30" w:type="dxa"/>
              <w:right w:w="20" w:type="dxa"/>
            </w:tcMar>
            <w:vAlign w:val="bottom"/>
            <w:hideMark/>
          </w:tcPr>
          <w:p w:rsidR="00000000" w:rsidRDefault="00183441">
            <w:pPr>
              <w:spacing w:after="100"/>
              <w:jc w:val="both"/>
              <w:rPr>
                <w:rFonts w:eastAsia="Times New Roman"/>
              </w:rPr>
            </w:pPr>
            <w:r>
              <w:rPr>
                <w:rFonts w:eastAsia="Times New Roman"/>
                <w:color w:val="000000"/>
                <w:sz w:val="16"/>
                <w:szCs w:val="16"/>
              </w:rPr>
              <w:t>(b) Includes costs for insurance, real estate taxes and common area maintenance expenses, which are variable, as are lease costs above minimum thresholds for Fred Meyer stores and lease costs for Military stores.</w:t>
            </w:r>
          </w:p>
        </w:tc>
      </w:tr>
      <w:tr w:rsidR="00000000">
        <w:trPr>
          <w:divId w:val="2115855357"/>
        </w:trPr>
        <w:tc>
          <w:tcPr>
            <w:tcW w:w="0" w:type="auto"/>
            <w:gridSpan w:val="24"/>
            <w:tcMar>
              <w:top w:w="30" w:type="dxa"/>
              <w:left w:w="20" w:type="dxa"/>
              <w:bottom w:w="30" w:type="dxa"/>
              <w:right w:w="20" w:type="dxa"/>
            </w:tcMar>
            <w:vAlign w:val="bottom"/>
            <w:hideMark/>
          </w:tcPr>
          <w:p w:rsidR="00000000" w:rsidRDefault="00183441">
            <w:pPr>
              <w:spacing w:after="100"/>
              <w:jc w:val="both"/>
              <w:rPr>
                <w:rFonts w:eastAsia="Times New Roman"/>
              </w:rPr>
            </w:pPr>
            <w:r>
              <w:rPr>
                <w:rFonts w:eastAsia="Times New Roman"/>
                <w:color w:val="000000"/>
                <w:sz w:val="16"/>
                <w:szCs w:val="16"/>
              </w:rPr>
              <w:t>(c) Income from sub-leasing of stores includes rental income from leasing space to independent optometrists.</w:t>
            </w:r>
          </w:p>
        </w:tc>
      </w:tr>
    </w:tbl>
    <w:tbl>
      <w:tblPr>
        <w:tblW w:w="5000" w:type="pct"/>
        <w:jc w:val="center"/>
        <w:tblCellMar>
          <w:top w:w="15" w:type="dxa"/>
          <w:left w:w="15" w:type="dxa"/>
          <w:bottom w:w="15" w:type="dxa"/>
          <w:right w:w="15" w:type="dxa"/>
        </w:tblCellMar>
        <w:tblLook w:val="04A0" w:firstRow="1" w:lastRow="0" w:firstColumn="1" w:lastColumn="0" w:noHBand="0" w:noVBand="1"/>
      </w:tblPr>
      <w:tblGrid>
        <w:gridCol w:w="144"/>
        <w:gridCol w:w="5565"/>
        <w:gridCol w:w="144"/>
        <w:gridCol w:w="480"/>
        <w:gridCol w:w="1440"/>
        <w:gridCol w:w="1440"/>
        <w:gridCol w:w="480"/>
        <w:gridCol w:w="480"/>
        <w:gridCol w:w="480"/>
        <w:gridCol w:w="144"/>
        <w:gridCol w:w="1199"/>
        <w:gridCol w:w="144"/>
        <w:gridCol w:w="144"/>
        <w:gridCol w:w="144"/>
        <w:gridCol w:w="144"/>
        <w:gridCol w:w="144"/>
        <w:gridCol w:w="1199"/>
        <w:gridCol w:w="144"/>
      </w:tblGrid>
      <w:tr w:rsidR="00000000">
        <w:trPr>
          <w:jc w:val="center"/>
        </w:trPr>
        <w:tc>
          <w:tcPr>
            <w:tcW w:w="50" w:type="pct"/>
            <w:vAlign w:val="center"/>
            <w:hideMark/>
          </w:tcPr>
          <w:p w:rsidR="00000000" w:rsidRDefault="00183441">
            <w:pPr>
              <w:rPr>
                <w:rFonts w:eastAsia="Times New Roman"/>
              </w:rPr>
            </w:pPr>
          </w:p>
        </w:tc>
        <w:tc>
          <w:tcPr>
            <w:tcW w:w="335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72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72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Lease Term and Discount Rate</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October 1, 2022</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As of</w:t>
            </w:r>
            <w:r>
              <w:rPr>
                <w:rFonts w:eastAsia="Times New Roman"/>
                <w:color w:val="000000"/>
                <w:sz w:val="20"/>
                <w:szCs w:val="20"/>
              </w:rPr>
              <w:br/>
              <w:t>January 1, 2022</w:t>
            </w:r>
          </w:p>
        </w:tc>
      </w:tr>
      <w:tr w:rsidR="00000000">
        <w:trPr>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Weighted average remaining lease term (months)</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Operating leases</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76</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76</w:t>
            </w: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Finance leases</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67</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72</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354382260"/>
              <w:rPr>
                <w:rFonts w:eastAsia="Times New Roman"/>
              </w:rPr>
            </w:pPr>
            <w:r>
              <w:rPr>
                <w:rFonts w:eastAsia="Times New Roman"/>
                <w:i/>
                <w:iCs/>
                <w:color w:val="000000"/>
                <w:sz w:val="20"/>
                <w:szCs w:val="20"/>
              </w:rPr>
              <w:t>Weighted average discount rate</w:t>
            </w:r>
            <w:r>
              <w:rPr>
                <w:rFonts w:eastAsia="Times New Roman"/>
                <w:i/>
                <w:iCs/>
                <w:color w:val="000000"/>
                <w:sz w:val="20"/>
                <w:szCs w:val="20"/>
              </w:rPr>
              <w:t xml:space="preserve"> </w:t>
            </w:r>
            <w:r>
              <w:rPr>
                <w:rFonts w:eastAsia="Times New Roman"/>
                <w:i/>
                <w:iCs/>
                <w:color w:val="000000"/>
                <w:sz w:val="13"/>
                <w:szCs w:val="13"/>
              </w:rPr>
              <w:t>(a</w:t>
            </w:r>
            <w:r>
              <w:rPr>
                <w:rFonts w:eastAsia="Times New Roman"/>
                <w:i/>
                <w:iCs/>
                <w:color w:val="000000"/>
                <w:sz w:val="13"/>
                <w:szCs w:val="13"/>
              </w:rPr>
              <w:t>)</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Operating leases</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715204031"/>
              <w:rPr>
                <w:rFonts w:eastAsia="Times New Roman"/>
              </w:rPr>
            </w:pPr>
            <w:r>
              <w:rPr>
                <w:rFonts w:eastAsia="Times New Roman"/>
                <w:color w:val="000000"/>
                <w:sz w:val="20"/>
                <w:szCs w:val="20"/>
              </w:rPr>
              <w:t>Finance leases</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trHeight w:val="180"/>
          <w:jc w:val="center"/>
        </w:trPr>
        <w:tc>
          <w:tcPr>
            <w:tcW w:w="0" w:type="auto"/>
            <w:gridSpan w:val="3"/>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183441">
            <w:pPr>
              <w:spacing w:after="100"/>
              <w:divId w:val="415516340"/>
              <w:rPr>
                <w:rFonts w:eastAsia="Times New Roman"/>
              </w:rPr>
            </w:pPr>
            <w:r>
              <w:rPr>
                <w:rFonts w:eastAsia="Times New Roman"/>
                <w:color w:val="000000"/>
                <w:sz w:val="16"/>
                <w:szCs w:val="16"/>
              </w:rPr>
              <w:t>(a) The discount rate used to determine the lease assets and lease liabilities was derived upon considering (i) incremental borrowing rates on our term loan and revolving credit facility; (ii) fixed rates on interest rate swaps; (iii) LIBOR margins for iss</w:t>
            </w:r>
            <w:r>
              <w:rPr>
                <w:rFonts w:eastAsia="Times New Roman"/>
                <w:color w:val="000000"/>
                <w:sz w:val="16"/>
                <w:szCs w:val="16"/>
              </w:rPr>
              <w:t>uers of similar credit rating; and (iv) effect of collateralization. As a majority of our leases are</w:t>
            </w:r>
            <w:r>
              <w:rPr>
                <w:rFonts w:eastAsia="Times New Roman"/>
                <w:color w:val="000000"/>
                <w:sz w:val="16"/>
                <w:szCs w:val="16"/>
              </w:rPr>
              <w:t xml:space="preserve"> </w:t>
            </w:r>
            <w:r>
              <w:rPr>
                <w:rFonts w:eastAsia="Times New Roman"/>
                <w:color w:val="000000"/>
                <w:sz w:val="16"/>
                <w:szCs w:val="16"/>
              </w:rPr>
              <w:t>fiv</w:t>
            </w:r>
            <w:r>
              <w:rPr>
                <w:rFonts w:eastAsia="Times New Roman"/>
                <w:color w:val="000000"/>
                <w:sz w:val="16"/>
                <w:szCs w:val="16"/>
              </w:rPr>
              <w:t>e</w:t>
            </w:r>
            <w:r>
              <w:rPr>
                <w:rFonts w:eastAsia="Times New Roman"/>
                <w:color w:val="000000"/>
                <w:sz w:val="16"/>
                <w:szCs w:val="16"/>
              </w:rPr>
              <w:t>-year and 10-year leases, we determined a lease discount rate for such tenors and determined this discount rate is reasonable for leases that were ente</w:t>
            </w:r>
            <w:r>
              <w:rPr>
                <w:rFonts w:eastAsia="Times New Roman"/>
                <w:color w:val="000000"/>
                <w:sz w:val="16"/>
                <w:szCs w:val="16"/>
              </w:rPr>
              <w:t>red into during the period.</w:t>
            </w: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r>
      <w:tr w:rsidR="00000000">
        <w:trPr>
          <w:jc w:val="center"/>
        </w:trPr>
        <w:tc>
          <w:tcPr>
            <w:tcW w:w="0" w:type="auto"/>
            <w:gridSpan w:val="6"/>
            <w:tcMar>
              <w:top w:w="30" w:type="dxa"/>
              <w:left w:w="20" w:type="dxa"/>
              <w:bottom w:w="30" w:type="dxa"/>
              <w:right w:w="20" w:type="dxa"/>
            </w:tcMar>
            <w:vAlign w:val="bottom"/>
            <w:hideMark/>
          </w:tcPr>
          <w:p w:rsidR="00000000" w:rsidRDefault="00183441">
            <w:pPr>
              <w:spacing w:after="100"/>
              <w:divId w:val="250360790"/>
              <w:rPr>
                <w:rFonts w:eastAsia="Times New Roman"/>
              </w:rPr>
            </w:pPr>
            <w:r>
              <w:rPr>
                <w:rFonts w:eastAsia="Times New Roman"/>
                <w:color w:val="000000"/>
                <w:sz w:val="16"/>
                <w:szCs w:val="16"/>
              </w:rPr>
              <w:t xml:space="preserve">(b) The discount rate on finance leases is higher than operating leases because the present value of minimum lease payments was higher than the fair value of leased properties for certain leases entered into prior to adoption of ASC 842. The discount rate </w:t>
            </w:r>
            <w:r>
              <w:rPr>
                <w:rFonts w:eastAsia="Times New Roman"/>
                <w:color w:val="000000"/>
                <w:sz w:val="16"/>
                <w:szCs w:val="16"/>
              </w:rPr>
              <w:t>differential for those leases is not material to our results of operations.</w:t>
            </w: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r>
    </w:tbl>
    <w:p w:rsidR="00000000" w:rsidRDefault="00183441">
      <w:pPr>
        <w:jc w:val="center"/>
        <w:divId w:val="1291132619"/>
        <w:rPr>
          <w:rFonts w:eastAsia="Times New Roman"/>
        </w:rPr>
      </w:pPr>
      <w:r>
        <w:rPr>
          <w:rFonts w:eastAsia="Times New Roman"/>
          <w:color w:val="000000"/>
          <w:sz w:val="20"/>
          <w:szCs w:val="20"/>
        </w:rPr>
        <w:t>17</w:t>
      </w:r>
    </w:p>
    <w:p w:rsidR="00000000" w:rsidRDefault="00183441">
      <w:pPr>
        <w:rPr>
          <w:rFonts w:eastAsia="Times New Roman"/>
        </w:rPr>
      </w:pPr>
      <w:r>
        <w:rPr>
          <w:rFonts w:eastAsia="Times New Roman"/>
        </w:rPr>
        <w:pict>
          <v:rect id="_x0000_i1041" style="width:0;height:1.5pt" o:hralign="center" o:hrstd="t" o:hr="t" fillcolor="#a0a0a0" stroked="f"/>
        </w:pict>
      </w:r>
    </w:p>
    <w:p w:rsidR="00000000" w:rsidRDefault="00183441">
      <w:pPr>
        <w:divId w:val="857500156"/>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center"/>
        <w:divId w:val="451632659"/>
        <w:rPr>
          <w:rFonts w:eastAsia="Times New Roman"/>
        </w:rPr>
      </w:pPr>
    </w:p>
    <w:tbl>
      <w:tblPr>
        <w:tblW w:w="4975" w:type="pct"/>
        <w:jc w:val="center"/>
        <w:tblCellMar>
          <w:top w:w="15" w:type="dxa"/>
          <w:left w:w="15" w:type="dxa"/>
          <w:bottom w:w="15" w:type="dxa"/>
          <w:right w:w="15" w:type="dxa"/>
        </w:tblCellMar>
        <w:tblLook w:val="04A0" w:firstRow="1" w:lastRow="0" w:firstColumn="1" w:lastColumn="0" w:noHBand="0" w:noVBand="1"/>
      </w:tblPr>
      <w:tblGrid>
        <w:gridCol w:w="38"/>
        <w:gridCol w:w="4753"/>
        <w:gridCol w:w="36"/>
        <w:gridCol w:w="36"/>
        <w:gridCol w:w="36"/>
        <w:gridCol w:w="36"/>
        <w:gridCol w:w="685"/>
        <w:gridCol w:w="120"/>
        <w:gridCol w:w="823"/>
        <w:gridCol w:w="36"/>
        <w:gridCol w:w="86"/>
        <w:gridCol w:w="514"/>
        <w:gridCol w:w="85"/>
        <w:gridCol w:w="120"/>
        <w:gridCol w:w="824"/>
        <w:gridCol w:w="36"/>
      </w:tblGrid>
      <w:tr w:rsidR="00000000">
        <w:trPr>
          <w:divId w:val="1980189948"/>
          <w:jc w:val="center"/>
        </w:trPr>
        <w:tc>
          <w:tcPr>
            <w:tcW w:w="50" w:type="pct"/>
            <w:vAlign w:val="center"/>
            <w:hideMark/>
          </w:tcPr>
          <w:p w:rsidR="00000000" w:rsidRDefault="00183441">
            <w:pPr>
              <w:jc w:val="center"/>
              <w:rPr>
                <w:rFonts w:eastAsia="Times New Roman"/>
              </w:rPr>
            </w:pPr>
          </w:p>
        </w:tc>
        <w:tc>
          <w:tcPr>
            <w:tcW w:w="342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8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8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980189948"/>
          <w:trHeight w:val="300"/>
          <w:jc w:val="center"/>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gridSpan w:val="5"/>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r>
      <w:tr w:rsidR="00000000">
        <w:trPr>
          <w:divId w:val="1980189948"/>
          <w:trHeight w:val="480"/>
          <w:jc w:val="center"/>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 xml:space="preserve">Other Information </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r>
      <w:tr w:rsidR="00000000">
        <w:trPr>
          <w:divId w:val="1980189948"/>
          <w:jc w:val="center"/>
        </w:trPr>
        <w:tc>
          <w:tcPr>
            <w:tcW w:w="0" w:type="auto"/>
            <w:gridSpan w:val="3"/>
            <w:vAlign w:val="center"/>
            <w:hideMark/>
          </w:tcPr>
          <w:p w:rsidR="00000000" w:rsidRDefault="00183441">
            <w:pPr>
              <w:spacing w:after="100"/>
              <w:jc w:val="center"/>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r>
      <w:tr w:rsidR="00000000">
        <w:trPr>
          <w:divId w:val="1980189948"/>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Operating cash outflows - operating leases</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71,859 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66,358 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80189948"/>
          <w:jc w:val="center"/>
        </w:trPr>
        <w:tc>
          <w:tcPr>
            <w:tcW w:w="0" w:type="auto"/>
            <w:gridSpan w:val="3"/>
            <w:vAlign w:val="center"/>
            <w:hideMark/>
          </w:tcPr>
          <w:p w:rsidR="00000000" w:rsidRDefault="00183441">
            <w:pPr>
              <w:spacing w:after="100"/>
              <w:jc w:val="right"/>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c>
          <w:tcPr>
            <w:tcW w:w="0" w:type="auto"/>
            <w:gridSpan w:val="3"/>
            <w:vAlign w:val="center"/>
            <w:hideMark/>
          </w:tcPr>
          <w:p w:rsidR="00000000" w:rsidRDefault="00183441">
            <w:pPr>
              <w:spacing w:after="100"/>
              <w:rPr>
                <w:rFonts w:eastAsia="Times New Roman"/>
                <w:sz w:val="20"/>
                <w:szCs w:val="20"/>
              </w:rPr>
            </w:pPr>
          </w:p>
        </w:tc>
      </w:tr>
      <w:tr w:rsidR="00000000">
        <w:trPr>
          <w:divId w:val="198018994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Right of use assets acquired under operating leases</w:t>
            </w:r>
          </w:p>
        </w:tc>
        <w:tc>
          <w:tcPr>
            <w:tcW w:w="0" w:type="auto"/>
            <w:vAlign w:val="center"/>
            <w:hideMark/>
          </w:tcPr>
          <w:p w:rsidR="00000000" w:rsidRDefault="00183441">
            <w:pPr>
              <w:spacing w:after="100"/>
              <w:rPr>
                <w:rFonts w:eastAsia="Times New Roman"/>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vAlign w:val="center"/>
            <w:hideMark/>
          </w:tcPr>
          <w:p w:rsidR="00000000" w:rsidRDefault="00183441">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86,722 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64,260 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divId w:val="179785428"/>
        <w:rPr>
          <w:rFonts w:eastAsia="Times New Roman"/>
        </w:rPr>
      </w:pPr>
      <w:r>
        <w:rPr>
          <w:rFonts w:eastAsia="Times New Roman"/>
          <w:color w:val="000000"/>
          <w:sz w:val="20"/>
          <w:szCs w:val="20"/>
        </w:rPr>
        <w:t>The following table summarizes the maturity of our lease liabilities as of October 1, 2022:</w:t>
      </w:r>
    </w:p>
    <w:tbl>
      <w:tblPr>
        <w:tblW w:w="4991" w:type="pct"/>
        <w:tblCellMar>
          <w:top w:w="15" w:type="dxa"/>
          <w:left w:w="15" w:type="dxa"/>
          <w:bottom w:w="15" w:type="dxa"/>
          <w:right w:w="15" w:type="dxa"/>
        </w:tblCellMar>
        <w:tblLook w:val="04A0" w:firstRow="1" w:lastRow="0" w:firstColumn="1" w:lastColumn="0" w:noHBand="0" w:noVBand="1"/>
      </w:tblPr>
      <w:tblGrid>
        <w:gridCol w:w="38"/>
        <w:gridCol w:w="4482"/>
        <w:gridCol w:w="36"/>
        <w:gridCol w:w="36"/>
        <w:gridCol w:w="36"/>
        <w:gridCol w:w="36"/>
        <w:gridCol w:w="120"/>
        <w:gridCol w:w="1603"/>
        <w:gridCol w:w="36"/>
        <w:gridCol w:w="36"/>
        <w:gridCol w:w="36"/>
        <w:gridCol w:w="36"/>
        <w:gridCol w:w="120"/>
        <w:gridCol w:w="1604"/>
        <w:gridCol w:w="36"/>
      </w:tblGrid>
      <w:tr w:rsidR="00000000">
        <w:trPr>
          <w:divId w:val="506477870"/>
        </w:trPr>
        <w:tc>
          <w:tcPr>
            <w:tcW w:w="50" w:type="pct"/>
            <w:vAlign w:val="center"/>
            <w:hideMark/>
          </w:tcPr>
          <w:p w:rsidR="00000000" w:rsidRDefault="00183441">
            <w:pPr>
              <w:rPr>
                <w:rFonts w:eastAsia="Times New Roman"/>
              </w:rPr>
            </w:pPr>
          </w:p>
        </w:tc>
        <w:tc>
          <w:tcPr>
            <w:tcW w:w="272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01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506477870"/>
          <w:trHeight w:val="30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vMerge w:val="restart"/>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Operating Leases</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3"/>
            <w:vMerge w:val="restart"/>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Finance Lease</w:t>
            </w:r>
            <w:r>
              <w:rPr>
                <w:rFonts w:eastAsia="Times New Roman"/>
                <w:color w:val="000000"/>
                <w:sz w:val="20"/>
                <w:szCs w:val="20"/>
              </w:rPr>
              <w:t>s</w:t>
            </w:r>
            <w:r>
              <w:rPr>
                <w:rFonts w:eastAsia="Times New Roman"/>
                <w:color w:val="000000"/>
                <w:sz w:val="13"/>
                <w:szCs w:val="13"/>
              </w:rPr>
              <w:t xml:space="preserve"> (b</w:t>
            </w:r>
            <w:r>
              <w:rPr>
                <w:rFonts w:eastAsia="Times New Roman"/>
                <w:color w:val="000000"/>
                <w:sz w:val="13"/>
                <w:szCs w:val="13"/>
              </w:rPr>
              <w:t>)</w:t>
            </w:r>
          </w:p>
        </w:tc>
      </w:tr>
      <w:tr w:rsidR="00000000">
        <w:trPr>
          <w:divId w:val="506477870"/>
          <w:trHeight w:val="2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 xml:space="preserve">Fiscal Year </w:t>
            </w:r>
          </w:p>
        </w:tc>
        <w:tc>
          <w:tcPr>
            <w:tcW w:w="0" w:type="auto"/>
            <w:gridSpan w:val="3"/>
            <w:vMerge/>
            <w:vAlign w:val="center"/>
            <w:hideMark/>
          </w:tcPr>
          <w:p w:rsidR="00000000" w:rsidRDefault="00183441">
            <w:pPr>
              <w:spacing w:after="100"/>
              <w:rPr>
                <w:rFonts w:eastAsia="Times New Roman"/>
              </w:rPr>
            </w:pPr>
          </w:p>
        </w:tc>
        <w:tc>
          <w:tcPr>
            <w:tcW w:w="0" w:type="auto"/>
            <w:gridSpan w:val="3"/>
            <w:vMerge/>
            <w:vAlign w:val="center"/>
            <w:hideMark/>
          </w:tcPr>
          <w:p w:rsidR="00000000" w:rsidRDefault="00183441">
            <w:pPr>
              <w:spacing w:after="100"/>
              <w:rPr>
                <w:rFonts w:eastAsia="Times New Roman"/>
              </w:rPr>
            </w:pPr>
          </w:p>
        </w:tc>
        <w:tc>
          <w:tcPr>
            <w:tcW w:w="0" w:type="auto"/>
            <w:gridSpan w:val="3"/>
            <w:vMerge/>
            <w:vAlign w:val="center"/>
            <w:hideMark/>
          </w:tcPr>
          <w:p w:rsidR="00000000" w:rsidRDefault="00183441">
            <w:pPr>
              <w:spacing w:after="100"/>
              <w:rPr>
                <w:rFonts w:eastAsia="Times New Roman"/>
              </w:rPr>
            </w:pPr>
          </w:p>
        </w:tc>
        <w:tc>
          <w:tcPr>
            <w:tcW w:w="0" w:type="auto"/>
            <w:gridSpan w:val="3"/>
            <w:vMerge/>
            <w:vAlign w:val="center"/>
            <w:hideMark/>
          </w:tcPr>
          <w:p w:rsidR="00000000" w:rsidRDefault="00183441">
            <w:pPr>
              <w:spacing w:after="100"/>
              <w:rPr>
                <w:rFonts w:eastAsia="Times New Roman"/>
              </w:rPr>
            </w:pPr>
          </w:p>
        </w:tc>
      </w:tr>
      <w:tr w:rsidR="00000000">
        <w:trPr>
          <w:divId w:val="506477870"/>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2022</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9,352 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1,196 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06477870"/>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2023</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97,878 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6,191 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06477870"/>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87,344 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4,734 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06477870"/>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83,076 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4,888 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06477870"/>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64,409 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4,496 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06477870"/>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153,798 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6,887 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06477870"/>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lease liabilities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495,857 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28,392 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06477870"/>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Less: Interest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64,834 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5,757 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06477870"/>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893006443"/>
              <w:rPr>
                <w:rFonts w:eastAsia="Times New Roman"/>
              </w:rPr>
            </w:pPr>
            <w:r>
              <w:rPr>
                <w:rFonts w:eastAsia="Times New Roman"/>
                <w:color w:val="000000"/>
                <w:sz w:val="20"/>
                <w:szCs w:val="20"/>
              </w:rPr>
              <w:t>Present value of lease liabilities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431,023 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22,635 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506477870"/>
          <w:trHeight w:val="160"/>
        </w:trPr>
        <w:tc>
          <w:tcPr>
            <w:tcW w:w="0" w:type="auto"/>
            <w:gridSpan w:val="3"/>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506477870"/>
        </w:trPr>
        <w:tc>
          <w:tcPr>
            <w:tcW w:w="0" w:type="auto"/>
            <w:gridSpan w:val="15"/>
            <w:tcMar>
              <w:top w:w="30" w:type="dxa"/>
              <w:left w:w="20" w:type="dxa"/>
              <w:bottom w:w="30" w:type="dxa"/>
              <w:right w:w="20" w:type="dxa"/>
            </w:tcMar>
            <w:vAlign w:val="bottom"/>
            <w:hideMark/>
          </w:tcPr>
          <w:p w:rsidR="00000000" w:rsidRDefault="00183441">
            <w:pPr>
              <w:spacing w:after="100"/>
              <w:divId w:val="1483501768"/>
              <w:rPr>
                <w:rFonts w:eastAsia="Times New Roman"/>
              </w:rPr>
            </w:pPr>
            <w:r>
              <w:rPr>
                <w:rFonts w:eastAsia="Times New Roman"/>
                <w:color w:val="000000"/>
                <w:sz w:val="16"/>
                <w:szCs w:val="16"/>
              </w:rPr>
              <w:t>(a) Operating lease payments include $41.6 million </w:t>
            </w:r>
            <w:r>
              <w:rPr>
                <w:rFonts w:eastAsia="Times New Roman"/>
                <w:color w:val="000000"/>
                <w:sz w:val="16"/>
                <w:szCs w:val="16"/>
              </w:rPr>
              <w:t>related to options to extend lease terms that are reasonably certain of being exercised.</w:t>
            </w:r>
          </w:p>
        </w:tc>
      </w:tr>
      <w:tr w:rsidR="00000000">
        <w:trPr>
          <w:divId w:val="506477870"/>
        </w:trPr>
        <w:tc>
          <w:tcPr>
            <w:tcW w:w="0" w:type="auto"/>
            <w:gridSpan w:val="15"/>
            <w:tcMar>
              <w:top w:w="30" w:type="dxa"/>
              <w:left w:w="20" w:type="dxa"/>
              <w:bottom w:w="30" w:type="dxa"/>
              <w:right w:w="20" w:type="dxa"/>
            </w:tcMar>
            <w:vAlign w:val="bottom"/>
            <w:hideMark/>
          </w:tcPr>
          <w:p w:rsidR="00000000" w:rsidRDefault="00183441">
            <w:pPr>
              <w:spacing w:after="100"/>
              <w:divId w:val="1165239969"/>
              <w:rPr>
                <w:rFonts w:eastAsia="Times New Roman"/>
              </w:rPr>
            </w:pPr>
            <w:r>
              <w:rPr>
                <w:rFonts w:eastAsia="Times New Roman"/>
                <w:color w:val="000000"/>
                <w:sz w:val="16"/>
                <w:szCs w:val="16"/>
              </w:rPr>
              <w:t xml:space="preserve">(b) Finance lease payments include $1.7 </w:t>
            </w:r>
            <w:r>
              <w:rPr>
                <w:rFonts w:eastAsia="Times New Roman"/>
                <w:color w:val="000000"/>
                <w:sz w:val="16"/>
                <w:szCs w:val="16"/>
              </w:rPr>
              <w:t>million related to options to extend lease terms that are reasonably certain of being exercised.</w:t>
            </w:r>
          </w:p>
        </w:tc>
      </w:tr>
      <w:tr w:rsidR="00000000">
        <w:trPr>
          <w:divId w:val="506477870"/>
        </w:trPr>
        <w:tc>
          <w:tcPr>
            <w:tcW w:w="0" w:type="auto"/>
            <w:gridSpan w:val="15"/>
            <w:tcMar>
              <w:top w:w="30" w:type="dxa"/>
              <w:left w:w="20" w:type="dxa"/>
              <w:bottom w:w="30" w:type="dxa"/>
              <w:right w:w="20" w:type="dxa"/>
            </w:tcMar>
            <w:vAlign w:val="bottom"/>
            <w:hideMark/>
          </w:tcPr>
          <w:p w:rsidR="00000000" w:rsidRDefault="00183441">
            <w:pPr>
              <w:spacing w:after="100"/>
              <w:divId w:val="2142574213"/>
              <w:rPr>
                <w:rFonts w:eastAsia="Times New Roman"/>
              </w:rPr>
            </w:pPr>
            <w:r>
              <w:rPr>
                <w:rFonts w:eastAsia="Times New Roman"/>
                <w:color w:val="000000"/>
                <w:sz w:val="16"/>
                <w:szCs w:val="16"/>
              </w:rPr>
              <w:t xml:space="preserve">(c) The present value of lease liabilities excludes $11.5 </w:t>
            </w:r>
            <w:r>
              <w:rPr>
                <w:rFonts w:eastAsia="Times New Roman"/>
                <w:color w:val="000000"/>
                <w:sz w:val="16"/>
                <w:szCs w:val="16"/>
              </w:rPr>
              <w:t>million of legally binding minimum lease payments for leases signed but not yet commenced.</w:t>
            </w:r>
          </w:p>
        </w:tc>
      </w:tr>
    </w:tbl>
    <w:p w:rsidR="00000000" w:rsidRDefault="00183441">
      <w:pPr>
        <w:divId w:val="590314591"/>
        <w:rPr>
          <w:rFonts w:eastAsia="Times New Roman"/>
        </w:rPr>
      </w:pPr>
    </w:p>
    <w:p w:rsidR="00000000" w:rsidRDefault="00183441">
      <w:pPr>
        <w:jc w:val="both"/>
        <w:rPr>
          <w:rFonts w:eastAsia="Times New Roman"/>
        </w:rPr>
      </w:pPr>
      <w:r>
        <w:rPr>
          <w:rFonts w:eastAsia="Times New Roman"/>
          <w:b/>
          <w:bCs/>
          <w:color w:val="000000"/>
          <w:sz w:val="20"/>
          <w:szCs w:val="20"/>
        </w:rPr>
        <w:t>9. Commitments and Contingencies</w:t>
      </w:r>
    </w:p>
    <w:p w:rsidR="00000000" w:rsidRDefault="00183441">
      <w:pPr>
        <w:jc w:val="both"/>
        <w:rPr>
          <w:rFonts w:eastAsia="Times New Roman"/>
        </w:rPr>
      </w:pPr>
    </w:p>
    <w:p w:rsidR="00000000" w:rsidRDefault="00183441">
      <w:pPr>
        <w:divId w:val="2026471169"/>
        <w:rPr>
          <w:rFonts w:eastAsia="Times New Roman"/>
        </w:rPr>
      </w:pPr>
      <w:r>
        <w:rPr>
          <w:rFonts w:eastAsia="Times New Roman"/>
          <w:i/>
          <w:iCs/>
          <w:color w:val="000000"/>
          <w:sz w:val="20"/>
          <w:szCs w:val="20"/>
        </w:rPr>
        <w:t>Legal Proceedings</w:t>
      </w:r>
    </w:p>
    <w:p w:rsidR="00000000" w:rsidRDefault="00183441">
      <w:pPr>
        <w:divId w:val="2092391487"/>
        <w:rPr>
          <w:rFonts w:eastAsia="Times New Roman"/>
        </w:rPr>
      </w:pPr>
    </w:p>
    <w:p w:rsidR="00000000" w:rsidRDefault="00183441">
      <w:pPr>
        <w:jc w:val="both"/>
        <w:divId w:val="1963732737"/>
        <w:rPr>
          <w:rFonts w:eastAsia="Times New Roman"/>
        </w:rPr>
      </w:pPr>
      <w:r>
        <w:rPr>
          <w:rFonts w:eastAsia="Times New Roman"/>
          <w:color w:val="000000"/>
          <w:sz w:val="20"/>
          <w:szCs w:val="20"/>
        </w:rPr>
        <w:t>From time to time, the Company is involved in various legal proceedings incidental to its business. Because of the nature and inherent uncertainties of litigation, we cannot predict with certainty the ultimate resolution of these actions and, should the ou</w:t>
      </w:r>
      <w:r>
        <w:rPr>
          <w:rFonts w:eastAsia="Times New Roman"/>
          <w:color w:val="000000"/>
          <w:sz w:val="20"/>
          <w:szCs w:val="20"/>
        </w:rPr>
        <w:t>tcome of these actions be unfavorable, the Company’s business, financial position, results of operations or cash flows could be materially and adversely affected.</w:t>
      </w:r>
    </w:p>
    <w:p w:rsidR="00000000" w:rsidRDefault="00183441">
      <w:pPr>
        <w:jc w:val="both"/>
        <w:divId w:val="1206016957"/>
        <w:rPr>
          <w:rFonts w:eastAsia="Times New Roman"/>
        </w:rPr>
      </w:pPr>
      <w:r>
        <w:rPr>
          <w:rFonts w:eastAsia="Times New Roman"/>
          <w:color w:val="000000"/>
          <w:sz w:val="20"/>
          <w:szCs w:val="20"/>
        </w:rPr>
        <w:t>The Company reviews the status of its legal proceedings and records a provision for a liabili</w:t>
      </w:r>
      <w:r>
        <w:rPr>
          <w:rFonts w:eastAsia="Times New Roman"/>
          <w:color w:val="000000"/>
          <w:sz w:val="20"/>
          <w:szCs w:val="20"/>
        </w:rPr>
        <w:t>ty when it is considered probable that both a liability has been incurred and the amount of the loss can be reasonably estimated. This review is updated periodically as additional information becomes available. If either or both of the criteria are not met</w:t>
      </w:r>
      <w:r>
        <w:rPr>
          <w:rFonts w:eastAsia="Times New Roman"/>
          <w:color w:val="000000"/>
          <w:sz w:val="20"/>
          <w:szCs w:val="20"/>
        </w:rPr>
        <w:t>, we reassess whether there is at least a reasonable possibility that a loss, or additional losses, may be incurred. If there is a reasonable possibility that a loss may be incurred, we disclose the estimate of the amount of the loss or range of losses, or</w:t>
      </w:r>
      <w:r>
        <w:rPr>
          <w:rFonts w:eastAsia="Times New Roman"/>
          <w:color w:val="000000"/>
          <w:sz w:val="20"/>
          <w:szCs w:val="20"/>
        </w:rPr>
        <w:t xml:space="preserve"> that an estimate of loss cannot be made. The Company expenses its legal fees as incurred.</w:t>
      </w:r>
    </w:p>
    <w:p w:rsidR="00000000" w:rsidRDefault="00183441">
      <w:pPr>
        <w:jc w:val="both"/>
        <w:divId w:val="2121022086"/>
        <w:rPr>
          <w:rFonts w:eastAsia="Times New Roman"/>
        </w:rPr>
      </w:pPr>
      <w:r>
        <w:rPr>
          <w:rFonts w:eastAsia="Times New Roman"/>
          <w:color w:val="000000"/>
          <w:sz w:val="20"/>
          <w:szCs w:val="20"/>
        </w:rPr>
        <w:t>We are currently and may in the future become subject to various claims and pending or threatened lawsuits in the ordinary course of our business.</w:t>
      </w:r>
    </w:p>
    <w:p w:rsidR="00000000" w:rsidRDefault="00183441">
      <w:pPr>
        <w:jc w:val="both"/>
        <w:divId w:val="1087656834"/>
        <w:rPr>
          <w:rFonts w:eastAsia="Times New Roman"/>
        </w:rPr>
      </w:pPr>
      <w:r>
        <w:rPr>
          <w:rFonts w:eastAsia="Times New Roman"/>
          <w:color w:val="000000"/>
          <w:sz w:val="20"/>
          <w:szCs w:val="20"/>
        </w:rPr>
        <w:t>On September 23, 2</w:t>
      </w:r>
      <w:r>
        <w:rPr>
          <w:rFonts w:eastAsia="Times New Roman"/>
          <w:color w:val="000000"/>
          <w:sz w:val="20"/>
          <w:szCs w:val="20"/>
        </w:rPr>
        <w:t>022, we were served with notice of a lawsuit filed by a former employee in California state court alleging, on behalf of a proposed class of employees, several violations of California wage and hour laws. We believe that the claims are without merit and in</w:t>
      </w:r>
      <w:r>
        <w:rPr>
          <w:rFonts w:eastAsia="Times New Roman"/>
          <w:color w:val="000000"/>
          <w:sz w:val="20"/>
          <w:szCs w:val="20"/>
        </w:rPr>
        <w:t>tend to oppose the certification of a class and to defend the litigation vigorously.</w:t>
      </w:r>
    </w:p>
    <w:p w:rsidR="00000000" w:rsidRDefault="00183441">
      <w:pPr>
        <w:jc w:val="both"/>
        <w:divId w:val="1030254806"/>
        <w:rPr>
          <w:rFonts w:eastAsia="Times New Roman"/>
        </w:rPr>
      </w:pPr>
    </w:p>
    <w:p w:rsidR="00000000" w:rsidRDefault="00183441">
      <w:pPr>
        <w:jc w:val="both"/>
        <w:rPr>
          <w:rFonts w:eastAsia="Times New Roman"/>
        </w:rPr>
      </w:pPr>
      <w:r>
        <w:rPr>
          <w:rFonts w:eastAsia="Times New Roman"/>
          <w:b/>
          <w:bCs/>
          <w:color w:val="000000"/>
          <w:sz w:val="20"/>
          <w:szCs w:val="20"/>
        </w:rPr>
        <w:t>10. Segment Reporting</w:t>
      </w:r>
    </w:p>
    <w:p w:rsidR="00000000" w:rsidRDefault="00183441">
      <w:pPr>
        <w:jc w:val="both"/>
        <w:rPr>
          <w:rFonts w:eastAsia="Times New Roman"/>
        </w:rPr>
      </w:pPr>
    </w:p>
    <w:p w:rsidR="00000000" w:rsidRDefault="00183441">
      <w:pPr>
        <w:jc w:val="both"/>
        <w:divId w:val="1794901385"/>
        <w:rPr>
          <w:rFonts w:eastAsia="Times New Roman"/>
        </w:rPr>
      </w:pPr>
      <w:r>
        <w:rPr>
          <w:rFonts w:eastAsia="Times New Roman"/>
          <w:color w:val="000000"/>
          <w:sz w:val="20"/>
          <w:szCs w:val="20"/>
        </w:rPr>
        <w:t>The Company provides its principal products and services through two reportable segments: Owned &amp; Host and Legacy. The “</w:t>
      </w:r>
      <w:r>
        <w:rPr>
          <w:rFonts w:eastAsia="Times New Roman"/>
          <w:color w:val="000000"/>
          <w:sz w:val="20"/>
          <w:szCs w:val="20"/>
        </w:rPr>
        <w:t>Corporate/Other” category includes the results of operations of our other operating segments, AC Lens and FirstSight, as well as corporate overhead support. The “Reconciliations” category represents other adjustments to reportable segment results necessary</w:t>
      </w:r>
      <w:r>
        <w:rPr>
          <w:rFonts w:eastAsia="Times New Roman"/>
          <w:color w:val="000000"/>
          <w:sz w:val="20"/>
          <w:szCs w:val="20"/>
        </w:rPr>
        <w:t xml:space="preserve"> for the presentation of consolidated financial results in accordance with U.S. GAAP for the two reportable segments. Incremental expenses related to the COVID-19 pandemic are allocated to the reportable segments.</w:t>
      </w:r>
    </w:p>
    <w:p w:rsidR="00000000" w:rsidRDefault="00183441">
      <w:pPr>
        <w:jc w:val="center"/>
        <w:divId w:val="1885368652"/>
        <w:rPr>
          <w:rFonts w:eastAsia="Times New Roman"/>
        </w:rPr>
      </w:pPr>
      <w:r>
        <w:rPr>
          <w:rFonts w:eastAsia="Times New Roman"/>
          <w:color w:val="000000"/>
          <w:sz w:val="20"/>
          <w:szCs w:val="20"/>
        </w:rPr>
        <w:t>18</w:t>
      </w:r>
    </w:p>
    <w:p w:rsidR="00000000" w:rsidRDefault="00183441">
      <w:pPr>
        <w:rPr>
          <w:rFonts w:eastAsia="Times New Roman"/>
        </w:rPr>
      </w:pPr>
      <w:r>
        <w:rPr>
          <w:rFonts w:eastAsia="Times New Roman"/>
        </w:rPr>
        <w:pict>
          <v:rect id="_x0000_i1042" style="width:0;height:1.5pt" o:hralign="center" o:hrstd="t" o:hr="t" fillcolor="#a0a0a0" stroked="f"/>
        </w:pict>
      </w:r>
    </w:p>
    <w:p w:rsidR="00000000" w:rsidRDefault="00183441">
      <w:pPr>
        <w:divId w:val="304428630"/>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542257278"/>
        <w:rPr>
          <w:rFonts w:eastAsia="Times New Roman"/>
        </w:rPr>
      </w:pPr>
      <w:r>
        <w:rPr>
          <w:rFonts w:eastAsia="Times New Roman"/>
          <w:color w:val="000000"/>
          <w:sz w:val="20"/>
          <w:szCs w:val="20"/>
        </w:rPr>
        <w:t>Our reportable segment profit measure is earnings before interest, tax, depreciation and amortization (“EBITDA”) or net revenue, less costs applicable to revenue, less SG&amp;A expenses.</w:t>
      </w:r>
      <w:r>
        <w:rPr>
          <w:rFonts w:eastAsia="Times New Roman"/>
          <w:color w:val="000000"/>
          <w:sz w:val="20"/>
          <w:szCs w:val="20"/>
        </w:rPr>
        <w:t xml:space="preserve"> Depreciation and amortization, asset impairment, and other corporate costs that are not allocated to the reportable segments, including interest expense (income) are excluded from segment EBITDA. There are no revenue transactions between our reportable se</w:t>
      </w:r>
      <w:r>
        <w:rPr>
          <w:rFonts w:eastAsia="Times New Roman"/>
          <w:color w:val="000000"/>
          <w:sz w:val="20"/>
          <w:szCs w:val="20"/>
        </w:rPr>
        <w:t>gments. There are no differences between the measurement of our reportable segments’ assets and consolidated assets. There have been no changes from prior periods in the measurement methods used to determine reportable segment profit or loss, and there hav</w:t>
      </w:r>
      <w:r>
        <w:rPr>
          <w:rFonts w:eastAsia="Times New Roman"/>
          <w:color w:val="000000"/>
          <w:sz w:val="20"/>
          <w:szCs w:val="20"/>
        </w:rPr>
        <w:t>e been no asymmetrical allocations to segments.</w:t>
      </w:r>
    </w:p>
    <w:p w:rsidR="00000000" w:rsidRDefault="00183441">
      <w:pPr>
        <w:jc w:val="both"/>
        <w:divId w:val="1457914996"/>
        <w:rPr>
          <w:rFonts w:eastAsia="Times New Roman"/>
        </w:rPr>
      </w:pPr>
      <w:r>
        <w:rPr>
          <w:rFonts w:eastAsia="Times New Roman"/>
          <w:color w:val="000000"/>
          <w:sz w:val="20"/>
          <w:szCs w:val="20"/>
        </w:rPr>
        <w:t>The following is a summary of certain financial data for each of our segments. Reportable segment information is presented on the same basis as our consolidated financial statements, except for net revenue an</w:t>
      </w:r>
      <w:r>
        <w:rPr>
          <w:rFonts w:eastAsia="Times New Roman"/>
          <w:color w:val="000000"/>
          <w:sz w:val="20"/>
          <w:szCs w:val="20"/>
        </w:rPr>
        <w:t>d associated costs applicable to revenue, which are presented on a cash basis, including point of sales for managed care payors and excluding the effects of unearned and deferred revenue, consistent with what the Chief Operating Decision Maker (“CODM”) reg</w:t>
      </w:r>
      <w:r>
        <w:rPr>
          <w:rFonts w:eastAsia="Times New Roman"/>
          <w:color w:val="000000"/>
          <w:sz w:val="20"/>
          <w:szCs w:val="20"/>
        </w:rPr>
        <w:t>ularly reviews.</w:t>
      </w:r>
    </w:p>
    <w:p w:rsidR="00000000" w:rsidRDefault="00183441">
      <w:pPr>
        <w:divId w:val="1684629178"/>
        <w:rPr>
          <w:rFonts w:eastAsia="Times New Roman"/>
        </w:rPr>
      </w:pPr>
      <w:r>
        <w:rPr>
          <w:rFonts w:eastAsia="Times New Roman"/>
          <w:color w:val="000000"/>
          <w:sz w:val="20"/>
          <w:szCs w:val="20"/>
        </w:rPr>
        <w:t>Asset information is not included in the following summary since the CODM does not regularly review such information for the reportable segments.</w:t>
      </w:r>
    </w:p>
    <w:p w:rsidR="00000000" w:rsidRDefault="00183441">
      <w:pPr>
        <w:divId w:val="476802750"/>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trPr>
          <w:divId w:val="1035696018"/>
          <w:jc w:val="center"/>
        </w:trPr>
        <w:tc>
          <w:tcPr>
            <w:tcW w:w="50" w:type="pct"/>
            <w:vAlign w:val="center"/>
            <w:hideMark/>
          </w:tcPr>
          <w:p w:rsidR="00000000" w:rsidRDefault="00183441">
            <w:pPr>
              <w:rPr>
                <w:rFonts w:eastAsia="Times New Roman"/>
              </w:rPr>
            </w:pPr>
          </w:p>
        </w:tc>
        <w:tc>
          <w:tcPr>
            <w:tcW w:w="160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8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035696018"/>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Months Ended October 1, 2022</w:t>
            </w:r>
          </w:p>
        </w:tc>
      </w:tr>
      <w:tr w:rsidR="00000000">
        <w:trPr>
          <w:divId w:val="1035696018"/>
          <w:jc w:val="center"/>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Total</w:t>
            </w:r>
          </w:p>
        </w:tc>
      </w:tr>
      <w:tr w:rsidR="00000000">
        <w:trPr>
          <w:divId w:val="103569601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product services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323,472 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23,728 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61,939 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1,562 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410,701 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74,710 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12,935 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861 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88,506 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398,182 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36,663 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61,939 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499,207 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94,653 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11,374 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54,129 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160,645 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66,470 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5,685 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72,155 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161,123 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17,059 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54,129 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232,800 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156,430 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14,221 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54,377 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225,028 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1,263 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1,263 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(95)</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(95)</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80,629 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5,383 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(47,735)</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1,934 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03569601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24,852 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(1,977)</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03569601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17,336 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center"/>
        <w:divId w:val="1009483714"/>
        <w:rPr>
          <w:rFonts w:eastAsia="Times New Roman"/>
        </w:rPr>
      </w:pPr>
    </w:p>
    <w:tbl>
      <w:tblPr>
        <w:tblW w:w="4991" w:type="pct"/>
        <w:jc w:val="center"/>
        <w:tblCellMar>
          <w:top w:w="15" w:type="dxa"/>
          <w:left w:w="15" w:type="dxa"/>
          <w:bottom w:w="15" w:type="dxa"/>
          <w:right w:w="15" w:type="dxa"/>
        </w:tblCellMar>
        <w:tblLook w:val="04A0" w:firstRow="1" w:lastRow="0" w:firstColumn="1" w:lastColumn="0" w:noHBand="0" w:noVBand="1"/>
      </w:tblPr>
      <w:tblGrid>
        <w:gridCol w:w="39"/>
        <w:gridCol w:w="2447"/>
        <w:gridCol w:w="38"/>
        <w:gridCol w:w="120"/>
        <w:gridCol w:w="763"/>
        <w:gridCol w:w="36"/>
        <w:gridCol w:w="36"/>
        <w:gridCol w:w="36"/>
        <w:gridCol w:w="36"/>
        <w:gridCol w:w="120"/>
        <w:gridCol w:w="672"/>
        <w:gridCol w:w="36"/>
        <w:gridCol w:w="36"/>
        <w:gridCol w:w="36"/>
        <w:gridCol w:w="36"/>
        <w:gridCol w:w="121"/>
        <w:gridCol w:w="1229"/>
        <w:gridCol w:w="36"/>
        <w:gridCol w:w="36"/>
        <w:gridCol w:w="36"/>
        <w:gridCol w:w="36"/>
        <w:gridCol w:w="121"/>
        <w:gridCol w:w="1189"/>
        <w:gridCol w:w="36"/>
        <w:gridCol w:w="36"/>
        <w:gridCol w:w="36"/>
        <w:gridCol w:w="36"/>
        <w:gridCol w:w="120"/>
        <w:gridCol w:w="700"/>
        <w:gridCol w:w="36"/>
      </w:tblGrid>
      <w:tr w:rsidR="00000000">
        <w:trPr>
          <w:divId w:val="698896346"/>
          <w:jc w:val="center"/>
        </w:trPr>
        <w:tc>
          <w:tcPr>
            <w:tcW w:w="50" w:type="pct"/>
            <w:vAlign w:val="center"/>
            <w:hideMark/>
          </w:tcPr>
          <w:p w:rsidR="00000000" w:rsidRDefault="00183441">
            <w:pPr>
              <w:jc w:val="center"/>
              <w:rPr>
                <w:rFonts w:eastAsia="Times New Roman"/>
              </w:rPr>
            </w:pPr>
          </w:p>
        </w:tc>
        <w:tc>
          <w:tcPr>
            <w:tcW w:w="160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8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698896346"/>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Months Ended October 2, 2021</w:t>
            </w:r>
          </w:p>
        </w:tc>
      </w:tr>
      <w:tr w:rsidR="00000000">
        <w:trPr>
          <w:divId w:val="698896346"/>
          <w:jc w:val="center"/>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Total</w:t>
            </w:r>
          </w:p>
        </w:tc>
      </w:tr>
      <w:tr w:rsidR="00000000">
        <w:trPr>
          <w:divId w:val="698896346"/>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338,931 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24,934 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58,063 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3,666 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425,594 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77,171 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15,908 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w:t>
            </w:r>
            <w:r>
              <w:rPr>
                <w:rFonts w:eastAsia="Times New Roman"/>
                <w:color w:val="000000"/>
                <w:sz w:val="20"/>
                <w:szCs w:val="20"/>
              </w:rPr>
              <w:t>668)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92,411 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416,102 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40,842 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58,063 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2,998 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518,005 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Cost of products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95,004 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12,012 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50,477 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158,371 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Cost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61,695 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6,392 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68,087 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156,699 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50,477 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878 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226,458 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156,814 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14,363 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47,037 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218,214 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(2,437)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(2,437)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102,589 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8,075 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(37,014)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2,120 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698896346"/>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25,059 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5,743 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98896346"/>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44,968 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center"/>
        <w:divId w:val="263614879"/>
        <w:rPr>
          <w:rFonts w:eastAsia="Times New Roman"/>
        </w:rPr>
      </w:pPr>
    </w:p>
    <w:p w:rsidR="00000000" w:rsidRDefault="00183441">
      <w:pPr>
        <w:jc w:val="center"/>
        <w:divId w:val="2053771177"/>
        <w:rPr>
          <w:rFonts w:eastAsia="Times New Roman"/>
        </w:rPr>
      </w:pPr>
      <w:r>
        <w:rPr>
          <w:rFonts w:eastAsia="Times New Roman"/>
          <w:color w:val="000000"/>
          <w:sz w:val="20"/>
          <w:szCs w:val="20"/>
        </w:rPr>
        <w:t>19</w:t>
      </w:r>
    </w:p>
    <w:p w:rsidR="00000000" w:rsidRDefault="00183441">
      <w:pPr>
        <w:rPr>
          <w:rFonts w:eastAsia="Times New Roman"/>
        </w:rPr>
      </w:pPr>
      <w:r>
        <w:rPr>
          <w:rFonts w:eastAsia="Times New Roman"/>
        </w:rPr>
        <w:pict>
          <v:rect id="_x0000_i1043" style="width:0;height:1.5pt" o:hralign="center" o:hrstd="t" o:hr="t" fillcolor="#a0a0a0" stroked="f"/>
        </w:pict>
      </w:r>
    </w:p>
    <w:p w:rsidR="00000000" w:rsidRDefault="00183441">
      <w:pPr>
        <w:divId w:val="1235505541"/>
        <w:rPr>
          <w:rFonts w:eastAsia="Times New Roman"/>
        </w:rPr>
      </w:pPr>
      <w:hyperlink w:anchor="i51b2a36d66cb4139a869f9e4043fbbb7_7" w:history="1">
        <w:r>
          <w:rPr>
            <w:rStyle w:val="a3"/>
            <w:rFonts w:eastAsia="Times New Roman"/>
            <w:sz w:val="20"/>
            <w:szCs w:val="20"/>
          </w:rPr>
          <w:t>Table of contents</w:t>
        </w:r>
      </w:hyperlink>
    </w:p>
    <w:tbl>
      <w:tblPr>
        <w:tblW w:w="4991" w:type="pct"/>
        <w:tblCellMar>
          <w:top w:w="15" w:type="dxa"/>
          <w:left w:w="15" w:type="dxa"/>
          <w:bottom w:w="15" w:type="dxa"/>
          <w:right w:w="15" w:type="dxa"/>
        </w:tblCellMar>
        <w:tblLook w:val="04A0" w:firstRow="1" w:lastRow="0" w:firstColumn="1" w:lastColumn="0" w:noHBand="0" w:noVBand="1"/>
      </w:tblPr>
      <w:tblGrid>
        <w:gridCol w:w="39"/>
        <w:gridCol w:w="2282"/>
        <w:gridCol w:w="38"/>
        <w:gridCol w:w="120"/>
        <w:gridCol w:w="850"/>
        <w:gridCol w:w="36"/>
        <w:gridCol w:w="36"/>
        <w:gridCol w:w="36"/>
        <w:gridCol w:w="36"/>
        <w:gridCol w:w="120"/>
        <w:gridCol w:w="600"/>
        <w:gridCol w:w="36"/>
        <w:gridCol w:w="36"/>
        <w:gridCol w:w="36"/>
        <w:gridCol w:w="36"/>
        <w:gridCol w:w="121"/>
        <w:gridCol w:w="1229"/>
        <w:gridCol w:w="36"/>
        <w:gridCol w:w="36"/>
        <w:gridCol w:w="36"/>
        <w:gridCol w:w="36"/>
        <w:gridCol w:w="121"/>
        <w:gridCol w:w="1189"/>
        <w:gridCol w:w="36"/>
        <w:gridCol w:w="36"/>
        <w:gridCol w:w="36"/>
        <w:gridCol w:w="36"/>
        <w:gridCol w:w="120"/>
        <w:gridCol w:w="850"/>
        <w:gridCol w:w="36"/>
      </w:tblGrid>
      <w:tr w:rsidR="00000000">
        <w:trPr>
          <w:divId w:val="817844162"/>
        </w:trPr>
        <w:tc>
          <w:tcPr>
            <w:tcW w:w="50" w:type="pct"/>
            <w:vAlign w:val="center"/>
            <w:hideMark/>
          </w:tcPr>
          <w:p w:rsidR="00000000" w:rsidRDefault="00183441">
            <w:pPr>
              <w:rPr>
                <w:rFonts w:eastAsia="Times New Roman"/>
              </w:rPr>
            </w:pPr>
          </w:p>
        </w:tc>
        <w:tc>
          <w:tcPr>
            <w:tcW w:w="160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8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817844162"/>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 October 1, 2022</w:t>
            </w:r>
          </w:p>
        </w:tc>
      </w:tr>
      <w:tr w:rsidR="00000000">
        <w:trPr>
          <w:divId w:val="817844162"/>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Total</w:t>
            </w:r>
          </w:p>
        </w:tc>
      </w:tr>
      <w:tr w:rsidR="00000000">
        <w:trPr>
          <w:divId w:val="81784416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1,007,376 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75,659 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185,521 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(3,002)</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1,265,554 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227,883 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40,999 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2,037 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270,919 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1,235,259 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116,658 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185,521 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(965)</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1,536,473 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290,957 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35,787 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162,093 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(612)</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488,225 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197,385 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17,794 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215,179 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488,342 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53,581 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162,093 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(612)</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703,404 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470,125 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44,085 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167,201 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681,411 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Asset impairment </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170 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276,792 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18,992 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(149,121)</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(353)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81784416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75,248 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(2,158)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1784416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73,220 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divId w:val="1632974534"/>
        <w:rPr>
          <w:rFonts w:eastAsia="Times New Roman"/>
        </w:rPr>
      </w:pPr>
    </w:p>
    <w:tbl>
      <w:tblPr>
        <w:tblW w:w="4991" w:type="pct"/>
        <w:tblCellMar>
          <w:top w:w="15" w:type="dxa"/>
          <w:left w:w="15" w:type="dxa"/>
          <w:bottom w:w="15" w:type="dxa"/>
          <w:right w:w="15" w:type="dxa"/>
        </w:tblCellMar>
        <w:tblLook w:val="04A0" w:firstRow="1" w:lastRow="0" w:firstColumn="1" w:lastColumn="0" w:noHBand="0" w:noVBand="1"/>
      </w:tblPr>
      <w:tblGrid>
        <w:gridCol w:w="39"/>
        <w:gridCol w:w="2282"/>
        <w:gridCol w:w="38"/>
        <w:gridCol w:w="120"/>
        <w:gridCol w:w="850"/>
        <w:gridCol w:w="36"/>
        <w:gridCol w:w="36"/>
        <w:gridCol w:w="36"/>
        <w:gridCol w:w="36"/>
        <w:gridCol w:w="120"/>
        <w:gridCol w:w="600"/>
        <w:gridCol w:w="36"/>
        <w:gridCol w:w="36"/>
        <w:gridCol w:w="36"/>
        <w:gridCol w:w="36"/>
        <w:gridCol w:w="121"/>
        <w:gridCol w:w="1229"/>
        <w:gridCol w:w="36"/>
        <w:gridCol w:w="36"/>
        <w:gridCol w:w="36"/>
        <w:gridCol w:w="36"/>
        <w:gridCol w:w="121"/>
        <w:gridCol w:w="1189"/>
        <w:gridCol w:w="36"/>
        <w:gridCol w:w="36"/>
        <w:gridCol w:w="36"/>
        <w:gridCol w:w="36"/>
        <w:gridCol w:w="120"/>
        <w:gridCol w:w="850"/>
        <w:gridCol w:w="36"/>
      </w:tblGrid>
      <w:tr w:rsidR="00000000">
        <w:trPr>
          <w:divId w:val="1507984242"/>
        </w:trPr>
        <w:tc>
          <w:tcPr>
            <w:tcW w:w="50" w:type="pct"/>
            <w:vAlign w:val="center"/>
            <w:hideMark/>
          </w:tcPr>
          <w:p w:rsidR="00000000" w:rsidRDefault="00183441">
            <w:pPr>
              <w:rPr>
                <w:rFonts w:eastAsia="Times New Roman"/>
              </w:rPr>
            </w:pPr>
          </w:p>
        </w:tc>
        <w:tc>
          <w:tcPr>
            <w:tcW w:w="160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8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5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507984242"/>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7"/>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 October 2, 2021</w:t>
            </w:r>
          </w:p>
        </w:tc>
      </w:tr>
      <w:tr w:rsidR="00000000">
        <w:trPr>
          <w:divId w:val="1507984242"/>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Owned &amp; Host</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Legacy</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Corporate/Other</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Reconciliations</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Total</w:t>
            </w:r>
          </w:p>
        </w:tc>
      </w:tr>
      <w:tr w:rsidR="00000000">
        <w:trPr>
          <w:divId w:val="150798424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product sales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1,069,678 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79,209 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180,801 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(2,821)</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1,326,867 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sales of services and plans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239,028 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48,815 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(13,036)</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274,807 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net revenue</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1,308,706 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128,024 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180,801 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(15,857)</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1,601,674 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Costs of products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290,647 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37,781 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157,186 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(524)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485,090 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Costs of services and plans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182,947 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19,057 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202,004 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costs applicable to revenue</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473,594 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56,838 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157,186 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(524)</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687,094 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SG&amp;A</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465,690 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43,458 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166,894 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676,042 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Asset impairment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(2,567)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(2,567)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EBITDA</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369,422 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27,728 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(142,190)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(15,333)</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50798424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Depreciation and amortization</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72,639 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22,261 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507984242"/>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Earnings before income taxes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144,727 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center"/>
        <w:divId w:val="1056003655"/>
        <w:rPr>
          <w:rFonts w:eastAsia="Times New Roman"/>
        </w:rPr>
      </w:pPr>
      <w:r>
        <w:rPr>
          <w:rFonts w:eastAsia="Times New Roman"/>
          <w:color w:val="000000"/>
          <w:sz w:val="20"/>
          <w:szCs w:val="20"/>
        </w:rPr>
        <w:t>20</w:t>
      </w:r>
    </w:p>
    <w:p w:rsidR="00000000" w:rsidRDefault="00183441">
      <w:pPr>
        <w:rPr>
          <w:rFonts w:eastAsia="Times New Roman"/>
        </w:rPr>
      </w:pPr>
      <w:r>
        <w:rPr>
          <w:rFonts w:eastAsia="Times New Roman"/>
        </w:rPr>
        <w:pict>
          <v:rect id="_x0000_i1044" style="width:0;height:1.5pt" o:hralign="center" o:hrstd="t" o:hr="t" fillcolor="#a0a0a0" stroked="f"/>
        </w:pict>
      </w:r>
    </w:p>
    <w:p w:rsidR="00000000" w:rsidRDefault="00183441">
      <w:pPr>
        <w:divId w:val="1564751881"/>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960695910"/>
        <w:rPr>
          <w:rFonts w:eastAsia="Times New Roman"/>
        </w:rPr>
      </w:pPr>
    </w:p>
    <w:p w:rsidR="00000000" w:rsidRDefault="00183441">
      <w:pPr>
        <w:jc w:val="both"/>
        <w:rPr>
          <w:rFonts w:eastAsia="Times New Roman"/>
        </w:rPr>
      </w:pPr>
      <w:r>
        <w:rPr>
          <w:rFonts w:eastAsia="Times New Roman"/>
          <w:b/>
          <w:bCs/>
          <w:color w:val="000000"/>
          <w:sz w:val="20"/>
          <w:szCs w:val="20"/>
        </w:rPr>
        <w:t>11. Earnings Per Share</w:t>
      </w:r>
    </w:p>
    <w:p w:rsidR="00000000" w:rsidRDefault="00183441">
      <w:pPr>
        <w:jc w:val="both"/>
        <w:rPr>
          <w:rFonts w:eastAsia="Times New Roman"/>
        </w:rPr>
      </w:pPr>
    </w:p>
    <w:p w:rsidR="00000000" w:rsidRDefault="00183441">
      <w:pPr>
        <w:jc w:val="both"/>
        <w:divId w:val="1575431260"/>
        <w:rPr>
          <w:rFonts w:eastAsia="Times New Roman"/>
        </w:rPr>
      </w:pPr>
      <w:r>
        <w:rPr>
          <w:rFonts w:eastAsia="Times New Roman"/>
          <w:color w:val="000000"/>
          <w:sz w:val="20"/>
          <w:szCs w:val="20"/>
        </w:rPr>
        <w:t xml:space="preserve">Diluted EPS related to the 2025 Notes is calculated using the if-converted method; the number of dilutive shares is based on the initial conversion rate associated with the 2025 Notes. The 2025 Notes were antidilutive for the three months ended October 1, </w:t>
      </w:r>
      <w:r>
        <w:rPr>
          <w:rFonts w:eastAsia="Times New Roman"/>
          <w:color w:val="000000"/>
          <w:sz w:val="20"/>
          <w:szCs w:val="20"/>
        </w:rPr>
        <w:t>2022. A reconciliation of the numerators and denominators of the basic and diluted EPS calculations is as follows:</w:t>
      </w:r>
    </w:p>
    <w:tbl>
      <w:tblPr>
        <w:tblW w:w="5000" w:type="pct"/>
        <w:tblCellMar>
          <w:top w:w="15" w:type="dxa"/>
          <w:left w:w="15" w:type="dxa"/>
          <w:bottom w:w="15" w:type="dxa"/>
          <w:right w:w="15" w:type="dxa"/>
        </w:tblCellMar>
        <w:tblLook w:val="04A0" w:firstRow="1" w:lastRow="0" w:firstColumn="1" w:lastColumn="0" w:noHBand="0" w:noVBand="1"/>
      </w:tblPr>
      <w:tblGrid>
        <w:gridCol w:w="39"/>
        <w:gridCol w:w="3284"/>
        <w:gridCol w:w="38"/>
        <w:gridCol w:w="120"/>
        <w:gridCol w:w="963"/>
        <w:gridCol w:w="36"/>
        <w:gridCol w:w="36"/>
        <w:gridCol w:w="36"/>
        <w:gridCol w:w="36"/>
        <w:gridCol w:w="120"/>
        <w:gridCol w:w="914"/>
        <w:gridCol w:w="36"/>
        <w:gridCol w:w="36"/>
        <w:gridCol w:w="36"/>
        <w:gridCol w:w="36"/>
        <w:gridCol w:w="120"/>
        <w:gridCol w:w="1060"/>
        <w:gridCol w:w="36"/>
        <w:gridCol w:w="36"/>
        <w:gridCol w:w="36"/>
        <w:gridCol w:w="36"/>
        <w:gridCol w:w="120"/>
        <w:gridCol w:w="1060"/>
        <w:gridCol w:w="36"/>
      </w:tblGrid>
      <w:tr w:rsidR="00000000">
        <w:trPr>
          <w:divId w:val="606229357"/>
        </w:trPr>
        <w:tc>
          <w:tcPr>
            <w:tcW w:w="50" w:type="pct"/>
            <w:vAlign w:val="center"/>
            <w:hideMark/>
          </w:tcPr>
          <w:p w:rsidR="00000000" w:rsidRDefault="00183441">
            <w:pPr>
              <w:jc w:val="both"/>
              <w:rPr>
                <w:rFonts w:eastAsia="Times New Roman"/>
              </w:rPr>
            </w:pPr>
          </w:p>
        </w:tc>
        <w:tc>
          <w:tcPr>
            <w:tcW w:w="201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2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1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9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9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606229357"/>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606229357"/>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 xml:space="preserve">In thousands, except EPS </w:t>
            </w:r>
          </w:p>
        </w:tc>
        <w:tc>
          <w:tcPr>
            <w:tcW w:w="0" w:type="auto"/>
            <w:gridSpan w:val="3"/>
            <w:tcBorders>
              <w:top w:val="single" w:sz="8" w:space="0" w:color="000000"/>
            </w:tcBorders>
            <w:shd w:val="clear" w:color="auto" w:fill="FFFFFF"/>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60622935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122,025 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After-tax interest expense for 2025 Notes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2,393 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7,127 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7,087 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Numerator for 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43,385 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58,510 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129,112 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Weighted average shares outstanding for basic EPS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78,910 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82,290 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80,133 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81,729 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606229357"/>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Stock options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709 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1,107 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Restricted stock </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597 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2025 Notes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12,911 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12,912 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Weighted average shares outstanding for diluted EPS</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79,304 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96,508 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93,477 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96,193 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Basic EPS</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0.50 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0.64 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0.45 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0.63 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60622935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Anti-dilutive securities excluded from diluted weighted average common shares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13,363 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460 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divId w:val="384642241"/>
        <w:rPr>
          <w:rFonts w:eastAsia="Times New Roman"/>
        </w:rPr>
      </w:pPr>
    </w:p>
    <w:p w:rsidR="00000000" w:rsidRDefault="00183441">
      <w:pPr>
        <w:jc w:val="both"/>
        <w:rPr>
          <w:rFonts w:eastAsia="Times New Roman"/>
        </w:rPr>
      </w:pPr>
      <w:r>
        <w:rPr>
          <w:rFonts w:eastAsia="Times New Roman"/>
          <w:b/>
          <w:bCs/>
          <w:color w:val="000000"/>
          <w:sz w:val="20"/>
          <w:szCs w:val="20"/>
        </w:rPr>
        <w:t>12. Accumulated Othe</w:t>
      </w:r>
      <w:r>
        <w:rPr>
          <w:rFonts w:eastAsia="Times New Roman"/>
          <w:b/>
          <w:bCs/>
          <w:color w:val="000000"/>
          <w:sz w:val="20"/>
          <w:szCs w:val="20"/>
        </w:rPr>
        <w:t>r Comprehensive Loss</w:t>
      </w:r>
    </w:p>
    <w:p w:rsidR="00000000" w:rsidRDefault="00183441">
      <w:pPr>
        <w:jc w:val="both"/>
        <w:rPr>
          <w:rFonts w:eastAsia="Times New Roman"/>
        </w:rPr>
      </w:pPr>
    </w:p>
    <w:p w:rsidR="00000000" w:rsidRDefault="00183441">
      <w:pPr>
        <w:jc w:val="both"/>
        <w:divId w:val="2020236619"/>
        <w:rPr>
          <w:rFonts w:eastAsia="Times New Roman"/>
        </w:rPr>
      </w:pPr>
      <w:r>
        <w:rPr>
          <w:rFonts w:eastAsia="Times New Roman"/>
          <w:color w:val="000000"/>
          <w:sz w:val="20"/>
          <w:szCs w:val="20"/>
        </w:rPr>
        <w:t>Changes in the fair value of the Company’</w:t>
      </w:r>
      <w:r>
        <w:rPr>
          <w:rFonts w:eastAsia="Times New Roman"/>
          <w:color w:val="000000"/>
          <w:sz w:val="20"/>
          <w:szCs w:val="20"/>
        </w:rPr>
        <w:t>s cash flow hedge derivative instruments from their inception are recorded in AOCL if the instruments are deemed to be highly effective as cash flow hedges. The following table presents the changes in AOCL, net of tax during the three and nine months ended</w:t>
      </w:r>
      <w:r>
        <w:rPr>
          <w:rFonts w:eastAsia="Times New Roman"/>
          <w:color w:val="000000"/>
          <w:sz w:val="20"/>
          <w:szCs w:val="20"/>
        </w:rPr>
        <w:t xml:space="preserve"> October 1, 2022 and October 2, 2021, respectively:</w:t>
      </w:r>
    </w:p>
    <w:tbl>
      <w:tblPr>
        <w:tblW w:w="5000" w:type="pct"/>
        <w:tblCellMar>
          <w:top w:w="15" w:type="dxa"/>
          <w:left w:w="15" w:type="dxa"/>
          <w:bottom w:w="15" w:type="dxa"/>
          <w:right w:w="15" w:type="dxa"/>
        </w:tblCellMar>
        <w:tblLook w:val="04A0" w:firstRow="1" w:lastRow="0" w:firstColumn="1" w:lastColumn="0" w:noHBand="0" w:noVBand="1"/>
      </w:tblPr>
      <w:tblGrid>
        <w:gridCol w:w="38"/>
        <w:gridCol w:w="3193"/>
        <w:gridCol w:w="37"/>
        <w:gridCol w:w="120"/>
        <w:gridCol w:w="990"/>
        <w:gridCol w:w="36"/>
        <w:gridCol w:w="36"/>
        <w:gridCol w:w="36"/>
        <w:gridCol w:w="36"/>
        <w:gridCol w:w="120"/>
        <w:gridCol w:w="980"/>
        <w:gridCol w:w="36"/>
        <w:gridCol w:w="36"/>
        <w:gridCol w:w="36"/>
        <w:gridCol w:w="36"/>
        <w:gridCol w:w="120"/>
        <w:gridCol w:w="1060"/>
        <w:gridCol w:w="36"/>
        <w:gridCol w:w="36"/>
        <w:gridCol w:w="36"/>
        <w:gridCol w:w="36"/>
        <w:gridCol w:w="120"/>
        <w:gridCol w:w="1060"/>
        <w:gridCol w:w="36"/>
      </w:tblGrid>
      <w:tr w:rsidR="00000000">
        <w:trPr>
          <w:divId w:val="886261198"/>
        </w:trPr>
        <w:tc>
          <w:tcPr>
            <w:tcW w:w="50" w:type="pct"/>
            <w:vAlign w:val="center"/>
            <w:hideMark/>
          </w:tcPr>
          <w:p w:rsidR="00000000" w:rsidRDefault="00183441">
            <w:pPr>
              <w:jc w:val="both"/>
              <w:rPr>
                <w:rFonts w:eastAsia="Times New Roman"/>
              </w:rPr>
            </w:pPr>
          </w:p>
        </w:tc>
        <w:tc>
          <w:tcPr>
            <w:tcW w:w="195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2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4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9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9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886261198"/>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center"/>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886261198"/>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886261198"/>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Cash flow hedging activity:</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886261198"/>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 at beginning of period</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(1,562)</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(3,093)</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(1,940)</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(4,400)</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86261198"/>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Other comprehensive income (loss) before reclassification</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86261198"/>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Tax effect of other comprehensive income (loss) before reclassification</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86261198"/>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Amount reclassified from AOCL into interest expense</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340 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762 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4,959 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86261198"/>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Tax effect of amount reclassified from AOCL into interest expense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(87)</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(1,267)</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86261198"/>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Stranded tax effect of matured interest rate swaps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(2,125)</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86261198"/>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current period other comprehensive income (loss), net of tax</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1,560 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886261198"/>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Balance at end of period</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(1,372)</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(2,840)</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jc w:val="both"/>
        <w:divId w:val="456800815"/>
        <w:rPr>
          <w:rFonts w:eastAsia="Times New Roman"/>
        </w:rPr>
      </w:pPr>
      <w:r>
        <w:rPr>
          <w:rFonts w:eastAsia="Times New Roman"/>
          <w:color w:val="000000"/>
          <w:sz w:val="20"/>
          <w:szCs w:val="20"/>
        </w:rPr>
        <w:t>See Note 5. “Interest Rate Derivatives” for a description of the Company’s use of cash f</w:t>
      </w:r>
      <w:r>
        <w:rPr>
          <w:rFonts w:eastAsia="Times New Roman"/>
          <w:color w:val="000000"/>
          <w:sz w:val="20"/>
          <w:szCs w:val="20"/>
        </w:rPr>
        <w:t>low hedging derivatives.</w:t>
      </w:r>
    </w:p>
    <w:p w:rsidR="00000000" w:rsidRDefault="00183441">
      <w:pPr>
        <w:jc w:val="both"/>
        <w:divId w:val="942809336"/>
        <w:rPr>
          <w:rFonts w:eastAsia="Times New Roman"/>
        </w:rPr>
      </w:pPr>
    </w:p>
    <w:p w:rsidR="00000000" w:rsidRDefault="00183441">
      <w:pPr>
        <w:jc w:val="center"/>
        <w:divId w:val="1549801605"/>
        <w:rPr>
          <w:rFonts w:eastAsia="Times New Roman"/>
        </w:rPr>
      </w:pPr>
      <w:r>
        <w:rPr>
          <w:rFonts w:eastAsia="Times New Roman"/>
          <w:color w:val="000000"/>
          <w:sz w:val="20"/>
          <w:szCs w:val="20"/>
        </w:rPr>
        <w:t>21</w:t>
      </w:r>
    </w:p>
    <w:p w:rsidR="00000000" w:rsidRDefault="00183441">
      <w:pPr>
        <w:rPr>
          <w:rFonts w:eastAsia="Times New Roman"/>
        </w:rPr>
      </w:pPr>
      <w:r>
        <w:rPr>
          <w:rFonts w:eastAsia="Times New Roman"/>
        </w:rPr>
        <w:pict>
          <v:rect id="_x0000_i1045" style="width:0;height:1.5pt" o:hralign="center" o:hrstd="t" o:hr="t" fillcolor="#a0a0a0" stroked="f"/>
        </w:pict>
      </w:r>
    </w:p>
    <w:p w:rsidR="00000000" w:rsidRDefault="00183441">
      <w:pPr>
        <w:divId w:val="1519149975"/>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divId w:val="59715055"/>
        <w:rPr>
          <w:rFonts w:eastAsia="Times New Roman"/>
        </w:rPr>
      </w:pPr>
      <w:r>
        <w:rPr>
          <w:rFonts w:eastAsia="Times New Roman"/>
          <w:b/>
          <w:bCs/>
          <w:color w:val="000000"/>
          <w:sz w:val="20"/>
          <w:szCs w:val="20"/>
        </w:rPr>
        <w:t>Item 2. Management’s Discussion and Analysis of Financial Condition and Results of Operations</w:t>
      </w:r>
    </w:p>
    <w:p w:rsidR="00000000" w:rsidRDefault="00183441">
      <w:pPr>
        <w:jc w:val="both"/>
        <w:rPr>
          <w:rFonts w:eastAsia="Times New Roman"/>
        </w:rPr>
      </w:pPr>
      <w:r>
        <w:rPr>
          <w:rFonts w:eastAsia="Times New Roman"/>
          <w:i/>
          <w:iCs/>
          <w:color w:val="000000"/>
          <w:sz w:val="20"/>
          <w:szCs w:val="20"/>
        </w:rPr>
        <w:t>The following contai</w:t>
      </w:r>
      <w:r>
        <w:rPr>
          <w:rFonts w:eastAsia="Times New Roman"/>
          <w:i/>
          <w:iCs/>
          <w:color w:val="000000"/>
          <w:sz w:val="20"/>
          <w:szCs w:val="20"/>
        </w:rPr>
        <w:t>ns management’s discussion and analysis of our financial condition and results of operations and should be read together with the unaudited condensed consolidated financial statements and the related notes thereto included elsewhere in this Form 10-Q (this</w:t>
      </w:r>
      <w:r>
        <w:rPr>
          <w:rFonts w:eastAsia="Times New Roman"/>
          <w:i/>
          <w:iCs/>
          <w:color w:val="000000"/>
          <w:sz w:val="20"/>
          <w:szCs w:val="20"/>
        </w:rPr>
        <w:t xml:space="preserve"> “Form 10-Q”) and the audited consolidated financial statements and “Management’s Discussion and Analysis of Financial Condition and Results of Operations” included in our Annual Report on Form 10-K filed with the Securities and Exchange Commission (the “S</w:t>
      </w:r>
      <w:r>
        <w:rPr>
          <w:rFonts w:eastAsia="Times New Roman"/>
          <w:i/>
          <w:iCs/>
          <w:color w:val="000000"/>
          <w:sz w:val="20"/>
          <w:szCs w:val="20"/>
        </w:rPr>
        <w:t>EC”) on February 28, 2022 (the “2021 Annual Report on Form 10-K.”) This discussion contains forward-looking statements that reflect our plans, estimates and beliefs as of the date hereof and we undertake no obligation to publicly update or revise any forwa</w:t>
      </w:r>
      <w:r>
        <w:rPr>
          <w:rFonts w:eastAsia="Times New Roman"/>
          <w:i/>
          <w:iCs/>
          <w:color w:val="000000"/>
          <w:sz w:val="20"/>
          <w:szCs w:val="20"/>
        </w:rPr>
        <w:t>rd-looking statement as a result of new information, future events or otherwise, except as required by law. These forward-looking statements involve numerous risks and uncertainties, including, but not limited to, those described in the “Risk Factors” sect</w:t>
      </w:r>
      <w:r>
        <w:rPr>
          <w:rFonts w:eastAsia="Times New Roman"/>
          <w:i/>
          <w:iCs/>
          <w:color w:val="000000"/>
          <w:sz w:val="20"/>
          <w:szCs w:val="20"/>
        </w:rPr>
        <w:t>ion of the 2021 Annual Report on Form 10-K and in the “Risk Factors” section of this Form 10-Q, as such risk factors may be updated from time to time in our periodic filings with the SEC. Actual results may differ materially from those contained in any for</w:t>
      </w:r>
      <w:r>
        <w:rPr>
          <w:rFonts w:eastAsia="Times New Roman"/>
          <w:i/>
          <w:iCs/>
          <w:color w:val="000000"/>
          <w:sz w:val="20"/>
          <w:szCs w:val="20"/>
        </w:rPr>
        <w:t>ward-looking statements. You should carefully read “Special Note Regarding Forward-Looking Statements” in this Form 10-Q.</w:t>
      </w:r>
    </w:p>
    <w:p w:rsidR="00000000" w:rsidRDefault="00183441">
      <w:pPr>
        <w:jc w:val="both"/>
        <w:divId w:val="894238829"/>
        <w:rPr>
          <w:rFonts w:eastAsia="Times New Roman"/>
        </w:rPr>
      </w:pPr>
      <w:r>
        <w:rPr>
          <w:rFonts w:eastAsia="Times New Roman"/>
          <w:b/>
          <w:bCs/>
          <w:color w:val="000000"/>
          <w:sz w:val="20"/>
          <w:szCs w:val="20"/>
        </w:rPr>
        <w:t>Overview    </w:t>
      </w:r>
    </w:p>
    <w:p w:rsidR="00000000" w:rsidRDefault="00183441">
      <w:pPr>
        <w:jc w:val="both"/>
        <w:divId w:val="1628196138"/>
        <w:rPr>
          <w:rFonts w:eastAsia="Times New Roman"/>
        </w:rPr>
      </w:pPr>
      <w:r>
        <w:rPr>
          <w:rFonts w:eastAsia="Times New Roman"/>
          <w:color w:val="000000"/>
          <w:sz w:val="20"/>
          <w:szCs w:val="20"/>
        </w:rPr>
        <w:t>We are one of the largest and fastest growing optical retailers in the United States and a leader in the attractive value</w:t>
      </w:r>
      <w:r>
        <w:rPr>
          <w:rFonts w:eastAsia="Times New Roman"/>
          <w:color w:val="000000"/>
          <w:sz w:val="20"/>
          <w:szCs w:val="20"/>
        </w:rPr>
        <w:t xml:space="preserve"> segment of the U.S. optical retail industry. We believe that vision is central to quality of life and that people deserve to see their best to live their best, regardless of their budget. Our mission is to make quality eye care and eyewear affordable and </w:t>
      </w:r>
      <w:r>
        <w:rPr>
          <w:rFonts w:eastAsia="Times New Roman"/>
          <w:color w:val="000000"/>
          <w:sz w:val="20"/>
          <w:szCs w:val="20"/>
        </w:rPr>
        <w:t>accessible to all Americans. We achieve this by providing eye exams, eyeglasses and contact lenses to value seeking and lower income consumers. We deliver exceptional value and convenience to our customers, with an opening price point that strives to be am</w:t>
      </w:r>
      <w:r>
        <w:rPr>
          <w:rFonts w:eastAsia="Times New Roman"/>
          <w:color w:val="000000"/>
          <w:sz w:val="20"/>
          <w:szCs w:val="20"/>
        </w:rPr>
        <w:t>ong the lowest in the industry, enabled by our low-cost operating platform. We reach our customers through a diverse portfolio o</w:t>
      </w:r>
      <w:r>
        <w:rPr>
          <w:rFonts w:eastAsia="Times New Roman"/>
          <w:color w:val="000000"/>
          <w:sz w:val="20"/>
          <w:szCs w:val="20"/>
          <w:shd w:val="clear" w:color="auto" w:fill="FFFFFF"/>
        </w:rPr>
        <w:t xml:space="preserve">f </w:t>
      </w:r>
      <w:r>
        <w:rPr>
          <w:rFonts w:eastAsia="Times New Roman"/>
          <w:color w:val="000000"/>
          <w:sz w:val="20"/>
          <w:szCs w:val="20"/>
        </w:rPr>
        <w:t>1,332</w:t>
      </w:r>
      <w:r>
        <w:rPr>
          <w:rFonts w:eastAsia="Times New Roman"/>
          <w:color w:val="000000"/>
          <w:sz w:val="20"/>
          <w:szCs w:val="20"/>
          <w:shd w:val="clear" w:color="auto" w:fill="FFFFFF"/>
        </w:rPr>
        <w:t xml:space="preserve"> r</w:t>
      </w:r>
      <w:r>
        <w:rPr>
          <w:rFonts w:eastAsia="Times New Roman"/>
          <w:color w:val="000000"/>
          <w:sz w:val="20"/>
          <w:szCs w:val="20"/>
        </w:rPr>
        <w:t>etail stores acros</w:t>
      </w:r>
      <w:r>
        <w:rPr>
          <w:rFonts w:eastAsia="Times New Roman"/>
          <w:color w:val="000000"/>
          <w:sz w:val="20"/>
          <w:szCs w:val="20"/>
          <w:shd w:val="clear" w:color="auto" w:fill="FFFFFF"/>
        </w:rPr>
        <w:t xml:space="preserve">s </w:t>
      </w:r>
      <w:r>
        <w:rPr>
          <w:rFonts w:eastAsia="Times New Roman"/>
          <w:color w:val="000000"/>
          <w:sz w:val="20"/>
          <w:szCs w:val="20"/>
        </w:rPr>
        <w:t>five</w:t>
      </w:r>
      <w:r>
        <w:rPr>
          <w:rFonts w:eastAsia="Times New Roman"/>
          <w:color w:val="000000"/>
          <w:sz w:val="20"/>
          <w:szCs w:val="20"/>
          <w:shd w:val="clear" w:color="auto" w:fill="FFFFFF"/>
        </w:rPr>
        <w:t xml:space="preserve"> b</w:t>
      </w:r>
      <w:r>
        <w:rPr>
          <w:rFonts w:eastAsia="Times New Roman"/>
          <w:color w:val="000000"/>
          <w:sz w:val="20"/>
          <w:szCs w:val="20"/>
        </w:rPr>
        <w:t>rands and 13 e-commerce websites as of October 1, 2022.</w:t>
      </w:r>
    </w:p>
    <w:p w:rsidR="00000000" w:rsidRDefault="00183441">
      <w:pPr>
        <w:jc w:val="both"/>
        <w:divId w:val="1457140579"/>
        <w:rPr>
          <w:rFonts w:eastAsia="Times New Roman"/>
        </w:rPr>
      </w:pPr>
      <w:r>
        <w:rPr>
          <w:rFonts w:eastAsia="Times New Roman"/>
          <w:color w:val="000000"/>
          <w:sz w:val="20"/>
          <w:szCs w:val="20"/>
        </w:rPr>
        <w:t>Ongoing macroeconomic uncertainty of the U.S. economy, constraints to exam capacity and the COVID-19 pandemic continued to adversely affect our sales in the third quarter of 2022 and may continue to i</w:t>
      </w:r>
      <w:r>
        <w:rPr>
          <w:rFonts w:eastAsia="Times New Roman"/>
          <w:color w:val="000000"/>
          <w:sz w:val="20"/>
          <w:szCs w:val="20"/>
        </w:rPr>
        <w:t>mpact our performance going forward.</w:t>
      </w:r>
    </w:p>
    <w:p w:rsidR="00000000" w:rsidRDefault="00183441">
      <w:pPr>
        <w:jc w:val="both"/>
        <w:divId w:val="40981925"/>
        <w:rPr>
          <w:rFonts w:eastAsia="Times New Roman"/>
        </w:rPr>
      </w:pPr>
      <w:r>
        <w:rPr>
          <w:rFonts w:eastAsia="Times New Roman"/>
          <w:color w:val="000000"/>
          <w:sz w:val="20"/>
          <w:szCs w:val="20"/>
        </w:rPr>
        <w:t>Consumer preferences and demand, as well as spending habits, including for our goods and services, are impacted by the prevailing macroeconomic conditions and uncertainty, inflation, salaries and wages, consumer confide</w:t>
      </w:r>
      <w:r>
        <w:rPr>
          <w:rFonts w:eastAsia="Times New Roman"/>
          <w:color w:val="000000"/>
          <w:sz w:val="20"/>
          <w:szCs w:val="20"/>
        </w:rPr>
        <w:t>nce and consumer perception. The U.S. economy is experiencing high inflation because of changing economic conditions, labor shortages, supply chain constraints, logistics challenges, the conflict in Ukraine, and steps taken by governments and central banks</w:t>
      </w:r>
      <w:r>
        <w:rPr>
          <w:rFonts w:eastAsia="Times New Roman"/>
          <w:color w:val="000000"/>
          <w:sz w:val="20"/>
          <w:szCs w:val="20"/>
        </w:rPr>
        <w:t xml:space="preserve"> in response to the pandemic as well as other stimulus and spending programs. These overall economic trends continued to impact consumer demand and adversely impact our sales in the third quarter of 2022.</w:t>
      </w:r>
    </w:p>
    <w:p w:rsidR="00000000" w:rsidRDefault="00183441">
      <w:pPr>
        <w:jc w:val="both"/>
        <w:divId w:val="836382520"/>
        <w:rPr>
          <w:rFonts w:eastAsia="Times New Roman"/>
        </w:rPr>
      </w:pPr>
      <w:r>
        <w:rPr>
          <w:rFonts w:eastAsia="Times New Roman"/>
          <w:color w:val="000000"/>
          <w:sz w:val="20"/>
          <w:szCs w:val="20"/>
        </w:rPr>
        <w:t>Exam capacity, which encompasses the overall availa</w:t>
      </w:r>
      <w:r>
        <w:rPr>
          <w:rFonts w:eastAsia="Times New Roman"/>
          <w:color w:val="000000"/>
          <w:sz w:val="20"/>
          <w:szCs w:val="20"/>
        </w:rPr>
        <w:t>bility of vision care professionals, is impacted by several factors including retention, hiring, coverage and work schedules, and continued to be constrained in the third quarter of 2022. We remain focused on our strategy to provide our customers and patie</w:t>
      </w:r>
      <w:r>
        <w:rPr>
          <w:rFonts w:eastAsia="Times New Roman"/>
          <w:color w:val="000000"/>
          <w:sz w:val="20"/>
          <w:szCs w:val="20"/>
        </w:rPr>
        <w:t>nts reliable and quality low cost eye care and eyewear, and are taking certain actions to enhance our exam capacity through recruitment, retention and remote medicine initiatives.</w:t>
      </w:r>
    </w:p>
    <w:p w:rsidR="00000000" w:rsidRDefault="00183441">
      <w:pPr>
        <w:jc w:val="both"/>
        <w:divId w:val="2133818843"/>
        <w:rPr>
          <w:rFonts w:eastAsia="Times New Roman"/>
        </w:rPr>
      </w:pPr>
      <w:r>
        <w:rPr>
          <w:rFonts w:eastAsia="Times New Roman"/>
          <w:color w:val="000000"/>
          <w:sz w:val="20"/>
          <w:szCs w:val="20"/>
        </w:rPr>
        <w:t>As a result of the emergence of the Omicron variant and subvariants, the COV</w:t>
      </w:r>
      <w:r>
        <w:rPr>
          <w:rFonts w:eastAsia="Times New Roman"/>
          <w:color w:val="000000"/>
          <w:sz w:val="20"/>
          <w:szCs w:val="20"/>
        </w:rPr>
        <w:t xml:space="preserve">ID-19 pandemic resulted in increased associate and vision care professional absences, adjusted work schedules and reduced consumer traffic to our stores in 2022. The ultimate impact of COVID-19 on our operations and financial performance in future periods </w:t>
      </w:r>
      <w:r>
        <w:rPr>
          <w:rFonts w:eastAsia="Times New Roman"/>
          <w:color w:val="000000"/>
          <w:sz w:val="20"/>
          <w:szCs w:val="20"/>
        </w:rPr>
        <w:t>remains uncertain and will depend on future pandemic-related developments, including potential new variants, supplier impacts and related government actions to prevent and manage disease spread.</w:t>
      </w:r>
    </w:p>
    <w:p w:rsidR="00000000" w:rsidRDefault="00183441">
      <w:pPr>
        <w:jc w:val="both"/>
        <w:divId w:val="1475172548"/>
        <w:rPr>
          <w:rFonts w:eastAsia="Times New Roman"/>
        </w:rPr>
      </w:pPr>
    </w:p>
    <w:p w:rsidR="00000000" w:rsidRDefault="00183441">
      <w:pPr>
        <w:jc w:val="center"/>
        <w:divId w:val="1736929489"/>
        <w:rPr>
          <w:rFonts w:eastAsia="Times New Roman"/>
        </w:rPr>
      </w:pPr>
      <w:r>
        <w:rPr>
          <w:rFonts w:eastAsia="Times New Roman"/>
          <w:color w:val="000000"/>
          <w:sz w:val="20"/>
          <w:szCs w:val="20"/>
        </w:rPr>
        <w:t>22</w:t>
      </w:r>
    </w:p>
    <w:p w:rsidR="00000000" w:rsidRDefault="00183441">
      <w:pPr>
        <w:rPr>
          <w:rFonts w:eastAsia="Times New Roman"/>
        </w:rPr>
      </w:pPr>
      <w:r>
        <w:rPr>
          <w:rFonts w:eastAsia="Times New Roman"/>
        </w:rPr>
        <w:pict>
          <v:rect id="_x0000_i1046" style="width:0;height:1.5pt" o:hralign="center" o:hrstd="t" o:hr="t" fillcolor="#a0a0a0" stroked="f"/>
        </w:pict>
      </w:r>
    </w:p>
    <w:p w:rsidR="00000000" w:rsidRDefault="00183441">
      <w:pPr>
        <w:divId w:val="429084443"/>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divId w:val="679358024"/>
        <w:rPr>
          <w:rFonts w:eastAsia="Times New Roman"/>
        </w:rPr>
      </w:pPr>
      <w:r>
        <w:rPr>
          <w:rFonts w:eastAsia="Times New Roman"/>
          <w:b/>
          <w:bCs/>
          <w:color w:val="000000"/>
          <w:sz w:val="20"/>
          <w:szCs w:val="20"/>
        </w:rPr>
        <w:t>Brand and Segment Information</w:t>
      </w:r>
    </w:p>
    <w:p w:rsidR="00000000" w:rsidRDefault="00183441">
      <w:pPr>
        <w:divId w:val="455877541"/>
        <w:rPr>
          <w:rFonts w:eastAsia="Times New Roman"/>
        </w:rPr>
      </w:pPr>
      <w:r>
        <w:rPr>
          <w:rFonts w:eastAsia="Times New Roman"/>
          <w:color w:val="000000"/>
          <w:sz w:val="20"/>
          <w:szCs w:val="20"/>
        </w:rPr>
        <w:t>Our operations consi</w:t>
      </w:r>
      <w:r>
        <w:rPr>
          <w:rFonts w:eastAsia="Times New Roman"/>
          <w:color w:val="000000"/>
          <w:sz w:val="20"/>
          <w:szCs w:val="20"/>
          <w:shd w:val="clear" w:color="auto" w:fill="FFFFFF"/>
        </w:rPr>
        <w:t xml:space="preserve">st of </w:t>
      </w:r>
      <w:r>
        <w:rPr>
          <w:rFonts w:eastAsia="Times New Roman"/>
          <w:color w:val="000000"/>
          <w:sz w:val="20"/>
          <w:szCs w:val="20"/>
        </w:rPr>
        <w:t>two</w:t>
      </w:r>
      <w:r>
        <w:rPr>
          <w:rFonts w:eastAsia="Times New Roman"/>
          <w:color w:val="000000"/>
          <w:sz w:val="20"/>
          <w:szCs w:val="20"/>
          <w:shd w:val="clear" w:color="auto" w:fill="FFFFFF"/>
        </w:rPr>
        <w:t xml:space="preserve"> rep</w:t>
      </w:r>
      <w:r>
        <w:rPr>
          <w:rFonts w:eastAsia="Times New Roman"/>
          <w:color w:val="000000"/>
          <w:sz w:val="20"/>
          <w:szCs w:val="20"/>
        </w:rPr>
        <w:t>ortable segments:</w:t>
      </w:r>
    </w:p>
    <w:p w:rsidR="00000000" w:rsidRDefault="00183441">
      <w:pPr>
        <w:ind w:hanging="360"/>
        <w:jc w:val="both"/>
        <w:divId w:val="2033140046"/>
        <w:rPr>
          <w:rFonts w:eastAsia="Times New Roman"/>
        </w:rPr>
      </w:pPr>
      <w:r>
        <w:rPr>
          <w:rFonts w:eastAsia="Times New Roman"/>
          <w:color w:val="000000"/>
          <w:sz w:val="20"/>
          <w:szCs w:val="20"/>
        </w:rPr>
        <w:t xml:space="preserve">•Owned &amp; Host - As of October 1, 2022, our owned brands consisted of 883 America’s Best Contacts and Eyeglasses retail </w:t>
      </w:r>
      <w:r>
        <w:rPr>
          <w:rFonts w:eastAsia="Times New Roman"/>
          <w:color w:val="000000"/>
          <w:sz w:val="20"/>
          <w:szCs w:val="20"/>
        </w:rPr>
        <w:t>stores and 136 Eyeglass World retail stores. In America’s Best stores, vision care services are provided by optometrists employed by us or by independent professional corporations or similar entities. America’s Best stores are primarily located in high-tra</w:t>
      </w:r>
      <w:r>
        <w:rPr>
          <w:rFonts w:eastAsia="Times New Roman"/>
          <w:color w:val="000000"/>
          <w:sz w:val="20"/>
          <w:szCs w:val="20"/>
        </w:rPr>
        <w:t>ffic strip centers next to value-focused retailers. Eyeglass World locations primarily feature eye care services provided by independent optometrists and optometrists employed by independent professional corporations or similar entities and on-site optical</w:t>
      </w:r>
      <w:r>
        <w:rPr>
          <w:rFonts w:eastAsia="Times New Roman"/>
          <w:color w:val="000000"/>
          <w:sz w:val="20"/>
          <w:szCs w:val="20"/>
        </w:rPr>
        <w:t xml:space="preserve"> laboratories that enable stores to quickly fulfill many customer orders and make repairs on site. Eyeglass World stores are primarily located in freestanding or in-line locations near high-foot-traffic shopping centers. Our Host brands consisted of 54 Vis</w:t>
      </w:r>
      <w:r>
        <w:rPr>
          <w:rFonts w:eastAsia="Times New Roman"/>
          <w:color w:val="000000"/>
          <w:sz w:val="20"/>
          <w:szCs w:val="20"/>
        </w:rPr>
        <w:t>ta Optical locations on select military bases and 29 Vista Optical locations within select Fred Meyer stores as of October 1, 2022. We have strong, long-standing relationships with our Host partners and have maintained each partnership for over 22 years. T</w:t>
      </w:r>
      <w:r>
        <w:rPr>
          <w:rFonts w:eastAsia="Times New Roman"/>
          <w:color w:val="000000"/>
          <w:sz w:val="20"/>
          <w:szCs w:val="20"/>
        </w:rPr>
        <w:t>hese brands provide eye exams primarily by independent optometrists. All brands utilize our centralized laboratories. This segment also includes sales from our America’s Best, Eyeglass World, and Military omni-channel websites.</w:t>
      </w:r>
    </w:p>
    <w:p w:rsidR="00000000" w:rsidRDefault="00183441">
      <w:pPr>
        <w:ind w:hanging="360"/>
        <w:jc w:val="both"/>
        <w:divId w:val="1871988829"/>
        <w:rPr>
          <w:rFonts w:eastAsia="Times New Roman"/>
        </w:rPr>
      </w:pPr>
      <w:r>
        <w:rPr>
          <w:rFonts w:eastAsia="Times New Roman"/>
          <w:color w:val="000000"/>
          <w:sz w:val="20"/>
          <w:szCs w:val="20"/>
        </w:rPr>
        <w:t>•Legacy - We manage the oper</w:t>
      </w:r>
      <w:r>
        <w:rPr>
          <w:rFonts w:eastAsia="Times New Roman"/>
          <w:color w:val="000000"/>
          <w:sz w:val="20"/>
          <w:szCs w:val="20"/>
        </w:rPr>
        <w:t>ations of, and supply inventory and laboratory processing service</w:t>
      </w:r>
      <w:r>
        <w:rPr>
          <w:rFonts w:eastAsia="Times New Roman"/>
          <w:color w:val="000000"/>
          <w:sz w:val="20"/>
          <w:szCs w:val="20"/>
          <w:shd w:val="clear" w:color="auto" w:fill="FFFFFF"/>
        </w:rPr>
        <w:t xml:space="preserve">s to, </w:t>
      </w:r>
      <w:r>
        <w:rPr>
          <w:rFonts w:eastAsia="Times New Roman"/>
          <w:color w:val="000000"/>
          <w:sz w:val="20"/>
          <w:szCs w:val="20"/>
        </w:rPr>
        <w:t>230 Vision Centers in Walmart retail locations as of October 1, 2022. This strategic relationship with Walmart is in its 3</w:t>
      </w:r>
      <w:r>
        <w:rPr>
          <w:rFonts w:eastAsia="Times New Roman"/>
          <w:color w:val="000000"/>
          <w:sz w:val="20"/>
          <w:szCs w:val="20"/>
        </w:rPr>
        <w:t>2</w:t>
      </w:r>
      <w:r>
        <w:rPr>
          <w:rFonts w:eastAsia="Times New Roman"/>
          <w:color w:val="000000"/>
          <w:sz w:val="13"/>
          <w:szCs w:val="13"/>
        </w:rPr>
        <w:t>n</w:t>
      </w:r>
      <w:r>
        <w:rPr>
          <w:rFonts w:eastAsia="Times New Roman"/>
          <w:color w:val="000000"/>
          <w:sz w:val="13"/>
          <w:szCs w:val="13"/>
        </w:rPr>
        <w:t>d</w:t>
      </w:r>
      <w:r>
        <w:rPr>
          <w:rFonts w:eastAsia="Times New Roman"/>
          <w:color w:val="000000"/>
          <w:sz w:val="20"/>
          <w:szCs w:val="20"/>
        </w:rPr>
        <w:t xml:space="preserve"> year. Pursuant to a January 2020 amendment to our managemen</w:t>
      </w:r>
      <w:r>
        <w:rPr>
          <w:rFonts w:eastAsia="Times New Roman"/>
          <w:color w:val="000000"/>
          <w:sz w:val="20"/>
          <w:szCs w:val="20"/>
        </w:rPr>
        <w:t xml:space="preserve">t &amp; services agreement with Walmart, we added five additional Vision Centers in Walmart stores in fiscal year 2020. On July 17, 2020, NVI and Walmart extended the current term and economics of the management &amp; services agreement by three years to February </w:t>
      </w:r>
      <w:r>
        <w:rPr>
          <w:rFonts w:eastAsia="Times New Roman"/>
          <w:color w:val="000000"/>
          <w:sz w:val="20"/>
          <w:szCs w:val="20"/>
        </w:rPr>
        <w:t>23, 2024. Under the management &amp; services agreement, our responsibilities include ordering and maintaining merchandise inventory; arranging the provision of optometry services; providing managers and staff at each location; training personnel; providing sa</w:t>
      </w:r>
      <w:r>
        <w:rPr>
          <w:rFonts w:eastAsia="Times New Roman"/>
          <w:color w:val="000000"/>
          <w:sz w:val="20"/>
          <w:szCs w:val="20"/>
        </w:rPr>
        <w:t xml:space="preserve">les receipts to customers; maintaining necessary insurance; obtaining and holding required licenses, permits and accreditations; owning and maintaining store furniture, fixtures and equipment; and developing annual operating budgets and reporting. We earn </w:t>
      </w:r>
      <w:r>
        <w:rPr>
          <w:rFonts w:eastAsia="Times New Roman"/>
          <w:color w:val="000000"/>
          <w:sz w:val="20"/>
          <w:szCs w:val="20"/>
        </w:rPr>
        <w:t>management fees as a result of providing such services and therefore we record revenue related to sales of products and product protection plans to our Legacy partner’s customers on a net basis. Our management &amp; services agreement also allows our Legacy pa</w:t>
      </w:r>
      <w:r>
        <w:rPr>
          <w:rFonts w:eastAsia="Times New Roman"/>
          <w:color w:val="000000"/>
          <w:sz w:val="20"/>
          <w:szCs w:val="20"/>
        </w:rPr>
        <w:t>rtner to collect penalties if the Vision Centers do not generate a requisite amount of revenues. No such penalties have been assessed under our current arrangement, which began in 2012. We also sell to our Legacy partner merchandise that is stocked in reta</w:t>
      </w:r>
      <w:r>
        <w:rPr>
          <w:rFonts w:eastAsia="Times New Roman"/>
          <w:color w:val="000000"/>
          <w:sz w:val="20"/>
          <w:szCs w:val="20"/>
        </w:rPr>
        <w:t>il locations we manage pursuant to a separate supplier agreement, and provide centralized laboratory services for the finished eyeglasses for our Legacy partner’s customers in stores that we manage. We lease space from Walmart within or adjacent to each of</w:t>
      </w:r>
      <w:r>
        <w:rPr>
          <w:rFonts w:eastAsia="Times New Roman"/>
          <w:color w:val="000000"/>
          <w:sz w:val="20"/>
          <w:szCs w:val="20"/>
        </w:rPr>
        <w:t xml:space="preserve"> the locations we manage and use this space for vision care services provided by independent optometrists or optometrists employed by us or by independent professional corporations or similar entities. During the nine months ended October 1, 2022, sales as</w:t>
      </w:r>
      <w:r>
        <w:rPr>
          <w:rFonts w:eastAsia="Times New Roman"/>
          <w:color w:val="000000"/>
          <w:sz w:val="20"/>
          <w:szCs w:val="20"/>
        </w:rPr>
        <w:t>sociated with this arrangement repre</w:t>
      </w:r>
      <w:r>
        <w:rPr>
          <w:rFonts w:eastAsia="Times New Roman"/>
          <w:color w:val="000000"/>
          <w:sz w:val="20"/>
          <w:szCs w:val="20"/>
          <w:shd w:val="clear" w:color="auto" w:fill="FFFFFF"/>
        </w:rPr>
        <w:t>se</w:t>
      </w:r>
      <w:r>
        <w:rPr>
          <w:rFonts w:eastAsia="Times New Roman"/>
          <w:color w:val="000000"/>
          <w:sz w:val="20"/>
          <w:szCs w:val="20"/>
        </w:rPr>
        <w:t xml:space="preserve">nted 7.6% </w:t>
      </w:r>
      <w:r>
        <w:rPr>
          <w:rFonts w:eastAsia="Times New Roman"/>
          <w:color w:val="000000"/>
          <w:sz w:val="20"/>
          <w:szCs w:val="20"/>
          <w:shd w:val="clear" w:color="auto" w:fill="FFFFFF"/>
        </w:rPr>
        <w:t>of co</w:t>
      </w:r>
      <w:r>
        <w:rPr>
          <w:rFonts w:eastAsia="Times New Roman"/>
          <w:color w:val="000000"/>
          <w:sz w:val="20"/>
          <w:szCs w:val="20"/>
        </w:rPr>
        <w:t>nsolidated net revenue. This exposes us to concentration of customer risk.</w:t>
      </w:r>
    </w:p>
    <w:p w:rsidR="00000000" w:rsidRDefault="00183441">
      <w:pPr>
        <w:jc w:val="both"/>
        <w:divId w:val="1046755558"/>
        <w:rPr>
          <w:rFonts w:eastAsia="Times New Roman"/>
        </w:rPr>
      </w:pPr>
    </w:p>
    <w:p w:rsidR="00000000" w:rsidRDefault="00183441">
      <w:pPr>
        <w:jc w:val="center"/>
        <w:divId w:val="1711681072"/>
        <w:rPr>
          <w:rFonts w:eastAsia="Times New Roman"/>
        </w:rPr>
      </w:pPr>
      <w:r>
        <w:rPr>
          <w:rFonts w:eastAsia="Times New Roman"/>
          <w:color w:val="000000"/>
          <w:sz w:val="20"/>
          <w:szCs w:val="20"/>
        </w:rPr>
        <w:t>23</w:t>
      </w:r>
    </w:p>
    <w:p w:rsidR="00000000" w:rsidRDefault="00183441">
      <w:pPr>
        <w:rPr>
          <w:rFonts w:eastAsia="Times New Roman"/>
        </w:rPr>
      </w:pPr>
      <w:r>
        <w:rPr>
          <w:rFonts w:eastAsia="Times New Roman"/>
        </w:rPr>
        <w:pict>
          <v:rect id="_x0000_i1047" style="width:0;height:1.5pt" o:hralign="center" o:hrstd="t" o:hr="t" fillcolor="#a0a0a0" stroked="f"/>
        </w:pict>
      </w:r>
    </w:p>
    <w:p w:rsidR="00000000" w:rsidRDefault="00183441">
      <w:pPr>
        <w:divId w:val="930436144"/>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569197787"/>
        <w:rPr>
          <w:rFonts w:eastAsia="Times New Roman"/>
        </w:rPr>
      </w:pPr>
      <w:r>
        <w:rPr>
          <w:rFonts w:eastAsia="Times New Roman"/>
          <w:color w:val="000000"/>
          <w:sz w:val="20"/>
          <w:szCs w:val="20"/>
        </w:rPr>
        <w:t>Our consolidated results also include the following activity recorded in our Corporate/Other category:</w:t>
      </w:r>
    </w:p>
    <w:p w:rsidR="00000000" w:rsidRDefault="00183441">
      <w:pPr>
        <w:ind w:hanging="360"/>
        <w:jc w:val="both"/>
        <w:divId w:val="686175043"/>
        <w:rPr>
          <w:rFonts w:eastAsia="Times New Roman"/>
        </w:rPr>
      </w:pPr>
      <w:r>
        <w:rPr>
          <w:rFonts w:eastAsia="Times New Roman"/>
          <w:color w:val="000000"/>
          <w:sz w:val="20"/>
          <w:szCs w:val="20"/>
        </w:rPr>
        <w:t>•</w:t>
      </w:r>
      <w:r>
        <w:rPr>
          <w:rFonts w:eastAsia="Times New Roman"/>
          <w:color w:val="000000"/>
          <w:sz w:val="20"/>
          <w:szCs w:val="20"/>
        </w:rPr>
        <w:t>Our e-commerce platform of 13 dedicated websites managed by AC Lens. Our e-commerce business consists of</w:t>
      </w:r>
      <w:r>
        <w:rPr>
          <w:rFonts w:eastAsia="Times New Roman"/>
          <w:color w:val="000000"/>
          <w:sz w:val="20"/>
          <w:szCs w:val="20"/>
          <w:shd w:val="clear" w:color="auto" w:fill="FFFFFF"/>
        </w:rPr>
        <w:t xml:space="preserve"> </w:t>
      </w:r>
      <w:r>
        <w:rPr>
          <w:rFonts w:eastAsia="Times New Roman"/>
          <w:color w:val="000000"/>
          <w:sz w:val="20"/>
          <w:szCs w:val="20"/>
        </w:rPr>
        <w:t>five proprietary branded websites, including aclens.com, discountglasses.com and discountcontactlenses.com, a</w:t>
      </w:r>
      <w:r>
        <w:rPr>
          <w:rFonts w:eastAsia="Times New Roman"/>
          <w:color w:val="000000"/>
          <w:sz w:val="20"/>
          <w:szCs w:val="20"/>
          <w:shd w:val="clear" w:color="auto" w:fill="FFFFFF"/>
        </w:rPr>
        <w:t xml:space="preserve">nd </w:t>
      </w:r>
      <w:r>
        <w:rPr>
          <w:rFonts w:eastAsia="Times New Roman"/>
          <w:color w:val="000000"/>
          <w:sz w:val="20"/>
          <w:szCs w:val="20"/>
        </w:rPr>
        <w:t>eight</w:t>
      </w:r>
      <w:r>
        <w:rPr>
          <w:rFonts w:eastAsia="Times New Roman"/>
          <w:color w:val="000000"/>
          <w:sz w:val="20"/>
          <w:szCs w:val="20"/>
          <w:shd w:val="clear" w:color="auto" w:fill="FFFFFF"/>
        </w:rPr>
        <w:t xml:space="preserve"> th</w:t>
      </w:r>
      <w:r>
        <w:rPr>
          <w:rFonts w:eastAsia="Times New Roman"/>
          <w:color w:val="000000"/>
          <w:sz w:val="20"/>
          <w:szCs w:val="20"/>
        </w:rPr>
        <w:t>ird-party websites with establi</w:t>
      </w:r>
      <w:r>
        <w:rPr>
          <w:rFonts w:eastAsia="Times New Roman"/>
          <w:color w:val="000000"/>
          <w:sz w:val="20"/>
          <w:szCs w:val="20"/>
        </w:rPr>
        <w:t>shed retailers, such as Walmart, Sam’s Club and Giant Eagle as well as mid-sized vision insurance providers. AC Lens handles site management, customer relationship management and order fulfillment and also sells a wide variety of contact lenses, eyeglasses</w:t>
      </w:r>
      <w:r>
        <w:rPr>
          <w:rFonts w:eastAsia="Times New Roman"/>
          <w:color w:val="000000"/>
          <w:sz w:val="20"/>
          <w:szCs w:val="20"/>
        </w:rPr>
        <w:t xml:space="preserve"> and eye care accessories.</w:t>
      </w:r>
    </w:p>
    <w:p w:rsidR="00000000" w:rsidRDefault="00183441">
      <w:pPr>
        <w:ind w:hanging="360"/>
        <w:jc w:val="both"/>
        <w:divId w:val="465779457"/>
        <w:rPr>
          <w:rFonts w:eastAsia="Times New Roman"/>
        </w:rPr>
      </w:pPr>
      <w:r>
        <w:rPr>
          <w:rFonts w:eastAsia="Times New Roman"/>
          <w:color w:val="000000"/>
          <w:sz w:val="20"/>
          <w:szCs w:val="20"/>
        </w:rPr>
        <w:t>•AC Lens also distributes contact lenses wholesale to Walmart and Sam’s Club. We incur costs at a higher percentage of sales than other product categories. AC Lens sales associated with Walmart and Sam’s Club contact lenses distr</w:t>
      </w:r>
      <w:r>
        <w:rPr>
          <w:rFonts w:eastAsia="Times New Roman"/>
          <w:color w:val="000000"/>
          <w:sz w:val="20"/>
          <w:szCs w:val="20"/>
        </w:rPr>
        <w:t>ibution arrangements represente</w:t>
      </w:r>
      <w:r>
        <w:rPr>
          <w:rFonts w:eastAsia="Times New Roman"/>
          <w:color w:val="000000"/>
          <w:sz w:val="20"/>
          <w:szCs w:val="20"/>
          <w:shd w:val="clear" w:color="auto" w:fill="FFFFFF"/>
        </w:rPr>
        <w:t>d</w:t>
      </w:r>
      <w:r>
        <w:rPr>
          <w:rFonts w:eastAsia="Times New Roman"/>
          <w:color w:val="000000"/>
          <w:sz w:val="20"/>
          <w:szCs w:val="20"/>
        </w:rPr>
        <w:t xml:space="preserve"> 6.9% o</w:t>
      </w:r>
      <w:r>
        <w:rPr>
          <w:rFonts w:eastAsia="Times New Roman"/>
          <w:color w:val="000000"/>
          <w:sz w:val="20"/>
          <w:szCs w:val="20"/>
          <w:shd w:val="clear" w:color="auto" w:fill="FFFFFF"/>
        </w:rPr>
        <w:t xml:space="preserve">f </w:t>
      </w:r>
      <w:r>
        <w:rPr>
          <w:rFonts w:eastAsia="Times New Roman"/>
          <w:color w:val="000000"/>
          <w:sz w:val="20"/>
          <w:szCs w:val="20"/>
        </w:rPr>
        <w:t>consolidated net revenue.</w:t>
      </w:r>
    </w:p>
    <w:p w:rsidR="00000000" w:rsidRDefault="00183441">
      <w:pPr>
        <w:ind w:hanging="360"/>
        <w:jc w:val="both"/>
        <w:divId w:val="468012327"/>
        <w:rPr>
          <w:rFonts w:eastAsia="Times New Roman"/>
        </w:rPr>
      </w:pPr>
      <w:r>
        <w:rPr>
          <w:rFonts w:eastAsia="Times New Roman"/>
          <w:color w:val="000000"/>
          <w:sz w:val="20"/>
          <w:szCs w:val="20"/>
        </w:rPr>
        <w:t>•Managed care business conducted by FirstSight, our wholly-owned subsidiary that is licensed as a single-service health plan under California law, which arranges for the provision of optome</w:t>
      </w:r>
      <w:r>
        <w:rPr>
          <w:rFonts w:eastAsia="Times New Roman"/>
          <w:color w:val="000000"/>
          <w:sz w:val="20"/>
          <w:szCs w:val="20"/>
        </w:rPr>
        <w:t>tric services at the offices next to certain Walmart stores throughout California, and also issues individual vision plans in connection with our America’s Best operations in California.</w:t>
      </w:r>
    </w:p>
    <w:p w:rsidR="00000000" w:rsidRDefault="00183441">
      <w:pPr>
        <w:ind w:hanging="360"/>
        <w:jc w:val="both"/>
        <w:divId w:val="44910640"/>
        <w:rPr>
          <w:rFonts w:eastAsia="Times New Roman"/>
        </w:rPr>
      </w:pPr>
      <w:r>
        <w:rPr>
          <w:rFonts w:eastAsia="Times New Roman"/>
          <w:color w:val="000000"/>
          <w:sz w:val="20"/>
          <w:szCs w:val="20"/>
        </w:rPr>
        <w:t>•Unallocated corporate overhead expenses, which are a component of se</w:t>
      </w:r>
      <w:r>
        <w:rPr>
          <w:rFonts w:eastAsia="Times New Roman"/>
          <w:color w:val="000000"/>
          <w:sz w:val="20"/>
          <w:szCs w:val="20"/>
        </w:rPr>
        <w:t>lling, general and administrative expenses and are comprised of various home office expenses such as payroll, occupancy costs, and consulting and professional fees. Corporate overhead expenses also include field services fo</w:t>
      </w:r>
      <w:r>
        <w:rPr>
          <w:rFonts w:eastAsia="Times New Roman"/>
          <w:color w:val="000000"/>
          <w:sz w:val="20"/>
          <w:szCs w:val="20"/>
          <w:shd w:val="clear" w:color="auto" w:fill="FFFFFF"/>
        </w:rPr>
        <w:t xml:space="preserve">r our </w:t>
      </w:r>
      <w:r>
        <w:rPr>
          <w:rFonts w:eastAsia="Times New Roman"/>
          <w:color w:val="000000"/>
          <w:sz w:val="20"/>
          <w:szCs w:val="20"/>
        </w:rPr>
        <w:t>five</w:t>
      </w:r>
      <w:r>
        <w:rPr>
          <w:rFonts w:eastAsia="Times New Roman"/>
          <w:color w:val="000000"/>
          <w:sz w:val="20"/>
          <w:szCs w:val="20"/>
          <w:shd w:val="clear" w:color="auto" w:fill="FFFFFF"/>
        </w:rPr>
        <w:t xml:space="preserve"> re</w:t>
      </w:r>
      <w:r>
        <w:rPr>
          <w:rFonts w:eastAsia="Times New Roman"/>
          <w:color w:val="000000"/>
          <w:sz w:val="20"/>
          <w:szCs w:val="20"/>
        </w:rPr>
        <w:t>tail brands.</w:t>
      </w:r>
    </w:p>
    <w:p w:rsidR="00000000" w:rsidRDefault="00183441">
      <w:pPr>
        <w:jc w:val="both"/>
        <w:divId w:val="101464738"/>
        <w:rPr>
          <w:rFonts w:eastAsia="Times New Roman"/>
        </w:rPr>
      </w:pPr>
      <w:r>
        <w:rPr>
          <w:rFonts w:eastAsia="Times New Roman"/>
          <w:color w:val="000000"/>
          <w:sz w:val="20"/>
          <w:szCs w:val="20"/>
        </w:rPr>
        <w:t>Reporta</w:t>
      </w:r>
      <w:r>
        <w:rPr>
          <w:rFonts w:eastAsia="Times New Roman"/>
          <w:color w:val="000000"/>
          <w:sz w:val="20"/>
          <w:szCs w:val="20"/>
        </w:rPr>
        <w:t>ble segment information is presented on the same basis as our condensed consolidated financial statements, except reportable segment sales which are presented on a cash basis including point of sales for managed care payors and excluding the effects of une</w:t>
      </w:r>
      <w:r>
        <w:rPr>
          <w:rFonts w:eastAsia="Times New Roman"/>
          <w:color w:val="000000"/>
          <w:sz w:val="20"/>
          <w:szCs w:val="20"/>
        </w:rPr>
        <w:t>arned and deferred revenue, consistent with what our CODM regularly reviews. Reconciliations of segment results to consolidated results include financial information necessary to adjust reportable segment revenues to a consolidated basis in accordance with</w:t>
      </w:r>
      <w:r>
        <w:rPr>
          <w:rFonts w:eastAsia="Times New Roman"/>
          <w:color w:val="000000"/>
          <w:sz w:val="20"/>
          <w:szCs w:val="20"/>
        </w:rPr>
        <w:t xml:space="preserve"> U.S. GAAP, specifically the change in unearned and deferred revenues during the period. There are no revenue transactions between reportable segments, and there are no other items in the reconciliations other than the effects of unearned and deferred reve</w:t>
      </w:r>
      <w:r>
        <w:rPr>
          <w:rFonts w:eastAsia="Times New Roman"/>
          <w:color w:val="000000"/>
          <w:sz w:val="20"/>
          <w:szCs w:val="20"/>
        </w:rPr>
        <w:t>nue. See Note 10. “Segment Reporting” in our condensed consolidated financial statements included in Part I. Item 1. of this Form 10-Q.</w:t>
      </w:r>
    </w:p>
    <w:p w:rsidR="00000000" w:rsidRDefault="00183441">
      <w:pPr>
        <w:jc w:val="both"/>
        <w:divId w:val="2140146210"/>
        <w:rPr>
          <w:rFonts w:eastAsia="Times New Roman"/>
        </w:rPr>
      </w:pPr>
      <w:r>
        <w:rPr>
          <w:rFonts w:eastAsia="Times New Roman"/>
          <w:color w:val="000000"/>
          <w:sz w:val="20"/>
          <w:szCs w:val="20"/>
        </w:rPr>
        <w:t>Deferred revenue represents the timing difference of when we collect the cash from the customer and when services relate</w:t>
      </w:r>
      <w:r>
        <w:rPr>
          <w:rFonts w:eastAsia="Times New Roman"/>
          <w:color w:val="000000"/>
          <w:sz w:val="20"/>
          <w:szCs w:val="20"/>
        </w:rPr>
        <w:t>d to product protection plans and eye care club memberships are performed. Increases or decreases in deferred revenue during the reporting period represent cash collections in excess of or below the recognition of previous deferrals. Unearned revenue repre</w:t>
      </w:r>
      <w:r>
        <w:rPr>
          <w:rFonts w:eastAsia="Times New Roman"/>
          <w:color w:val="000000"/>
          <w:sz w:val="20"/>
          <w:szCs w:val="20"/>
        </w:rPr>
        <w:t>sents the timing difference of when we collect cash from the customer and delivery/customer acceptance, and includes sales of prescription eyewear during approximately the last seven to 10 days of the reporting period.</w:t>
      </w:r>
    </w:p>
    <w:p w:rsidR="00000000" w:rsidRDefault="00183441">
      <w:pPr>
        <w:jc w:val="both"/>
        <w:divId w:val="1116018835"/>
        <w:rPr>
          <w:rFonts w:eastAsia="Times New Roman"/>
        </w:rPr>
      </w:pPr>
      <w:r>
        <w:rPr>
          <w:rFonts w:eastAsia="Times New Roman"/>
          <w:b/>
          <w:bCs/>
          <w:color w:val="000000"/>
          <w:sz w:val="20"/>
          <w:szCs w:val="20"/>
        </w:rPr>
        <w:t>Trends and Other Factors Affecting Ou</w:t>
      </w:r>
      <w:r>
        <w:rPr>
          <w:rFonts w:eastAsia="Times New Roman"/>
          <w:b/>
          <w:bCs/>
          <w:color w:val="000000"/>
          <w:sz w:val="20"/>
          <w:szCs w:val="20"/>
        </w:rPr>
        <w:t>r Business</w:t>
      </w:r>
    </w:p>
    <w:p w:rsidR="00000000" w:rsidRDefault="00183441">
      <w:pPr>
        <w:jc w:val="both"/>
        <w:divId w:val="1594782872"/>
        <w:rPr>
          <w:rFonts w:eastAsia="Times New Roman"/>
        </w:rPr>
      </w:pPr>
      <w:r>
        <w:rPr>
          <w:rFonts w:eastAsia="Times New Roman"/>
          <w:color w:val="000000"/>
          <w:sz w:val="20"/>
          <w:szCs w:val="20"/>
        </w:rPr>
        <w:t>Various trends and other factors will affect or have affected our operating results, including:</w:t>
      </w:r>
    </w:p>
    <w:p w:rsidR="00000000" w:rsidRDefault="00183441">
      <w:pPr>
        <w:jc w:val="both"/>
        <w:divId w:val="346753276"/>
        <w:rPr>
          <w:rFonts w:eastAsia="Times New Roman"/>
        </w:rPr>
      </w:pPr>
      <w:r>
        <w:rPr>
          <w:rFonts w:eastAsia="Times New Roman"/>
          <w:i/>
          <w:iCs/>
          <w:color w:val="000000"/>
          <w:sz w:val="20"/>
          <w:szCs w:val="20"/>
        </w:rPr>
        <w:t>Overall economic trends, consumer preferences and demand</w:t>
      </w:r>
    </w:p>
    <w:p w:rsidR="00000000" w:rsidRDefault="00183441">
      <w:pPr>
        <w:jc w:val="both"/>
        <w:divId w:val="961106993"/>
        <w:rPr>
          <w:rFonts w:eastAsia="Times New Roman"/>
        </w:rPr>
      </w:pPr>
      <w:r>
        <w:rPr>
          <w:rFonts w:eastAsia="Times New Roman"/>
          <w:color w:val="000000"/>
          <w:sz w:val="20"/>
          <w:szCs w:val="20"/>
        </w:rPr>
        <w:t xml:space="preserve">Our business depends on consumer demand for our products and, consequently, is sensitive to </w:t>
      </w:r>
      <w:r>
        <w:rPr>
          <w:rFonts w:eastAsia="Times New Roman"/>
          <w:color w:val="000000"/>
          <w:sz w:val="20"/>
          <w:szCs w:val="20"/>
        </w:rPr>
        <w:t>a number of factors that influence consumer confidence and spending, such as general economic conditions, consumer disposable income, energy and fuel prices, recession and fears of recession, unemployment, minimum wages, availability of consumer credit, co</w:t>
      </w:r>
      <w:r>
        <w:rPr>
          <w:rFonts w:eastAsia="Times New Roman"/>
          <w:color w:val="000000"/>
          <w:sz w:val="20"/>
          <w:szCs w:val="20"/>
        </w:rPr>
        <w:t>nsumer debt levels, conditions in the housing market, interest rates, tax rates and policies, inflation, consumer confidence in future economic conditions and political conditions, war and fears of war (including the Russian invasion of Ukraine), inclement</w:t>
      </w:r>
      <w:r>
        <w:rPr>
          <w:rFonts w:eastAsia="Times New Roman"/>
          <w:color w:val="000000"/>
          <w:sz w:val="20"/>
          <w:szCs w:val="20"/>
        </w:rPr>
        <w:t xml:space="preserve"> weather, natural disasters, terrorism, outbreak of viruses or widespread illness and consumer perceptions of personal well-being and security. Over the past few years, global markets and economic conditions have been challenging, particularly in light of </w:t>
      </w:r>
      <w:r>
        <w:rPr>
          <w:rFonts w:eastAsia="Times New Roman"/>
          <w:color w:val="000000"/>
          <w:sz w:val="20"/>
          <w:szCs w:val="20"/>
        </w:rPr>
        <w:t>the COVID-19 pandemic. During periods of economic downturn and uncertainty, our customers especially benefit from our low prices. The long-term effects of the COVID-19 pandemic and other macroeconomic and geopolitical events on consumer preferences and dem</w:t>
      </w:r>
      <w:r>
        <w:rPr>
          <w:rFonts w:eastAsia="Times New Roman"/>
          <w:color w:val="000000"/>
          <w:sz w:val="20"/>
          <w:szCs w:val="20"/>
        </w:rPr>
        <w:t>and remain uncertain. We believe, but cannot be certain, our business model of providing exceptional value and convenience to customers, enabled by our low-cost operating platform will mitigate these impacts to a certain extent; however uncertainties and r</w:t>
      </w:r>
      <w:r>
        <w:rPr>
          <w:rFonts w:eastAsia="Times New Roman"/>
          <w:color w:val="000000"/>
          <w:sz w:val="20"/>
          <w:szCs w:val="20"/>
        </w:rPr>
        <w:t>isk exposures may be exacerbated by the immediate and ongoing impacts of these factors.</w:t>
      </w:r>
    </w:p>
    <w:p w:rsidR="00000000" w:rsidRDefault="00183441">
      <w:pPr>
        <w:jc w:val="both"/>
        <w:divId w:val="198592600"/>
        <w:rPr>
          <w:rFonts w:eastAsia="Times New Roman"/>
        </w:rPr>
      </w:pPr>
      <w:r>
        <w:rPr>
          <w:rFonts w:eastAsia="Times New Roman"/>
          <w:i/>
          <w:iCs/>
          <w:color w:val="000000"/>
          <w:sz w:val="20"/>
          <w:szCs w:val="20"/>
        </w:rPr>
        <w:t>Vision care professional recruitment, coverage, and expanded offerings</w:t>
      </w:r>
    </w:p>
    <w:p w:rsidR="00000000" w:rsidRDefault="00183441">
      <w:pPr>
        <w:jc w:val="both"/>
        <w:divId w:val="1708603927"/>
        <w:rPr>
          <w:rFonts w:eastAsia="Times New Roman"/>
        </w:rPr>
      </w:pPr>
      <w:r>
        <w:rPr>
          <w:rFonts w:eastAsia="Times New Roman"/>
          <w:color w:val="000000"/>
          <w:sz w:val="20"/>
          <w:szCs w:val="20"/>
        </w:rPr>
        <w:t>Our ability to continue to attract and retain qualified vision care professionals affect exam cap</w:t>
      </w:r>
      <w:r>
        <w:rPr>
          <w:rFonts w:eastAsia="Times New Roman"/>
          <w:color w:val="000000"/>
          <w:sz w:val="20"/>
          <w:szCs w:val="20"/>
        </w:rPr>
        <w:t xml:space="preserve">acity and is critical to our operations. Our operations, like those of many of our competitors, depend on our ability to offer both eyewear and eye exams. We compete with other optical retail companies, health systems and group practices for vision care </w:t>
      </w:r>
    </w:p>
    <w:p w:rsidR="00000000" w:rsidRDefault="00183441">
      <w:pPr>
        <w:jc w:val="center"/>
        <w:divId w:val="410809802"/>
        <w:rPr>
          <w:rFonts w:eastAsia="Times New Roman"/>
        </w:rPr>
      </w:pPr>
      <w:r>
        <w:rPr>
          <w:rFonts w:eastAsia="Times New Roman"/>
          <w:color w:val="000000"/>
          <w:sz w:val="20"/>
          <w:szCs w:val="20"/>
        </w:rPr>
        <w:t>2</w:t>
      </w:r>
      <w:r>
        <w:rPr>
          <w:rFonts w:eastAsia="Times New Roman"/>
          <w:color w:val="000000"/>
          <w:sz w:val="20"/>
          <w:szCs w:val="20"/>
        </w:rPr>
        <w:t>4</w:t>
      </w:r>
    </w:p>
    <w:p w:rsidR="00000000" w:rsidRDefault="00183441">
      <w:pPr>
        <w:rPr>
          <w:rFonts w:eastAsia="Times New Roman"/>
        </w:rPr>
      </w:pPr>
      <w:r>
        <w:rPr>
          <w:rFonts w:eastAsia="Times New Roman"/>
        </w:rPr>
        <w:pict>
          <v:rect id="_x0000_i1048" style="width:0;height:1.5pt" o:hralign="center" o:hrstd="t" o:hr="t" fillcolor="#a0a0a0" stroked="f"/>
        </w:pict>
      </w:r>
    </w:p>
    <w:p w:rsidR="00000000" w:rsidRDefault="00183441">
      <w:pPr>
        <w:divId w:val="1789659989"/>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321281455"/>
        <w:rPr>
          <w:rFonts w:eastAsia="Times New Roman"/>
        </w:rPr>
      </w:pPr>
      <w:r>
        <w:rPr>
          <w:rFonts w:eastAsia="Times New Roman"/>
          <w:color w:val="000000"/>
          <w:sz w:val="20"/>
          <w:szCs w:val="20"/>
        </w:rPr>
        <w:t>professionals. We, as well as the professional corporations or similar entities that employ optometrists in certain of our retail locations, c</w:t>
      </w:r>
      <w:r>
        <w:rPr>
          <w:rFonts w:eastAsia="Times New Roman"/>
          <w:color w:val="000000"/>
          <w:sz w:val="20"/>
          <w:szCs w:val="20"/>
        </w:rPr>
        <w:t>ould face difficulties attracting and retaining qualified professionals if we or such corporations fail to offer competitive compensation and benefits. Increased compensation for vision care professionals could raise our costs and negatively affect our mar</w:t>
      </w:r>
      <w:r>
        <w:rPr>
          <w:rFonts w:eastAsia="Times New Roman"/>
          <w:color w:val="000000"/>
          <w:sz w:val="20"/>
          <w:szCs w:val="20"/>
        </w:rPr>
        <w:t>gins.</w:t>
      </w:r>
      <w:r>
        <w:rPr>
          <w:rFonts w:eastAsia="Times New Roman"/>
          <w:color w:val="000000"/>
          <w:sz w:val="20"/>
          <w:szCs w:val="20"/>
          <w:shd w:val="clear" w:color="auto" w:fill="FFFFFF"/>
        </w:rPr>
        <w:t xml:space="preserve"> We believe the impacts of the COVID-19 pandemic on vision care professional availability, including a competitive recruiting market and preferences for adjusted work schedules, and the demand for optometrists exceeding supply in certain areas in th</w:t>
      </w:r>
      <w:r>
        <w:rPr>
          <w:rFonts w:eastAsia="Times New Roman"/>
          <w:color w:val="000000"/>
          <w:sz w:val="20"/>
          <w:szCs w:val="20"/>
        </w:rPr>
        <w:t xml:space="preserve">e </w:t>
      </w:r>
      <w:r>
        <w:rPr>
          <w:rFonts w:eastAsia="Times New Roman"/>
          <w:color w:val="000000"/>
          <w:sz w:val="20"/>
          <w:szCs w:val="20"/>
        </w:rPr>
        <w:t>first nine months of fiscal year 2022 have</w:t>
      </w:r>
      <w:r>
        <w:rPr>
          <w:rFonts w:eastAsia="Times New Roman"/>
          <w:color w:val="000000"/>
          <w:sz w:val="20"/>
          <w:szCs w:val="20"/>
          <w:shd w:val="clear" w:color="auto" w:fill="FFFFFF"/>
        </w:rPr>
        <w:t xml:space="preserve"> caused constraints in exam capacity. Due to these factors the costs to employ or retain optometrists have increased and may increase further, potentially materially. </w:t>
      </w:r>
      <w:r>
        <w:rPr>
          <w:rFonts w:eastAsia="Times New Roman"/>
          <w:color w:val="000000"/>
          <w:sz w:val="20"/>
          <w:szCs w:val="20"/>
        </w:rPr>
        <w:t>We are investing in recruitment and retention i</w:t>
      </w:r>
      <w:r>
        <w:rPr>
          <w:rFonts w:eastAsia="Times New Roman"/>
          <w:color w:val="000000"/>
          <w:sz w:val="20"/>
          <w:szCs w:val="20"/>
        </w:rPr>
        <w:t>nitiatives along with continuing our implementation of remote medicine technologies.</w:t>
      </w:r>
    </w:p>
    <w:p w:rsidR="00000000" w:rsidRDefault="00183441">
      <w:pPr>
        <w:jc w:val="both"/>
        <w:divId w:val="904873780"/>
        <w:rPr>
          <w:rFonts w:eastAsia="Times New Roman"/>
        </w:rPr>
      </w:pPr>
      <w:r>
        <w:rPr>
          <w:rFonts w:eastAsia="Times New Roman"/>
          <w:i/>
          <w:iCs/>
          <w:color w:val="000000"/>
          <w:sz w:val="20"/>
          <w:szCs w:val="20"/>
        </w:rPr>
        <w:t>Impact of COVID-19</w:t>
      </w:r>
    </w:p>
    <w:p w:rsidR="00000000" w:rsidRDefault="00183441">
      <w:pPr>
        <w:jc w:val="both"/>
        <w:divId w:val="698506812"/>
        <w:rPr>
          <w:rFonts w:eastAsia="Times New Roman"/>
        </w:rPr>
      </w:pPr>
      <w:r>
        <w:rPr>
          <w:rFonts w:eastAsia="Times New Roman"/>
          <w:color w:val="000000"/>
          <w:sz w:val="20"/>
          <w:szCs w:val="20"/>
        </w:rPr>
        <w:t>The COVID-19 pandemic has had far-reaching impacts, directly and indirectly, on our operations. We continue to monitor the evolving situation as there r</w:t>
      </w:r>
      <w:r>
        <w:rPr>
          <w:rFonts w:eastAsia="Times New Roman"/>
          <w:color w:val="000000"/>
          <w:sz w:val="20"/>
          <w:szCs w:val="20"/>
        </w:rPr>
        <w:t>emain many uncertainties regarding the pandemic and more recent outbreaks of variants, including anticipated duration, vision care professional availability, related healthcare authority guidelines and efficacy of vaccination initiatives, including the imp</w:t>
      </w:r>
      <w:r>
        <w:rPr>
          <w:rFonts w:eastAsia="Times New Roman"/>
          <w:color w:val="000000"/>
          <w:sz w:val="20"/>
          <w:szCs w:val="20"/>
        </w:rPr>
        <w:t>act of, and associated risks regarding, federal, state and local vaccination and testing programs. We continue to monitor potential impacts on our stores and exam capacity, lab network, and potential disruptions of product and equipment deliveries. To date</w:t>
      </w:r>
      <w:r>
        <w:rPr>
          <w:rFonts w:eastAsia="Times New Roman"/>
          <w:color w:val="000000"/>
          <w:sz w:val="20"/>
          <w:szCs w:val="20"/>
        </w:rPr>
        <w:t>, we have been able to meet customer demand with operations at our laboratories and our supply chain partners. However, prolonged shutdowns in countries which support our supply chain or a deterioration of conditions in such countries and others or increas</w:t>
      </w:r>
      <w:r>
        <w:rPr>
          <w:rFonts w:eastAsia="Times New Roman"/>
          <w:color w:val="000000"/>
          <w:sz w:val="20"/>
          <w:szCs w:val="20"/>
        </w:rPr>
        <w:t>ing strains on international and domestic supply chain infrastructure could result in product and equipment availability delays in the future. We could experience further material impacts as a result of COVID-19, including, but not limited to, charges from</w:t>
      </w:r>
      <w:r>
        <w:rPr>
          <w:rFonts w:eastAsia="Times New Roman"/>
          <w:color w:val="000000"/>
          <w:sz w:val="20"/>
          <w:szCs w:val="20"/>
        </w:rPr>
        <w:t xml:space="preserve"> additional asset impairments and deferred tax valuation allowances. We will continue to evaluate additional measures that we may elect to take as a response to the pandemic, including, where appropriate, future action to reduce store hours and patient app</w:t>
      </w:r>
      <w:r>
        <w:rPr>
          <w:rFonts w:eastAsia="Times New Roman"/>
          <w:color w:val="000000"/>
          <w:sz w:val="20"/>
          <w:szCs w:val="20"/>
        </w:rPr>
        <w:t>ointments, temporarily close stores or make additional forward buys. There can be no assurance whether or when any such measures will be adopted. For a discussion of significant risks that have the potential to cause our actual results to differ materially</w:t>
      </w:r>
      <w:r>
        <w:rPr>
          <w:rFonts w:eastAsia="Times New Roman"/>
          <w:color w:val="000000"/>
          <w:sz w:val="20"/>
          <w:szCs w:val="20"/>
        </w:rPr>
        <w:t xml:space="preserve"> from our expectations, refer to Part I. Item 1A. “Risk Factors,” included in our 2021 Annual Report on Form 10-K.</w:t>
      </w:r>
    </w:p>
    <w:p w:rsidR="00000000" w:rsidRDefault="00183441">
      <w:pPr>
        <w:jc w:val="both"/>
        <w:divId w:val="990255135"/>
        <w:rPr>
          <w:rFonts w:eastAsia="Times New Roman"/>
        </w:rPr>
      </w:pPr>
      <w:r>
        <w:rPr>
          <w:rFonts w:eastAsia="Times New Roman"/>
          <w:i/>
          <w:iCs/>
          <w:color w:val="000000"/>
          <w:sz w:val="20"/>
          <w:szCs w:val="20"/>
        </w:rPr>
        <w:t>Pricing strategy</w:t>
      </w:r>
    </w:p>
    <w:p w:rsidR="00000000" w:rsidRDefault="00183441">
      <w:pPr>
        <w:jc w:val="both"/>
        <w:divId w:val="1579289428"/>
        <w:rPr>
          <w:rFonts w:eastAsia="Times New Roman"/>
        </w:rPr>
      </w:pPr>
      <w:r>
        <w:rPr>
          <w:rFonts w:eastAsia="Times New Roman"/>
          <w:color w:val="000000"/>
          <w:sz w:val="20"/>
          <w:szCs w:val="20"/>
        </w:rPr>
        <w:t>We are committed to providing our products to our customers at low prices. We generally employ a simple low price/high value strategy that consistently delivers savings to our customers without the need for extensive promotions. Inflationary pressures, inc</w:t>
      </w:r>
      <w:r>
        <w:rPr>
          <w:rFonts w:eastAsia="Times New Roman"/>
          <w:color w:val="000000"/>
          <w:sz w:val="20"/>
          <w:szCs w:val="20"/>
        </w:rPr>
        <w:t>luding wage investments, consumer confidence and preferences and increased raw material costs, have impacted, and could further impact, our profitability and lead us to attempt to offset such increases through various pricing actions. Effective May 9, 2022</w:t>
      </w:r>
      <w:r>
        <w:rPr>
          <w:rFonts w:eastAsia="Times New Roman"/>
          <w:color w:val="000000"/>
          <w:sz w:val="20"/>
          <w:szCs w:val="20"/>
        </w:rPr>
        <w:t xml:space="preserve"> we changed the price of our America’s Best signature offer to “two pairs of eyeglasses for $79.95, including a free eye exam” from its prior $69.95 price. Effective March 14, 2022, we changed the price of our Eyeglass World opening offer to “two pairs of </w:t>
      </w:r>
      <w:r>
        <w:rPr>
          <w:rFonts w:eastAsia="Times New Roman"/>
          <w:color w:val="000000"/>
          <w:sz w:val="20"/>
          <w:szCs w:val="20"/>
        </w:rPr>
        <w:t>eyeglasses for $89” from its prior price of $78. We believe that these changes will enable us to continue to offer the best possible value and service to our customers at prices that allow us to maintain our brands’ strong value propositions in the marketp</w:t>
      </w:r>
      <w:r>
        <w:rPr>
          <w:rFonts w:eastAsia="Times New Roman"/>
          <w:color w:val="000000"/>
          <w:sz w:val="20"/>
          <w:szCs w:val="20"/>
        </w:rPr>
        <w:t>lace.</w:t>
      </w:r>
    </w:p>
    <w:p w:rsidR="00000000" w:rsidRDefault="00183441">
      <w:pPr>
        <w:jc w:val="both"/>
        <w:divId w:val="484857999"/>
        <w:rPr>
          <w:rFonts w:eastAsia="Times New Roman"/>
        </w:rPr>
      </w:pPr>
      <w:r>
        <w:rPr>
          <w:rFonts w:eastAsia="Times New Roman"/>
          <w:i/>
          <w:iCs/>
          <w:color w:val="000000"/>
          <w:sz w:val="20"/>
          <w:szCs w:val="20"/>
        </w:rPr>
        <w:t>Comparable store sales growth</w:t>
      </w:r>
    </w:p>
    <w:p w:rsidR="00000000" w:rsidRDefault="00183441">
      <w:pPr>
        <w:jc w:val="both"/>
        <w:divId w:val="69280010"/>
        <w:rPr>
          <w:rFonts w:eastAsia="Times New Roman"/>
        </w:rPr>
      </w:pPr>
      <w:r>
        <w:rPr>
          <w:rFonts w:eastAsia="Times New Roman"/>
          <w:color w:val="000000"/>
          <w:sz w:val="20"/>
          <w:szCs w:val="20"/>
        </w:rPr>
        <w:t>Comparable store sales growth is a key driver of our business, and our value proposition will continue to drive comparable store sales growth as we attract new customers and increase loyalty with existing customers. Duri</w:t>
      </w:r>
      <w:r>
        <w:rPr>
          <w:rFonts w:eastAsia="Times New Roman"/>
          <w:color w:val="000000"/>
          <w:sz w:val="20"/>
          <w:szCs w:val="20"/>
        </w:rPr>
        <w:t>ng the nine months ended October 1, 2022 comparable store sales growth was negatively impacted due to overall economic trends impacting consumer preferences and demand, constraints on exam capacity in certain markets and the Omicron COVID-19 variant. We be</w:t>
      </w:r>
      <w:r>
        <w:rPr>
          <w:rFonts w:eastAsia="Times New Roman"/>
          <w:color w:val="000000"/>
          <w:sz w:val="20"/>
          <w:szCs w:val="20"/>
        </w:rPr>
        <w:t>lieve our business model of providing exceptional value and convenience to customers, enabled by our low-cost operating platform may mitigate these impacts to a certain extent. Our strategies to mitigate these effects include, but are not limited to, inves</w:t>
      </w:r>
      <w:r>
        <w:rPr>
          <w:rFonts w:eastAsia="Times New Roman"/>
          <w:color w:val="000000"/>
          <w:sz w:val="20"/>
          <w:szCs w:val="20"/>
        </w:rPr>
        <w:t xml:space="preserve">ting in recruitment and retention initiatives along with continuing our implementation of remote medicine technologies and optimizing our marketing investments. The impact of macroeconomic factors, the COVID-19 pandemic and constraints on exam capacity on </w:t>
      </w:r>
      <w:r>
        <w:rPr>
          <w:rFonts w:eastAsia="Times New Roman"/>
          <w:color w:val="000000"/>
          <w:sz w:val="20"/>
          <w:szCs w:val="20"/>
        </w:rPr>
        <w:t>our comparable store sales growth remains uncertain, and effects and relevant risk exposures may be exacerbated in the future.</w:t>
      </w:r>
    </w:p>
    <w:p w:rsidR="00000000" w:rsidRDefault="00183441">
      <w:pPr>
        <w:jc w:val="both"/>
        <w:divId w:val="172690680"/>
        <w:rPr>
          <w:rFonts w:eastAsia="Times New Roman"/>
        </w:rPr>
      </w:pPr>
      <w:r>
        <w:rPr>
          <w:rFonts w:eastAsia="Times New Roman"/>
          <w:i/>
          <w:iCs/>
          <w:color w:val="000000"/>
          <w:sz w:val="20"/>
          <w:szCs w:val="20"/>
        </w:rPr>
        <w:t>Inflation</w:t>
      </w:r>
    </w:p>
    <w:p w:rsidR="00000000" w:rsidRDefault="00183441">
      <w:pPr>
        <w:jc w:val="both"/>
        <w:divId w:val="63643583"/>
        <w:rPr>
          <w:rFonts w:eastAsia="Times New Roman"/>
        </w:rPr>
      </w:pPr>
      <w:r>
        <w:rPr>
          <w:rFonts w:eastAsia="Times New Roman"/>
          <w:color w:val="000000"/>
          <w:sz w:val="20"/>
          <w:szCs w:val="20"/>
        </w:rPr>
        <w:t>Substantial increases in product costs due to increases in materials cost or general inflation could lead to greater pr</w:t>
      </w:r>
      <w:r>
        <w:rPr>
          <w:rFonts w:eastAsia="Times New Roman"/>
          <w:color w:val="000000"/>
          <w:sz w:val="20"/>
          <w:szCs w:val="20"/>
        </w:rPr>
        <w:t>ofitability pressure as we may not be able to pass costs on to consumers. To date, changes in materials prices and general inflation have not materially impacted our business. However, targeted wage investments, including increases in compensation and othe</w:t>
      </w:r>
      <w:r>
        <w:rPr>
          <w:rFonts w:eastAsia="Times New Roman"/>
          <w:color w:val="000000"/>
          <w:sz w:val="20"/>
          <w:szCs w:val="20"/>
        </w:rPr>
        <w:t xml:space="preserve">r expenses for our optometrists and associates, have impacted our costs applicable to revenue and selling, general and administrative expenses. Any further wage investments, along with increased raw materials costs as a result of inflation or supply chain </w:t>
      </w:r>
      <w:r>
        <w:rPr>
          <w:rFonts w:eastAsia="Times New Roman"/>
          <w:color w:val="000000"/>
          <w:sz w:val="20"/>
          <w:szCs w:val="20"/>
        </w:rPr>
        <w:t xml:space="preserve">issues, increases in energy and fuel prices and lease and utility costs, would increase our costs applicable to revenue or selling, general and administrative </w:t>
      </w:r>
    </w:p>
    <w:p w:rsidR="00000000" w:rsidRDefault="00183441">
      <w:pPr>
        <w:jc w:val="center"/>
        <w:divId w:val="56125877"/>
        <w:rPr>
          <w:rFonts w:eastAsia="Times New Roman"/>
        </w:rPr>
      </w:pPr>
      <w:r>
        <w:rPr>
          <w:rFonts w:eastAsia="Times New Roman"/>
          <w:color w:val="000000"/>
          <w:sz w:val="20"/>
          <w:szCs w:val="20"/>
        </w:rPr>
        <w:t>25</w:t>
      </w:r>
    </w:p>
    <w:p w:rsidR="00000000" w:rsidRDefault="00183441">
      <w:pPr>
        <w:rPr>
          <w:rFonts w:eastAsia="Times New Roman"/>
        </w:rPr>
      </w:pPr>
      <w:r>
        <w:rPr>
          <w:rFonts w:eastAsia="Times New Roman"/>
        </w:rPr>
        <w:pict>
          <v:rect id="_x0000_i1049" style="width:0;height:1.5pt" o:hralign="center" o:hrstd="t" o:hr="t" fillcolor="#a0a0a0" stroked="f"/>
        </w:pict>
      </w:r>
    </w:p>
    <w:p w:rsidR="00000000" w:rsidRDefault="00183441">
      <w:pPr>
        <w:divId w:val="1776361524"/>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2029676035"/>
        <w:rPr>
          <w:rFonts w:eastAsia="Times New Roman"/>
        </w:rPr>
      </w:pPr>
      <w:r>
        <w:rPr>
          <w:rFonts w:eastAsia="Times New Roman"/>
          <w:color w:val="000000"/>
          <w:sz w:val="20"/>
          <w:szCs w:val="20"/>
        </w:rPr>
        <w:t>expenses. Such cost increases may not be offset by leverage from revenue growth, productivity efficiency and, as appropriate, various pricing actions which could impact our profita</w:t>
      </w:r>
      <w:r>
        <w:rPr>
          <w:rFonts w:eastAsia="Times New Roman"/>
          <w:color w:val="000000"/>
          <w:sz w:val="20"/>
          <w:szCs w:val="20"/>
        </w:rPr>
        <w:t>bility and results of operations.</w:t>
      </w:r>
    </w:p>
    <w:p w:rsidR="00000000" w:rsidRDefault="00183441">
      <w:pPr>
        <w:jc w:val="both"/>
        <w:divId w:val="739523484"/>
        <w:rPr>
          <w:rFonts w:eastAsia="Times New Roman"/>
        </w:rPr>
      </w:pPr>
      <w:r>
        <w:rPr>
          <w:rFonts w:eastAsia="Times New Roman"/>
          <w:i/>
          <w:iCs/>
          <w:color w:val="000000"/>
          <w:sz w:val="20"/>
          <w:szCs w:val="20"/>
        </w:rPr>
        <w:t>Interim results and seasonality</w:t>
      </w:r>
    </w:p>
    <w:p w:rsidR="00000000" w:rsidRDefault="00183441">
      <w:pPr>
        <w:jc w:val="both"/>
        <w:divId w:val="1709452220"/>
        <w:rPr>
          <w:rFonts w:eastAsia="Times New Roman"/>
        </w:rPr>
      </w:pPr>
      <w:r>
        <w:rPr>
          <w:rFonts w:eastAsia="Times New Roman"/>
          <w:color w:val="000000"/>
          <w:sz w:val="20"/>
          <w:szCs w:val="20"/>
        </w:rPr>
        <w:t>Historically, our business has realized a higher portion of net revenue, operating income, and cash flows from operations in the first half of the fiscal year, and a lower portion of net rev</w:t>
      </w:r>
      <w:r>
        <w:rPr>
          <w:rFonts w:eastAsia="Times New Roman"/>
          <w:color w:val="000000"/>
          <w:sz w:val="20"/>
          <w:szCs w:val="20"/>
        </w:rPr>
        <w:t>enue, operating income, and cash flows from operations in the fourth fiscal quarter. Consumer behavior driven by the COVID-19 pandemic, impacts on overall economic trends, consumer preferences and demand has resulted in a departure from seasonal norms we h</w:t>
      </w:r>
      <w:r>
        <w:rPr>
          <w:rFonts w:eastAsia="Times New Roman"/>
          <w:color w:val="000000"/>
          <w:sz w:val="20"/>
          <w:szCs w:val="20"/>
        </w:rPr>
        <w:t>ave experienced in recent years and we expect it will continue to disrupt the historical quarterly cadence of our results of operations for an unknown period of time.</w:t>
      </w:r>
    </w:p>
    <w:p w:rsidR="00000000" w:rsidRDefault="00183441">
      <w:pPr>
        <w:jc w:val="both"/>
        <w:divId w:val="1743484411"/>
        <w:rPr>
          <w:rFonts w:eastAsia="Times New Roman"/>
        </w:rPr>
      </w:pPr>
      <w:r>
        <w:rPr>
          <w:rFonts w:eastAsia="Times New Roman"/>
          <w:i/>
          <w:iCs/>
          <w:color w:val="000000"/>
          <w:sz w:val="20"/>
          <w:szCs w:val="20"/>
        </w:rPr>
        <w:t>Other factors</w:t>
      </w:r>
    </w:p>
    <w:p w:rsidR="00000000" w:rsidRDefault="00183441">
      <w:pPr>
        <w:jc w:val="both"/>
        <w:divId w:val="1422332035"/>
        <w:rPr>
          <w:rFonts w:eastAsia="Times New Roman"/>
        </w:rPr>
      </w:pPr>
      <w:r>
        <w:rPr>
          <w:rFonts w:eastAsia="Times New Roman"/>
          <w:color w:val="000000"/>
          <w:sz w:val="20"/>
          <w:szCs w:val="20"/>
        </w:rPr>
        <w:t>We remain committed to our long-term vision and continue to position oursel</w:t>
      </w:r>
      <w:r>
        <w:rPr>
          <w:rFonts w:eastAsia="Times New Roman"/>
          <w:color w:val="000000"/>
          <w:sz w:val="20"/>
          <w:szCs w:val="20"/>
        </w:rPr>
        <w:t>ves to make progress against our key initiatives while balancing the near-term challenges and uncertainty presented by the COVID-19 pandemic and other macroeconomic factors. We believe the following factors may continue to influence our short-term and long</w:t>
      </w:r>
      <w:r>
        <w:rPr>
          <w:rFonts w:eastAsia="Times New Roman"/>
          <w:color w:val="000000"/>
          <w:sz w:val="20"/>
          <w:szCs w:val="20"/>
        </w:rPr>
        <w:t>-term results:</w:t>
      </w:r>
    </w:p>
    <w:p w:rsidR="00000000" w:rsidRDefault="00183441">
      <w:pPr>
        <w:ind w:hanging="360"/>
        <w:jc w:val="both"/>
        <w:divId w:val="2017075236"/>
        <w:rPr>
          <w:rFonts w:eastAsia="Times New Roman"/>
        </w:rPr>
      </w:pPr>
      <w:r>
        <w:rPr>
          <w:rFonts w:eastAsia="Times New Roman"/>
          <w:color w:val="000000"/>
          <w:sz w:val="20"/>
          <w:szCs w:val="20"/>
        </w:rPr>
        <w:t>•New store openings;</w:t>
      </w:r>
    </w:p>
    <w:p w:rsidR="00000000" w:rsidRDefault="00183441">
      <w:pPr>
        <w:ind w:hanging="360"/>
        <w:jc w:val="both"/>
        <w:divId w:val="113715257"/>
        <w:rPr>
          <w:rFonts w:eastAsia="Times New Roman"/>
        </w:rPr>
      </w:pPr>
      <w:r>
        <w:rPr>
          <w:rFonts w:eastAsia="Times New Roman"/>
          <w:color w:val="000000"/>
          <w:sz w:val="20"/>
          <w:szCs w:val="20"/>
        </w:rPr>
        <w:t>•Managed care and insurance;</w:t>
      </w:r>
    </w:p>
    <w:p w:rsidR="00000000" w:rsidRDefault="00183441">
      <w:pPr>
        <w:ind w:hanging="360"/>
        <w:jc w:val="both"/>
        <w:divId w:val="602305238"/>
        <w:rPr>
          <w:rFonts w:eastAsia="Times New Roman"/>
        </w:rPr>
      </w:pPr>
      <w:r>
        <w:rPr>
          <w:rFonts w:eastAsia="Times New Roman"/>
          <w:color w:val="000000"/>
          <w:sz w:val="20"/>
          <w:szCs w:val="20"/>
        </w:rPr>
        <w:t>•Infrastructure investment;</w:t>
      </w:r>
    </w:p>
    <w:p w:rsidR="00000000" w:rsidRDefault="00183441">
      <w:pPr>
        <w:ind w:hanging="360"/>
        <w:jc w:val="both"/>
        <w:divId w:val="330984199"/>
        <w:rPr>
          <w:rFonts w:eastAsia="Times New Roman"/>
        </w:rPr>
      </w:pPr>
      <w:r>
        <w:rPr>
          <w:rFonts w:eastAsia="Times New Roman"/>
          <w:color w:val="000000"/>
          <w:sz w:val="20"/>
          <w:szCs w:val="20"/>
        </w:rPr>
        <w:t>•Our ability to source and distribute products effectively; and</w:t>
      </w:r>
    </w:p>
    <w:p w:rsidR="00000000" w:rsidRDefault="00183441">
      <w:pPr>
        <w:ind w:hanging="360"/>
        <w:jc w:val="both"/>
        <w:divId w:val="494340130"/>
        <w:rPr>
          <w:rFonts w:eastAsia="Times New Roman"/>
        </w:rPr>
      </w:pPr>
      <w:r>
        <w:rPr>
          <w:rFonts w:eastAsia="Times New Roman"/>
          <w:color w:val="000000"/>
          <w:sz w:val="20"/>
          <w:szCs w:val="20"/>
        </w:rPr>
        <w:t>•Industry competition and consolidation</w:t>
      </w:r>
    </w:p>
    <w:p w:rsidR="00000000" w:rsidRDefault="00183441">
      <w:pPr>
        <w:jc w:val="both"/>
        <w:divId w:val="374551468"/>
        <w:rPr>
          <w:rFonts w:eastAsia="Times New Roman"/>
        </w:rPr>
      </w:pPr>
      <w:r>
        <w:rPr>
          <w:rFonts w:eastAsia="Times New Roman"/>
          <w:b/>
          <w:bCs/>
          <w:color w:val="000000"/>
          <w:sz w:val="20"/>
          <w:szCs w:val="20"/>
        </w:rPr>
        <w:t>How We Assess the Performance of Our Business</w:t>
      </w:r>
    </w:p>
    <w:p w:rsidR="00000000" w:rsidRDefault="00183441">
      <w:pPr>
        <w:jc w:val="both"/>
        <w:divId w:val="1509908497"/>
        <w:rPr>
          <w:rFonts w:eastAsia="Times New Roman"/>
        </w:rPr>
      </w:pPr>
      <w:r>
        <w:rPr>
          <w:rFonts w:eastAsia="Times New Roman"/>
          <w:color w:val="000000"/>
          <w:sz w:val="20"/>
          <w:szCs w:val="20"/>
        </w:rPr>
        <w:t>We consider a</w:t>
      </w:r>
      <w:r>
        <w:rPr>
          <w:rFonts w:eastAsia="Times New Roman"/>
          <w:color w:val="000000"/>
          <w:sz w:val="20"/>
          <w:szCs w:val="20"/>
        </w:rPr>
        <w:t xml:space="preserve"> variety of financial and operating measures in assessing the performance of our business. The key measures we use to determine how our consolidated business and operating segments are performing are net revenue, costs applicable to revenue, and selling, g</w:t>
      </w:r>
      <w:r>
        <w:rPr>
          <w:rFonts w:eastAsia="Times New Roman"/>
          <w:color w:val="000000"/>
          <w:sz w:val="20"/>
          <w:szCs w:val="20"/>
        </w:rPr>
        <w:t>eneral, and administrative expenses. In addition, we also review store growth, Adjusted Comparable Store Sales Growth, Adjusted Operating Income, Adjusted Operating Margin, Adjusted EBITDA, Adjusted EBITDA Margin and Adjusted Diluted EPS.</w:t>
      </w:r>
    </w:p>
    <w:p w:rsidR="00000000" w:rsidRDefault="00183441">
      <w:pPr>
        <w:jc w:val="both"/>
        <w:divId w:val="160432710"/>
        <w:rPr>
          <w:rFonts w:eastAsia="Times New Roman"/>
        </w:rPr>
      </w:pPr>
      <w:r>
        <w:rPr>
          <w:rFonts w:eastAsia="Times New Roman"/>
          <w:i/>
          <w:iCs/>
          <w:color w:val="000000"/>
          <w:sz w:val="20"/>
          <w:szCs w:val="20"/>
        </w:rPr>
        <w:t>Net Revenue</w:t>
      </w:r>
    </w:p>
    <w:p w:rsidR="00000000" w:rsidRDefault="00183441">
      <w:pPr>
        <w:jc w:val="both"/>
        <w:divId w:val="1040667770"/>
        <w:rPr>
          <w:rFonts w:eastAsia="Times New Roman"/>
        </w:rPr>
      </w:pPr>
      <w:r>
        <w:rPr>
          <w:rFonts w:eastAsia="Times New Roman"/>
          <w:color w:val="000000"/>
          <w:sz w:val="20"/>
          <w:szCs w:val="20"/>
        </w:rPr>
        <w:t>We re</w:t>
      </w:r>
      <w:r>
        <w:rPr>
          <w:rFonts w:eastAsia="Times New Roman"/>
          <w:color w:val="000000"/>
          <w:sz w:val="20"/>
          <w:szCs w:val="20"/>
        </w:rPr>
        <w:t>port as net revenue amounts generated in transactions with retail customers who are the end users of our products, services, and plans. Comparable store sales growth and new store openings are key drivers of net revenue and are discussed below. Also, the t</w:t>
      </w:r>
      <w:r>
        <w:rPr>
          <w:rFonts w:eastAsia="Times New Roman"/>
          <w:color w:val="000000"/>
          <w:sz w:val="20"/>
          <w:szCs w:val="20"/>
        </w:rPr>
        <w:t>iming of unearned revenue can affect revenue recognized in a particular period.</w:t>
      </w:r>
    </w:p>
    <w:p w:rsidR="00000000" w:rsidRDefault="00183441">
      <w:pPr>
        <w:jc w:val="both"/>
        <w:divId w:val="2088113918"/>
        <w:rPr>
          <w:rFonts w:eastAsia="Times New Roman"/>
        </w:rPr>
      </w:pPr>
      <w:r>
        <w:rPr>
          <w:rFonts w:eastAsia="Times New Roman"/>
          <w:i/>
          <w:iCs/>
          <w:color w:val="000000"/>
          <w:sz w:val="20"/>
          <w:szCs w:val="20"/>
        </w:rPr>
        <w:t>Costs Applicable to Revenue</w:t>
      </w:r>
    </w:p>
    <w:p w:rsidR="00000000" w:rsidRDefault="00183441">
      <w:pPr>
        <w:jc w:val="both"/>
        <w:divId w:val="555823212"/>
        <w:rPr>
          <w:rFonts w:eastAsia="Times New Roman"/>
        </w:rPr>
      </w:pPr>
      <w:r>
        <w:rPr>
          <w:rFonts w:eastAsia="Times New Roman"/>
          <w:color w:val="000000"/>
          <w:sz w:val="20"/>
          <w:szCs w:val="20"/>
        </w:rPr>
        <w:t>Customer tastes and preferences, product mix, changes in technology, significant increases or slowdowns in production, and other factors impact cost</w:t>
      </w:r>
      <w:r>
        <w:rPr>
          <w:rFonts w:eastAsia="Times New Roman"/>
          <w:color w:val="000000"/>
          <w:sz w:val="20"/>
          <w:szCs w:val="20"/>
        </w:rPr>
        <w:t>s applicable to revenue. The components of our costs applicable to revenue may not be comparable to other retailers.</w:t>
      </w:r>
    </w:p>
    <w:p w:rsidR="00000000" w:rsidRDefault="00183441">
      <w:pPr>
        <w:jc w:val="both"/>
        <w:divId w:val="671644056"/>
        <w:rPr>
          <w:rFonts w:eastAsia="Times New Roman"/>
        </w:rPr>
      </w:pPr>
      <w:r>
        <w:rPr>
          <w:rFonts w:eastAsia="Times New Roman"/>
          <w:i/>
          <w:iCs/>
          <w:color w:val="000000"/>
          <w:sz w:val="20"/>
          <w:szCs w:val="20"/>
        </w:rPr>
        <w:t>Selling, General and Administrative</w:t>
      </w:r>
    </w:p>
    <w:p w:rsidR="00000000" w:rsidRDefault="00183441">
      <w:pPr>
        <w:jc w:val="both"/>
        <w:divId w:val="2001813034"/>
        <w:rPr>
          <w:rFonts w:eastAsia="Times New Roman"/>
        </w:rPr>
      </w:pPr>
      <w:r>
        <w:rPr>
          <w:rFonts w:eastAsia="Times New Roman"/>
          <w:color w:val="000000"/>
          <w:sz w:val="20"/>
          <w:szCs w:val="20"/>
        </w:rPr>
        <w:t>SG&amp;A generally fluctuates consistently with revenue due to the variable store, field office and corpora</w:t>
      </w:r>
      <w:r>
        <w:rPr>
          <w:rFonts w:eastAsia="Times New Roman"/>
          <w:color w:val="000000"/>
          <w:sz w:val="20"/>
          <w:szCs w:val="20"/>
        </w:rPr>
        <w:t>te support costs; however, some fixed costs slightly improve as a percentage of net revenue as our net revenues grow over time.</w:t>
      </w:r>
    </w:p>
    <w:p w:rsidR="00000000" w:rsidRDefault="00183441">
      <w:pPr>
        <w:jc w:val="both"/>
        <w:divId w:val="2111314198"/>
        <w:rPr>
          <w:rFonts w:eastAsia="Times New Roman"/>
        </w:rPr>
      </w:pPr>
      <w:r>
        <w:rPr>
          <w:rFonts w:eastAsia="Times New Roman"/>
          <w:i/>
          <w:iCs/>
          <w:color w:val="000000"/>
          <w:sz w:val="20"/>
          <w:szCs w:val="20"/>
        </w:rPr>
        <w:t>New Store Openings</w:t>
      </w:r>
    </w:p>
    <w:p w:rsidR="00000000" w:rsidRDefault="00183441">
      <w:pPr>
        <w:jc w:val="both"/>
        <w:divId w:val="39747417"/>
        <w:rPr>
          <w:rFonts w:eastAsia="Times New Roman"/>
        </w:rPr>
      </w:pPr>
      <w:r>
        <w:rPr>
          <w:rFonts w:eastAsia="Times New Roman"/>
          <w:color w:val="000000"/>
          <w:sz w:val="20"/>
          <w:szCs w:val="20"/>
        </w:rPr>
        <w:t>The total number of new stores per year and the timing of store openings has, and will continue to have, an i</w:t>
      </w:r>
      <w:r>
        <w:rPr>
          <w:rFonts w:eastAsia="Times New Roman"/>
          <w:color w:val="000000"/>
          <w:sz w:val="20"/>
          <w:szCs w:val="20"/>
        </w:rPr>
        <w:t>mpact on our re</w:t>
      </w:r>
      <w:r>
        <w:rPr>
          <w:rFonts w:eastAsia="Times New Roman"/>
          <w:color w:val="000000"/>
          <w:sz w:val="20"/>
          <w:szCs w:val="20"/>
          <w:shd w:val="clear" w:color="auto" w:fill="FFFFFF"/>
        </w:rPr>
        <w:t>sults.</w:t>
      </w:r>
      <w:r>
        <w:rPr>
          <w:rFonts w:eastAsia="Times New Roman"/>
          <w:color w:val="000000"/>
          <w:sz w:val="20"/>
          <w:szCs w:val="20"/>
        </w:rPr>
        <w:t xml:space="preserve"> </w:t>
      </w:r>
      <w:r>
        <w:rPr>
          <w:rFonts w:eastAsia="Times New Roman"/>
          <w:color w:val="000000"/>
          <w:sz w:val="20"/>
          <w:szCs w:val="20"/>
        </w:rPr>
        <w:t xml:space="preserve">We expect to open at least 80 stores in the current year. We will continue to monitor and determine our plans for future new store openings based on </w:t>
      </w:r>
      <w:r>
        <w:rPr>
          <w:rFonts w:eastAsia="Times New Roman"/>
          <w:color w:val="000000"/>
          <w:sz w:val="20"/>
          <w:szCs w:val="20"/>
          <w:shd w:val="clear" w:color="auto" w:fill="FFFFFF"/>
        </w:rPr>
        <w:t>health, safety and economic conditions.</w:t>
      </w:r>
    </w:p>
    <w:p w:rsidR="00000000" w:rsidRDefault="00183441">
      <w:pPr>
        <w:jc w:val="center"/>
        <w:divId w:val="869606898"/>
        <w:rPr>
          <w:rFonts w:eastAsia="Times New Roman"/>
        </w:rPr>
      </w:pPr>
      <w:r>
        <w:rPr>
          <w:rFonts w:eastAsia="Times New Roman"/>
          <w:color w:val="000000"/>
          <w:sz w:val="20"/>
          <w:szCs w:val="20"/>
        </w:rPr>
        <w:t>26</w:t>
      </w:r>
    </w:p>
    <w:p w:rsidR="00000000" w:rsidRDefault="00183441">
      <w:pPr>
        <w:rPr>
          <w:rFonts w:eastAsia="Times New Roman"/>
        </w:rPr>
      </w:pPr>
      <w:r>
        <w:rPr>
          <w:rFonts w:eastAsia="Times New Roman"/>
        </w:rPr>
        <w:pict>
          <v:rect id="_x0000_i1050" style="width:0;height:1.5pt" o:hralign="center" o:hrstd="t" o:hr="t" fillcolor="#a0a0a0" stroked="f"/>
        </w:pict>
      </w:r>
    </w:p>
    <w:p w:rsidR="00000000" w:rsidRDefault="00183441">
      <w:pPr>
        <w:divId w:val="317810630"/>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513768813"/>
        <w:rPr>
          <w:rFonts w:eastAsia="Times New Roman"/>
        </w:rPr>
      </w:pPr>
      <w:r>
        <w:rPr>
          <w:rFonts w:eastAsia="Times New Roman"/>
          <w:i/>
          <w:iCs/>
          <w:color w:val="000000"/>
          <w:sz w:val="20"/>
          <w:szCs w:val="20"/>
        </w:rPr>
        <w:t>Adjusted Comparable Store Sales Growth</w:t>
      </w:r>
    </w:p>
    <w:p w:rsidR="00000000" w:rsidRDefault="00183441">
      <w:pPr>
        <w:jc w:val="both"/>
        <w:divId w:val="1608855260"/>
        <w:rPr>
          <w:rFonts w:eastAsia="Times New Roman"/>
        </w:rPr>
      </w:pPr>
      <w:r>
        <w:rPr>
          <w:rFonts w:eastAsia="Times New Roman"/>
          <w:color w:val="000000"/>
          <w:sz w:val="20"/>
          <w:szCs w:val="20"/>
        </w:rPr>
        <w:t>We measure Adjusted Comparable Store Sales Growth as the increase or decrease in sales recorded by the comparable store base in any reporting period, compared to sales r</w:t>
      </w:r>
      <w:r>
        <w:rPr>
          <w:rFonts w:eastAsia="Times New Roman"/>
          <w:color w:val="000000"/>
          <w:sz w:val="20"/>
          <w:szCs w:val="20"/>
        </w:rPr>
        <w:t>ecorded by the comparable store base in the prior reporting period, which we calculate as follows: (i) sales are recorded on a cash basis (i.e., when the order is placed and paid for or submitted to a managed care payor, compared to when the order is deliv</w:t>
      </w:r>
      <w:r>
        <w:rPr>
          <w:rFonts w:eastAsia="Times New Roman"/>
          <w:color w:val="000000"/>
          <w:sz w:val="20"/>
          <w:szCs w:val="20"/>
        </w:rPr>
        <w:t xml:space="preserve">ered), utilizing cash basis point of sale information from stores; (ii) stores are added to the calculation during the 13th full fiscal month following the store’s opening; (iii) closed stores are removed from the calculation for time periods that are not </w:t>
      </w:r>
      <w:r>
        <w:rPr>
          <w:rFonts w:eastAsia="Times New Roman"/>
          <w:color w:val="000000"/>
          <w:sz w:val="20"/>
          <w:szCs w:val="20"/>
        </w:rPr>
        <w:t xml:space="preserve">comparable; (iv) sales from partial months of operation are excluded when stores do not open or close on the first day of the month; and (v) when applicable, we adjust for the effect of the 53rd week. Quarterly, year-to-date and annual adjusted comparable </w:t>
      </w:r>
      <w:r>
        <w:rPr>
          <w:rFonts w:eastAsia="Times New Roman"/>
          <w:color w:val="000000"/>
          <w:sz w:val="20"/>
          <w:szCs w:val="20"/>
        </w:rPr>
        <w:t>store sales are aggregated using only sales from all whole months of operation included in both the current reporting period and the prior reporting period. When a partial month is excluded from the calculation, the corresponding month in the subsequent pe</w:t>
      </w:r>
      <w:r>
        <w:rPr>
          <w:rFonts w:eastAsia="Times New Roman"/>
          <w:color w:val="000000"/>
          <w:sz w:val="20"/>
          <w:szCs w:val="20"/>
        </w:rPr>
        <w:t>riod is also excluded from the calculation. There may be variations in the way in which some of our competitors and other retailers calculate comparable store sales. As a result, our adjusted comparable store sales may not be comparable to similar data mad</w:t>
      </w:r>
      <w:r>
        <w:rPr>
          <w:rFonts w:eastAsia="Times New Roman"/>
          <w:color w:val="000000"/>
          <w:sz w:val="20"/>
          <w:szCs w:val="20"/>
        </w:rPr>
        <w:t>e available by other retailers.</w:t>
      </w:r>
    </w:p>
    <w:p w:rsidR="00000000" w:rsidRDefault="00183441">
      <w:pPr>
        <w:jc w:val="both"/>
        <w:divId w:val="1230534598"/>
        <w:rPr>
          <w:rFonts w:eastAsia="Times New Roman"/>
        </w:rPr>
      </w:pPr>
      <w:r>
        <w:rPr>
          <w:rFonts w:eastAsia="Times New Roman"/>
          <w:color w:val="000000"/>
          <w:sz w:val="20"/>
          <w:szCs w:val="20"/>
        </w:rPr>
        <w:t xml:space="preserve">Adjusted Comparable Store Sales Growth is a non-GAAP financial measure, which we believe is useful because it provides timely and accurate information relating to the two core metrics of retail sales: number of transactions </w:t>
      </w:r>
      <w:r>
        <w:rPr>
          <w:rFonts w:eastAsia="Times New Roman"/>
          <w:color w:val="000000"/>
          <w:sz w:val="20"/>
          <w:szCs w:val="20"/>
        </w:rPr>
        <w:t>and value of transactions. We use Adjusted Comparable Store Sales Growth as the basis for key operating decisions, such as allocation of advertising to particular markets and implementation of special marketing programs. Accordingly, we believe that Adjust</w:t>
      </w:r>
      <w:r>
        <w:rPr>
          <w:rFonts w:eastAsia="Times New Roman"/>
          <w:color w:val="000000"/>
          <w:sz w:val="20"/>
          <w:szCs w:val="20"/>
        </w:rPr>
        <w:t>ed Comparable Store Sales Growth provides timely and accurate information relating to the operational health and overall performance of each brand. We also believe that, for the same reasons, investors find our calculation of Adjusted Comparable Stores Sal</w:t>
      </w:r>
      <w:r>
        <w:rPr>
          <w:rFonts w:eastAsia="Times New Roman"/>
          <w:color w:val="000000"/>
          <w:sz w:val="20"/>
          <w:szCs w:val="20"/>
        </w:rPr>
        <w:t>es Growth to be meaningful.</w:t>
      </w:r>
    </w:p>
    <w:p w:rsidR="00000000" w:rsidRDefault="00183441">
      <w:pPr>
        <w:jc w:val="both"/>
        <w:divId w:val="341905855"/>
        <w:rPr>
          <w:rFonts w:eastAsia="Times New Roman"/>
        </w:rPr>
      </w:pPr>
      <w:r>
        <w:rPr>
          <w:rFonts w:eastAsia="Times New Roman"/>
          <w:i/>
          <w:iCs/>
          <w:color w:val="000000"/>
          <w:sz w:val="20"/>
          <w:szCs w:val="20"/>
        </w:rPr>
        <w:t>Adjusted Operating Income, Adjusted Operating Margin, Adjusted EBITDA, Adjusted EBITDA Margin and Adjusted Diluted EPS (collectively, the “Company Non-GAAP Measures”)</w:t>
      </w:r>
    </w:p>
    <w:p w:rsidR="00000000" w:rsidRDefault="00183441">
      <w:pPr>
        <w:jc w:val="both"/>
        <w:divId w:val="1532457899"/>
        <w:rPr>
          <w:rFonts w:eastAsia="Times New Roman"/>
        </w:rPr>
      </w:pPr>
      <w:r>
        <w:rPr>
          <w:rFonts w:eastAsia="Times New Roman"/>
          <w:color w:val="000000"/>
          <w:sz w:val="20"/>
          <w:szCs w:val="20"/>
        </w:rPr>
        <w:t>The Company Non-GAAP Measures are key measures used by management to assess our financial</w:t>
      </w:r>
      <w:r>
        <w:rPr>
          <w:rFonts w:eastAsia="Times New Roman"/>
          <w:color w:val="000000"/>
          <w:sz w:val="20"/>
          <w:szCs w:val="20"/>
        </w:rPr>
        <w:t xml:space="preserve"> performance. The Company Non-GAAP Measures are also frequently used by analysts, investors and other interested parties. We use the Company Non-GAAP Measures to supplement U.S. GAAP measures of performance to evaluate the effectiveness of our business str</w:t>
      </w:r>
      <w:r>
        <w:rPr>
          <w:rFonts w:eastAsia="Times New Roman"/>
          <w:color w:val="000000"/>
          <w:sz w:val="20"/>
          <w:szCs w:val="20"/>
        </w:rPr>
        <w:t>ategies, to make budgeting decisions, to establish discretionary annual incentive compensation and to compare our performance against that of other peer companies using similar measures. See “Non-GAAP Financial Measures” for definitions of the Company Non-</w:t>
      </w:r>
      <w:r>
        <w:rPr>
          <w:rFonts w:eastAsia="Times New Roman"/>
          <w:color w:val="000000"/>
          <w:sz w:val="20"/>
          <w:szCs w:val="20"/>
        </w:rPr>
        <w:t>GAAP Measures and for additional information.</w:t>
      </w:r>
    </w:p>
    <w:p w:rsidR="00000000" w:rsidRDefault="00183441">
      <w:pPr>
        <w:jc w:val="center"/>
        <w:divId w:val="207226798"/>
        <w:rPr>
          <w:rFonts w:eastAsia="Times New Roman"/>
        </w:rPr>
      </w:pPr>
      <w:r>
        <w:rPr>
          <w:rFonts w:eastAsia="Times New Roman"/>
          <w:color w:val="000000"/>
          <w:sz w:val="20"/>
          <w:szCs w:val="20"/>
        </w:rPr>
        <w:t>27</w:t>
      </w:r>
    </w:p>
    <w:p w:rsidR="00000000" w:rsidRDefault="00183441">
      <w:pPr>
        <w:rPr>
          <w:rFonts w:eastAsia="Times New Roman"/>
        </w:rPr>
      </w:pPr>
      <w:r>
        <w:rPr>
          <w:rFonts w:eastAsia="Times New Roman"/>
        </w:rPr>
        <w:pict>
          <v:rect id="_x0000_i1051" style="width:0;height:1.5pt" o:hralign="center" o:hrstd="t" o:hr="t" fillcolor="#a0a0a0" stroked="f"/>
        </w:pict>
      </w:r>
    </w:p>
    <w:p w:rsidR="00000000" w:rsidRDefault="00183441">
      <w:pPr>
        <w:divId w:val="1243444660"/>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575552388"/>
        <w:rPr>
          <w:rFonts w:eastAsia="Times New Roman"/>
        </w:rPr>
      </w:pPr>
      <w:r>
        <w:rPr>
          <w:rFonts w:eastAsia="Times New Roman"/>
          <w:b/>
          <w:bCs/>
          <w:color w:val="000000"/>
          <w:sz w:val="20"/>
          <w:szCs w:val="20"/>
        </w:rPr>
        <w:t>Results of Operations</w:t>
      </w:r>
    </w:p>
    <w:p w:rsidR="00000000" w:rsidRDefault="00183441">
      <w:pPr>
        <w:jc w:val="both"/>
        <w:divId w:val="1430663472"/>
        <w:rPr>
          <w:rFonts w:eastAsia="Times New Roman"/>
        </w:rPr>
      </w:pPr>
      <w:r>
        <w:rPr>
          <w:rFonts w:eastAsia="Times New Roman"/>
          <w:color w:val="000000"/>
          <w:sz w:val="20"/>
          <w:szCs w:val="20"/>
        </w:rPr>
        <w:t>The following table summarizes key components of our results of operatio</w:t>
      </w:r>
      <w:r>
        <w:rPr>
          <w:rFonts w:eastAsia="Times New Roman"/>
          <w:color w:val="000000"/>
          <w:sz w:val="20"/>
          <w:szCs w:val="20"/>
        </w:rPr>
        <w:t>ns for the periods indicated, both in dollars and as a percentage of our net revenue.</w:t>
      </w:r>
    </w:p>
    <w:tbl>
      <w:tblPr>
        <w:tblW w:w="5000" w:type="pct"/>
        <w:tblCellMar>
          <w:top w:w="15" w:type="dxa"/>
          <w:left w:w="15" w:type="dxa"/>
          <w:bottom w:w="15" w:type="dxa"/>
          <w:right w:w="15" w:type="dxa"/>
        </w:tblCellMar>
        <w:tblLook w:val="04A0" w:firstRow="1" w:lastRow="0" w:firstColumn="1" w:lastColumn="0" w:noHBand="0" w:noVBand="1"/>
      </w:tblPr>
      <w:tblGrid>
        <w:gridCol w:w="40"/>
        <w:gridCol w:w="3217"/>
        <w:gridCol w:w="39"/>
        <w:gridCol w:w="121"/>
        <w:gridCol w:w="844"/>
        <w:gridCol w:w="188"/>
        <w:gridCol w:w="36"/>
        <w:gridCol w:w="36"/>
        <w:gridCol w:w="36"/>
        <w:gridCol w:w="121"/>
        <w:gridCol w:w="740"/>
        <w:gridCol w:w="188"/>
        <w:gridCol w:w="36"/>
        <w:gridCol w:w="36"/>
        <w:gridCol w:w="36"/>
        <w:gridCol w:w="121"/>
        <w:gridCol w:w="932"/>
        <w:gridCol w:w="189"/>
        <w:gridCol w:w="36"/>
        <w:gridCol w:w="36"/>
        <w:gridCol w:w="36"/>
        <w:gridCol w:w="121"/>
        <w:gridCol w:w="932"/>
        <w:gridCol w:w="189"/>
      </w:tblGrid>
      <w:tr w:rsidR="00000000">
        <w:trPr>
          <w:divId w:val="353070739"/>
        </w:trPr>
        <w:tc>
          <w:tcPr>
            <w:tcW w:w="50" w:type="pct"/>
            <w:vAlign w:val="center"/>
            <w:hideMark/>
          </w:tcPr>
          <w:p w:rsidR="00000000" w:rsidRDefault="00183441">
            <w:pPr>
              <w:jc w:val="both"/>
              <w:rPr>
                <w:rFonts w:eastAsia="Times New Roman"/>
              </w:rPr>
            </w:pPr>
          </w:p>
        </w:tc>
        <w:tc>
          <w:tcPr>
            <w:tcW w:w="210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2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2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2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62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353070739"/>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shd w:val="clear" w:color="auto" w:fill="FFFFFF"/>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353070739"/>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 except earnings per share, percentage and store data</w:t>
            </w:r>
          </w:p>
        </w:tc>
        <w:tc>
          <w:tcPr>
            <w:tcW w:w="0" w:type="auto"/>
            <w:gridSpan w:val="3"/>
            <w:tcBorders>
              <w:top w:val="single" w:sz="8" w:space="0" w:color="000000"/>
            </w:tcBorders>
            <w:shd w:val="clear" w:color="auto" w:fill="FFFFFF"/>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shd w:val="clear" w:color="auto" w:fill="FFFFFF"/>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Revenue:</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353070739"/>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product sales</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410,701</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425,594</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1,265,554</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1,326,867</w:t>
            </w:r>
          </w:p>
        </w:tc>
      </w:tr>
      <w:tr w:rsidR="00000000">
        <w:trPr>
          <w:divId w:val="353070739"/>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Net sales of services and plans </w:t>
            </w: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88,506</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92,411</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270,919</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274,807</w:t>
            </w:r>
          </w:p>
        </w:tc>
      </w:tr>
      <w:tr w:rsidR="00000000">
        <w:trPr>
          <w:divId w:val="353070739"/>
        </w:trPr>
        <w:tc>
          <w:tcPr>
            <w:tcW w:w="0" w:type="auto"/>
            <w:gridSpan w:val="3"/>
            <w:shd w:val="clear" w:color="auto" w:fill="FFFFFF"/>
            <w:tcMar>
              <w:top w:w="30" w:type="dxa"/>
              <w:left w:w="38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net revenue</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499,207</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518,005</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1,536,473</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1,601,674</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Costs applicable to revenue (exclusive of depreciation and amortization):</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353070739"/>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Products</w:t>
            </w: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160,645</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158,371</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488,225</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485,090</w:t>
            </w:r>
          </w:p>
        </w:tc>
      </w:tr>
      <w:tr w:rsidR="00000000">
        <w:trPr>
          <w:divId w:val="353070739"/>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Services and plans</w:t>
            </w: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72,155</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68,087</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215,179</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202,004</w:t>
            </w:r>
          </w:p>
        </w:tc>
      </w:tr>
      <w:tr w:rsidR="00000000">
        <w:trPr>
          <w:divId w:val="353070739"/>
        </w:trPr>
        <w:tc>
          <w:tcPr>
            <w:tcW w:w="0" w:type="auto"/>
            <w:gridSpan w:val="3"/>
            <w:shd w:val="clear" w:color="auto" w:fill="FFFFFF"/>
            <w:tcMar>
              <w:top w:w="30" w:type="dxa"/>
              <w:left w:w="38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costs applicable to revenue</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232,800</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226,458</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703,404</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687,094</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Operating expenses: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353070739"/>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Selling, general and administrative expenses</w:t>
            </w: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225,028</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218,214</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681,411</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676,042</w:t>
            </w:r>
          </w:p>
        </w:tc>
      </w:tr>
      <w:tr w:rsidR="00000000">
        <w:trPr>
          <w:divId w:val="353070739"/>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Depreciation and amortization</w:t>
            </w: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24,852</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25,059</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75,248</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72,639</w:t>
            </w:r>
          </w:p>
        </w:tc>
      </w:tr>
      <w:tr w:rsidR="00000000">
        <w:trPr>
          <w:divId w:val="353070739"/>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Asset impairment</w:t>
            </w: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1,263</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5,178</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1,478</w:t>
            </w:r>
          </w:p>
        </w:tc>
      </w:tr>
      <w:tr w:rsidR="00000000">
        <w:trPr>
          <w:divId w:val="353070739"/>
        </w:trPr>
        <w:tc>
          <w:tcPr>
            <w:tcW w:w="0" w:type="auto"/>
            <w:gridSpan w:val="3"/>
            <w:shd w:val="clear" w:color="auto" w:fill="CCEE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Other expense (income), net</w:t>
            </w: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(95)</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(2,437)</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170</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(2,567)</w:t>
            </w:r>
          </w:p>
        </w:tc>
      </w:tr>
      <w:tr w:rsidR="00000000">
        <w:trPr>
          <w:divId w:val="353070739"/>
        </w:trPr>
        <w:tc>
          <w:tcPr>
            <w:tcW w:w="0" w:type="auto"/>
            <w:gridSpan w:val="3"/>
            <w:shd w:val="clear" w:color="auto" w:fill="FFFFFF"/>
            <w:tcMar>
              <w:top w:w="30" w:type="dxa"/>
              <w:left w:w="38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Total operating expenses </w:t>
            </w: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251,048</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240,836</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762,007</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747,592</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Income from operations</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15,359</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50,711</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71,062</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166,988</w:t>
            </w:r>
          </w:p>
        </w:tc>
      </w:tr>
      <w:tr w:rsidR="00000000">
        <w:trPr>
          <w:divId w:val="353070739"/>
        </w:trPr>
        <w:tc>
          <w:tcPr>
            <w:tcW w:w="0" w:type="auto"/>
            <w:gridSpan w:val="3"/>
            <w:shd w:val="clear" w:color="auto" w:fill="FFFFFF"/>
            <w:tcMar>
              <w:top w:w="30" w:type="dxa"/>
              <w:left w:w="24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Interest expense (income), net</w:t>
            </w: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(1,977)</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5,743</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(2,158)</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22,261</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Earnings before income taxes</w:t>
            </w: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17,336</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44,968</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73,220</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single" w:sz="8" w:space="0" w:color="000000"/>
            </w:tcBorders>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144,727</w:t>
            </w:r>
          </w:p>
        </w:tc>
      </w:tr>
      <w:tr w:rsidR="00000000">
        <w:trPr>
          <w:divId w:val="353070739"/>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Income tax provision</w:t>
            </w: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5,834</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3,976</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21,837</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22,702</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11,502</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40,992</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51,383</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tcBorders>
              <w:top w:val="single" w:sz="8" w:space="0" w:color="000000"/>
            </w:tcBorders>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122,025</w:t>
            </w:r>
          </w:p>
        </w:tc>
      </w:tr>
      <w:tr w:rsidR="00000000">
        <w:trPr>
          <w:divId w:val="353070739"/>
          <w:trHeight w:val="300"/>
        </w:trPr>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Operating data:</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353070739"/>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Number of stores open at end of period</w:t>
            </w: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1,332</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1,262</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1,332</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1,262</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New stores opened during the period</w:t>
            </w: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18</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14</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57</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CCEEFF"/>
            <w:tcMar>
              <w:top w:w="30" w:type="dxa"/>
              <w:left w:w="2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59</w:t>
            </w:r>
          </w:p>
        </w:tc>
      </w:tr>
      <w:tr w:rsidR="00000000">
        <w:trPr>
          <w:divId w:val="353070739"/>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Adjusted Operating Income</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21,463</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54,736</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94,547</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187,985</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Diluted EPS</w:t>
            </w: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0.15</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0.45</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0.63</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1.34</w:t>
            </w:r>
          </w:p>
        </w:tc>
      </w:tr>
      <w:tr w:rsidR="00000000">
        <w:trPr>
          <w:divId w:val="353070739"/>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Adjusted Diluted EPS</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0.15</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0.38</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0.69</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FFFF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1.35</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xml:space="preserve">Adjusted EBITDA </w:t>
            </w: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44,443</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77,923</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164,179</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gridSpan w:val="2"/>
            <w:shd w:val="clear" w:color="auto" w:fill="CCEEFF"/>
            <w:tcMar>
              <w:top w:w="30" w:type="dxa"/>
              <w:left w:w="0" w:type="dxa"/>
              <w:bottom w:w="30" w:type="dxa"/>
              <w:right w:w="140" w:type="dxa"/>
            </w:tcMar>
            <w:vAlign w:val="bottom"/>
            <w:hideMark/>
          </w:tcPr>
          <w:p w:rsidR="00000000" w:rsidRDefault="00183441">
            <w:pPr>
              <w:spacing w:after="100"/>
              <w:jc w:val="right"/>
              <w:rPr>
                <w:rFonts w:eastAsia="Times New Roman"/>
              </w:rPr>
            </w:pPr>
            <w:r>
              <w:rPr>
                <w:rFonts w:eastAsia="Times New Roman"/>
                <w:color w:val="000000"/>
                <w:sz w:val="20"/>
                <w:szCs w:val="20"/>
              </w:rPr>
              <w:t>255,008</w:t>
            </w:r>
          </w:p>
        </w:tc>
      </w:tr>
      <w:tr w:rsidR="00000000">
        <w:trPr>
          <w:divId w:val="353070739"/>
          <w:trHeight w:val="300"/>
        </w:trPr>
        <w:tc>
          <w:tcPr>
            <w:tcW w:w="0" w:type="auto"/>
            <w:gridSpan w:val="24"/>
            <w:tcMar>
              <w:top w:w="0" w:type="dxa"/>
              <w:left w:w="20" w:type="dxa"/>
              <w:bottom w:w="0" w:type="dxa"/>
              <w:right w:w="20" w:type="dxa"/>
            </w:tcMar>
            <w:vAlign w:val="center"/>
            <w:hideMark/>
          </w:tcPr>
          <w:p w:rsidR="00000000" w:rsidRDefault="00183441">
            <w:pPr>
              <w:spacing w:after="100"/>
              <w:divId w:val="313997268"/>
              <w:rPr>
                <w:rFonts w:eastAsia="Times New Roman"/>
              </w:rPr>
            </w:pPr>
          </w:p>
        </w:tc>
      </w:tr>
      <w:tr w:rsidR="00000000">
        <w:trPr>
          <w:divId w:val="353070739"/>
          <w:trHeight w:val="300"/>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Percentage of net revenue:</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353070739"/>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costs applicable to revenue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46.6 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43.7 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45.8 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42.9 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45.1 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42.1 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42.2 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353070739"/>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Total operating expenses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50.3 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46.5 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46.7 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Income from operations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353070739"/>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income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353070739"/>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Adjusted Operating Income</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353070739"/>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Adjusted EBITDA</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bl>
    <w:p w:rsidR="00000000" w:rsidRDefault="00183441">
      <w:pPr>
        <w:jc w:val="center"/>
        <w:divId w:val="914971981"/>
        <w:rPr>
          <w:rFonts w:eastAsia="Times New Roman"/>
        </w:rPr>
      </w:pPr>
      <w:r>
        <w:rPr>
          <w:rFonts w:eastAsia="Times New Roman"/>
          <w:color w:val="000000"/>
          <w:sz w:val="20"/>
          <w:szCs w:val="20"/>
        </w:rPr>
        <w:t>28</w:t>
      </w:r>
    </w:p>
    <w:p w:rsidR="00000000" w:rsidRDefault="00183441">
      <w:pPr>
        <w:rPr>
          <w:rFonts w:eastAsia="Times New Roman"/>
        </w:rPr>
      </w:pPr>
      <w:r>
        <w:rPr>
          <w:rFonts w:eastAsia="Times New Roman"/>
        </w:rPr>
        <w:pict>
          <v:rect id="_x0000_i1052" style="width:0;height:1.5pt" o:hralign="center" o:hrstd="t" o:hr="t" fillcolor="#a0a0a0" stroked="f"/>
        </w:pict>
      </w:r>
    </w:p>
    <w:p w:rsidR="00000000" w:rsidRDefault="00183441">
      <w:pPr>
        <w:divId w:val="937904691"/>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821897683"/>
        <w:rPr>
          <w:rFonts w:eastAsia="Times New Roman"/>
        </w:rPr>
      </w:pPr>
      <w:r>
        <w:rPr>
          <w:rFonts w:eastAsia="Times New Roman"/>
          <w:b/>
          <w:bCs/>
          <w:color w:val="000000"/>
          <w:sz w:val="20"/>
          <w:szCs w:val="20"/>
        </w:rPr>
        <w:t>Three Months Ended October 1, 2022 compared to Three Months Ended October 2, 2021</w:t>
      </w:r>
    </w:p>
    <w:p w:rsidR="00000000" w:rsidRDefault="00183441">
      <w:pPr>
        <w:jc w:val="both"/>
        <w:divId w:val="346714753"/>
        <w:rPr>
          <w:rFonts w:eastAsia="Times New Roman"/>
        </w:rPr>
      </w:pPr>
      <w:r>
        <w:rPr>
          <w:rFonts w:eastAsia="Times New Roman"/>
          <w:i/>
          <w:iCs/>
          <w:color w:val="000000"/>
          <w:sz w:val="20"/>
          <w:szCs w:val="20"/>
        </w:rPr>
        <w:t>Net revenue</w:t>
      </w:r>
    </w:p>
    <w:p w:rsidR="00000000" w:rsidRDefault="00183441">
      <w:pPr>
        <w:jc w:val="both"/>
        <w:divId w:val="1759254550"/>
        <w:rPr>
          <w:rFonts w:eastAsia="Times New Roman"/>
        </w:rPr>
      </w:pPr>
      <w:r>
        <w:rPr>
          <w:rFonts w:eastAsia="Times New Roman"/>
          <w:color w:val="000000"/>
          <w:sz w:val="20"/>
          <w:szCs w:val="20"/>
        </w:rPr>
        <w:t>The following presents, by segment and by brand, comparable store sales growth, stores open at the end of the period and net revenue for the three months ended October 1, 2022 compared to the three months ended October 2, 2021.</w:t>
      </w:r>
    </w:p>
    <w:tbl>
      <w:tblPr>
        <w:tblW w:w="4935" w:type="pct"/>
        <w:tblCellMar>
          <w:top w:w="15" w:type="dxa"/>
          <w:left w:w="15" w:type="dxa"/>
          <w:bottom w:w="15" w:type="dxa"/>
          <w:right w:w="15" w:type="dxa"/>
        </w:tblCellMar>
        <w:tblLook w:val="04A0" w:firstRow="1" w:lastRow="0" w:firstColumn="1" w:lastColumn="0" w:noHBand="0" w:noVBand="1"/>
      </w:tblPr>
      <w:tblGrid>
        <w:gridCol w:w="60"/>
        <w:gridCol w:w="1689"/>
        <w:gridCol w:w="38"/>
        <w:gridCol w:w="36"/>
        <w:gridCol w:w="36"/>
        <w:gridCol w:w="36"/>
        <w:gridCol w:w="65"/>
        <w:gridCol w:w="537"/>
        <w:gridCol w:w="172"/>
        <w:gridCol w:w="37"/>
        <w:gridCol w:w="37"/>
        <w:gridCol w:w="36"/>
        <w:gridCol w:w="65"/>
        <w:gridCol w:w="536"/>
        <w:gridCol w:w="171"/>
        <w:gridCol w:w="36"/>
        <w:gridCol w:w="36"/>
        <w:gridCol w:w="36"/>
        <w:gridCol w:w="67"/>
        <w:gridCol w:w="528"/>
        <w:gridCol w:w="38"/>
        <w:gridCol w:w="37"/>
        <w:gridCol w:w="36"/>
        <w:gridCol w:w="36"/>
        <w:gridCol w:w="64"/>
        <w:gridCol w:w="545"/>
        <w:gridCol w:w="37"/>
        <w:gridCol w:w="36"/>
        <w:gridCol w:w="36"/>
        <w:gridCol w:w="36"/>
        <w:gridCol w:w="110"/>
        <w:gridCol w:w="630"/>
        <w:gridCol w:w="36"/>
        <w:gridCol w:w="54"/>
        <w:gridCol w:w="481"/>
        <w:gridCol w:w="170"/>
        <w:gridCol w:w="36"/>
        <w:gridCol w:w="36"/>
        <w:gridCol w:w="36"/>
        <w:gridCol w:w="110"/>
        <w:gridCol w:w="630"/>
        <w:gridCol w:w="36"/>
        <w:gridCol w:w="58"/>
        <w:gridCol w:w="450"/>
        <w:gridCol w:w="170"/>
      </w:tblGrid>
      <w:tr w:rsidR="00000000">
        <w:trPr>
          <w:divId w:val="960038221"/>
        </w:trPr>
        <w:tc>
          <w:tcPr>
            <w:tcW w:w="50" w:type="pct"/>
            <w:vAlign w:val="center"/>
            <w:hideMark/>
          </w:tcPr>
          <w:p w:rsidR="00000000" w:rsidRDefault="00183441">
            <w:pPr>
              <w:jc w:val="both"/>
              <w:rPr>
                <w:rFonts w:eastAsia="Times New Roman"/>
              </w:rPr>
            </w:pPr>
          </w:p>
        </w:tc>
        <w:tc>
          <w:tcPr>
            <w:tcW w:w="108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0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0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1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0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5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960038221"/>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trPr>
          <w:divId w:val="960038221"/>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Three Months Ended</w:t>
            </w:r>
            <w:r>
              <w:rPr>
                <w:rFonts w:eastAsia="Times New Roman"/>
                <w:b/>
                <w:bCs/>
                <w:color w:val="000000"/>
                <w:sz w:val="16"/>
                <w:szCs w:val="16"/>
              </w:rPr>
              <w:br/>
              <w:t>October 2, 2021</w:t>
            </w:r>
          </w:p>
        </w:tc>
      </w:tr>
      <w:tr w:rsidR="00000000">
        <w:trPr>
          <w:divId w:val="960038221"/>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960038221"/>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America’s Best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(7.8)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0.0 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883 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826 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336,759 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67.5 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351,706 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67.9 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r>
      <w:tr w:rsidR="00000000">
        <w:trPr>
          <w:divId w:val="960038221"/>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(7.8)</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136 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123 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53,153 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55,520 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10.7 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r>
      <w:tr w:rsidR="00000000">
        <w:trPr>
          <w:divId w:val="960038221"/>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Military</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(6.3)</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(0.6)</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5,492 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5,865 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r>
      <w:tr w:rsidR="00000000">
        <w:trPr>
          <w:divId w:val="960038221"/>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Fred Meyer</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(7.6)</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(1.6)</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2,778 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3,011 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r>
      <w:tr w:rsidR="00000000">
        <w:trPr>
          <w:divId w:val="960038221"/>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398,182 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79.8 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416,102 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80.3 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r>
      <w:tr w:rsidR="00000000">
        <w:trPr>
          <w:divId w:val="960038221"/>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(10.7)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230 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36,663 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7.3 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40,842 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7.9 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r>
      <w:tr w:rsidR="00000000">
        <w:trPr>
          <w:divId w:val="960038221"/>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61,939 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12.4 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58,063 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11.2 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r>
      <w:tr w:rsidR="00000000">
        <w:trPr>
          <w:divId w:val="960038221"/>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8"/>
                <w:szCs w:val="18"/>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2,423 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0.5 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2,998 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r>
      <w:tr w:rsidR="00000000">
        <w:trPr>
          <w:divId w:val="960038221"/>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8"/>
                <w:szCs w:val="18"/>
              </w:rPr>
              <w:t>Total</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(8.0)</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3.4 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1,332 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499,207 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8"/>
                <w:szCs w:val="18"/>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518,005 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r>
      <w:tr w:rsidR="00000000">
        <w:trPr>
          <w:divId w:val="960038221"/>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572466423"/>
              <w:rPr>
                <w:rFonts w:eastAsia="Times New Roman"/>
              </w:rPr>
            </w:pPr>
            <w:r>
              <w:rPr>
                <w:rFonts w:eastAsia="Times New Roman"/>
                <w:color w:val="000000"/>
                <w:sz w:val="18"/>
                <w:szCs w:val="18"/>
              </w:rPr>
              <w:t>Adjusted Comparable Store Sales Growt</w:t>
            </w:r>
            <w:r>
              <w:rPr>
                <w:rFonts w:eastAsia="Times New Roman"/>
                <w:color w:val="000000"/>
                <w:sz w:val="18"/>
                <w:szCs w:val="18"/>
              </w:rPr>
              <w:t>h</w:t>
            </w:r>
            <w:r>
              <w:rPr>
                <w:rFonts w:eastAsia="Times New Roman"/>
                <w:color w:val="000000"/>
                <w:sz w:val="12"/>
                <w:szCs w:val="12"/>
              </w:rPr>
              <w:t>(3</w:t>
            </w:r>
            <w:r>
              <w:rPr>
                <w:rFonts w:eastAsia="Times New Roman"/>
                <w:color w:val="000000"/>
                <w:sz w:val="12"/>
                <w:szCs w:val="12"/>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(8.1)</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8"/>
                <w:szCs w:val="18"/>
              </w:rPr>
              <w:t>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8"/>
                <w:szCs w:val="18"/>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bl>
    <w:p w:rsidR="00000000" w:rsidRDefault="00183441">
      <w:pPr>
        <w:ind w:hanging="360"/>
        <w:jc w:val="both"/>
        <w:divId w:val="1536429078"/>
        <w:rPr>
          <w:rFonts w:eastAsia="Times New Roman"/>
        </w:rPr>
      </w:pPr>
      <w:r>
        <w:rPr>
          <w:rFonts w:eastAsia="Times New Roman"/>
          <w:color w:val="000000"/>
          <w:sz w:val="16"/>
          <w:szCs w:val="16"/>
        </w:rPr>
        <w:t>(1)We calculate total comparable store sales based on consolidated net revenue excluding the impact of (i) Corporate/Other segment net revenue, (ii) sales from stores opened less than 13 months, (iii) stores closed in t</w:t>
      </w:r>
      <w:r>
        <w:rPr>
          <w:rFonts w:eastAsia="Times New Roman"/>
          <w:color w:val="000000"/>
          <w:sz w:val="16"/>
          <w:szCs w:val="16"/>
        </w:rPr>
        <w:t>he periods presented, (iv) sales from partial months of operation when stores do not open or close on the first day of the month and (v) if applicable, the impact of a 53rd week in a fiscal year. Brand-level comparable store sales growth is calculated base</w:t>
      </w:r>
      <w:r>
        <w:rPr>
          <w:rFonts w:eastAsia="Times New Roman"/>
          <w:color w:val="000000"/>
          <w:sz w:val="16"/>
          <w:szCs w:val="16"/>
        </w:rPr>
        <w:t xml:space="preserve">d on cash basis revenues consistent with what the CODM reviews, and consistent with reportable segment revenues presented in Note 10. “Segment Reporting” in our unaudited condensed consolidated financial statements included in Part I. Item 1. of this Form </w:t>
      </w:r>
      <w:r>
        <w:rPr>
          <w:rFonts w:eastAsia="Times New Roman"/>
          <w:color w:val="000000"/>
          <w:sz w:val="16"/>
          <w:szCs w:val="16"/>
        </w:rPr>
        <w:t xml:space="preserve">10-Q, with the exception of the Legacy segment, which is adjusted as noted in clause (ii) of footnote (3) below. </w:t>
      </w:r>
    </w:p>
    <w:p w:rsidR="00000000" w:rsidRDefault="00183441">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183441">
      <w:pPr>
        <w:ind w:hanging="360"/>
        <w:jc w:val="both"/>
        <w:divId w:val="963578476"/>
        <w:rPr>
          <w:rFonts w:eastAsia="Times New Roman"/>
        </w:rPr>
      </w:pPr>
      <w:r>
        <w:rPr>
          <w:rFonts w:eastAsia="Times New Roman"/>
          <w:color w:val="000000"/>
          <w:sz w:val="16"/>
          <w:szCs w:val="16"/>
        </w:rPr>
        <w:t>(3)</w:t>
      </w:r>
      <w:r>
        <w:rPr>
          <w:rFonts w:eastAsia="Times New Roman"/>
          <w:color w:val="000000"/>
          <w:sz w:val="16"/>
          <w:szCs w:val="16"/>
        </w:rPr>
        <w:t>There are two differences between total comparable store sales growth based on consolidated net revenue and Adjusted Comparable Store Sales Growth: (i) Adjusted Comparable Store Sales Growth includes the effect of deferred and unearned revenue as if such r</w:t>
      </w:r>
      <w:r>
        <w:rPr>
          <w:rFonts w:eastAsia="Times New Roman"/>
          <w:color w:val="000000"/>
          <w:sz w:val="16"/>
          <w:szCs w:val="16"/>
        </w:rPr>
        <w:t>evenues were earned at the point of sale, resulting in a decrease of 3.0% from total comparable store sales growth based on consolidated net revenue for the three months ended October 2, 2021, and (ii) Adjusted Comparable Store Sales Growth includes retail</w:t>
      </w:r>
      <w:r>
        <w:rPr>
          <w:rFonts w:eastAsia="Times New Roman"/>
          <w:color w:val="000000"/>
          <w:sz w:val="16"/>
          <w:szCs w:val="16"/>
        </w:rPr>
        <w:t xml:space="preserve"> sales to the Legacy partner’s customers (rather than the revenues recognized consistent with the management &amp; services agreement with the Legacy partner), resulting in a decrease of 0.1% and a decrease of 0.2% from total comparable store sales growth base</w:t>
      </w:r>
      <w:r>
        <w:rPr>
          <w:rFonts w:eastAsia="Times New Roman"/>
          <w:color w:val="000000"/>
          <w:sz w:val="16"/>
          <w:szCs w:val="16"/>
        </w:rPr>
        <w:t>d on consolidated net revenue for the three months ended October 1, 2022 and October 2, 2021, respectively.</w:t>
      </w:r>
    </w:p>
    <w:p w:rsidR="00000000" w:rsidRDefault="00183441">
      <w:pPr>
        <w:jc w:val="both"/>
        <w:divId w:val="1642543166"/>
        <w:rPr>
          <w:rFonts w:eastAsia="Times New Roman"/>
        </w:rPr>
      </w:pPr>
      <w:r>
        <w:rPr>
          <w:rFonts w:eastAsia="Times New Roman"/>
          <w:color w:val="000000"/>
          <w:sz w:val="20"/>
          <w:szCs w:val="20"/>
        </w:rPr>
        <w:t>Total net revenue of $499.2 million for the three months ended October 1, 2022 decreased $18.8 million, or 3.6%, from $518.0 million for the three m</w:t>
      </w:r>
      <w:r>
        <w:rPr>
          <w:rFonts w:eastAsia="Times New Roman"/>
          <w:color w:val="000000"/>
          <w:sz w:val="20"/>
          <w:szCs w:val="20"/>
        </w:rPr>
        <w:t>onths ended October 2, 2021. The decrease was driven primarily by reduced Adjusted Comparable Store Sales Growth, partially offset by growth from new store sales.</w:t>
      </w:r>
    </w:p>
    <w:p w:rsidR="00000000" w:rsidRDefault="00183441">
      <w:pPr>
        <w:jc w:val="both"/>
        <w:divId w:val="1243224485"/>
        <w:rPr>
          <w:rFonts w:eastAsia="Times New Roman"/>
        </w:rPr>
      </w:pPr>
      <w:r>
        <w:rPr>
          <w:rFonts w:eastAsia="Times New Roman"/>
          <w:color w:val="000000"/>
          <w:sz w:val="20"/>
          <w:szCs w:val="20"/>
        </w:rPr>
        <w:t>In the three months ended October 1, 2022, we opened 11 America’s Best stores and seven Eyegl</w:t>
      </w:r>
      <w:r>
        <w:rPr>
          <w:rFonts w:eastAsia="Times New Roman"/>
          <w:color w:val="000000"/>
          <w:sz w:val="20"/>
          <w:szCs w:val="20"/>
        </w:rPr>
        <w:t>ass World stores. Overall, store count grew 5.5% from October 2, 2021 to October 1, 2022 (57 and 13 net new America’s Best and Eyeglass World were added, respectively).</w:t>
      </w:r>
    </w:p>
    <w:p w:rsidR="00000000" w:rsidRDefault="00183441">
      <w:pPr>
        <w:jc w:val="both"/>
        <w:divId w:val="1530292731"/>
        <w:rPr>
          <w:rFonts w:eastAsia="Times New Roman"/>
        </w:rPr>
      </w:pPr>
      <w:r>
        <w:rPr>
          <w:rFonts w:eastAsia="Times New Roman"/>
          <w:color w:val="000000"/>
          <w:sz w:val="20"/>
          <w:szCs w:val="20"/>
        </w:rPr>
        <w:t xml:space="preserve">Comparable store sales growth and Adjusted Comparable Store Sales Growth for the three </w:t>
      </w:r>
      <w:r>
        <w:rPr>
          <w:rFonts w:eastAsia="Times New Roman"/>
          <w:color w:val="000000"/>
          <w:sz w:val="20"/>
          <w:szCs w:val="20"/>
        </w:rPr>
        <w:t>months ended October 1, 2022 were (8.0)% and (8.1)%, respectively, primarily due to a decrease in customer transactions. Comparable store sales growth and Adjusted Comparable Store Sales Growth were negative during the three months ended October 1, 2022 du</w:t>
      </w:r>
      <w:r>
        <w:rPr>
          <w:rFonts w:eastAsia="Times New Roman"/>
          <w:color w:val="000000"/>
          <w:sz w:val="20"/>
          <w:szCs w:val="20"/>
        </w:rPr>
        <w:t>e to overall economic trends impacting customer demand and constraints affecting exam capacity in certain markets.</w:t>
      </w:r>
    </w:p>
    <w:p w:rsidR="00000000" w:rsidRDefault="00183441">
      <w:pPr>
        <w:jc w:val="center"/>
        <w:divId w:val="1863668602"/>
        <w:rPr>
          <w:rFonts w:eastAsia="Times New Roman"/>
        </w:rPr>
      </w:pPr>
      <w:r>
        <w:rPr>
          <w:rFonts w:eastAsia="Times New Roman"/>
          <w:color w:val="000000"/>
          <w:sz w:val="20"/>
          <w:szCs w:val="20"/>
        </w:rPr>
        <w:t>29</w:t>
      </w:r>
    </w:p>
    <w:p w:rsidR="00000000" w:rsidRDefault="00183441">
      <w:pPr>
        <w:rPr>
          <w:rFonts w:eastAsia="Times New Roman"/>
        </w:rPr>
      </w:pPr>
      <w:r>
        <w:rPr>
          <w:rFonts w:eastAsia="Times New Roman"/>
        </w:rPr>
        <w:pict>
          <v:rect id="_x0000_i1053" style="width:0;height:1.5pt" o:hralign="center" o:hrstd="t" o:hr="t" fillcolor="#a0a0a0" stroked="f"/>
        </w:pict>
      </w:r>
    </w:p>
    <w:p w:rsidR="00000000" w:rsidRDefault="00183441">
      <w:pPr>
        <w:divId w:val="477310536"/>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1363288732"/>
        <w:rPr>
          <w:rFonts w:eastAsia="Times New Roman"/>
        </w:rPr>
      </w:pPr>
      <w:r>
        <w:rPr>
          <w:rFonts w:eastAsia="Times New Roman"/>
          <w:color w:val="000000"/>
          <w:sz w:val="20"/>
          <w:szCs w:val="20"/>
        </w:rPr>
        <w:t>Net product sales comprise</w:t>
      </w:r>
      <w:r>
        <w:rPr>
          <w:rFonts w:eastAsia="Times New Roman"/>
          <w:color w:val="000000"/>
          <w:sz w:val="20"/>
          <w:szCs w:val="20"/>
        </w:rPr>
        <w:t>d 82.3% and 82.2% of total net revenue for the three months ended October 1, 2022 and October 2, 2021, respectively. Net product sales decreased $14.9 million, or 3.5%, in the three months ended October 1, 2022 compared to the three months ended October 2,</w:t>
      </w:r>
      <w:r>
        <w:rPr>
          <w:rFonts w:eastAsia="Times New Roman"/>
          <w:color w:val="000000"/>
          <w:sz w:val="20"/>
          <w:szCs w:val="20"/>
        </w:rPr>
        <w:t xml:space="preserve"> 2021, driven primarily by a $19.2 million, or 6.5% decrease in eyeglass sales. Net sales of services and plans decreased $3.9 million, or 4.2%, driven primarily by a $2.2 million, or 20.2% decrease in management fees from our Legacy partner.</w:t>
      </w:r>
    </w:p>
    <w:p w:rsidR="00000000" w:rsidRDefault="00183441">
      <w:pPr>
        <w:jc w:val="both"/>
        <w:divId w:val="1427384511"/>
        <w:rPr>
          <w:rFonts w:eastAsia="Times New Roman"/>
        </w:rPr>
      </w:pPr>
      <w:r>
        <w:rPr>
          <w:rFonts w:eastAsia="Times New Roman"/>
          <w:i/>
          <w:iCs/>
          <w:color w:val="000000"/>
          <w:sz w:val="20"/>
          <w:szCs w:val="20"/>
        </w:rPr>
        <w:t xml:space="preserve">Owned &amp; Host </w:t>
      </w:r>
      <w:r>
        <w:rPr>
          <w:rFonts w:eastAsia="Times New Roman"/>
          <w:i/>
          <w:iCs/>
          <w:color w:val="000000"/>
          <w:sz w:val="20"/>
          <w:szCs w:val="20"/>
        </w:rPr>
        <w:t>segment net revenue.</w:t>
      </w:r>
      <w:r>
        <w:rPr>
          <w:rFonts w:eastAsia="Times New Roman"/>
          <w:color w:val="000000"/>
          <w:sz w:val="20"/>
          <w:szCs w:val="20"/>
        </w:rPr>
        <w:t xml:space="preserve"> Net revenue decreased $17.9 million, or 4.3%, driven primarily by negative comparable store sales growth partially offset by new store openings.</w:t>
      </w:r>
    </w:p>
    <w:p w:rsidR="00000000" w:rsidRDefault="00183441">
      <w:pPr>
        <w:jc w:val="both"/>
        <w:divId w:val="701593882"/>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decreased $4.2 million, or 10.2%, driven by negati</w:t>
      </w:r>
      <w:r>
        <w:rPr>
          <w:rFonts w:eastAsia="Times New Roman"/>
          <w:color w:val="000000"/>
          <w:sz w:val="20"/>
          <w:szCs w:val="20"/>
        </w:rPr>
        <w:t>ve comparable store sales growth.</w:t>
      </w:r>
    </w:p>
    <w:p w:rsidR="00000000" w:rsidRDefault="00183441">
      <w:pPr>
        <w:jc w:val="both"/>
        <w:divId w:val="178394585"/>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$3.9 million, or 6.7%, driven primarily by increases in wholesale fulfillment.</w:t>
      </w:r>
    </w:p>
    <w:p w:rsidR="00000000" w:rsidRDefault="00183441">
      <w:pPr>
        <w:jc w:val="both"/>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Net revenue was negatively impacted by $0.6 million due</w:t>
      </w:r>
      <w:r>
        <w:rPr>
          <w:rFonts w:eastAsia="Times New Roman"/>
          <w:color w:val="000000"/>
          <w:sz w:val="20"/>
          <w:szCs w:val="20"/>
        </w:rPr>
        <w:t xml:space="preserve"> to the timing of unearned revenue, which was partially offset by the recognition of deferred revenue for the three months ended October 1, 2022 compared to the three months ended October 2, 2021. Net revenue was negatively impacted by $2.1 million due to </w:t>
      </w:r>
      <w:r>
        <w:rPr>
          <w:rFonts w:eastAsia="Times New Roman"/>
          <w:color w:val="000000"/>
          <w:sz w:val="20"/>
          <w:szCs w:val="20"/>
        </w:rPr>
        <w:t>the timing of unearned revenue during the three months ended October 1, 2022. Net revenue was positively impacted by $1.5 million due to lower sales of product protection plan and club memberships during the three months ended October 1, 2022.</w:t>
      </w:r>
    </w:p>
    <w:p w:rsidR="00000000" w:rsidRDefault="00183441">
      <w:pPr>
        <w:divId w:val="1053165044"/>
        <w:rPr>
          <w:rFonts w:eastAsia="Times New Roman"/>
        </w:rPr>
      </w:pPr>
    </w:p>
    <w:p w:rsidR="00000000" w:rsidRDefault="00183441">
      <w:pPr>
        <w:jc w:val="both"/>
        <w:divId w:val="1906643128"/>
        <w:rPr>
          <w:rFonts w:eastAsia="Times New Roman"/>
        </w:rPr>
      </w:pPr>
      <w:r>
        <w:rPr>
          <w:rFonts w:eastAsia="Times New Roman"/>
          <w:i/>
          <w:iCs/>
          <w:color w:val="000000"/>
          <w:sz w:val="20"/>
          <w:szCs w:val="20"/>
        </w:rPr>
        <w:t>Costs applicable to revenue</w:t>
      </w:r>
    </w:p>
    <w:p w:rsidR="00000000" w:rsidRDefault="00183441">
      <w:pPr>
        <w:jc w:val="both"/>
        <w:divId w:val="2112316763"/>
        <w:rPr>
          <w:rFonts w:eastAsia="Times New Roman"/>
        </w:rPr>
      </w:pPr>
      <w:r>
        <w:rPr>
          <w:rFonts w:eastAsia="Times New Roman"/>
          <w:color w:val="000000"/>
          <w:sz w:val="20"/>
          <w:szCs w:val="20"/>
        </w:rPr>
        <w:t>Costs applicable to revenue of $232.8 million for the three months ended October 1, 2022 increased $6.3 million, or 2.8%, from $226.5 million for the three months ended October 2, 2021. As a percentage of net revenue, costs appl</w:t>
      </w:r>
      <w:r>
        <w:rPr>
          <w:rFonts w:eastAsia="Times New Roman"/>
          <w:color w:val="000000"/>
          <w:sz w:val="20"/>
          <w:szCs w:val="20"/>
        </w:rPr>
        <w:t xml:space="preserve">icable to revenue increased from 43.7% for the three months ended October 2, 2021 to 46.6% for the three months ended October 1, 2022. This increase as a percentage of net revenue was primarily driven by higher growth in optometrist-related costs, reduced </w:t>
      </w:r>
      <w:r>
        <w:rPr>
          <w:rFonts w:eastAsia="Times New Roman"/>
          <w:color w:val="000000"/>
          <w:sz w:val="20"/>
          <w:szCs w:val="20"/>
        </w:rPr>
        <w:t>eyeglass mix and lower eyeglass margin.</w:t>
      </w:r>
    </w:p>
    <w:p w:rsidR="00000000" w:rsidRDefault="00183441">
      <w:pPr>
        <w:jc w:val="both"/>
        <w:divId w:val="1947082725"/>
        <w:rPr>
          <w:rFonts w:eastAsia="Times New Roman"/>
        </w:rPr>
      </w:pPr>
      <w:r>
        <w:rPr>
          <w:rFonts w:eastAsia="Times New Roman"/>
          <w:color w:val="000000"/>
          <w:sz w:val="20"/>
          <w:szCs w:val="20"/>
        </w:rPr>
        <w:t>Costs of products as a percentage of net product sales increased from 37.2% for the three months ended October 2, 2021 to 39.1% for the three months ended October 1, 2022, primarily driven by reduced eyeglass mix and</w:t>
      </w:r>
      <w:r>
        <w:rPr>
          <w:rFonts w:eastAsia="Times New Roman"/>
          <w:color w:val="000000"/>
          <w:sz w:val="20"/>
          <w:szCs w:val="20"/>
        </w:rPr>
        <w:t xml:space="preserve"> lower eyeglass margin.</w:t>
      </w:r>
    </w:p>
    <w:p w:rsidR="00000000" w:rsidRDefault="00183441">
      <w:pPr>
        <w:jc w:val="both"/>
        <w:divId w:val="647395923"/>
        <w:rPr>
          <w:rFonts w:eastAsia="Times New Roman"/>
        </w:rPr>
      </w:pPr>
      <w:r>
        <w:rPr>
          <w:rFonts w:eastAsia="Times New Roman"/>
          <w:i/>
          <w:iCs/>
          <w:color w:val="000000"/>
          <w:sz w:val="20"/>
          <w:szCs w:val="20"/>
        </w:rPr>
        <w:t xml:space="preserve">Owned &amp; Host segment costs of products. </w:t>
      </w:r>
      <w:r>
        <w:rPr>
          <w:rFonts w:eastAsia="Times New Roman"/>
          <w:color w:val="000000"/>
          <w:sz w:val="20"/>
          <w:szCs w:val="20"/>
        </w:rPr>
        <w:t>Costs of products as a percentage of net product sales increased from 28.0% for the three months ended October 2, 2021 to 29.3% for the three months ended October 1, 2022. The increase was pri</w:t>
      </w:r>
      <w:r>
        <w:rPr>
          <w:rFonts w:eastAsia="Times New Roman"/>
          <w:color w:val="000000"/>
          <w:sz w:val="20"/>
          <w:szCs w:val="20"/>
        </w:rPr>
        <w:t>marily driven by reduced eyeglass mix and lower eyeglass margin.</w:t>
      </w:r>
    </w:p>
    <w:p w:rsidR="00000000" w:rsidRDefault="00183441">
      <w:pPr>
        <w:jc w:val="both"/>
        <w:divId w:val="1816874986"/>
        <w:rPr>
          <w:rFonts w:eastAsia="Times New Roman"/>
        </w:rPr>
      </w:pPr>
      <w:r>
        <w:rPr>
          <w:rFonts w:eastAsia="Times New Roman"/>
          <w:i/>
          <w:iCs/>
          <w:color w:val="000000"/>
          <w:sz w:val="20"/>
          <w:szCs w:val="20"/>
        </w:rPr>
        <w:t xml:space="preserve">Legacy segment costs of products. </w:t>
      </w:r>
      <w:r>
        <w:rPr>
          <w:rFonts w:eastAsia="Times New Roman"/>
          <w:color w:val="000000"/>
          <w:sz w:val="20"/>
          <w:szCs w:val="20"/>
        </w:rPr>
        <w:t>Costs of products as a percentage of net product sales decreased from 48.2% for the three months ended October 2, 2021 to 47.9% for the three months ended Oc</w:t>
      </w:r>
      <w:r>
        <w:rPr>
          <w:rFonts w:eastAsia="Times New Roman"/>
          <w:color w:val="000000"/>
          <w:sz w:val="20"/>
          <w:szCs w:val="20"/>
        </w:rPr>
        <w:t xml:space="preserve">tober 1, 2022. The decrease was primarily driven by a higher mix of managed care customer transactions versus non-managed care customer transactions. Legacy segment managed care net product revenue is recorded in net product sales while revenue associated </w:t>
      </w:r>
      <w:r>
        <w:rPr>
          <w:rFonts w:eastAsia="Times New Roman"/>
          <w:color w:val="000000"/>
          <w:sz w:val="20"/>
          <w:szCs w:val="20"/>
        </w:rPr>
        <w:t>with servicing non-managed care customers is recorded in net sales of services and plans. Eyeglass and contact lens product costs for both managed care and non-managed care net revenue are recorded in costs of products. Increases in managed care mix decrea</w:t>
      </w:r>
      <w:r>
        <w:rPr>
          <w:rFonts w:eastAsia="Times New Roman"/>
          <w:color w:val="000000"/>
          <w:sz w:val="20"/>
          <w:szCs w:val="20"/>
        </w:rPr>
        <w:t>se costs of products as a percentage of net product sales and have a corresponding negative impact on costs of services as a percentage of net sales of services and plans in our Legacy segment.</w:t>
      </w:r>
    </w:p>
    <w:p w:rsidR="00000000" w:rsidRDefault="00183441">
      <w:pPr>
        <w:jc w:val="both"/>
        <w:divId w:val="1698388713"/>
        <w:rPr>
          <w:rFonts w:eastAsia="Times New Roman"/>
        </w:rPr>
      </w:pPr>
      <w:r>
        <w:rPr>
          <w:rFonts w:eastAsia="Times New Roman"/>
          <w:color w:val="000000"/>
          <w:sz w:val="20"/>
          <w:szCs w:val="20"/>
        </w:rPr>
        <w:t>Costs of services and plans as a percentage of net sales of se</w:t>
      </w:r>
      <w:r>
        <w:rPr>
          <w:rFonts w:eastAsia="Times New Roman"/>
          <w:color w:val="000000"/>
          <w:sz w:val="20"/>
          <w:szCs w:val="20"/>
        </w:rPr>
        <w:t>rvices and plans increased from 73.7% for the three months ended October 2, 2021 to 81.5% for the three months ended October 1, 2022. The increase was primarily driven by higher growth in optometrist-related costs, partially offset by higher exam revenue.</w:t>
      </w:r>
    </w:p>
    <w:p w:rsidR="00000000" w:rsidRDefault="00183441">
      <w:pPr>
        <w:jc w:val="both"/>
        <w:divId w:val="803473045"/>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 as a percentage of net sales of services and plans in the Owned &amp; Host segment increased from 79.9% for the three months ended October 2, 2021 to 89.0% for the three months ended</w:t>
      </w:r>
      <w:r>
        <w:rPr>
          <w:rFonts w:eastAsia="Times New Roman"/>
          <w:color w:val="000000"/>
          <w:sz w:val="20"/>
          <w:szCs w:val="20"/>
        </w:rPr>
        <w:t xml:space="preserve"> October 1, 2022. The increase was primarily driven by higher growth in optometrist-related costs.</w:t>
      </w:r>
    </w:p>
    <w:p w:rsidR="00000000" w:rsidRDefault="00183441">
      <w:pPr>
        <w:jc w:val="both"/>
        <w:divId w:val="229116992"/>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Costs of services and plans as a percentage of net sales of services and plans in the Legacy segment increased fr</w:t>
      </w:r>
      <w:r>
        <w:rPr>
          <w:rFonts w:eastAsia="Times New Roman"/>
          <w:color w:val="000000"/>
          <w:sz w:val="20"/>
          <w:szCs w:val="20"/>
        </w:rPr>
        <w:t xml:space="preserve">om 40.2% for the three months ended October 2, 2021 to 44.0% for the three months ended October 1, 2022. The increase was primarily driven by higher growth in optometrist-related costs. </w:t>
      </w:r>
    </w:p>
    <w:p w:rsidR="00000000" w:rsidRDefault="00183441">
      <w:pPr>
        <w:jc w:val="center"/>
        <w:divId w:val="2043556742"/>
        <w:rPr>
          <w:rFonts w:eastAsia="Times New Roman"/>
        </w:rPr>
      </w:pPr>
      <w:r>
        <w:rPr>
          <w:rFonts w:eastAsia="Times New Roman"/>
          <w:color w:val="000000"/>
          <w:sz w:val="20"/>
          <w:szCs w:val="20"/>
        </w:rPr>
        <w:t>30</w:t>
      </w:r>
    </w:p>
    <w:p w:rsidR="00000000" w:rsidRDefault="00183441">
      <w:pPr>
        <w:rPr>
          <w:rFonts w:eastAsia="Times New Roman"/>
        </w:rPr>
      </w:pPr>
      <w:r>
        <w:rPr>
          <w:rFonts w:eastAsia="Times New Roman"/>
        </w:rPr>
        <w:pict>
          <v:rect id="_x0000_i1054" style="width:0;height:1.5pt" o:hralign="center" o:hrstd="t" o:hr="t" fillcolor="#a0a0a0" stroked="f"/>
        </w:pict>
      </w:r>
    </w:p>
    <w:p w:rsidR="00000000" w:rsidRDefault="00183441">
      <w:pPr>
        <w:divId w:val="432239010"/>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639925307"/>
        <w:rPr>
          <w:rFonts w:eastAsia="Times New Roman"/>
        </w:rPr>
      </w:pPr>
      <w:r>
        <w:rPr>
          <w:rFonts w:eastAsia="Times New Roman"/>
          <w:i/>
          <w:iCs/>
          <w:color w:val="000000"/>
          <w:sz w:val="20"/>
          <w:szCs w:val="20"/>
        </w:rPr>
        <w:t>Selling, general and administrative</w:t>
      </w:r>
    </w:p>
    <w:p w:rsidR="00000000" w:rsidRDefault="00183441">
      <w:pPr>
        <w:jc w:val="both"/>
        <w:divId w:val="370962622"/>
        <w:rPr>
          <w:rFonts w:eastAsia="Times New Roman"/>
        </w:rPr>
      </w:pPr>
      <w:r>
        <w:rPr>
          <w:rFonts w:eastAsia="Times New Roman"/>
          <w:color w:val="000000"/>
          <w:sz w:val="20"/>
          <w:szCs w:val="20"/>
        </w:rPr>
        <w:t>SG&amp;</w:t>
      </w:r>
      <w:r>
        <w:rPr>
          <w:rFonts w:eastAsia="Times New Roman"/>
          <w:color w:val="000000"/>
          <w:sz w:val="20"/>
          <w:szCs w:val="20"/>
        </w:rPr>
        <w:t>A of $225.0 million for the three months ended October 1, 2022 increased $6.8 million, or 3.1%, from the three months ended October 2, 2021. As a percentage of net revenue, SG&amp;A increased from 42.1% for the three months ended October 2, 2021 to 45.1% for t</w:t>
      </w:r>
      <w:r>
        <w:rPr>
          <w:rFonts w:eastAsia="Times New Roman"/>
          <w:color w:val="000000"/>
          <w:sz w:val="20"/>
          <w:szCs w:val="20"/>
        </w:rPr>
        <w:t>he three months ended October 1, 2022. The increase in SG&amp;A as a percentage of net revenue was primarily driven by payroll, corporate expenses, including travel and entertainment expense, and occupancy expense, partially offset by lower advertising expense</w:t>
      </w:r>
      <w:r>
        <w:rPr>
          <w:rFonts w:eastAsia="Times New Roman"/>
          <w:color w:val="000000"/>
          <w:sz w:val="20"/>
          <w:szCs w:val="20"/>
        </w:rPr>
        <w:t>. SG&amp;A for the three months ended October 1, 2022 and October 2, 2021 includes $0.2 million and $0.7 million, respectively, of incremental costs directly related to adapting the Company’s operations during the COVID-19 pandemic; these costs were not reflec</w:t>
      </w:r>
      <w:r>
        <w:rPr>
          <w:rFonts w:eastAsia="Times New Roman"/>
          <w:color w:val="000000"/>
          <w:sz w:val="20"/>
          <w:szCs w:val="20"/>
        </w:rPr>
        <w:t>ted as adjustments for the Company’s presentation of non-GAAP measures below.</w:t>
      </w:r>
    </w:p>
    <w:p w:rsidR="00000000" w:rsidRDefault="00183441">
      <w:pPr>
        <w:jc w:val="both"/>
        <w:divId w:val="1692564287"/>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SG&amp;A as a percentage of net revenue increased from 37.7% for the three months ended October 2, 2021 to 39.3% for the three months ended October 1, 2022, driven</w:t>
      </w:r>
      <w:r>
        <w:rPr>
          <w:rFonts w:eastAsia="Times New Roman"/>
          <w:color w:val="000000"/>
          <w:sz w:val="20"/>
          <w:szCs w:val="20"/>
        </w:rPr>
        <w:t xml:space="preserve"> primarily by increases in payroll and occupancy expense, partially offset by lower advertising expense.</w:t>
      </w:r>
    </w:p>
    <w:p w:rsidR="00000000" w:rsidRDefault="00183441">
      <w:pPr>
        <w:jc w:val="both"/>
        <w:divId w:val="1490293376"/>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 xml:space="preserve">SG&amp;A as a percentage of net revenue increased from 35.2% for the three months ended October 2, 2021 to 38.8% for the three months </w:t>
      </w:r>
      <w:r>
        <w:rPr>
          <w:rFonts w:eastAsia="Times New Roman"/>
          <w:color w:val="000000"/>
          <w:sz w:val="20"/>
          <w:szCs w:val="20"/>
        </w:rPr>
        <w:t>ended October 1, 2022, driven primarily by higher payroll expense.</w:t>
      </w:r>
    </w:p>
    <w:p w:rsidR="00000000" w:rsidRDefault="00183441">
      <w:pPr>
        <w:jc w:val="both"/>
        <w:divId w:val="946933486"/>
        <w:rPr>
          <w:rFonts w:eastAsia="Times New Roman"/>
        </w:rPr>
      </w:pPr>
      <w:r>
        <w:rPr>
          <w:rFonts w:eastAsia="Times New Roman"/>
          <w:i/>
          <w:iCs/>
          <w:color w:val="000000"/>
          <w:sz w:val="20"/>
          <w:szCs w:val="20"/>
        </w:rPr>
        <w:t>Depreciation and amortization</w:t>
      </w:r>
    </w:p>
    <w:p w:rsidR="00000000" w:rsidRDefault="00183441">
      <w:pPr>
        <w:jc w:val="both"/>
        <w:divId w:val="974484244"/>
        <w:rPr>
          <w:rFonts w:eastAsia="Times New Roman"/>
        </w:rPr>
      </w:pPr>
      <w:r>
        <w:rPr>
          <w:rFonts w:eastAsia="Times New Roman"/>
          <w:color w:val="000000"/>
          <w:sz w:val="20"/>
          <w:szCs w:val="20"/>
        </w:rPr>
        <w:t>Depreciation and amortization expense of $24.9 million for the three months ended October 1, 2022 decreased $0.2 million, or 0.8%, from $25.1 million for the t</w:t>
      </w:r>
      <w:r>
        <w:rPr>
          <w:rFonts w:eastAsia="Times New Roman"/>
          <w:color w:val="000000"/>
          <w:sz w:val="20"/>
          <w:szCs w:val="20"/>
        </w:rPr>
        <w:t>hree months ended October 2, 2021.</w:t>
      </w:r>
    </w:p>
    <w:p w:rsidR="00000000" w:rsidRDefault="00183441">
      <w:pPr>
        <w:jc w:val="both"/>
        <w:divId w:val="1695839014"/>
        <w:rPr>
          <w:rFonts w:eastAsia="Times New Roman"/>
        </w:rPr>
      </w:pPr>
      <w:r>
        <w:rPr>
          <w:rFonts w:eastAsia="Times New Roman"/>
          <w:i/>
          <w:iCs/>
          <w:color w:val="000000"/>
          <w:sz w:val="20"/>
          <w:szCs w:val="20"/>
        </w:rPr>
        <w:t>Asset Impairment</w:t>
      </w:r>
    </w:p>
    <w:p w:rsidR="00000000" w:rsidRDefault="00183441">
      <w:pPr>
        <w:jc w:val="both"/>
        <w:divId w:val="534464147"/>
        <w:rPr>
          <w:rFonts w:eastAsia="Times New Roman"/>
        </w:rPr>
      </w:pPr>
      <w:r>
        <w:rPr>
          <w:rFonts w:eastAsia="Times New Roman"/>
          <w:color w:val="000000"/>
          <w:sz w:val="20"/>
          <w:szCs w:val="20"/>
        </w:rPr>
        <w:t>We recognized $1.3 million for impairment of tangible long-lived assets and ROU assets associated with our retail stores during the three months ended October 1, 2022, compared to no impairment recognized</w:t>
      </w:r>
      <w:r>
        <w:rPr>
          <w:rFonts w:eastAsia="Times New Roman"/>
          <w:color w:val="000000"/>
          <w:sz w:val="20"/>
          <w:szCs w:val="20"/>
        </w:rPr>
        <w:t xml:space="preserve"> during the three months ended October 2, 2021. The store asset impairment charge is primarily related to our Owned &amp; Host segment and is driven by lower than projected customer sales volume in certain stores, and other entity-specific assumptions. We cons</w:t>
      </w:r>
      <w:r>
        <w:rPr>
          <w:rFonts w:eastAsia="Times New Roman"/>
          <w:color w:val="000000"/>
          <w:sz w:val="20"/>
          <w:szCs w:val="20"/>
        </w:rPr>
        <w:t>idered multiple factors including, but not limited to: forecasted scenarios related to store performance and the likelihood that these scenarios would be ultimately realized; and the remaining useful lives of the assets. Asset impairment expenses were reco</w:t>
      </w:r>
      <w:r>
        <w:rPr>
          <w:rFonts w:eastAsia="Times New Roman"/>
          <w:color w:val="000000"/>
          <w:sz w:val="20"/>
          <w:szCs w:val="20"/>
        </w:rPr>
        <w:t>gnized in Corporate/Other.</w:t>
      </w:r>
    </w:p>
    <w:p w:rsidR="00000000" w:rsidRDefault="00183441">
      <w:pPr>
        <w:jc w:val="both"/>
        <w:divId w:val="564070196"/>
        <w:rPr>
          <w:rFonts w:eastAsia="Times New Roman"/>
        </w:rPr>
      </w:pPr>
      <w:r>
        <w:rPr>
          <w:rFonts w:eastAsia="Times New Roman"/>
          <w:i/>
          <w:iCs/>
          <w:color w:val="000000"/>
          <w:sz w:val="20"/>
          <w:szCs w:val="20"/>
        </w:rPr>
        <w:t>Other expense (income), net</w:t>
      </w:r>
    </w:p>
    <w:p w:rsidR="00000000" w:rsidRDefault="00183441">
      <w:pPr>
        <w:jc w:val="both"/>
        <w:divId w:val="1416124914"/>
        <w:rPr>
          <w:rFonts w:eastAsia="Times New Roman"/>
        </w:rPr>
      </w:pPr>
      <w:r>
        <w:rPr>
          <w:rFonts w:eastAsia="Times New Roman"/>
          <w:color w:val="000000"/>
          <w:sz w:val="20"/>
          <w:szCs w:val="20"/>
        </w:rPr>
        <w:t xml:space="preserve">The Company recorded a gain of $2.4 million in Other expense (income), net for the three months ended October 2, 2021 in connection with the acquisition of its former equity method investee by a third </w:t>
      </w:r>
      <w:r>
        <w:rPr>
          <w:rFonts w:eastAsia="Times New Roman"/>
          <w:color w:val="000000"/>
          <w:sz w:val="20"/>
          <w:szCs w:val="20"/>
        </w:rPr>
        <w:t>party. See Note 1. “Description of Business and Basis of Presentation” for further details.</w:t>
      </w:r>
    </w:p>
    <w:p w:rsidR="00000000" w:rsidRDefault="00183441">
      <w:pPr>
        <w:jc w:val="both"/>
        <w:divId w:val="687681651"/>
        <w:rPr>
          <w:rFonts w:eastAsia="Times New Roman"/>
        </w:rPr>
      </w:pPr>
      <w:r>
        <w:rPr>
          <w:rFonts w:eastAsia="Times New Roman"/>
          <w:i/>
          <w:iCs/>
          <w:color w:val="000000"/>
          <w:sz w:val="20"/>
          <w:szCs w:val="20"/>
        </w:rPr>
        <w:t xml:space="preserve">Interest expense (income), net </w:t>
      </w:r>
    </w:p>
    <w:p w:rsidR="00000000" w:rsidRDefault="00183441">
      <w:pPr>
        <w:jc w:val="both"/>
        <w:divId w:val="1309282840"/>
        <w:rPr>
          <w:rFonts w:eastAsia="Times New Roman"/>
        </w:rPr>
      </w:pPr>
      <w:r>
        <w:rPr>
          <w:rFonts w:eastAsia="Times New Roman"/>
          <w:color w:val="000000"/>
          <w:sz w:val="20"/>
          <w:szCs w:val="20"/>
        </w:rPr>
        <w:t>Interest expense (income), net, was $(2.0) million for the three months ended October 1, 2022, compared to $5.7 million for the thre</w:t>
      </w:r>
      <w:r>
        <w:rPr>
          <w:rFonts w:eastAsia="Times New Roman"/>
          <w:color w:val="000000"/>
          <w:sz w:val="20"/>
          <w:szCs w:val="20"/>
        </w:rPr>
        <w:t>e months ended October 2, 2021. The change was primarily driven by gains of $6.0 million on our interest rate collar as a result of increasing interest rates.</w:t>
      </w:r>
    </w:p>
    <w:p w:rsidR="00000000" w:rsidRDefault="00183441">
      <w:pPr>
        <w:jc w:val="both"/>
        <w:divId w:val="905914064"/>
        <w:rPr>
          <w:rFonts w:eastAsia="Times New Roman"/>
        </w:rPr>
      </w:pPr>
      <w:r>
        <w:rPr>
          <w:rFonts w:eastAsia="Times New Roman"/>
          <w:i/>
          <w:iCs/>
          <w:color w:val="000000"/>
          <w:sz w:val="20"/>
          <w:szCs w:val="20"/>
        </w:rPr>
        <w:t>Income tax provision</w:t>
      </w:r>
    </w:p>
    <w:p w:rsidR="00000000" w:rsidRDefault="00183441">
      <w:pPr>
        <w:jc w:val="both"/>
        <w:divId w:val="386419836"/>
        <w:rPr>
          <w:rFonts w:eastAsia="Times New Roman"/>
        </w:rPr>
      </w:pPr>
      <w:r>
        <w:rPr>
          <w:rFonts w:eastAsia="Times New Roman"/>
          <w:color w:val="000000"/>
          <w:sz w:val="20"/>
          <w:szCs w:val="20"/>
        </w:rPr>
        <w:t>Our effective tax rates for the three months ended October 1, 2022 and Octob</w:t>
      </w:r>
      <w:r>
        <w:rPr>
          <w:rFonts w:eastAsia="Times New Roman"/>
          <w:color w:val="000000"/>
          <w:sz w:val="20"/>
          <w:szCs w:val="20"/>
        </w:rPr>
        <w:t>er 2, 2021 were 33.7% and 8.8%, respectively, reflecting our statutory federal and state rate of 25.5% and effects of other permanent items as well as discrete benefits from stock option exercises of $9.1 million during the three months ended October 2, 20</w:t>
      </w:r>
      <w:r>
        <w:rPr>
          <w:rFonts w:eastAsia="Times New Roman"/>
          <w:color w:val="000000"/>
          <w:sz w:val="20"/>
          <w:szCs w:val="20"/>
        </w:rPr>
        <w:t>21.</w:t>
      </w:r>
    </w:p>
    <w:p w:rsidR="00000000" w:rsidRDefault="00183441">
      <w:pPr>
        <w:jc w:val="center"/>
        <w:divId w:val="1275598731"/>
        <w:rPr>
          <w:rFonts w:eastAsia="Times New Roman"/>
        </w:rPr>
      </w:pPr>
      <w:r>
        <w:rPr>
          <w:rFonts w:eastAsia="Times New Roman"/>
          <w:color w:val="000000"/>
          <w:sz w:val="20"/>
          <w:szCs w:val="20"/>
        </w:rPr>
        <w:t>31</w:t>
      </w:r>
    </w:p>
    <w:p w:rsidR="00000000" w:rsidRDefault="00183441">
      <w:pPr>
        <w:rPr>
          <w:rFonts w:eastAsia="Times New Roman"/>
        </w:rPr>
      </w:pPr>
      <w:r>
        <w:rPr>
          <w:rFonts w:eastAsia="Times New Roman"/>
        </w:rPr>
        <w:pict>
          <v:rect id="_x0000_i1055" style="width:0;height:1.5pt" o:hralign="center" o:hrstd="t" o:hr="t" fillcolor="#a0a0a0" stroked="f"/>
        </w:pict>
      </w:r>
    </w:p>
    <w:p w:rsidR="00000000" w:rsidRDefault="00183441">
      <w:pPr>
        <w:divId w:val="52899650"/>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1566722846"/>
        <w:rPr>
          <w:rFonts w:eastAsia="Times New Roman"/>
        </w:rPr>
      </w:pPr>
      <w:r>
        <w:rPr>
          <w:rFonts w:eastAsia="Times New Roman"/>
          <w:b/>
          <w:bCs/>
          <w:color w:val="000000"/>
          <w:sz w:val="20"/>
          <w:szCs w:val="20"/>
        </w:rPr>
        <w:t>Nine Months Ended October 1, 2022 compared to Nine Months Ended October 2, 2021</w:t>
      </w:r>
    </w:p>
    <w:p w:rsidR="00000000" w:rsidRDefault="00183441">
      <w:pPr>
        <w:jc w:val="both"/>
        <w:divId w:val="1796943036"/>
        <w:rPr>
          <w:rFonts w:eastAsia="Times New Roman"/>
        </w:rPr>
      </w:pPr>
      <w:r>
        <w:rPr>
          <w:rFonts w:eastAsia="Times New Roman"/>
          <w:i/>
          <w:iCs/>
          <w:color w:val="000000"/>
          <w:sz w:val="20"/>
          <w:szCs w:val="20"/>
        </w:rPr>
        <w:t>Net revenue</w:t>
      </w:r>
    </w:p>
    <w:p w:rsidR="00000000" w:rsidRDefault="00183441">
      <w:pPr>
        <w:jc w:val="both"/>
        <w:divId w:val="1250584315"/>
        <w:rPr>
          <w:rFonts w:eastAsia="Times New Roman"/>
        </w:rPr>
      </w:pPr>
      <w:r>
        <w:rPr>
          <w:rFonts w:eastAsia="Times New Roman"/>
          <w:color w:val="000000"/>
          <w:sz w:val="20"/>
          <w:szCs w:val="20"/>
        </w:rPr>
        <w:t>The following presents, by segment and by brand, comparable store sales growth, stores open at the end of the period and net revenue for the nine months ended Octob</w:t>
      </w:r>
      <w:r>
        <w:rPr>
          <w:rFonts w:eastAsia="Times New Roman"/>
          <w:color w:val="000000"/>
          <w:sz w:val="20"/>
          <w:szCs w:val="20"/>
        </w:rPr>
        <w:t>er 1, 2022 compared to the nine months ended October 2, 2021.</w:t>
      </w:r>
    </w:p>
    <w:tbl>
      <w:tblPr>
        <w:tblW w:w="5000" w:type="pct"/>
        <w:jc w:val="center"/>
        <w:tblCellMar>
          <w:top w:w="15" w:type="dxa"/>
          <w:left w:w="15" w:type="dxa"/>
          <w:bottom w:w="15" w:type="dxa"/>
          <w:right w:w="15" w:type="dxa"/>
        </w:tblCellMar>
        <w:tblLook w:val="04A0" w:firstRow="1" w:lastRow="0" w:firstColumn="1" w:lastColumn="0" w:noHBand="0" w:noVBand="1"/>
      </w:tblPr>
      <w:tblGrid>
        <w:gridCol w:w="57"/>
        <w:gridCol w:w="1681"/>
        <w:gridCol w:w="37"/>
        <w:gridCol w:w="36"/>
        <w:gridCol w:w="36"/>
        <w:gridCol w:w="36"/>
        <w:gridCol w:w="62"/>
        <w:gridCol w:w="566"/>
        <w:gridCol w:w="164"/>
        <w:gridCol w:w="36"/>
        <w:gridCol w:w="36"/>
        <w:gridCol w:w="36"/>
        <w:gridCol w:w="62"/>
        <w:gridCol w:w="566"/>
        <w:gridCol w:w="163"/>
        <w:gridCol w:w="36"/>
        <w:gridCol w:w="36"/>
        <w:gridCol w:w="36"/>
        <w:gridCol w:w="66"/>
        <w:gridCol w:w="528"/>
        <w:gridCol w:w="38"/>
        <w:gridCol w:w="37"/>
        <w:gridCol w:w="36"/>
        <w:gridCol w:w="36"/>
        <w:gridCol w:w="66"/>
        <w:gridCol w:w="528"/>
        <w:gridCol w:w="37"/>
        <w:gridCol w:w="36"/>
        <w:gridCol w:w="36"/>
        <w:gridCol w:w="36"/>
        <w:gridCol w:w="105"/>
        <w:gridCol w:w="723"/>
        <w:gridCol w:w="36"/>
        <w:gridCol w:w="56"/>
        <w:gridCol w:w="432"/>
        <w:gridCol w:w="162"/>
        <w:gridCol w:w="36"/>
        <w:gridCol w:w="36"/>
        <w:gridCol w:w="36"/>
        <w:gridCol w:w="105"/>
        <w:gridCol w:w="723"/>
        <w:gridCol w:w="36"/>
        <w:gridCol w:w="56"/>
        <w:gridCol w:w="440"/>
        <w:gridCol w:w="162"/>
      </w:tblGrid>
      <w:tr w:rsidR="00000000">
        <w:trPr>
          <w:divId w:val="748162302"/>
          <w:jc w:val="center"/>
        </w:trPr>
        <w:tc>
          <w:tcPr>
            <w:tcW w:w="50" w:type="pct"/>
            <w:vAlign w:val="center"/>
            <w:hideMark/>
          </w:tcPr>
          <w:p w:rsidR="00000000" w:rsidRDefault="00183441">
            <w:pPr>
              <w:jc w:val="both"/>
              <w:rPr>
                <w:rFonts w:eastAsia="Times New Roman"/>
              </w:rPr>
            </w:pPr>
          </w:p>
        </w:tc>
        <w:tc>
          <w:tcPr>
            <w:tcW w:w="1066"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2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3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2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3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0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0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2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2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5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2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2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5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748162302"/>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Comparable store sales growt</w:t>
            </w:r>
            <w:r>
              <w:rPr>
                <w:rFonts w:eastAsia="Times New Roman"/>
                <w:b/>
                <w:bCs/>
                <w:color w:val="000000"/>
                <w:sz w:val="16"/>
                <w:szCs w:val="16"/>
              </w:rPr>
              <w:t>h</w:t>
            </w:r>
            <w:r>
              <w:rPr>
                <w:rFonts w:eastAsia="Times New Roman"/>
                <w:b/>
                <w:bCs/>
                <w:color w:val="000000"/>
                <w:sz w:val="10"/>
                <w:szCs w:val="10"/>
              </w:rPr>
              <w:t>(1</w:t>
            </w:r>
            <w:r>
              <w:rPr>
                <w:rFonts w:eastAsia="Times New Roman"/>
                <w:b/>
                <w:bCs/>
                <w:color w:val="000000"/>
                <w:sz w:val="10"/>
                <w:szCs w:val="10"/>
              </w:rPr>
              <w:t>)</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Stores open at end of period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Net revenu</w:t>
            </w:r>
            <w:r>
              <w:rPr>
                <w:rFonts w:eastAsia="Times New Roman"/>
                <w:b/>
                <w:bCs/>
                <w:color w:val="000000"/>
                <w:sz w:val="16"/>
                <w:szCs w:val="16"/>
              </w:rPr>
              <w:t>e</w:t>
            </w:r>
            <w:r>
              <w:rPr>
                <w:rFonts w:eastAsia="Times New Roman"/>
                <w:b/>
                <w:bCs/>
                <w:color w:val="000000"/>
                <w:sz w:val="10"/>
                <w:szCs w:val="10"/>
              </w:rPr>
              <w:t>(2</w:t>
            </w:r>
            <w:r>
              <w:rPr>
                <w:rFonts w:eastAsia="Times New Roman"/>
                <w:b/>
                <w:bCs/>
                <w:color w:val="000000"/>
                <w:sz w:val="10"/>
                <w:szCs w:val="10"/>
              </w:rPr>
              <w:t>)</w:t>
            </w:r>
          </w:p>
        </w:tc>
      </w:tr>
      <w:tr w:rsidR="00000000">
        <w:trPr>
          <w:divId w:val="748162302"/>
          <w:jc w:val="center"/>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16"/>
                <w:szCs w:val="16"/>
              </w:rPr>
              <w:t>In thousands, except percentage and store data</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b/>
                <w:bCs/>
                <w:color w:val="000000"/>
                <w:sz w:val="16"/>
                <w:szCs w:val="16"/>
              </w:rPr>
              <w:t>Nine Months Ended</w:t>
            </w:r>
            <w:r>
              <w:rPr>
                <w:rFonts w:eastAsia="Times New Roman"/>
                <w:b/>
                <w:bCs/>
                <w:color w:val="000000"/>
                <w:sz w:val="16"/>
                <w:szCs w:val="16"/>
              </w:rPr>
              <w:br/>
            </w:r>
            <w:r>
              <w:rPr>
                <w:rFonts w:eastAsia="Times New Roman"/>
                <w:b/>
                <w:bCs/>
                <w:color w:val="000000"/>
                <w:sz w:val="16"/>
                <w:szCs w:val="16"/>
              </w:rPr>
              <w:t>October 2, 2021</w:t>
            </w:r>
          </w:p>
        </w:tc>
      </w:tr>
      <w:tr w:rsidR="00000000">
        <w:trPr>
          <w:divId w:val="748162302"/>
          <w:jc w:val="center"/>
        </w:trPr>
        <w:tc>
          <w:tcPr>
            <w:tcW w:w="0" w:type="auto"/>
            <w:gridSpan w:val="3"/>
            <w:tcBorders>
              <w:top w:val="single" w:sz="8" w:space="0" w:color="000000"/>
            </w:tcBorders>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7"/>
                <w:szCs w:val="17"/>
              </w:rPr>
              <w:t>Owned &amp; Host segment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748162302"/>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7"/>
                <w:szCs w:val="17"/>
              </w:rPr>
              <w:t>America’s Best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(9.4)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31.8 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883 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826 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1,043,163 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67.9 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7"/>
                <w:szCs w:val="17"/>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1,106,907 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69.1 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r>
      <w:tr w:rsidR="00000000">
        <w:trPr>
          <w:divId w:val="748162302"/>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7"/>
                <w:szCs w:val="17"/>
              </w:rPr>
              <w:t>Eyeglass World</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(7.7)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33.9 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136 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123 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166,155 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10.8 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174,356 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10.9 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r>
      <w:tr w:rsidR="00000000">
        <w:trPr>
          <w:divId w:val="748162302"/>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7"/>
                <w:szCs w:val="17"/>
              </w:rPr>
              <w:t>Military</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(5.5)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22.6 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54 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17,117 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18,112 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r>
      <w:tr w:rsidR="00000000">
        <w:trPr>
          <w:divId w:val="748162302"/>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7"/>
                <w:szCs w:val="17"/>
              </w:rPr>
              <w:t>Fred Meyer</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(5.4)</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21.2 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29 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8,824 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9,331 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r>
      <w:tr w:rsidR="00000000">
        <w:trPr>
          <w:divId w:val="748162302"/>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7"/>
                <w:szCs w:val="17"/>
              </w:rPr>
              <w:t>Owned &amp; Host segment total</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1,102 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1,032 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1,235,259 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80.4 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1,308,706 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81.7 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r>
      <w:tr w:rsidR="00000000">
        <w:trPr>
          <w:divId w:val="748162302"/>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7"/>
                <w:szCs w:val="17"/>
              </w:rPr>
              <w:t>Legacy segment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(9.3)</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25.5 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230 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116,658 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7.6 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128,024 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8.0 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r>
      <w:tr w:rsidR="00000000">
        <w:trPr>
          <w:divId w:val="748162302"/>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7"/>
                <w:szCs w:val="17"/>
              </w:rPr>
              <w:t>Corporate/Other</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185,521 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12.1 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180,801 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11.3 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r>
      <w:tr w:rsidR="00000000">
        <w:trPr>
          <w:divId w:val="748162302"/>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17"/>
                <w:szCs w:val="17"/>
              </w:rPr>
              <w:t>Reconciliations</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(965)</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(0.1)</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(15,857)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(1.0)</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r>
      <w:tr w:rsidR="00000000">
        <w:trPr>
          <w:divId w:val="748162302"/>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7"/>
                <w:szCs w:val="17"/>
              </w:rPr>
              <w:t>Total</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(8.0)</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30.3 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1,332 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1,262 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1,536,473 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17"/>
                <w:szCs w:val="17"/>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1,601,674 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r>
      <w:tr w:rsidR="00000000">
        <w:trPr>
          <w:divId w:val="748162302"/>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1091513989"/>
              <w:rPr>
                <w:rFonts w:eastAsia="Times New Roman"/>
              </w:rPr>
            </w:pPr>
            <w:r>
              <w:rPr>
                <w:rFonts w:eastAsia="Times New Roman"/>
                <w:color w:val="000000"/>
                <w:sz w:val="17"/>
                <w:szCs w:val="17"/>
              </w:rPr>
              <w:t>Adjusted Comparable Store Sales Growt</w:t>
            </w:r>
            <w:r>
              <w:rPr>
                <w:rFonts w:eastAsia="Times New Roman"/>
                <w:color w:val="000000"/>
                <w:sz w:val="17"/>
                <w:szCs w:val="17"/>
              </w:rPr>
              <w:t>h</w:t>
            </w:r>
            <w:r>
              <w:rPr>
                <w:rFonts w:eastAsia="Times New Roman"/>
                <w:color w:val="000000"/>
                <w:sz w:val="11"/>
                <w:szCs w:val="11"/>
              </w:rPr>
              <w:t>(3</w:t>
            </w:r>
            <w:r>
              <w:rPr>
                <w:rFonts w:eastAsia="Times New Roman"/>
                <w:color w:val="000000"/>
                <w:sz w:val="11"/>
                <w:szCs w:val="11"/>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(9.1)</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17"/>
                <w:szCs w:val="17"/>
              </w:rPr>
              <w:t>31.1 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17"/>
                <w:szCs w:val="17"/>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bl>
    <w:p w:rsidR="00000000" w:rsidRDefault="00183441">
      <w:pPr>
        <w:ind w:hanging="360"/>
        <w:jc w:val="both"/>
        <w:rPr>
          <w:rFonts w:eastAsia="Times New Roman"/>
        </w:rPr>
      </w:pPr>
      <w:r>
        <w:rPr>
          <w:rFonts w:eastAsia="Times New Roman"/>
          <w:color w:val="000000"/>
          <w:sz w:val="16"/>
          <w:szCs w:val="16"/>
        </w:rPr>
        <w:t xml:space="preserve">(1)We calculate total comparable store sales based on consolidated net revenue excluding the impact of (i) Corporate/Other segment net revenue, (ii) sales from stores </w:t>
      </w:r>
      <w:r>
        <w:rPr>
          <w:rFonts w:eastAsia="Times New Roman"/>
          <w:color w:val="000000"/>
          <w:sz w:val="16"/>
          <w:szCs w:val="16"/>
        </w:rPr>
        <w:t>opened less than 13 months, (iii) stores closed in the periods presented, (iv) sales from partial months of operation when stores do not open or close on the first day of the month and (v) if applicable, the impact of a 53rd week in a fiscal year. Brand-le</w:t>
      </w:r>
      <w:r>
        <w:rPr>
          <w:rFonts w:eastAsia="Times New Roman"/>
          <w:color w:val="000000"/>
          <w:sz w:val="16"/>
          <w:szCs w:val="16"/>
        </w:rPr>
        <w:t xml:space="preserve">vel comparable store sales growth is calculated based on cash basis revenues consistent with what the CODM reviews, and consistent with reportable segment revenues presented in Note 10. “Segment Reporting” in our unaudited condensed consolidated financial </w:t>
      </w:r>
      <w:r>
        <w:rPr>
          <w:rFonts w:eastAsia="Times New Roman"/>
          <w:color w:val="000000"/>
          <w:sz w:val="16"/>
          <w:szCs w:val="16"/>
        </w:rPr>
        <w:t xml:space="preserve">statements included in Part I. Item 1. of this Form 10-Q, with the exception of the Legacy segment, which is adjusted as noted in clause (ii) of footnote (3) below. </w:t>
      </w:r>
    </w:p>
    <w:p w:rsidR="00000000" w:rsidRDefault="00183441">
      <w:pPr>
        <w:ind w:hanging="360"/>
        <w:jc w:val="both"/>
        <w:rPr>
          <w:rFonts w:eastAsia="Times New Roman"/>
        </w:rPr>
      </w:pPr>
      <w:r>
        <w:rPr>
          <w:rFonts w:eastAsia="Times New Roman"/>
          <w:color w:val="000000"/>
          <w:sz w:val="16"/>
          <w:szCs w:val="16"/>
        </w:rPr>
        <w:t>(2)Percentages reflect line item as a percentage of net revenue, adjusted for rounding.</w:t>
      </w:r>
    </w:p>
    <w:p w:rsidR="00000000" w:rsidRDefault="00183441">
      <w:pPr>
        <w:ind w:hanging="360"/>
        <w:jc w:val="both"/>
        <w:divId w:val="1913658697"/>
        <w:rPr>
          <w:rFonts w:eastAsia="Times New Roman"/>
        </w:rPr>
      </w:pPr>
      <w:r>
        <w:rPr>
          <w:rFonts w:eastAsia="Times New Roman"/>
          <w:color w:val="000000"/>
          <w:sz w:val="16"/>
          <w:szCs w:val="16"/>
        </w:rPr>
        <w:t>(3</w:t>
      </w:r>
      <w:r>
        <w:rPr>
          <w:rFonts w:eastAsia="Times New Roman"/>
          <w:color w:val="000000"/>
          <w:sz w:val="16"/>
          <w:szCs w:val="16"/>
        </w:rPr>
        <w:t xml:space="preserve">)There are two differences between total comparable store sales growth based on consolidated net revenue and Adjusted Comparable Store Sales Growth: (i) Adjusted Comparable Store Sales Growth includes the effect of deferred and unearned revenue as if such </w:t>
      </w:r>
      <w:r>
        <w:rPr>
          <w:rFonts w:eastAsia="Times New Roman"/>
          <w:color w:val="000000"/>
          <w:sz w:val="16"/>
          <w:szCs w:val="16"/>
        </w:rPr>
        <w:t>revenues were earned at the point of sale, resulting in a decrease of 1.0% and an increase of 0.9% from total comparable store sales growth based on consolidated net revenue for the nine months ended October 1, 2022 and October 2, 2021, respectively, and (</w:t>
      </w:r>
      <w:r>
        <w:rPr>
          <w:rFonts w:eastAsia="Times New Roman"/>
          <w:color w:val="000000"/>
          <w:sz w:val="16"/>
          <w:szCs w:val="16"/>
        </w:rPr>
        <w:t>ii) Adjusted Comparable Store Sales Growth includes retail sales to the Legacy partner’s customers (rather than the revenues recognized consistent with the management &amp; services agreement with the Legacy partner), resulting in a decrease of 0.1% and a decr</w:t>
      </w:r>
      <w:r>
        <w:rPr>
          <w:rFonts w:eastAsia="Times New Roman"/>
          <w:color w:val="000000"/>
          <w:sz w:val="16"/>
          <w:szCs w:val="16"/>
        </w:rPr>
        <w:t>ease of 0.1% from total comparable store sales growth based on consolidated net revenue for the nine months ended October 1, 2022 and October 2, 2021, respectively.</w:t>
      </w:r>
    </w:p>
    <w:p w:rsidR="00000000" w:rsidRDefault="00183441">
      <w:pPr>
        <w:jc w:val="both"/>
        <w:divId w:val="2130124988"/>
        <w:rPr>
          <w:rFonts w:eastAsia="Times New Roman"/>
        </w:rPr>
      </w:pPr>
      <w:r>
        <w:rPr>
          <w:rFonts w:eastAsia="Times New Roman"/>
          <w:color w:val="000000"/>
          <w:sz w:val="20"/>
          <w:szCs w:val="20"/>
        </w:rPr>
        <w:t>Total net revenue of $1,536.5 million for the nine months ended October 1, 2022 decreased $</w:t>
      </w:r>
      <w:r>
        <w:rPr>
          <w:rFonts w:eastAsia="Times New Roman"/>
          <w:color w:val="000000"/>
          <w:sz w:val="20"/>
          <w:szCs w:val="20"/>
        </w:rPr>
        <w:t>65.2 million, or 4.1%, from $1,601.7 million for the nine months ended October 2, 2021. The decrease was driven primarily by reduced Adjusted Comparable Store Sales Growth, partially offset by growth from new store sales and recognition of deferred revenue</w:t>
      </w:r>
      <w:r>
        <w:rPr>
          <w:rFonts w:eastAsia="Times New Roman"/>
          <w:color w:val="000000"/>
          <w:sz w:val="20"/>
          <w:szCs w:val="20"/>
        </w:rPr>
        <w:t>.</w:t>
      </w:r>
    </w:p>
    <w:p w:rsidR="00000000" w:rsidRDefault="00183441">
      <w:pPr>
        <w:jc w:val="both"/>
        <w:divId w:val="1344934238"/>
        <w:rPr>
          <w:rFonts w:eastAsia="Times New Roman"/>
        </w:rPr>
      </w:pPr>
      <w:r>
        <w:rPr>
          <w:rFonts w:eastAsia="Times New Roman"/>
          <w:color w:val="000000"/>
          <w:sz w:val="20"/>
          <w:szCs w:val="20"/>
        </w:rPr>
        <w:t>In the nine months ended October 1, 2022, we opened 46 new America’s Best stores and 11 Eyeglass World stores, and closed three America’s Best stores. Overall, store count grew 5.5% from October 2, 2021 to October 1, 2022 (57, and 13 net new America’s Be</w:t>
      </w:r>
      <w:r>
        <w:rPr>
          <w:rFonts w:eastAsia="Times New Roman"/>
          <w:color w:val="000000"/>
          <w:sz w:val="20"/>
          <w:szCs w:val="20"/>
        </w:rPr>
        <w:t xml:space="preserve">st and Eyeglass World stores were added, respectively). </w:t>
      </w:r>
    </w:p>
    <w:p w:rsidR="00000000" w:rsidRDefault="00183441">
      <w:pPr>
        <w:jc w:val="both"/>
        <w:divId w:val="1372923454"/>
        <w:rPr>
          <w:rFonts w:eastAsia="Times New Roman"/>
        </w:rPr>
      </w:pPr>
      <w:r>
        <w:rPr>
          <w:rFonts w:eastAsia="Times New Roman"/>
          <w:color w:val="000000"/>
          <w:sz w:val="20"/>
          <w:szCs w:val="20"/>
        </w:rPr>
        <w:t>Comparable store sales growth and Adjusted Comparable Store Sales Growth for the nine months ended October 1, 2022 were (8.0)% and (9.1)%, respectively, primarily due to a decrease in customer transa</w:t>
      </w:r>
      <w:r>
        <w:rPr>
          <w:rFonts w:eastAsia="Times New Roman"/>
          <w:color w:val="000000"/>
          <w:sz w:val="20"/>
          <w:szCs w:val="20"/>
        </w:rPr>
        <w:t xml:space="preserve">ctions and, to a lesser extent, lower average ticket. Comparable store sales growth and Adjusted Comparable Store Sales Growth were negative during the nine months ended October 1, 2022 due to overall economic trends impacting customer demand, constraints </w:t>
      </w:r>
      <w:r>
        <w:rPr>
          <w:rFonts w:eastAsia="Times New Roman"/>
          <w:color w:val="000000"/>
          <w:sz w:val="20"/>
          <w:szCs w:val="20"/>
        </w:rPr>
        <w:t xml:space="preserve">affecting exam capacity in certain markets and the Omicron COVID-19 variant impacting customer transactions. </w:t>
      </w:r>
    </w:p>
    <w:p w:rsidR="00000000" w:rsidRDefault="00183441">
      <w:pPr>
        <w:jc w:val="center"/>
        <w:divId w:val="915432607"/>
        <w:rPr>
          <w:rFonts w:eastAsia="Times New Roman"/>
        </w:rPr>
      </w:pPr>
      <w:r>
        <w:rPr>
          <w:rFonts w:eastAsia="Times New Roman"/>
          <w:color w:val="000000"/>
          <w:sz w:val="20"/>
          <w:szCs w:val="20"/>
        </w:rPr>
        <w:t>32</w:t>
      </w:r>
    </w:p>
    <w:p w:rsidR="00000000" w:rsidRDefault="00183441">
      <w:pPr>
        <w:rPr>
          <w:rFonts w:eastAsia="Times New Roman"/>
        </w:rPr>
      </w:pPr>
      <w:r>
        <w:rPr>
          <w:rFonts w:eastAsia="Times New Roman"/>
        </w:rPr>
        <w:pict>
          <v:rect id="_x0000_i1056" style="width:0;height:1.5pt" o:hralign="center" o:hrstd="t" o:hr="t" fillcolor="#a0a0a0" stroked="f"/>
        </w:pict>
      </w:r>
    </w:p>
    <w:p w:rsidR="00000000" w:rsidRDefault="00183441">
      <w:pPr>
        <w:divId w:val="738869881"/>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1633900378"/>
        <w:rPr>
          <w:rFonts w:eastAsia="Times New Roman"/>
        </w:rPr>
      </w:pPr>
      <w:r>
        <w:rPr>
          <w:rFonts w:eastAsia="Times New Roman"/>
          <w:color w:val="000000"/>
          <w:sz w:val="20"/>
          <w:szCs w:val="20"/>
        </w:rPr>
        <w:t xml:space="preserve">Net product sales comprised 82.4% and 82.8% of total net revenue for the nine months ended October 1, 2022 and October 2, 2021, respectively. Net product sales decreased $61.3 million, or 4.6%, in the nine months ended October 1, 2022 compared to the nine </w:t>
      </w:r>
      <w:r>
        <w:rPr>
          <w:rFonts w:eastAsia="Times New Roman"/>
          <w:color w:val="000000"/>
          <w:sz w:val="20"/>
          <w:szCs w:val="20"/>
        </w:rPr>
        <w:t xml:space="preserve">months ended October 2, 2021, primarily due to a $69.0 million, or 7.4% decrease in eyeglass sales which was partially offset by a $4.3 million, or 1.5% increase in contact lens sales and $3.5 million, or 3.4% increase in wholesale fulfillment. </w:t>
      </w:r>
    </w:p>
    <w:p w:rsidR="00000000" w:rsidRDefault="00183441">
      <w:pPr>
        <w:jc w:val="both"/>
        <w:divId w:val="915550328"/>
        <w:rPr>
          <w:rFonts w:eastAsia="Times New Roman"/>
        </w:rPr>
      </w:pPr>
      <w:r>
        <w:rPr>
          <w:rFonts w:eastAsia="Times New Roman"/>
          <w:color w:val="000000"/>
          <w:sz w:val="20"/>
          <w:szCs w:val="20"/>
        </w:rPr>
        <w:t xml:space="preserve">Net sales </w:t>
      </w:r>
      <w:r>
        <w:rPr>
          <w:rFonts w:eastAsia="Times New Roman"/>
          <w:color w:val="000000"/>
          <w:sz w:val="20"/>
          <w:szCs w:val="20"/>
        </w:rPr>
        <w:t xml:space="preserve">of services and plans for the nine months ended October 1, 2022 decreased $3.9 million, or 1.4%, compared to the nine months ended October 2, 2021, driven primarily by a $5.6 million, or 17.1% decrease in management fees from our Legacy partner, which was </w:t>
      </w:r>
      <w:r>
        <w:rPr>
          <w:rFonts w:eastAsia="Times New Roman"/>
          <w:color w:val="000000"/>
          <w:sz w:val="20"/>
          <w:szCs w:val="20"/>
        </w:rPr>
        <w:t>partially offset by higher exam revenues of $2.0 million, or 1.4% increase.</w:t>
      </w:r>
    </w:p>
    <w:p w:rsidR="00000000" w:rsidRDefault="00183441">
      <w:pPr>
        <w:jc w:val="both"/>
        <w:divId w:val="2005741184"/>
        <w:rPr>
          <w:rFonts w:eastAsia="Times New Roman"/>
        </w:rPr>
      </w:pPr>
      <w:r>
        <w:rPr>
          <w:rFonts w:eastAsia="Times New Roman"/>
          <w:i/>
          <w:iCs/>
          <w:color w:val="000000"/>
          <w:sz w:val="20"/>
          <w:szCs w:val="20"/>
        </w:rPr>
        <w:t>Owned &amp; Host segment net revenue.</w:t>
      </w:r>
      <w:r>
        <w:rPr>
          <w:rFonts w:eastAsia="Times New Roman"/>
          <w:color w:val="000000"/>
          <w:sz w:val="20"/>
          <w:szCs w:val="20"/>
        </w:rPr>
        <w:t xml:space="preserve"> Net revenue decreased $73.4 million, or 5.6%, driven primarily by negative comparable store sales growth partially offset by new store openings.</w:t>
      </w:r>
    </w:p>
    <w:p w:rsidR="00000000" w:rsidRDefault="00183441">
      <w:pPr>
        <w:jc w:val="both"/>
        <w:divId w:val="2058821603"/>
        <w:rPr>
          <w:rFonts w:eastAsia="Times New Roman"/>
        </w:rPr>
      </w:pPr>
      <w:r>
        <w:rPr>
          <w:rFonts w:eastAsia="Times New Roman"/>
          <w:i/>
          <w:iCs/>
          <w:color w:val="000000"/>
          <w:sz w:val="20"/>
          <w:szCs w:val="20"/>
        </w:rPr>
        <w:t xml:space="preserve">Legacy segment net revenue. </w:t>
      </w:r>
      <w:r>
        <w:rPr>
          <w:rFonts w:eastAsia="Times New Roman"/>
          <w:color w:val="000000"/>
          <w:sz w:val="20"/>
          <w:szCs w:val="20"/>
        </w:rPr>
        <w:t>Net revenue decreased $11.4 million, or 8.9%, driven by negative comparable store sales growth.</w:t>
      </w:r>
    </w:p>
    <w:p w:rsidR="00000000" w:rsidRDefault="00183441">
      <w:pPr>
        <w:jc w:val="both"/>
        <w:divId w:val="1800605256"/>
        <w:rPr>
          <w:rFonts w:eastAsia="Times New Roman"/>
        </w:rPr>
      </w:pPr>
      <w:r>
        <w:rPr>
          <w:rFonts w:eastAsia="Times New Roman"/>
          <w:i/>
          <w:iCs/>
          <w:color w:val="000000"/>
          <w:sz w:val="20"/>
          <w:szCs w:val="20"/>
        </w:rPr>
        <w:t xml:space="preserve">Corporate/Other segment net revenue. </w:t>
      </w:r>
      <w:r>
        <w:rPr>
          <w:rFonts w:eastAsia="Times New Roman"/>
          <w:color w:val="000000"/>
          <w:sz w:val="20"/>
          <w:szCs w:val="20"/>
        </w:rPr>
        <w:t>Net revenue increased $4.7 million, or 2.6%, driven primarily by increases in wholesale fulfill</w:t>
      </w:r>
      <w:r>
        <w:rPr>
          <w:rFonts w:eastAsia="Times New Roman"/>
          <w:color w:val="000000"/>
          <w:sz w:val="20"/>
          <w:szCs w:val="20"/>
        </w:rPr>
        <w:t>ment.</w:t>
      </w:r>
    </w:p>
    <w:p w:rsidR="00000000" w:rsidRDefault="00183441">
      <w:pPr>
        <w:jc w:val="both"/>
        <w:divId w:val="1661737268"/>
        <w:rPr>
          <w:rFonts w:eastAsia="Times New Roman"/>
        </w:rPr>
      </w:pPr>
      <w:r>
        <w:rPr>
          <w:rFonts w:eastAsia="Times New Roman"/>
          <w:i/>
          <w:iCs/>
          <w:color w:val="000000"/>
          <w:sz w:val="20"/>
          <w:szCs w:val="20"/>
        </w:rPr>
        <w:t xml:space="preserve">Net revenue reconciliations. </w:t>
      </w:r>
      <w:r>
        <w:rPr>
          <w:rFonts w:eastAsia="Times New Roman"/>
          <w:color w:val="000000"/>
          <w:sz w:val="20"/>
          <w:szCs w:val="20"/>
        </w:rPr>
        <w:t>The impact of reconciliations positively impacted net revenue by $14.9 million in the nine months ended October 1, 2022 compared to the nine months ended October 2, 2021. Net revenue was negatively impacted by $0.2 millio</w:t>
      </w:r>
      <w:r>
        <w:rPr>
          <w:rFonts w:eastAsia="Times New Roman"/>
          <w:color w:val="000000"/>
          <w:sz w:val="20"/>
          <w:szCs w:val="20"/>
        </w:rPr>
        <w:t>n due to the timing of unearned revenue. Net revenue was positively impacted by $15.1 million due to lower sales of product protection plan and club memberships in the nine months ended October 1, 2022.</w:t>
      </w:r>
    </w:p>
    <w:p w:rsidR="00000000" w:rsidRDefault="00183441">
      <w:pPr>
        <w:jc w:val="both"/>
        <w:divId w:val="1579098849"/>
        <w:rPr>
          <w:rFonts w:eastAsia="Times New Roman"/>
        </w:rPr>
      </w:pPr>
      <w:r>
        <w:rPr>
          <w:rFonts w:eastAsia="Times New Roman"/>
          <w:i/>
          <w:iCs/>
          <w:color w:val="000000"/>
          <w:sz w:val="20"/>
          <w:szCs w:val="20"/>
        </w:rPr>
        <w:t>Costs applicable to revenue</w:t>
      </w:r>
    </w:p>
    <w:p w:rsidR="00000000" w:rsidRDefault="00183441">
      <w:pPr>
        <w:jc w:val="both"/>
        <w:divId w:val="771625667"/>
        <w:rPr>
          <w:rFonts w:eastAsia="Times New Roman"/>
        </w:rPr>
      </w:pPr>
      <w:r>
        <w:rPr>
          <w:rFonts w:eastAsia="Times New Roman"/>
          <w:color w:val="000000"/>
          <w:sz w:val="20"/>
          <w:szCs w:val="20"/>
        </w:rPr>
        <w:t>Costs applicable to reven</w:t>
      </w:r>
      <w:r>
        <w:rPr>
          <w:rFonts w:eastAsia="Times New Roman"/>
          <w:color w:val="000000"/>
          <w:sz w:val="20"/>
          <w:szCs w:val="20"/>
        </w:rPr>
        <w:t>ue of $703.4 million for the nine months ended October 1, 2022 increased $16.3 million, or 2.4%, from $687.1 million for the nine months ended October 2, 2021. As a percentage of net revenue, costs applicable to revenue increased from 42.9% for the nine mo</w:t>
      </w:r>
      <w:r>
        <w:rPr>
          <w:rFonts w:eastAsia="Times New Roman"/>
          <w:color w:val="000000"/>
          <w:sz w:val="20"/>
          <w:szCs w:val="20"/>
        </w:rPr>
        <w:t>nths ended October 2, 2021 to 45.8% for the nine months ended October 1, 2022. This increase as a percentage of net revenue was primarily driven by higher growth in optometrist-related costs, reduced eyeglass mix and lower eyeglass margin.</w:t>
      </w:r>
    </w:p>
    <w:p w:rsidR="00000000" w:rsidRDefault="00183441">
      <w:pPr>
        <w:jc w:val="both"/>
        <w:divId w:val="1483034839"/>
        <w:rPr>
          <w:rFonts w:eastAsia="Times New Roman"/>
        </w:rPr>
      </w:pPr>
      <w:r>
        <w:rPr>
          <w:rFonts w:eastAsia="Times New Roman"/>
          <w:color w:val="000000"/>
          <w:sz w:val="20"/>
          <w:szCs w:val="20"/>
        </w:rPr>
        <w:t>Costs of product</w:t>
      </w:r>
      <w:r>
        <w:rPr>
          <w:rFonts w:eastAsia="Times New Roman"/>
          <w:color w:val="000000"/>
          <w:sz w:val="20"/>
          <w:szCs w:val="20"/>
        </w:rPr>
        <w:t>s as a percentage of net product sales increased from 36.6% for the nine months ended October 2, 2021 to 38.6% for the nine months ended October 1, 2022, primarily driven</w:t>
      </w:r>
      <w:r>
        <w:rPr>
          <w:rFonts w:eastAsia="Times New Roman"/>
          <w:color w:val="FF0000"/>
          <w:sz w:val="20"/>
          <w:szCs w:val="20"/>
        </w:rPr>
        <w:t xml:space="preserve"> </w:t>
      </w:r>
      <w:r>
        <w:rPr>
          <w:rFonts w:eastAsia="Times New Roman"/>
          <w:color w:val="000000"/>
          <w:sz w:val="20"/>
          <w:szCs w:val="20"/>
        </w:rPr>
        <w:t>by reduced eyeglass mix and lower eyeglass margin.</w:t>
      </w:r>
    </w:p>
    <w:p w:rsidR="00000000" w:rsidRDefault="00183441">
      <w:pPr>
        <w:jc w:val="both"/>
        <w:divId w:val="1740203941"/>
        <w:rPr>
          <w:rFonts w:eastAsia="Times New Roman"/>
        </w:rPr>
      </w:pPr>
      <w:r>
        <w:rPr>
          <w:rFonts w:eastAsia="Times New Roman"/>
          <w:i/>
          <w:iCs/>
          <w:color w:val="000000"/>
          <w:sz w:val="20"/>
          <w:szCs w:val="20"/>
        </w:rPr>
        <w:t>Owned &amp; Host segment costs of prod</w:t>
      </w:r>
      <w:r>
        <w:rPr>
          <w:rFonts w:eastAsia="Times New Roman"/>
          <w:i/>
          <w:iCs/>
          <w:color w:val="000000"/>
          <w:sz w:val="20"/>
          <w:szCs w:val="20"/>
        </w:rPr>
        <w:t xml:space="preserve">ucts. </w:t>
      </w:r>
      <w:r>
        <w:rPr>
          <w:rFonts w:eastAsia="Times New Roman"/>
          <w:color w:val="000000"/>
          <w:sz w:val="20"/>
          <w:szCs w:val="20"/>
        </w:rPr>
        <w:t>Costs of products as a percentage of net product sales increased from 27.2% for the nine months ended October 2, 2021 to 28.9% for the nine months ended October 1, 2022 driven by reduced eyeglass mix and lower eyeglass margin.</w:t>
      </w:r>
    </w:p>
    <w:p w:rsidR="00000000" w:rsidRDefault="00183441">
      <w:pPr>
        <w:jc w:val="both"/>
        <w:divId w:val="1142620347"/>
        <w:rPr>
          <w:rFonts w:eastAsia="Times New Roman"/>
        </w:rPr>
      </w:pPr>
      <w:r>
        <w:rPr>
          <w:rFonts w:eastAsia="Times New Roman"/>
          <w:i/>
          <w:iCs/>
          <w:color w:val="000000"/>
          <w:sz w:val="20"/>
          <w:szCs w:val="20"/>
        </w:rPr>
        <w:t>Legacy segment costs of</w:t>
      </w:r>
      <w:r>
        <w:rPr>
          <w:rFonts w:eastAsia="Times New Roman"/>
          <w:i/>
          <w:iCs/>
          <w:color w:val="000000"/>
          <w:sz w:val="20"/>
          <w:szCs w:val="20"/>
        </w:rPr>
        <w:t xml:space="preserve"> products. </w:t>
      </w:r>
      <w:r>
        <w:rPr>
          <w:rFonts w:eastAsia="Times New Roman"/>
          <w:color w:val="000000"/>
          <w:sz w:val="20"/>
          <w:szCs w:val="20"/>
        </w:rPr>
        <w:t xml:space="preserve">Costs of products as a percentage of net product sales decreased from 47.7% for the nine months ended October 2, 2021 to 47.3% for the nine months ended October 1, 2022. The decrease was primarily driven by a higher mix of managed care customer </w:t>
      </w:r>
      <w:r>
        <w:rPr>
          <w:rFonts w:eastAsia="Times New Roman"/>
          <w:color w:val="000000"/>
          <w:sz w:val="20"/>
          <w:szCs w:val="20"/>
        </w:rPr>
        <w:t xml:space="preserve">transactions versus non-managed care customer transactions. Legacy segment managed care net product revenue is recorded in net product sales while revenue associated with servicing non-managed care customers is recorded in net sales of services and plans. </w:t>
      </w:r>
      <w:r>
        <w:rPr>
          <w:rFonts w:eastAsia="Times New Roman"/>
          <w:color w:val="000000"/>
          <w:sz w:val="20"/>
          <w:szCs w:val="20"/>
        </w:rPr>
        <w:t>Eyeglass and contact lens product costs for both managed care and non-managed care net revenue are recorded in costs of products. Increases in managed care mix decrease costs of products as a percentage of net product sales and have a corresponding negativ</w:t>
      </w:r>
      <w:r>
        <w:rPr>
          <w:rFonts w:eastAsia="Times New Roman"/>
          <w:color w:val="000000"/>
          <w:sz w:val="20"/>
          <w:szCs w:val="20"/>
        </w:rPr>
        <w:t>e impact on costs of services as a percentage of net sales of services and plans in our Legacy segment.</w:t>
      </w:r>
    </w:p>
    <w:p w:rsidR="00000000" w:rsidRDefault="00183441">
      <w:pPr>
        <w:jc w:val="both"/>
        <w:divId w:val="29502420"/>
        <w:rPr>
          <w:rFonts w:eastAsia="Times New Roman"/>
        </w:rPr>
      </w:pPr>
      <w:r>
        <w:rPr>
          <w:rFonts w:eastAsia="Times New Roman"/>
          <w:color w:val="000000"/>
          <w:sz w:val="20"/>
          <w:szCs w:val="20"/>
        </w:rPr>
        <w:t>Costs of services and plans as a percentage of net sales of services and plans increased from 73.5% for the nine months ended October 2, 2021 to 79.4% f</w:t>
      </w:r>
      <w:r>
        <w:rPr>
          <w:rFonts w:eastAsia="Times New Roman"/>
          <w:color w:val="000000"/>
          <w:sz w:val="20"/>
          <w:szCs w:val="20"/>
        </w:rPr>
        <w:t>or the nine months ended October 1, 2022. The increase was primarily driven by higher growth in optometrist-related costs, which were partially offset by higher eye exam revenue.</w:t>
      </w:r>
    </w:p>
    <w:p w:rsidR="00000000" w:rsidRDefault="00183441">
      <w:pPr>
        <w:jc w:val="both"/>
        <w:divId w:val="126702192"/>
        <w:rPr>
          <w:rFonts w:eastAsia="Times New Roman"/>
        </w:rPr>
      </w:pPr>
      <w:r>
        <w:rPr>
          <w:rFonts w:eastAsia="Times New Roman"/>
          <w:i/>
          <w:iCs/>
          <w:color w:val="000000"/>
          <w:sz w:val="20"/>
          <w:szCs w:val="20"/>
        </w:rPr>
        <w:t xml:space="preserve">Owned &amp; Host segment costs of services and plans. </w:t>
      </w:r>
      <w:r>
        <w:rPr>
          <w:rFonts w:eastAsia="Times New Roman"/>
          <w:color w:val="000000"/>
          <w:sz w:val="20"/>
          <w:szCs w:val="20"/>
        </w:rPr>
        <w:t>Costs of services and plans</w:t>
      </w:r>
      <w:r>
        <w:rPr>
          <w:rFonts w:eastAsia="Times New Roman"/>
          <w:color w:val="000000"/>
          <w:sz w:val="20"/>
          <w:szCs w:val="20"/>
        </w:rPr>
        <w:t xml:space="preserve"> as a percentage of net sales of services and plans increased from 76.5% for the nine months ended October 2, 2021 to 86.6% for the nine months ended October 1, 2022. The increase was primarily driven by higher growth in optometrist-related costs, which we</w:t>
      </w:r>
      <w:r>
        <w:rPr>
          <w:rFonts w:eastAsia="Times New Roman"/>
          <w:color w:val="000000"/>
          <w:sz w:val="20"/>
          <w:szCs w:val="20"/>
        </w:rPr>
        <w:t>re partially offset by higher eye exam revenue.</w:t>
      </w:r>
    </w:p>
    <w:p w:rsidR="00000000" w:rsidRDefault="00183441">
      <w:pPr>
        <w:jc w:val="both"/>
        <w:divId w:val="588077158"/>
        <w:rPr>
          <w:rFonts w:eastAsia="Times New Roman"/>
        </w:rPr>
      </w:pPr>
      <w:r>
        <w:rPr>
          <w:rFonts w:eastAsia="Times New Roman"/>
          <w:i/>
          <w:iCs/>
          <w:color w:val="000000"/>
          <w:sz w:val="20"/>
          <w:szCs w:val="20"/>
        </w:rPr>
        <w:t xml:space="preserve">Legacy segment costs of services and plans. </w:t>
      </w:r>
      <w:r>
        <w:rPr>
          <w:rFonts w:eastAsia="Times New Roman"/>
          <w:color w:val="000000"/>
          <w:sz w:val="20"/>
          <w:szCs w:val="20"/>
        </w:rPr>
        <w:t xml:space="preserve">Costs of services and plans as a percentage of net sales of services and plans increased from 39.0% for the nine months ended October 2, 2021 to 43.4% for the nine </w:t>
      </w:r>
      <w:r>
        <w:rPr>
          <w:rFonts w:eastAsia="Times New Roman"/>
          <w:color w:val="000000"/>
          <w:sz w:val="20"/>
          <w:szCs w:val="20"/>
        </w:rPr>
        <w:t>months ended October 1, 2022. The increase was primarily driven by higher growth in optometrist-related costs.</w:t>
      </w:r>
    </w:p>
    <w:p w:rsidR="00000000" w:rsidRDefault="00183441">
      <w:pPr>
        <w:jc w:val="center"/>
        <w:divId w:val="1378235643"/>
        <w:rPr>
          <w:rFonts w:eastAsia="Times New Roman"/>
        </w:rPr>
      </w:pPr>
      <w:r>
        <w:rPr>
          <w:rFonts w:eastAsia="Times New Roman"/>
          <w:color w:val="000000"/>
          <w:sz w:val="20"/>
          <w:szCs w:val="20"/>
        </w:rPr>
        <w:t>33</w:t>
      </w:r>
    </w:p>
    <w:p w:rsidR="00000000" w:rsidRDefault="00183441">
      <w:pPr>
        <w:rPr>
          <w:rFonts w:eastAsia="Times New Roman"/>
        </w:rPr>
      </w:pPr>
      <w:r>
        <w:rPr>
          <w:rFonts w:eastAsia="Times New Roman"/>
        </w:rPr>
        <w:pict>
          <v:rect id="_x0000_i1057" style="width:0;height:1.5pt" o:hralign="center" o:hrstd="t" o:hr="t" fillcolor="#a0a0a0" stroked="f"/>
        </w:pict>
      </w:r>
    </w:p>
    <w:p w:rsidR="00000000" w:rsidRDefault="00183441">
      <w:pPr>
        <w:divId w:val="480930674"/>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1855220212"/>
        <w:rPr>
          <w:rFonts w:eastAsia="Times New Roman"/>
        </w:rPr>
      </w:pPr>
      <w:r>
        <w:rPr>
          <w:rFonts w:eastAsia="Times New Roman"/>
          <w:i/>
          <w:iCs/>
          <w:color w:val="000000"/>
          <w:sz w:val="20"/>
          <w:szCs w:val="20"/>
        </w:rPr>
        <w:t>Selling, general and administr</w:t>
      </w:r>
      <w:r>
        <w:rPr>
          <w:rFonts w:eastAsia="Times New Roman"/>
          <w:i/>
          <w:iCs/>
          <w:color w:val="000000"/>
          <w:sz w:val="20"/>
          <w:szCs w:val="20"/>
        </w:rPr>
        <w:t>ative</w:t>
      </w:r>
    </w:p>
    <w:p w:rsidR="00000000" w:rsidRDefault="00183441">
      <w:pPr>
        <w:jc w:val="both"/>
        <w:divId w:val="1608198581"/>
        <w:rPr>
          <w:rFonts w:eastAsia="Times New Roman"/>
        </w:rPr>
      </w:pPr>
      <w:r>
        <w:rPr>
          <w:rFonts w:eastAsia="Times New Roman"/>
          <w:color w:val="000000"/>
          <w:sz w:val="20"/>
          <w:szCs w:val="20"/>
        </w:rPr>
        <w:t>SG&amp;A of $681.4 million for the nine months ended October 1, 2022 increased $5.4 million, or 0.8%, from the nine months ended October 2, 2021. As a percentage of net revenue, SG&amp;A increased from 42.2% for the nine months ended October 2, 2021 to 44.3%</w:t>
      </w:r>
      <w:r>
        <w:rPr>
          <w:rFonts w:eastAsia="Times New Roman"/>
          <w:color w:val="000000"/>
          <w:sz w:val="20"/>
          <w:szCs w:val="20"/>
        </w:rPr>
        <w:t xml:space="preserve"> for the nine months ended October 1, 2022. The increase in SG&amp;A as a percentage of net revenue was primarily driven by store payroll, corporate expenses, including travel and entertainment, and occupancy expense, partially offset by lower performance-base</w:t>
      </w:r>
      <w:r>
        <w:rPr>
          <w:rFonts w:eastAsia="Times New Roman"/>
          <w:color w:val="000000"/>
          <w:sz w:val="20"/>
          <w:szCs w:val="20"/>
        </w:rPr>
        <w:t>d incentive compensation and lower advertising expense. SG&amp;A for the nine months ended October 1, 2022 and October 2, 2021 includes $0.6 million and $1.4 million, respectively, of incremental costs directly related to adapting the Company’s operations duri</w:t>
      </w:r>
      <w:r>
        <w:rPr>
          <w:rFonts w:eastAsia="Times New Roman"/>
          <w:color w:val="000000"/>
          <w:sz w:val="20"/>
          <w:szCs w:val="20"/>
        </w:rPr>
        <w:t>ng the COVID-19 pandemic.</w:t>
      </w:r>
    </w:p>
    <w:p w:rsidR="00000000" w:rsidRDefault="00183441">
      <w:pPr>
        <w:jc w:val="both"/>
        <w:divId w:val="491874535"/>
        <w:rPr>
          <w:rFonts w:eastAsia="Times New Roman"/>
        </w:rPr>
      </w:pPr>
      <w:r>
        <w:rPr>
          <w:rFonts w:eastAsia="Times New Roman"/>
          <w:i/>
          <w:iCs/>
          <w:color w:val="000000"/>
          <w:sz w:val="20"/>
          <w:szCs w:val="20"/>
        </w:rPr>
        <w:t xml:space="preserve">Owned &amp; Host SG&amp;A. </w:t>
      </w:r>
      <w:r>
        <w:rPr>
          <w:rFonts w:eastAsia="Times New Roman"/>
          <w:color w:val="000000"/>
          <w:sz w:val="20"/>
          <w:szCs w:val="20"/>
        </w:rPr>
        <w:t>SG&amp;A as a percentage of net revenue increased from 35.6% for the nine months ended October 2, 2021 to 38.1% for the nine months ended October 1, 2022, driven primarily by higher payroll and occupancy expense, pa</w:t>
      </w:r>
      <w:r>
        <w:rPr>
          <w:rFonts w:eastAsia="Times New Roman"/>
          <w:color w:val="000000"/>
          <w:sz w:val="20"/>
          <w:szCs w:val="20"/>
        </w:rPr>
        <w:t>rtially offset by lower advertising expense.</w:t>
      </w:r>
    </w:p>
    <w:p w:rsidR="00000000" w:rsidRDefault="00183441">
      <w:pPr>
        <w:jc w:val="both"/>
        <w:divId w:val="381757515"/>
        <w:rPr>
          <w:rFonts w:eastAsia="Times New Roman"/>
        </w:rPr>
      </w:pPr>
      <w:r>
        <w:rPr>
          <w:rFonts w:eastAsia="Times New Roman"/>
          <w:i/>
          <w:iCs/>
          <w:color w:val="000000"/>
          <w:sz w:val="20"/>
          <w:szCs w:val="20"/>
        </w:rPr>
        <w:t xml:space="preserve">Legacy segment SG&amp;A. </w:t>
      </w:r>
      <w:r>
        <w:rPr>
          <w:rFonts w:eastAsia="Times New Roman"/>
          <w:color w:val="000000"/>
          <w:sz w:val="20"/>
          <w:szCs w:val="20"/>
        </w:rPr>
        <w:t>SG&amp;A as a percentage of net revenue increased from 33.9% for the nine months ended October 2, 2021 to 37.8% for the nine months ended October 1, 2022 driven primarily by higher payroll expen</w:t>
      </w:r>
      <w:r>
        <w:rPr>
          <w:rFonts w:eastAsia="Times New Roman"/>
          <w:color w:val="000000"/>
          <w:sz w:val="20"/>
          <w:szCs w:val="20"/>
        </w:rPr>
        <w:t>se.</w:t>
      </w:r>
    </w:p>
    <w:p w:rsidR="00000000" w:rsidRDefault="00183441">
      <w:pPr>
        <w:jc w:val="both"/>
        <w:divId w:val="1555388327"/>
        <w:rPr>
          <w:rFonts w:eastAsia="Times New Roman"/>
        </w:rPr>
      </w:pPr>
      <w:r>
        <w:rPr>
          <w:rFonts w:eastAsia="Times New Roman"/>
          <w:i/>
          <w:iCs/>
          <w:color w:val="000000"/>
          <w:sz w:val="20"/>
          <w:szCs w:val="20"/>
        </w:rPr>
        <w:t>Depreciation and amortization</w:t>
      </w:r>
    </w:p>
    <w:p w:rsidR="00000000" w:rsidRDefault="00183441">
      <w:pPr>
        <w:jc w:val="both"/>
        <w:divId w:val="1086149508"/>
        <w:rPr>
          <w:rFonts w:eastAsia="Times New Roman"/>
        </w:rPr>
      </w:pPr>
      <w:r>
        <w:rPr>
          <w:rFonts w:eastAsia="Times New Roman"/>
          <w:color w:val="000000"/>
          <w:sz w:val="20"/>
          <w:szCs w:val="20"/>
        </w:rPr>
        <w:t>Depreciation and amortization expense of $75.2 million for the nine months ended October 1, 2022 increased $2.6 million, or 3.6%, from $72.6 million for the nine months ended October 2, 2021 primarily driven by new store o</w:t>
      </w:r>
      <w:r>
        <w:rPr>
          <w:rFonts w:eastAsia="Times New Roman"/>
          <w:color w:val="000000"/>
          <w:sz w:val="20"/>
          <w:szCs w:val="20"/>
        </w:rPr>
        <w:t xml:space="preserve">penings. </w:t>
      </w:r>
    </w:p>
    <w:p w:rsidR="00000000" w:rsidRDefault="00183441">
      <w:pPr>
        <w:jc w:val="both"/>
        <w:divId w:val="240415275"/>
        <w:rPr>
          <w:rFonts w:eastAsia="Times New Roman"/>
        </w:rPr>
      </w:pPr>
      <w:r>
        <w:rPr>
          <w:rFonts w:eastAsia="Times New Roman"/>
          <w:i/>
          <w:iCs/>
          <w:color w:val="000000"/>
          <w:sz w:val="20"/>
          <w:szCs w:val="20"/>
        </w:rPr>
        <w:t>Asset impairment</w:t>
      </w:r>
    </w:p>
    <w:p w:rsidR="00000000" w:rsidRDefault="00183441">
      <w:pPr>
        <w:jc w:val="both"/>
        <w:divId w:val="2003389368"/>
        <w:rPr>
          <w:rFonts w:eastAsia="Times New Roman"/>
        </w:rPr>
      </w:pPr>
      <w:r>
        <w:rPr>
          <w:rFonts w:eastAsia="Times New Roman"/>
          <w:color w:val="000000"/>
          <w:sz w:val="20"/>
          <w:szCs w:val="20"/>
        </w:rPr>
        <w:t>We recognized $5.2 million for impairment of tangible long-lived assets and ROU assets associated with our retail stores during the nine months ended October 1, 2022 compared to $1.5 million recognized during the nine months ended October 2, 2021. The stor</w:t>
      </w:r>
      <w:r>
        <w:rPr>
          <w:rFonts w:eastAsia="Times New Roman"/>
          <w:color w:val="000000"/>
          <w:sz w:val="20"/>
          <w:szCs w:val="20"/>
        </w:rPr>
        <w:t>e asset impairment charge is primarily related to our Owned &amp; Host segment and is driven by lower than projected customer sales volume in certain stores, and other entity-specific assumptions. We considered multiple factors including, but not limited to: f</w:t>
      </w:r>
      <w:r>
        <w:rPr>
          <w:rFonts w:eastAsia="Times New Roman"/>
          <w:color w:val="000000"/>
          <w:sz w:val="20"/>
          <w:szCs w:val="20"/>
        </w:rPr>
        <w:t>orecasted scenarios related to store performance and the likelihood that these scenarios would be ultimately realized; and the remaining useful lives of the assets. Asset impairment expenses were recognized in Corporate/Other.</w:t>
      </w:r>
    </w:p>
    <w:p w:rsidR="00000000" w:rsidRDefault="00183441">
      <w:pPr>
        <w:jc w:val="both"/>
        <w:divId w:val="41104084"/>
        <w:rPr>
          <w:rFonts w:eastAsia="Times New Roman"/>
        </w:rPr>
      </w:pPr>
      <w:r>
        <w:rPr>
          <w:rFonts w:eastAsia="Times New Roman"/>
          <w:i/>
          <w:iCs/>
          <w:color w:val="000000"/>
          <w:sz w:val="20"/>
          <w:szCs w:val="20"/>
        </w:rPr>
        <w:t>Other expense (income), net</w:t>
      </w:r>
    </w:p>
    <w:p w:rsidR="00000000" w:rsidRDefault="00183441">
      <w:pPr>
        <w:jc w:val="both"/>
        <w:divId w:val="34427575"/>
        <w:rPr>
          <w:rFonts w:eastAsia="Times New Roman"/>
        </w:rPr>
      </w:pPr>
      <w:r>
        <w:rPr>
          <w:rFonts w:eastAsia="Times New Roman"/>
          <w:color w:val="000000"/>
          <w:sz w:val="20"/>
          <w:szCs w:val="20"/>
        </w:rPr>
        <w:t>T</w:t>
      </w:r>
      <w:r>
        <w:rPr>
          <w:rFonts w:eastAsia="Times New Roman"/>
          <w:color w:val="000000"/>
          <w:sz w:val="20"/>
          <w:szCs w:val="20"/>
        </w:rPr>
        <w:t xml:space="preserve">he Company recorded a gain of $2.4 million in Other expense (income), net for the nine months ended October 2, 2021 in connection with the acquisition of its former equity method investee by a third party. See Note 1. “Description of Business and Basis of </w:t>
      </w:r>
      <w:r>
        <w:rPr>
          <w:rFonts w:eastAsia="Times New Roman"/>
          <w:color w:val="000000"/>
          <w:sz w:val="20"/>
          <w:szCs w:val="20"/>
        </w:rPr>
        <w:t>Presentation” for further details.</w:t>
      </w:r>
    </w:p>
    <w:p w:rsidR="00000000" w:rsidRDefault="00183441">
      <w:pPr>
        <w:jc w:val="both"/>
        <w:divId w:val="1659262360"/>
        <w:rPr>
          <w:rFonts w:eastAsia="Times New Roman"/>
        </w:rPr>
      </w:pPr>
      <w:r>
        <w:rPr>
          <w:rFonts w:eastAsia="Times New Roman"/>
          <w:i/>
          <w:iCs/>
          <w:color w:val="000000"/>
          <w:sz w:val="20"/>
          <w:szCs w:val="20"/>
        </w:rPr>
        <w:t>Interest expense (income), net</w:t>
      </w:r>
    </w:p>
    <w:p w:rsidR="00000000" w:rsidRDefault="00183441">
      <w:pPr>
        <w:jc w:val="both"/>
        <w:divId w:val="1423602584"/>
        <w:rPr>
          <w:rFonts w:eastAsia="Times New Roman"/>
        </w:rPr>
      </w:pPr>
      <w:r>
        <w:rPr>
          <w:rFonts w:eastAsia="Times New Roman"/>
          <w:color w:val="000000"/>
          <w:sz w:val="20"/>
          <w:szCs w:val="20"/>
        </w:rPr>
        <w:t>Interest expense (income), net was $(2.2) million for the nine months ended October 1, 2022, compared to $22.3 million for the nine months ended October 2, 2021. The change was primarily dri</w:t>
      </w:r>
      <w:r>
        <w:rPr>
          <w:rFonts w:eastAsia="Times New Roman"/>
          <w:color w:val="000000"/>
          <w:sz w:val="20"/>
          <w:szCs w:val="20"/>
        </w:rPr>
        <w:t>ven by gains of $16.7 million on our interest rate collar as a result of increasing interest rates.</w:t>
      </w:r>
    </w:p>
    <w:p w:rsidR="00000000" w:rsidRDefault="00183441">
      <w:pPr>
        <w:divId w:val="883911430"/>
        <w:rPr>
          <w:rFonts w:eastAsia="Times New Roman"/>
        </w:rPr>
      </w:pPr>
      <w:r>
        <w:rPr>
          <w:rFonts w:eastAsia="Times New Roman"/>
          <w:i/>
          <w:iCs/>
          <w:color w:val="000000"/>
          <w:sz w:val="20"/>
          <w:szCs w:val="20"/>
        </w:rPr>
        <w:t>Income tax provision</w:t>
      </w:r>
    </w:p>
    <w:p w:rsidR="00000000" w:rsidRDefault="00183441">
      <w:pPr>
        <w:jc w:val="both"/>
        <w:rPr>
          <w:rFonts w:eastAsia="Times New Roman"/>
        </w:rPr>
      </w:pPr>
      <w:r>
        <w:rPr>
          <w:rFonts w:eastAsia="Times New Roman"/>
          <w:color w:val="000000"/>
          <w:sz w:val="20"/>
          <w:szCs w:val="20"/>
        </w:rPr>
        <w:t>Our effective tax rates for the nine months ended October 1, 2022 and October 2, 2021 were 29.8% and 15.7%, respectively, reflecting ou</w:t>
      </w:r>
      <w:r>
        <w:rPr>
          <w:rFonts w:eastAsia="Times New Roman"/>
          <w:color w:val="000000"/>
          <w:sz w:val="20"/>
          <w:szCs w:val="20"/>
        </w:rPr>
        <w:t>r statutory federal and state rate of 25.5% and effects of other permanent items, discrete benefits from stock option exercises of $13.6 million as well as a stranded tax effect of $2.1 million associated with our matured interest rate swaps during the nin</w:t>
      </w:r>
      <w:r>
        <w:rPr>
          <w:rFonts w:eastAsia="Times New Roman"/>
          <w:color w:val="000000"/>
          <w:sz w:val="20"/>
          <w:szCs w:val="20"/>
        </w:rPr>
        <w:t>e months ended October 2, 2021.</w:t>
      </w:r>
    </w:p>
    <w:p w:rsidR="00000000" w:rsidRDefault="00183441">
      <w:pPr>
        <w:jc w:val="both"/>
        <w:rPr>
          <w:rFonts w:eastAsia="Times New Roman"/>
        </w:rPr>
      </w:pPr>
    </w:p>
    <w:p w:rsidR="00000000" w:rsidRDefault="00183441">
      <w:pPr>
        <w:jc w:val="center"/>
        <w:divId w:val="1606306457"/>
        <w:rPr>
          <w:rFonts w:eastAsia="Times New Roman"/>
        </w:rPr>
      </w:pPr>
      <w:r>
        <w:rPr>
          <w:rFonts w:eastAsia="Times New Roman"/>
          <w:color w:val="000000"/>
          <w:sz w:val="20"/>
          <w:szCs w:val="20"/>
        </w:rPr>
        <w:t>34</w:t>
      </w:r>
    </w:p>
    <w:p w:rsidR="00000000" w:rsidRDefault="00183441">
      <w:pPr>
        <w:rPr>
          <w:rFonts w:eastAsia="Times New Roman"/>
        </w:rPr>
      </w:pPr>
      <w:r>
        <w:rPr>
          <w:rFonts w:eastAsia="Times New Roman"/>
        </w:rPr>
        <w:pict>
          <v:rect id="_x0000_i1058" style="width:0;height:1.5pt" o:hralign="center" o:hrstd="t" o:hr="t" fillcolor="#a0a0a0" stroked="f"/>
        </w:pict>
      </w:r>
    </w:p>
    <w:p w:rsidR="00000000" w:rsidRDefault="00183441">
      <w:pPr>
        <w:divId w:val="2057463285"/>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2092582422"/>
        <w:rPr>
          <w:rFonts w:eastAsia="Times New Roman"/>
        </w:rPr>
      </w:pPr>
      <w:r>
        <w:rPr>
          <w:rFonts w:eastAsia="Times New Roman"/>
          <w:b/>
          <w:bCs/>
          <w:color w:val="000000"/>
          <w:sz w:val="20"/>
          <w:szCs w:val="20"/>
        </w:rPr>
        <w:t>Non-GAAP Financial Measures</w:t>
      </w:r>
    </w:p>
    <w:p w:rsidR="00000000" w:rsidRDefault="00183441">
      <w:pPr>
        <w:jc w:val="both"/>
        <w:divId w:val="1386180975"/>
        <w:rPr>
          <w:rFonts w:eastAsia="Times New Roman"/>
        </w:rPr>
      </w:pPr>
      <w:r>
        <w:rPr>
          <w:rFonts w:eastAsia="Times New Roman"/>
          <w:i/>
          <w:iCs/>
          <w:color w:val="000000"/>
          <w:sz w:val="20"/>
          <w:szCs w:val="20"/>
        </w:rPr>
        <w:t>Adjusted Operating Income, Adjusted Operating Margin, EBITDA, Adjusted EBITDA, Adjusted EBITDA Margin and Adjusted D</w:t>
      </w:r>
      <w:r>
        <w:rPr>
          <w:rFonts w:eastAsia="Times New Roman"/>
          <w:i/>
          <w:iCs/>
          <w:color w:val="000000"/>
          <w:sz w:val="20"/>
          <w:szCs w:val="20"/>
        </w:rPr>
        <w:t>iluted EPS</w:t>
      </w:r>
    </w:p>
    <w:p w:rsidR="00000000" w:rsidRDefault="00183441">
      <w:pPr>
        <w:jc w:val="both"/>
        <w:divId w:val="1686978696"/>
        <w:rPr>
          <w:rFonts w:eastAsia="Times New Roman"/>
        </w:rPr>
      </w:pPr>
      <w:r>
        <w:rPr>
          <w:rFonts w:eastAsia="Times New Roman"/>
          <w:color w:val="000000"/>
          <w:sz w:val="20"/>
          <w:szCs w:val="20"/>
        </w:rPr>
        <w:t>We define Adjusted Operating Income as net income, plus interest expense (income), net and income tax provision (benefit), further adjusted to exclude stock compensation expense, loss on extinguishment of debt, asset impairment, litigation settl</w:t>
      </w:r>
      <w:r>
        <w:rPr>
          <w:rFonts w:eastAsia="Times New Roman"/>
          <w:color w:val="000000"/>
          <w:sz w:val="20"/>
          <w:szCs w:val="20"/>
        </w:rPr>
        <w:t>ement, secondary offering expenses, management realignment expenses, long-term incentive plan expenses, amortization of acquisition intangibles, and certain other expenses. We define Adjusted Operating Margin as Adjusted Operating Income as a percentage of</w:t>
      </w:r>
      <w:r>
        <w:rPr>
          <w:rFonts w:eastAsia="Times New Roman"/>
          <w:color w:val="000000"/>
          <w:sz w:val="20"/>
          <w:szCs w:val="20"/>
        </w:rPr>
        <w:t xml:space="preserve"> net revenue. We define EBITDA as net income, plus interest expense (income), net, income tax provision (benefit) and depreciation and amortization. We define Adjusted EBITDA as net income, plus interest expense (income), net, income tax provision (benefit</w:t>
      </w:r>
      <w:r>
        <w:rPr>
          <w:rFonts w:eastAsia="Times New Roman"/>
          <w:color w:val="000000"/>
          <w:sz w:val="20"/>
          <w:szCs w:val="20"/>
        </w:rPr>
        <w:t>) and depreciation and amortization, further adjusted to exclude stock compensation expense, loss on extinguishment of debt, asset impairment, litigation settlement, secondary offering expenses, management realignment expenses, long-term incentive plan exp</w:t>
      </w:r>
      <w:r>
        <w:rPr>
          <w:rFonts w:eastAsia="Times New Roman"/>
          <w:color w:val="000000"/>
          <w:sz w:val="20"/>
          <w:szCs w:val="20"/>
        </w:rPr>
        <w:t>enses, and certain other expenses. We define Adjusted EBITDA Margin as Adjusted EBITDA as a percentage of net revenue. We define Adjusted Diluted EPS as diluted earnings per share, adjusted for the per share impact of stock compensation expense, loss on ex</w:t>
      </w:r>
      <w:r>
        <w:rPr>
          <w:rFonts w:eastAsia="Times New Roman"/>
          <w:color w:val="000000"/>
          <w:sz w:val="20"/>
          <w:szCs w:val="20"/>
        </w:rPr>
        <w:t>tinguishment of debt, asset impairment, litigation settlement, secondary offering expenses, management realignment expenses, long-term incentive plan expenses, amortization of acquisition intangibles, amortization of debt discounts and deferred financing c</w:t>
      </w:r>
      <w:r>
        <w:rPr>
          <w:rFonts w:eastAsia="Times New Roman"/>
          <w:color w:val="000000"/>
          <w:sz w:val="20"/>
          <w:szCs w:val="20"/>
        </w:rPr>
        <w:t>osts of our term loan borrowings, amortization of the conversion feature and deferred financing costs related to our 2025 Notes when not required under U.S. GAAP to be added back for diluted earnings per share, losses (gains) on change in fair value of der</w:t>
      </w:r>
      <w:r>
        <w:rPr>
          <w:rFonts w:eastAsia="Times New Roman"/>
          <w:color w:val="000000"/>
          <w:sz w:val="20"/>
          <w:szCs w:val="20"/>
        </w:rPr>
        <w:t xml:space="preserve">ivatives, certain other expenses, and tax benefit of stock option exercises, less the tax effect of these adjustments. We adjust for amortization of costs related to the 2025 Notes only when adjustment for these costs is not required in the calculation of </w:t>
      </w:r>
      <w:r>
        <w:rPr>
          <w:rFonts w:eastAsia="Times New Roman"/>
          <w:color w:val="000000"/>
          <w:sz w:val="20"/>
          <w:szCs w:val="20"/>
        </w:rPr>
        <w:t>diluted earnings per share according to U.S. GAAP.</w:t>
      </w:r>
    </w:p>
    <w:p w:rsidR="00000000" w:rsidRDefault="00183441">
      <w:pPr>
        <w:jc w:val="both"/>
        <w:divId w:val="883906054"/>
        <w:rPr>
          <w:rFonts w:eastAsia="Times New Roman"/>
        </w:rPr>
      </w:pPr>
      <w:r>
        <w:rPr>
          <w:rFonts w:eastAsia="Times New Roman"/>
          <w:color w:val="000000"/>
          <w:sz w:val="20"/>
          <w:szCs w:val="20"/>
        </w:rPr>
        <w:t>EBITDA and the Company Non-GAAP Measures can vary substantially in size from one period to the next, and certain types of expenses are non-recurring in nature and consequently may not have been incurred in</w:t>
      </w:r>
      <w:r>
        <w:rPr>
          <w:rFonts w:eastAsia="Times New Roman"/>
          <w:color w:val="000000"/>
          <w:sz w:val="20"/>
          <w:szCs w:val="20"/>
        </w:rPr>
        <w:t xml:space="preserve"> any of the periods presented below.</w:t>
      </w:r>
    </w:p>
    <w:p w:rsidR="00000000" w:rsidRDefault="00183441">
      <w:pPr>
        <w:jc w:val="both"/>
        <w:divId w:val="1315531302"/>
        <w:rPr>
          <w:rFonts w:eastAsia="Times New Roman"/>
        </w:rPr>
      </w:pPr>
      <w:r>
        <w:rPr>
          <w:rFonts w:eastAsia="Times New Roman"/>
          <w:color w:val="000000"/>
          <w:sz w:val="20"/>
          <w:szCs w:val="20"/>
        </w:rPr>
        <w:t>EBITDA and the Company Non-GAAP Measures have been presented as supplemental measures of financial performance that are not required by, or presented in accordance with U.S. GAAP, because we believe they assist investor</w:t>
      </w:r>
      <w:r>
        <w:rPr>
          <w:rFonts w:eastAsia="Times New Roman"/>
          <w:color w:val="000000"/>
          <w:sz w:val="20"/>
          <w:szCs w:val="20"/>
        </w:rPr>
        <w:t>s and analysts in comparing our operating performance across reporting periods on a consistent basis by excluding items that we do not believe are indicative of our core operating performance. Management believes EBITDA, and the Company Non-GAAP Measures a</w:t>
      </w:r>
      <w:r>
        <w:rPr>
          <w:rFonts w:eastAsia="Times New Roman"/>
          <w:color w:val="000000"/>
          <w:sz w:val="20"/>
          <w:szCs w:val="20"/>
        </w:rPr>
        <w:t>re useful to investors in highlighting trends in our operating performance, while other measures can differ significantly depending on long-term strategic decisions regarding capital structure, the tax jurisdictions in which we operate and capital investme</w:t>
      </w:r>
      <w:r>
        <w:rPr>
          <w:rFonts w:eastAsia="Times New Roman"/>
          <w:color w:val="000000"/>
          <w:sz w:val="20"/>
          <w:szCs w:val="20"/>
        </w:rPr>
        <w:t>nts. We also use EBITDA and the Company Non-GAAP Measures to supplement U.S. GAAP measures of performance in the evaluation of the effectiveness of our business strategies, to make budgeting decisions, to establish discretionary annual incentive compensati</w:t>
      </w:r>
      <w:r>
        <w:rPr>
          <w:rFonts w:eastAsia="Times New Roman"/>
          <w:color w:val="000000"/>
          <w:sz w:val="20"/>
          <w:szCs w:val="20"/>
        </w:rPr>
        <w:t>on and to compare our performance against that of other peer companies using similar measures. Management supplements U.S. GAAP results with Non-GAAP financial measures to provide a more complete understanding of the factors and trends affecting the busine</w:t>
      </w:r>
      <w:r>
        <w:rPr>
          <w:rFonts w:eastAsia="Times New Roman"/>
          <w:color w:val="000000"/>
          <w:sz w:val="20"/>
          <w:szCs w:val="20"/>
        </w:rPr>
        <w:t>ss than U.S. GAAP results alone.</w:t>
      </w:r>
    </w:p>
    <w:p w:rsidR="00000000" w:rsidRDefault="00183441">
      <w:pPr>
        <w:jc w:val="both"/>
        <w:divId w:val="1823423087"/>
        <w:rPr>
          <w:rFonts w:eastAsia="Times New Roman"/>
        </w:rPr>
      </w:pPr>
      <w:r>
        <w:rPr>
          <w:rFonts w:eastAsia="Times New Roman"/>
          <w:color w:val="000000"/>
          <w:sz w:val="20"/>
          <w:szCs w:val="20"/>
        </w:rPr>
        <w:t>EBITDA and the Company Non-GAAP Measures are not recognized terms under U.S. GAAP and should not be considered as an alternative to net income or income from operations as a measure of financial performance or cash flows pr</w:t>
      </w:r>
      <w:r>
        <w:rPr>
          <w:rFonts w:eastAsia="Times New Roman"/>
          <w:color w:val="000000"/>
          <w:sz w:val="20"/>
          <w:szCs w:val="20"/>
        </w:rPr>
        <w:t>ovided by operating activities as a measure of liquidity, or any other performance measure derived in accordance with U.S. GAAP. Additionally, these measures are not intended to be a measure of free cash flow available for management’s discretionary use as</w:t>
      </w:r>
      <w:r>
        <w:rPr>
          <w:rFonts w:eastAsia="Times New Roman"/>
          <w:color w:val="000000"/>
          <w:sz w:val="20"/>
          <w:szCs w:val="20"/>
        </w:rPr>
        <w:t xml:space="preserve"> they do not consider certain cash requirements such as interest payments, tax payments and debt service requirements. In evaluating EBITDA and the Company Non-GAAP Measures, we may incur expenses in the future that are the same as or similar to some of th</w:t>
      </w:r>
      <w:r>
        <w:rPr>
          <w:rFonts w:eastAsia="Times New Roman"/>
          <w:color w:val="000000"/>
          <w:sz w:val="20"/>
          <w:szCs w:val="20"/>
        </w:rPr>
        <w:t xml:space="preserve">e adjustments in this presentation. Our presentation of EBITDA and the Company Non-GAAP Measures should not be construed to imply that our future results will be unaffected by any such adjustments. Management compensates for these limitations by primarily </w:t>
      </w:r>
      <w:r>
        <w:rPr>
          <w:rFonts w:eastAsia="Times New Roman"/>
          <w:color w:val="000000"/>
          <w:sz w:val="20"/>
          <w:szCs w:val="20"/>
        </w:rPr>
        <w:t>relying on our U.S. GAAP results in addition to using EBITDA and the Company Non-GAAP Measures.</w:t>
      </w:r>
    </w:p>
    <w:p w:rsidR="00000000" w:rsidRDefault="00183441">
      <w:pPr>
        <w:jc w:val="center"/>
        <w:divId w:val="1271551724"/>
        <w:rPr>
          <w:rFonts w:eastAsia="Times New Roman"/>
        </w:rPr>
      </w:pPr>
      <w:r>
        <w:rPr>
          <w:rFonts w:eastAsia="Times New Roman"/>
          <w:color w:val="000000"/>
          <w:sz w:val="20"/>
          <w:szCs w:val="20"/>
        </w:rPr>
        <w:t>35</w:t>
      </w:r>
    </w:p>
    <w:p w:rsidR="00000000" w:rsidRDefault="00183441">
      <w:pPr>
        <w:rPr>
          <w:rFonts w:eastAsia="Times New Roman"/>
        </w:rPr>
      </w:pPr>
      <w:r>
        <w:rPr>
          <w:rFonts w:eastAsia="Times New Roman"/>
        </w:rPr>
        <w:pict>
          <v:rect id="_x0000_i1059" style="width:0;height:1.5pt" o:hralign="center" o:hrstd="t" o:hr="t" fillcolor="#a0a0a0" stroked="f"/>
        </w:pict>
      </w:r>
    </w:p>
    <w:p w:rsidR="00000000" w:rsidRDefault="00183441">
      <w:pPr>
        <w:divId w:val="265582774"/>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745879758"/>
        <w:rPr>
          <w:rFonts w:eastAsia="Times New Roman"/>
        </w:rPr>
      </w:pPr>
      <w:r>
        <w:rPr>
          <w:rFonts w:eastAsia="Times New Roman"/>
          <w:color w:val="000000"/>
          <w:sz w:val="20"/>
          <w:szCs w:val="20"/>
        </w:rPr>
        <w:t>The presentations of these measures have lim</w:t>
      </w:r>
      <w:r>
        <w:rPr>
          <w:rFonts w:eastAsia="Times New Roman"/>
          <w:color w:val="000000"/>
          <w:sz w:val="20"/>
          <w:szCs w:val="20"/>
        </w:rPr>
        <w:t>itations as analytical tools and should not be considered in isolation, or as a substitute for analysis of our results as reported under U.S. GAAP. Some of these limitations are:</w:t>
      </w:r>
    </w:p>
    <w:p w:rsidR="00000000" w:rsidRDefault="00183441">
      <w:pPr>
        <w:ind w:hanging="360"/>
        <w:jc w:val="both"/>
        <w:rPr>
          <w:rFonts w:eastAsia="Times New Roman"/>
        </w:rPr>
      </w:pPr>
      <w:r>
        <w:rPr>
          <w:rFonts w:eastAsia="Times New Roman"/>
          <w:color w:val="000000"/>
          <w:sz w:val="20"/>
          <w:szCs w:val="20"/>
        </w:rPr>
        <w:t>•they do not reflect costs or cash outlays for capital expenditures or contra</w:t>
      </w:r>
      <w:r>
        <w:rPr>
          <w:rFonts w:eastAsia="Times New Roman"/>
          <w:color w:val="000000"/>
          <w:sz w:val="20"/>
          <w:szCs w:val="20"/>
        </w:rPr>
        <w:t>ctual commitments;</w:t>
      </w:r>
    </w:p>
    <w:p w:rsidR="00000000" w:rsidRDefault="00183441">
      <w:pPr>
        <w:ind w:hanging="360"/>
        <w:jc w:val="both"/>
        <w:rPr>
          <w:rFonts w:eastAsia="Times New Roman"/>
        </w:rPr>
      </w:pPr>
      <w:r>
        <w:rPr>
          <w:rFonts w:eastAsia="Times New Roman"/>
          <w:color w:val="000000"/>
          <w:sz w:val="20"/>
          <w:szCs w:val="20"/>
        </w:rPr>
        <w:t>•they do not reflect changes in, or cash requirements for, our working capital needs;</w:t>
      </w:r>
    </w:p>
    <w:p w:rsidR="00000000" w:rsidRDefault="00183441">
      <w:pPr>
        <w:ind w:hanging="360"/>
        <w:jc w:val="both"/>
        <w:rPr>
          <w:rFonts w:eastAsia="Times New Roman"/>
        </w:rPr>
      </w:pPr>
      <w:r>
        <w:rPr>
          <w:rFonts w:eastAsia="Times New Roman"/>
          <w:color w:val="000000"/>
          <w:sz w:val="20"/>
          <w:szCs w:val="20"/>
        </w:rPr>
        <w:t>•EBITDA, Adjusted EBITDA and Adjusted Operating Income do not reflect the interest expense (income), or the cash requirements necessary to service inte</w:t>
      </w:r>
      <w:r>
        <w:rPr>
          <w:rFonts w:eastAsia="Times New Roman"/>
          <w:color w:val="000000"/>
          <w:sz w:val="20"/>
          <w:szCs w:val="20"/>
        </w:rPr>
        <w:t>rest or principal payments, on our debt;</w:t>
      </w:r>
    </w:p>
    <w:p w:rsidR="00000000" w:rsidRDefault="00183441">
      <w:pPr>
        <w:ind w:hanging="360"/>
        <w:jc w:val="both"/>
        <w:rPr>
          <w:rFonts w:eastAsia="Times New Roman"/>
        </w:rPr>
      </w:pPr>
      <w:r>
        <w:rPr>
          <w:rFonts w:eastAsia="Times New Roman"/>
          <w:color w:val="000000"/>
          <w:sz w:val="20"/>
          <w:szCs w:val="20"/>
        </w:rPr>
        <w:t>•EBITDA, Adjusted EBITDA and Adjusted Operating Income do not reflect period to period changes in taxes, income tax provision or the cash necessary to pay income taxes;</w:t>
      </w:r>
    </w:p>
    <w:p w:rsidR="00000000" w:rsidRDefault="00183441">
      <w:pPr>
        <w:ind w:hanging="360"/>
        <w:jc w:val="both"/>
        <w:rPr>
          <w:rFonts w:eastAsia="Times New Roman"/>
        </w:rPr>
      </w:pPr>
      <w:r>
        <w:rPr>
          <w:rFonts w:eastAsia="Times New Roman"/>
          <w:color w:val="000000"/>
          <w:sz w:val="20"/>
          <w:szCs w:val="20"/>
        </w:rPr>
        <w:t>•they do not reflect the impact of earnings or</w:t>
      </w:r>
      <w:r>
        <w:rPr>
          <w:rFonts w:eastAsia="Times New Roman"/>
          <w:color w:val="000000"/>
          <w:sz w:val="20"/>
          <w:szCs w:val="20"/>
        </w:rPr>
        <w:t xml:space="preserve"> charges resulting from matters we consider not to be indicative of our ongoing operations;</w:t>
      </w:r>
    </w:p>
    <w:p w:rsidR="00000000" w:rsidRDefault="00183441">
      <w:pPr>
        <w:ind w:hanging="360"/>
        <w:jc w:val="both"/>
        <w:rPr>
          <w:rFonts w:eastAsia="Times New Roman"/>
        </w:rPr>
      </w:pPr>
      <w:r>
        <w:rPr>
          <w:rFonts w:eastAsia="Times New Roman"/>
          <w:color w:val="000000"/>
          <w:sz w:val="20"/>
          <w:szCs w:val="20"/>
        </w:rPr>
        <w:t>•although depreciation and amortization are non-cash charges, the assets being depreciated and amortized will often have to be replaced in the future, and EBITDA an</w:t>
      </w:r>
      <w:r>
        <w:rPr>
          <w:rFonts w:eastAsia="Times New Roman"/>
          <w:color w:val="000000"/>
          <w:sz w:val="20"/>
          <w:szCs w:val="20"/>
        </w:rPr>
        <w:t>d Adjusted EBITDA do not reflect cash requirements for such replacements; and</w:t>
      </w:r>
    </w:p>
    <w:p w:rsidR="00000000" w:rsidRDefault="00183441">
      <w:pPr>
        <w:ind w:hanging="360"/>
        <w:jc w:val="both"/>
        <w:divId w:val="1524827707"/>
        <w:rPr>
          <w:rFonts w:eastAsia="Times New Roman"/>
        </w:rPr>
      </w:pPr>
      <w:r>
        <w:rPr>
          <w:rFonts w:eastAsia="Times New Roman"/>
          <w:color w:val="000000"/>
          <w:sz w:val="20"/>
          <w:szCs w:val="20"/>
        </w:rPr>
        <w:t>•other companies in our industry may calculate these measures differently than we do, limiting their usefulness as comparative measures.</w:t>
      </w:r>
    </w:p>
    <w:p w:rsidR="00000000" w:rsidRDefault="00183441">
      <w:pPr>
        <w:jc w:val="both"/>
        <w:divId w:val="12805742"/>
        <w:rPr>
          <w:rFonts w:eastAsia="Times New Roman"/>
        </w:rPr>
      </w:pPr>
      <w:r>
        <w:rPr>
          <w:rFonts w:eastAsia="Times New Roman"/>
          <w:color w:val="000000"/>
          <w:sz w:val="20"/>
          <w:szCs w:val="20"/>
        </w:rPr>
        <w:t>Because of these limitations, EBITDA and the Company Non-GAAP Measures should not be considered as measures of discretionary cash available to invest in business growth or to reduce indebtedness.</w:t>
      </w:r>
    </w:p>
    <w:p w:rsidR="00000000" w:rsidRDefault="00183441">
      <w:pPr>
        <w:divId w:val="596327875"/>
        <w:rPr>
          <w:rFonts w:eastAsia="Times New Roman"/>
        </w:rPr>
      </w:pPr>
      <w:r>
        <w:rPr>
          <w:rFonts w:eastAsia="Times New Roman"/>
          <w:color w:val="000000"/>
          <w:sz w:val="20"/>
          <w:szCs w:val="20"/>
        </w:rPr>
        <w:t>The following table reconciles our Adjusted Operating Income</w:t>
      </w:r>
      <w:r>
        <w:rPr>
          <w:rFonts w:eastAsia="Times New Roman"/>
          <w:color w:val="000000"/>
          <w:sz w:val="20"/>
          <w:szCs w:val="20"/>
        </w:rPr>
        <w:t>, Adjusted Operating Margin, EBITDA, Adjusted EBITDA, Adjusted EBITDA Margin to net income; and Adjusted Diluted EPS for the periods presented: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387"/>
        <w:gridCol w:w="37"/>
        <w:gridCol w:w="120"/>
        <w:gridCol w:w="600"/>
        <w:gridCol w:w="36"/>
        <w:gridCol w:w="55"/>
        <w:gridCol w:w="349"/>
        <w:gridCol w:w="187"/>
        <w:gridCol w:w="36"/>
        <w:gridCol w:w="36"/>
        <w:gridCol w:w="36"/>
        <w:gridCol w:w="120"/>
        <w:gridCol w:w="600"/>
        <w:gridCol w:w="36"/>
        <w:gridCol w:w="61"/>
        <w:gridCol w:w="359"/>
        <w:gridCol w:w="187"/>
        <w:gridCol w:w="36"/>
        <w:gridCol w:w="36"/>
        <w:gridCol w:w="36"/>
        <w:gridCol w:w="120"/>
        <w:gridCol w:w="600"/>
        <w:gridCol w:w="36"/>
        <w:gridCol w:w="59"/>
        <w:gridCol w:w="345"/>
        <w:gridCol w:w="187"/>
        <w:gridCol w:w="36"/>
        <w:gridCol w:w="36"/>
        <w:gridCol w:w="36"/>
        <w:gridCol w:w="120"/>
        <w:gridCol w:w="700"/>
        <w:gridCol w:w="36"/>
        <w:gridCol w:w="61"/>
        <w:gridCol w:w="359"/>
        <w:gridCol w:w="187"/>
      </w:tblGrid>
      <w:tr w:rsidR="00000000">
        <w:trPr>
          <w:divId w:val="964889627"/>
        </w:trPr>
        <w:tc>
          <w:tcPr>
            <w:tcW w:w="50" w:type="pct"/>
            <w:vAlign w:val="center"/>
            <w:hideMark/>
          </w:tcPr>
          <w:p w:rsidR="00000000" w:rsidRDefault="00183441">
            <w:pPr>
              <w:rPr>
                <w:rFonts w:eastAsia="Times New Roman"/>
              </w:rPr>
            </w:pPr>
          </w:p>
        </w:tc>
        <w:tc>
          <w:tcPr>
            <w:tcW w:w="159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21"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29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29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29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964889627"/>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964889627"/>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96488962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122,025 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96488962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Interest expense (income)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(1,977)</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5,743 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(2,158)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22,261 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96488962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Income tax provision</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5,834 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3,976 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21,837 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22,702 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96488962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1910192301"/>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3,168 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3,665 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10,540 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13,866 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96488962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1584532119"/>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1,263 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5,178 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0.3 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1,478 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964889627"/>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1149438835"/>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1,872 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1,872 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5,616 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5,616 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964889627"/>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1344891959"/>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(f</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(1,512)</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2,151 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964889627"/>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Adjusted Operating Income / Adjusted Operating Margin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21,463 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54,736 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94,547 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187,985 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divId w:val="964889627"/>
        </w:trPr>
        <w:tc>
          <w:tcPr>
            <w:tcW w:w="0" w:type="auto"/>
            <w:gridSpan w:val="36"/>
            <w:shd w:val="clear" w:color="auto" w:fill="FFFFFF"/>
            <w:tcMar>
              <w:top w:w="30" w:type="dxa"/>
              <w:left w:w="20" w:type="dxa"/>
              <w:bottom w:w="30" w:type="dxa"/>
              <w:right w:w="20" w:type="dxa"/>
            </w:tcMar>
            <w:hideMark/>
          </w:tcPr>
          <w:p w:rsidR="00000000" w:rsidRDefault="00183441">
            <w:pPr>
              <w:spacing w:after="100"/>
              <w:divId w:val="520313636"/>
              <w:rPr>
                <w:rFonts w:eastAsia="Times New Roman"/>
              </w:rPr>
            </w:pPr>
            <w:r>
              <w:rPr>
                <w:rFonts w:eastAsia="Times New Roman"/>
                <w:color w:val="000000"/>
                <w:sz w:val="16"/>
                <w:szCs w:val="16"/>
              </w:rPr>
              <w:t> </w:t>
            </w:r>
            <w:r>
              <w:rPr>
                <w:rFonts w:eastAsia="Times New Roman"/>
                <w:color w:val="000000"/>
                <w:sz w:val="16"/>
                <w:szCs w:val="16"/>
              </w:rPr>
              <w:t>Note: Percentages reflect line item as a percentage of net revenue, adjusted for rounding</w:t>
            </w:r>
          </w:p>
          <w:p w:rsidR="00000000" w:rsidRDefault="00183441">
            <w:pPr>
              <w:spacing w:after="100"/>
              <w:divId w:val="572473127"/>
              <w:rPr>
                <w:rFonts w:eastAsia="Times New Roman"/>
              </w:rPr>
            </w:pPr>
            <w:r>
              <w:rPr>
                <w:rFonts w:eastAsia="Times New Roman"/>
                <w:color w:val="000000"/>
                <w:sz w:val="16"/>
                <w:szCs w:val="16"/>
              </w:rPr>
              <w:t> Some of the percentage totals in the table above do not foot due to rounding differences</w:t>
            </w:r>
          </w:p>
        </w:tc>
      </w:tr>
    </w:tbl>
    <w:tbl>
      <w:tblPr>
        <w:tblW w:w="5000" w:type="pct"/>
        <w:tblCellMar>
          <w:top w:w="15" w:type="dxa"/>
          <w:left w:w="15" w:type="dxa"/>
          <w:bottom w:w="15" w:type="dxa"/>
          <w:right w:w="15" w:type="dxa"/>
        </w:tblCellMar>
        <w:tblLook w:val="04A0" w:firstRow="1" w:lastRow="0" w:firstColumn="1" w:lastColumn="0" w:noHBand="0" w:noVBand="1"/>
      </w:tblPr>
      <w:tblGrid>
        <w:gridCol w:w="144"/>
        <w:gridCol w:w="2530"/>
        <w:gridCol w:w="144"/>
        <w:gridCol w:w="144"/>
        <w:gridCol w:w="745"/>
        <w:gridCol w:w="144"/>
        <w:gridCol w:w="144"/>
        <w:gridCol w:w="546"/>
        <w:gridCol w:w="144"/>
        <w:gridCol w:w="144"/>
        <w:gridCol w:w="144"/>
        <w:gridCol w:w="144"/>
        <w:gridCol w:w="144"/>
        <w:gridCol w:w="652"/>
        <w:gridCol w:w="144"/>
        <w:gridCol w:w="144"/>
        <w:gridCol w:w="493"/>
        <w:gridCol w:w="144"/>
        <w:gridCol w:w="144"/>
        <w:gridCol w:w="144"/>
        <w:gridCol w:w="144"/>
        <w:gridCol w:w="144"/>
        <w:gridCol w:w="652"/>
        <w:gridCol w:w="144"/>
        <w:gridCol w:w="144"/>
        <w:gridCol w:w="506"/>
        <w:gridCol w:w="144"/>
        <w:gridCol w:w="144"/>
        <w:gridCol w:w="144"/>
        <w:gridCol w:w="144"/>
        <w:gridCol w:w="144"/>
        <w:gridCol w:w="652"/>
        <w:gridCol w:w="144"/>
        <w:gridCol w:w="144"/>
        <w:gridCol w:w="493"/>
        <w:gridCol w:w="144"/>
      </w:tblGrid>
      <w:tr w:rsidR="00000000">
        <w:tc>
          <w:tcPr>
            <w:tcW w:w="50" w:type="pct"/>
            <w:vAlign w:val="center"/>
            <w:hideMark/>
          </w:tcPr>
          <w:p w:rsidR="00000000" w:rsidRDefault="00183441">
            <w:pPr>
              <w:rPr>
                <w:rFonts w:eastAsia="Times New Roman"/>
              </w:rPr>
            </w:pPr>
          </w:p>
        </w:tc>
        <w:tc>
          <w:tcPr>
            <w:tcW w:w="152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4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2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29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0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3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29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15"/>
            <w:tcBorders>
              <w:bottom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6"/>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Net income</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11,502 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40,992 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51,383 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122,025 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Interest expense (income)</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(1,977)</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5,743 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(2,158)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22,261 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Income tax provision</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5,834 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3,976 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21,837 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22,702 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24,852 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25,059 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75,248 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72,639 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4.5 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EBITDA</w:t>
            </w: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40,211 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75,770 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146,310 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239,627 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rPr>
          <w:trHeight w:val="300"/>
        </w:trPr>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1835098663"/>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3,168 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3,665 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10,540 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13,866 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0.9 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110826586"/>
              <w:rPr>
                <w:rFonts w:eastAsia="Times New Roman"/>
              </w:rPr>
            </w:pPr>
            <w:r>
              <w:rPr>
                <w:rFonts w:eastAsia="Times New Roman"/>
                <w:color w:val="000000"/>
                <w:sz w:val="20"/>
                <w:szCs w:val="20"/>
              </w:rPr>
              <w:t>Asset impairment</w:t>
            </w:r>
            <w:r>
              <w:rPr>
                <w:rFonts w:eastAsia="Times New Roman"/>
                <w:color w:val="000000"/>
                <w:sz w:val="20"/>
                <w:szCs w:val="20"/>
              </w:rPr>
              <w:t xml:space="preserve"> </w:t>
            </w:r>
            <w:r>
              <w:rPr>
                <w:rFonts w:eastAsia="Times New Roman"/>
                <w:color w:val="000000"/>
                <w:sz w:val="13"/>
                <w:szCs w:val="13"/>
              </w:rPr>
              <w:t>(b</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1,263 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5,178 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1,478 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1029837147"/>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(f</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(199)</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(1,512)</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2,151 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37 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Adjusted EBITDA / Adjusted EBITDA Margin</w:t>
            </w: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44,443 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77,923 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164,179 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10.7 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rPr>
            </w:pPr>
          </w:p>
        </w:tc>
        <w:tc>
          <w:tcPr>
            <w:tcW w:w="0" w:type="auto"/>
            <w:tcBorders>
              <w:top w:val="single" w:sz="8" w:space="0" w:color="000000"/>
              <w:bottom w:val="double" w:sz="6"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255,008 </w:t>
            </w:r>
          </w:p>
        </w:tc>
        <w:tc>
          <w:tcPr>
            <w:tcW w:w="0" w:type="auto"/>
            <w:tcBorders>
              <w:top w:val="single" w:sz="8" w:space="0" w:color="000000"/>
              <w:bottom w:val="double" w:sz="6"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15.9 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r>
              <w:rPr>
                <w:rFonts w:eastAsia="Times New Roman"/>
                <w:color w:val="000000"/>
                <w:sz w:val="20"/>
                <w:szCs w:val="20"/>
              </w:rPr>
              <w:t>%</w:t>
            </w:r>
          </w:p>
        </w:tc>
      </w:tr>
      <w:tr w:rsidR="00000000">
        <w:tc>
          <w:tcPr>
            <w:tcW w:w="0" w:type="auto"/>
            <w:gridSpan w:val="36"/>
            <w:tcMar>
              <w:top w:w="30" w:type="dxa"/>
              <w:left w:w="155" w:type="dxa"/>
              <w:bottom w:w="30" w:type="dxa"/>
              <w:right w:w="20" w:type="dxa"/>
            </w:tcMar>
            <w:hideMark/>
          </w:tcPr>
          <w:p w:rsidR="00000000" w:rsidRDefault="00183441">
            <w:pPr>
              <w:spacing w:after="100"/>
              <w:rPr>
                <w:rFonts w:eastAsia="Times New Roman"/>
              </w:rPr>
            </w:pPr>
            <w:r>
              <w:rPr>
                <w:rFonts w:eastAsia="Times New Roman"/>
                <w:color w:val="000000"/>
                <w:sz w:val="16"/>
                <w:szCs w:val="16"/>
              </w:rPr>
              <w:t>Note: Percentages reflect line item as a percentage of net revenue, adjusted for rounding</w:t>
            </w:r>
            <w:r>
              <w:rPr>
                <w:rFonts w:eastAsia="Times New Roman"/>
                <w:color w:val="000000"/>
                <w:sz w:val="16"/>
                <w:szCs w:val="16"/>
              </w:rPr>
              <w:br/>
              <w:t>Some of the percentage totals in the table above do not foot due to rounding differences</w:t>
            </w:r>
          </w:p>
        </w:tc>
      </w:tr>
    </w:tbl>
    <w:p w:rsidR="00000000" w:rsidRDefault="00183441">
      <w:pPr>
        <w:jc w:val="center"/>
        <w:divId w:val="1267230845"/>
        <w:rPr>
          <w:rFonts w:eastAsia="Times New Roman"/>
        </w:rPr>
      </w:pPr>
      <w:r>
        <w:rPr>
          <w:rFonts w:eastAsia="Times New Roman"/>
          <w:color w:val="000000"/>
          <w:sz w:val="20"/>
          <w:szCs w:val="20"/>
        </w:rPr>
        <w:t>36</w:t>
      </w:r>
    </w:p>
    <w:p w:rsidR="00000000" w:rsidRDefault="00183441">
      <w:pPr>
        <w:rPr>
          <w:rFonts w:eastAsia="Times New Roman"/>
        </w:rPr>
      </w:pPr>
      <w:r>
        <w:rPr>
          <w:rFonts w:eastAsia="Times New Roman"/>
        </w:rPr>
        <w:pict>
          <v:rect id="_x0000_i1060" style="width:0;height:1.5pt" o:hralign="center" o:hrstd="t" o:hr="t" fillcolor="#a0a0a0" stroked="f"/>
        </w:pict>
      </w:r>
    </w:p>
    <w:p w:rsidR="00000000" w:rsidRDefault="00183441">
      <w:pPr>
        <w:divId w:val="1037587899"/>
        <w:rPr>
          <w:rFonts w:eastAsia="Times New Roman"/>
        </w:rPr>
      </w:pPr>
      <w:hyperlink w:anchor="i51b2a36d66cb4139a869f9e4043fbbb7_7" w:history="1">
        <w:r>
          <w:rPr>
            <w:rStyle w:val="a3"/>
            <w:rFonts w:eastAsia="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4086"/>
        <w:gridCol w:w="37"/>
        <w:gridCol w:w="121"/>
        <w:gridCol w:w="828"/>
        <w:gridCol w:w="37"/>
        <w:gridCol w:w="36"/>
        <w:gridCol w:w="36"/>
        <w:gridCol w:w="36"/>
        <w:gridCol w:w="121"/>
        <w:gridCol w:w="778"/>
        <w:gridCol w:w="37"/>
        <w:gridCol w:w="36"/>
        <w:gridCol w:w="36"/>
        <w:gridCol w:w="36"/>
        <w:gridCol w:w="121"/>
        <w:gridCol w:w="791"/>
        <w:gridCol w:w="37"/>
        <w:gridCol w:w="36"/>
        <w:gridCol w:w="36"/>
        <w:gridCol w:w="36"/>
        <w:gridCol w:w="121"/>
        <w:gridCol w:w="792"/>
        <w:gridCol w:w="37"/>
      </w:tblGrid>
      <w:tr w:rsidR="00000000">
        <w:trPr>
          <w:divId w:val="387533028"/>
          <w:jc w:val="center"/>
        </w:trPr>
        <w:tc>
          <w:tcPr>
            <w:tcW w:w="50" w:type="pct"/>
            <w:vAlign w:val="center"/>
            <w:hideMark/>
          </w:tcPr>
          <w:p w:rsidR="00000000" w:rsidRDefault="00183441">
            <w:pPr>
              <w:rPr>
                <w:rFonts w:eastAsia="Times New Roman"/>
              </w:rPr>
            </w:pPr>
          </w:p>
        </w:tc>
        <w:tc>
          <w:tcPr>
            <w:tcW w:w="2493"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2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2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2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2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5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387533028"/>
          <w:jc w:val="center"/>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Three Months Ended</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387533028"/>
          <w:jc w:val="center"/>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 except per share amounts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c>
          <w:tcPr>
            <w:tcW w:w="0" w:type="auto"/>
            <w:gridSpan w:val="3"/>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38753302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Diluted EPS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0.45 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0.63 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1.34 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642000733"/>
              <w:rPr>
                <w:rFonts w:eastAsia="Times New Roman"/>
              </w:rPr>
            </w:pPr>
            <w:r>
              <w:rPr>
                <w:rFonts w:eastAsia="Times New Roman"/>
                <w:color w:val="000000"/>
                <w:sz w:val="20"/>
                <w:szCs w:val="20"/>
              </w:rPr>
              <w:t>Stock compensation expense</w:t>
            </w:r>
            <w:r>
              <w:rPr>
                <w:rFonts w:eastAsia="Times New Roman"/>
                <w:color w:val="000000"/>
                <w:sz w:val="20"/>
                <w:szCs w:val="20"/>
              </w:rPr>
              <w:t xml:space="preserve"> </w:t>
            </w:r>
            <w:r>
              <w:rPr>
                <w:rFonts w:eastAsia="Times New Roman"/>
                <w:color w:val="000000"/>
                <w:sz w:val="13"/>
                <w:szCs w:val="13"/>
              </w:rPr>
              <w:t>(a</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0.11 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0.14 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564874344"/>
              <w:rPr>
                <w:rFonts w:eastAsia="Times New Roman"/>
              </w:rPr>
            </w:pPr>
            <w:r>
              <w:rPr>
                <w:rFonts w:eastAsia="Times New Roman"/>
                <w:color w:val="000000"/>
                <w:sz w:val="20"/>
                <w:szCs w:val="20"/>
              </w:rPr>
              <w:t>Asset impairmen</w:t>
            </w:r>
            <w:r>
              <w:rPr>
                <w:rFonts w:eastAsia="Times New Roman"/>
                <w:color w:val="000000"/>
                <w:sz w:val="20"/>
                <w:szCs w:val="20"/>
              </w:rPr>
              <w:t>t</w:t>
            </w:r>
            <w:r>
              <w:rPr>
                <w:rFonts w:eastAsia="Times New Roman"/>
                <w:color w:val="000000"/>
                <w:sz w:val="13"/>
                <w:szCs w:val="13"/>
              </w:rPr>
              <w:t xml:space="preserve"> (b</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0.06 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1621258136"/>
              <w:rPr>
                <w:rFonts w:eastAsia="Times New Roman"/>
              </w:rPr>
            </w:pPr>
            <w:r>
              <w:rPr>
                <w:rFonts w:eastAsia="Times New Roman"/>
                <w:color w:val="000000"/>
                <w:sz w:val="20"/>
                <w:szCs w:val="20"/>
              </w:rPr>
              <w:t>Amortization of acquisition intangibles</w:t>
            </w:r>
            <w:r>
              <w:rPr>
                <w:rFonts w:eastAsia="Times New Roman"/>
                <w:color w:val="000000"/>
                <w:sz w:val="20"/>
                <w:szCs w:val="20"/>
              </w:rPr>
              <w:t xml:space="preserve"> </w:t>
            </w:r>
            <w:r>
              <w:rPr>
                <w:rFonts w:eastAsia="Times New Roman"/>
                <w:color w:val="000000"/>
                <w:sz w:val="13"/>
                <w:szCs w:val="13"/>
              </w:rPr>
              <w:t>(c</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0.02 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0.06 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1367873887"/>
              <w:rPr>
                <w:rFonts w:eastAsia="Times New Roman"/>
              </w:rPr>
            </w:pPr>
            <w:r>
              <w:rPr>
                <w:rFonts w:eastAsia="Times New Roman"/>
                <w:color w:val="000000"/>
                <w:sz w:val="20"/>
                <w:szCs w:val="20"/>
              </w:rPr>
              <w:t>Amortization of debt discount and deferred financing cost</w:t>
            </w:r>
            <w:r>
              <w:rPr>
                <w:rFonts w:eastAsia="Times New Roman"/>
                <w:color w:val="000000"/>
                <w:sz w:val="20"/>
                <w:szCs w:val="20"/>
              </w:rPr>
              <w:t>s</w:t>
            </w:r>
            <w:r>
              <w:rPr>
                <w:rFonts w:eastAsia="Times New Roman"/>
                <w:color w:val="000000"/>
                <w:sz w:val="13"/>
                <w:szCs w:val="13"/>
              </w:rPr>
              <w:t xml:space="preserve"> (d</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0.01 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1744986132"/>
              <w:rPr>
                <w:rFonts w:eastAsia="Times New Roman"/>
              </w:rPr>
            </w:pPr>
            <w:r>
              <w:rPr>
                <w:rFonts w:eastAsia="Times New Roman"/>
                <w:color w:val="000000"/>
                <w:sz w:val="20"/>
                <w:szCs w:val="20"/>
              </w:rPr>
              <w:t>Losses (gains) on change in fair value of derivative</w:t>
            </w:r>
            <w:r>
              <w:rPr>
                <w:rFonts w:eastAsia="Times New Roman"/>
                <w:color w:val="000000"/>
                <w:sz w:val="20"/>
                <w:szCs w:val="20"/>
              </w:rPr>
              <w:t>s</w:t>
            </w:r>
            <w:r>
              <w:rPr>
                <w:rFonts w:eastAsia="Times New Roman"/>
                <w:color w:val="000000"/>
                <w:sz w:val="13"/>
                <w:szCs w:val="13"/>
              </w:rPr>
              <w:t xml:space="preserve"> (e</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(0.01)</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(0.18)</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2100522409"/>
              <w:rPr>
                <w:rFonts w:eastAsia="Times New Roman"/>
              </w:rPr>
            </w:pPr>
            <w:r>
              <w:rPr>
                <w:rFonts w:eastAsia="Times New Roman"/>
                <w:color w:val="000000"/>
                <w:sz w:val="20"/>
                <w:szCs w:val="20"/>
              </w:rPr>
              <w:t>Other</w:t>
            </w:r>
            <w:r>
              <w:rPr>
                <w:rFonts w:eastAsia="Times New Roman"/>
                <w:color w:val="000000"/>
                <w:sz w:val="20"/>
                <w:szCs w:val="20"/>
              </w:rPr>
              <w:t xml:space="preserve"> </w:t>
            </w:r>
            <w:r>
              <w:rPr>
                <w:rFonts w:eastAsia="Times New Roman"/>
                <w:color w:val="000000"/>
                <w:sz w:val="13"/>
                <w:szCs w:val="13"/>
              </w:rPr>
              <w:t>(i</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0.02 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3"/>
            <w:shd w:val="clear" w:color="auto" w:fill="FFFFFF"/>
            <w:tcMar>
              <w:top w:w="30" w:type="dxa"/>
              <w:left w:w="20" w:type="dxa"/>
              <w:bottom w:w="30" w:type="dxa"/>
              <w:right w:w="20" w:type="dxa"/>
            </w:tcMar>
            <w:vAlign w:val="bottom"/>
            <w:hideMark/>
          </w:tcPr>
          <w:p w:rsidR="00000000" w:rsidRDefault="00183441">
            <w:pPr>
              <w:spacing w:after="100"/>
              <w:divId w:val="507982491"/>
              <w:rPr>
                <w:rFonts w:eastAsia="Times New Roman"/>
              </w:rPr>
            </w:pPr>
            <w:r>
              <w:rPr>
                <w:rFonts w:eastAsia="Times New Roman"/>
                <w:color w:val="000000"/>
                <w:sz w:val="20"/>
                <w:szCs w:val="20"/>
              </w:rPr>
              <w:t>Tax benefit of stock option exercises</w:t>
            </w:r>
            <w:r>
              <w:rPr>
                <w:rFonts w:eastAsia="Times New Roman"/>
                <w:color w:val="000000"/>
                <w:sz w:val="20"/>
                <w:szCs w:val="20"/>
              </w:rPr>
              <w:t xml:space="preserve"> </w:t>
            </w:r>
            <w:r>
              <w:rPr>
                <w:rFonts w:eastAsia="Times New Roman"/>
                <w:color w:val="000000"/>
                <w:sz w:val="13"/>
                <w:szCs w:val="13"/>
              </w:rPr>
              <w:t>(g</w:t>
            </w:r>
            <w:r>
              <w:rPr>
                <w:rFonts w:eastAsia="Times New Roman"/>
                <w:color w:val="000000"/>
                <w:sz w:val="13"/>
                <w:szCs w:val="13"/>
              </w:rPr>
              <w:t>)</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(0.09)</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0.00 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divId w:val="22294245"/>
              <w:rPr>
                <w:rFonts w:eastAsia="Times New Roman"/>
              </w:rPr>
            </w:pPr>
            <w:r>
              <w:rPr>
                <w:rFonts w:eastAsia="Times New Roman"/>
                <w:color w:val="000000"/>
                <w:sz w:val="20"/>
                <w:szCs w:val="20"/>
              </w:rPr>
              <w:t>Tax effect of total adjustments</w:t>
            </w:r>
            <w:r>
              <w:rPr>
                <w:rFonts w:eastAsia="Times New Roman"/>
                <w:color w:val="000000"/>
                <w:sz w:val="20"/>
                <w:szCs w:val="20"/>
              </w:rPr>
              <w:t xml:space="preserve"> </w:t>
            </w:r>
            <w:r>
              <w:rPr>
                <w:rFonts w:eastAsia="Times New Roman"/>
                <w:color w:val="000000"/>
                <w:sz w:val="13"/>
                <w:szCs w:val="13"/>
              </w:rPr>
              <w:t>(h</w:t>
            </w:r>
            <w:r>
              <w:rPr>
                <w:rFonts w:eastAsia="Times New Roman"/>
                <w:color w:val="000000"/>
                <w:sz w:val="13"/>
                <w:szCs w:val="13"/>
              </w:rPr>
              <w:t>)</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0.00 </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(0.01)</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(0.02)</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(0.06)</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Adjusted Diluted EPS</w:t>
            </w: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0.15 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0.38 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0.69 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tcBorders>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1.35 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387533028"/>
          <w:jc w:val="center"/>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Weighted average diluted shares outstanding</w:t>
            </w: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79,304 </w:t>
            </w:r>
          </w:p>
        </w:tc>
        <w:tc>
          <w:tcPr>
            <w:tcW w:w="0" w:type="auto"/>
            <w:tcBorders>
              <w:bottom w:val="single" w:sz="8" w:space="0" w:color="000000"/>
            </w:tcBorders>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96,508 </w:t>
            </w:r>
          </w:p>
        </w:tc>
        <w:tc>
          <w:tcPr>
            <w:tcW w:w="0" w:type="auto"/>
            <w:tcBorders>
              <w:bottom w:val="single" w:sz="8" w:space="0" w:color="000000"/>
            </w:tcBorders>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93,477 </w:t>
            </w:r>
          </w:p>
        </w:tc>
        <w:tc>
          <w:tcPr>
            <w:tcW w:w="0" w:type="auto"/>
            <w:tcBorders>
              <w:bottom w:val="single" w:sz="8" w:space="0" w:color="000000"/>
            </w:tcBorders>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tcBorders>
              <w:bottom w:val="single" w:sz="8" w:space="0" w:color="000000"/>
            </w:tcBorders>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96,193 </w:t>
            </w:r>
          </w:p>
        </w:tc>
        <w:tc>
          <w:tcPr>
            <w:tcW w:w="0" w:type="auto"/>
            <w:tcBorders>
              <w:bottom w:val="single" w:sz="8" w:space="0" w:color="000000"/>
            </w:tcBorders>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387533028"/>
          <w:jc w:val="center"/>
        </w:trPr>
        <w:tc>
          <w:tcPr>
            <w:tcW w:w="0" w:type="auto"/>
            <w:gridSpan w:val="24"/>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16"/>
                <w:szCs w:val="16"/>
              </w:rPr>
              <w:t>Note: Some of the totals in the table above do not foot due to rounding differences</w:t>
            </w:r>
          </w:p>
        </w:tc>
      </w:tr>
    </w:tbl>
    <w:p w:rsidR="00000000" w:rsidRDefault="00183441">
      <w:pPr>
        <w:ind w:hanging="360"/>
        <w:jc w:val="both"/>
        <w:rPr>
          <w:rFonts w:eastAsia="Times New Roman"/>
        </w:rPr>
      </w:pPr>
      <w:r>
        <w:rPr>
          <w:rFonts w:eastAsia="Times New Roman"/>
          <w:color w:val="000000"/>
          <w:sz w:val="16"/>
          <w:szCs w:val="16"/>
        </w:rPr>
        <w:t>(a)Non-cash charges related to stock-based compensation programs, which vary from period to period depending on the timing of awards and performance vesting conditions.</w:t>
      </w:r>
    </w:p>
    <w:p w:rsidR="00000000" w:rsidRDefault="00183441">
      <w:pPr>
        <w:ind w:hanging="360"/>
        <w:jc w:val="both"/>
        <w:rPr>
          <w:rFonts w:eastAsia="Times New Roman"/>
        </w:rPr>
      </w:pPr>
      <w:r>
        <w:rPr>
          <w:rFonts w:eastAsia="Times New Roman"/>
          <w:color w:val="000000"/>
          <w:sz w:val="16"/>
          <w:szCs w:val="16"/>
        </w:rPr>
        <w:t>(b)Reflects write-off of property, equipment and lease-related assets on closed or unde</w:t>
      </w:r>
      <w:r>
        <w:rPr>
          <w:rFonts w:eastAsia="Times New Roman"/>
          <w:color w:val="000000"/>
          <w:sz w:val="16"/>
          <w:szCs w:val="16"/>
        </w:rPr>
        <w:t>rperforming stores.</w:t>
      </w:r>
    </w:p>
    <w:p w:rsidR="00000000" w:rsidRDefault="00183441">
      <w:pPr>
        <w:ind w:hanging="360"/>
        <w:jc w:val="both"/>
        <w:rPr>
          <w:rFonts w:eastAsia="Times New Roman"/>
        </w:rPr>
      </w:pPr>
      <w:r>
        <w:rPr>
          <w:rFonts w:eastAsia="Times New Roman"/>
          <w:color w:val="000000"/>
          <w:sz w:val="16"/>
          <w:szCs w:val="16"/>
        </w:rPr>
        <w:t>(c)Amortization of the increase in carrying values of finite-lived intangible assets resulting from the application of purchase accounting following the acquisition of the Company by affiliates of KKR &amp; Co. Inc.</w:t>
      </w:r>
    </w:p>
    <w:p w:rsidR="00000000" w:rsidRDefault="00183441">
      <w:pPr>
        <w:ind w:hanging="360"/>
        <w:jc w:val="both"/>
        <w:rPr>
          <w:rFonts w:eastAsia="Times New Roman"/>
        </w:rPr>
      </w:pPr>
      <w:r>
        <w:rPr>
          <w:rFonts w:eastAsia="Times New Roman"/>
          <w:color w:val="000000"/>
          <w:sz w:val="16"/>
          <w:szCs w:val="16"/>
        </w:rPr>
        <w:t>(d)Amortization of defer</w:t>
      </w:r>
      <w:r>
        <w:rPr>
          <w:rFonts w:eastAsia="Times New Roman"/>
          <w:color w:val="000000"/>
          <w:sz w:val="16"/>
          <w:szCs w:val="16"/>
        </w:rPr>
        <w:t>red financing costs and other non-cash charges related to our long-term debt. We adjust for amortization of deferred financing costs related to the 2025 Notes only when adjustment for these costs is not required in the calculation of diluted earnings per s</w:t>
      </w:r>
      <w:r>
        <w:rPr>
          <w:rFonts w:eastAsia="Times New Roman"/>
          <w:color w:val="000000"/>
          <w:sz w:val="16"/>
          <w:szCs w:val="16"/>
        </w:rPr>
        <w:t>hare under U.S. GAAP.</w:t>
      </w:r>
    </w:p>
    <w:p w:rsidR="00000000" w:rsidRDefault="00183441">
      <w:pPr>
        <w:ind w:hanging="360"/>
        <w:jc w:val="both"/>
        <w:rPr>
          <w:rFonts w:eastAsia="Times New Roman"/>
        </w:rPr>
      </w:pPr>
      <w:r>
        <w:rPr>
          <w:rFonts w:eastAsia="Times New Roman"/>
          <w:color w:val="000000"/>
          <w:sz w:val="16"/>
          <w:szCs w:val="16"/>
        </w:rPr>
        <w:t>(e)Reflects losses (gains) recognized in interest expense (income), net on change in fair value of de-designated hedges.</w:t>
      </w:r>
    </w:p>
    <w:p w:rsidR="00000000" w:rsidRDefault="00183441">
      <w:pPr>
        <w:ind w:hanging="360"/>
        <w:jc w:val="both"/>
        <w:rPr>
          <w:rFonts w:eastAsia="Times New Roman"/>
        </w:rPr>
      </w:pPr>
      <w:r>
        <w:rPr>
          <w:rFonts w:eastAsia="Times New Roman"/>
          <w:color w:val="000000"/>
          <w:sz w:val="16"/>
          <w:szCs w:val="16"/>
        </w:rPr>
        <w:t>(f)</w:t>
      </w:r>
      <w:r>
        <w:rPr>
          <w:rFonts w:eastAsia="Times New Roman"/>
          <w:color w:val="000000"/>
          <w:sz w:val="16"/>
          <w:szCs w:val="16"/>
        </w:rPr>
        <w:t>Other adjustments include amounts that management believes are not representative of our operating performance (amounts in brackets represent reductions in Adjusted Operating Income, Adjusted Diluted EPS and Adjusted EBITDA), which are primarily related to</w:t>
      </w:r>
      <w:r>
        <w:rPr>
          <w:rFonts w:eastAsia="Times New Roman"/>
          <w:color w:val="000000"/>
          <w:sz w:val="16"/>
          <w:szCs w:val="16"/>
        </w:rPr>
        <w:t xml:space="preserve"> excess payroll taxes on stock option exercises, executive severance and relocation and other expenses and adjustments, including our share of (gains) losses on equity method investments of $(2.4) million for each of the three and nine months ended October</w:t>
      </w:r>
      <w:r>
        <w:rPr>
          <w:rFonts w:eastAsia="Times New Roman"/>
          <w:color w:val="000000"/>
          <w:sz w:val="16"/>
          <w:szCs w:val="16"/>
        </w:rPr>
        <w:t xml:space="preserve"> 2, 2021, and losses on other investments of $0.3 million for the nine months ended October 1, 2022.</w:t>
      </w:r>
    </w:p>
    <w:p w:rsidR="00000000" w:rsidRDefault="00183441">
      <w:pPr>
        <w:ind w:hanging="360"/>
        <w:jc w:val="both"/>
        <w:rPr>
          <w:rFonts w:eastAsia="Times New Roman"/>
        </w:rPr>
      </w:pPr>
      <w:r>
        <w:rPr>
          <w:rFonts w:eastAsia="Times New Roman"/>
          <w:color w:val="000000"/>
          <w:sz w:val="16"/>
          <w:szCs w:val="16"/>
        </w:rPr>
        <w:t>(g)Tax benefit associated with accounting guidance requiring excess tax benefits related to stock option exercises to be recorded in earnings as discrete i</w:t>
      </w:r>
      <w:r>
        <w:rPr>
          <w:rFonts w:eastAsia="Times New Roman"/>
          <w:color w:val="000000"/>
          <w:sz w:val="16"/>
          <w:szCs w:val="16"/>
        </w:rPr>
        <w:t>tems in the reporting period in which they occur.</w:t>
      </w:r>
    </w:p>
    <w:p w:rsidR="00000000" w:rsidRDefault="00183441">
      <w:pPr>
        <w:ind w:hanging="360"/>
        <w:jc w:val="both"/>
        <w:rPr>
          <w:rFonts w:eastAsia="Times New Roman"/>
        </w:rPr>
      </w:pPr>
      <w:r>
        <w:rPr>
          <w:rFonts w:eastAsia="Times New Roman"/>
          <w:color w:val="000000"/>
          <w:sz w:val="16"/>
          <w:szCs w:val="16"/>
        </w:rPr>
        <w:t>(h)Represents the income tax effect of the total adjustments at our combined statutory federal and state income tax rates.</w:t>
      </w:r>
    </w:p>
    <w:p w:rsidR="00000000" w:rsidRDefault="00183441">
      <w:pPr>
        <w:ind w:hanging="360"/>
        <w:jc w:val="both"/>
        <w:rPr>
          <w:rFonts w:eastAsia="Times New Roman"/>
        </w:rPr>
      </w:pPr>
      <w:r>
        <w:rPr>
          <w:rFonts w:eastAsia="Times New Roman"/>
          <w:color w:val="000000"/>
          <w:sz w:val="16"/>
          <w:szCs w:val="16"/>
        </w:rPr>
        <w:t>(i)Reflects other expenses in (f) above, including the impact of stranded tax effec</w:t>
      </w:r>
      <w:r>
        <w:rPr>
          <w:rFonts w:eastAsia="Times New Roman"/>
          <w:color w:val="000000"/>
          <w:sz w:val="16"/>
          <w:szCs w:val="16"/>
        </w:rPr>
        <w:t>t of $(2.1) million for the nine months ended October 2, 2021 associated with our interest rate swaps that matured in 2021, and $0.1 million debt issuance costs for the nine months ended October 2, 2021.</w:t>
      </w:r>
    </w:p>
    <w:p w:rsidR="00000000" w:rsidRDefault="00183441">
      <w:pPr>
        <w:jc w:val="both"/>
        <w:divId w:val="1879391491"/>
        <w:rPr>
          <w:rFonts w:eastAsia="Times New Roman"/>
        </w:rPr>
      </w:pPr>
      <w:r>
        <w:rPr>
          <w:rFonts w:eastAsia="Times New Roman"/>
          <w:b/>
          <w:bCs/>
          <w:color w:val="000000"/>
          <w:sz w:val="20"/>
          <w:szCs w:val="20"/>
        </w:rPr>
        <w:t>Liquidity and Capital Resources</w:t>
      </w:r>
    </w:p>
    <w:p w:rsidR="00000000" w:rsidRDefault="00183441">
      <w:pPr>
        <w:jc w:val="both"/>
        <w:divId w:val="610667139"/>
        <w:rPr>
          <w:rFonts w:eastAsia="Times New Roman"/>
        </w:rPr>
      </w:pPr>
      <w:r>
        <w:rPr>
          <w:rFonts w:eastAsia="Times New Roman"/>
          <w:color w:val="000000"/>
          <w:sz w:val="20"/>
          <w:szCs w:val="20"/>
        </w:rPr>
        <w:t>Our primary cash nee</w:t>
      </w:r>
      <w:r>
        <w:rPr>
          <w:rFonts w:eastAsia="Times New Roman"/>
          <w:color w:val="000000"/>
          <w:sz w:val="20"/>
          <w:szCs w:val="20"/>
        </w:rPr>
        <w:t>ds are for inventory, payroll, store rent, advertising, capital expenditures associated with new stores and updating existing stores, as well as information and remote medicine technology and infrastructure, including our corporate office, distribution cen</w:t>
      </w:r>
      <w:r>
        <w:rPr>
          <w:rFonts w:eastAsia="Times New Roman"/>
          <w:color w:val="000000"/>
          <w:sz w:val="20"/>
          <w:szCs w:val="20"/>
        </w:rPr>
        <w:t>ters, and laboratories. When appropriate, the Company may utilize excess liquidity towards debt service requirements, including voluntary debt prepayments, or required interest and principal payments, if any, as well as repurchases of common stock, based o</w:t>
      </w:r>
      <w:r>
        <w:rPr>
          <w:rFonts w:eastAsia="Times New Roman"/>
          <w:color w:val="000000"/>
          <w:sz w:val="20"/>
          <w:szCs w:val="20"/>
        </w:rPr>
        <w:t>n excess cash flows. We continue to prioritize the prudent use of cash, while safely conducting normal operations. The most significant components of our operating assets and liabilities are inventories, accounts receivable, prepaid expenses and other asse</w:t>
      </w:r>
      <w:r>
        <w:rPr>
          <w:rFonts w:eastAsia="Times New Roman"/>
          <w:color w:val="000000"/>
          <w:sz w:val="20"/>
          <w:szCs w:val="20"/>
        </w:rPr>
        <w:t>ts, accounts payable, deferred and unearned revenue and other payables and accrued expenses. We exercise prudence in our use of cash and closely monitor various items related to cash flow including, but not limited to, cash receipts, cash disbursements, pa</w:t>
      </w:r>
      <w:r>
        <w:rPr>
          <w:rFonts w:eastAsia="Times New Roman"/>
          <w:color w:val="000000"/>
          <w:sz w:val="20"/>
          <w:szCs w:val="20"/>
        </w:rPr>
        <w:t xml:space="preserve">yment terms and alternative sources of funding. We continue to be focused on these items in addition to other key measures we use to determine how our consolidated business and operating segments are performing. We believe that cash on hand, cash expected </w:t>
      </w:r>
      <w:r>
        <w:rPr>
          <w:rFonts w:eastAsia="Times New Roman"/>
          <w:color w:val="000000"/>
          <w:sz w:val="20"/>
          <w:szCs w:val="20"/>
        </w:rPr>
        <w:t>to be generated from operations and the availability of borrowings under our revolving credit facility will be sufficient to fund our working capital requirements, liquidity obligations, anticipated capital expenditures, and payments due under our existing</w:t>
      </w:r>
      <w:r>
        <w:rPr>
          <w:rFonts w:eastAsia="Times New Roman"/>
          <w:color w:val="000000"/>
          <w:sz w:val="20"/>
          <w:szCs w:val="20"/>
        </w:rPr>
        <w:t xml:space="preserve"> debt for the next 12 months and thereafter for the foreseeable future. Depending on our liquidity levels, conditions in the capital markets and other factors, we may from time to time consider the refinancing or issuance of debt, issuance of equity or oth</w:t>
      </w:r>
      <w:r>
        <w:rPr>
          <w:rFonts w:eastAsia="Times New Roman"/>
          <w:color w:val="000000"/>
          <w:sz w:val="20"/>
          <w:szCs w:val="20"/>
        </w:rPr>
        <w:t>er securities, the proceeds of which could provide additional liquidity for our operations, as well as further modifications to our term loan where possible. However, our ability to maintain sufficient liquidity may be affected by numerous factors, many of</w:t>
      </w:r>
      <w:r>
        <w:rPr>
          <w:rFonts w:eastAsia="Times New Roman"/>
          <w:color w:val="000000"/>
          <w:sz w:val="20"/>
          <w:szCs w:val="20"/>
        </w:rPr>
        <w:t xml:space="preserve"> which are outside our control. We primarily fund our working capital needs using cash provided by operations. Our working capital requirements for inventory will increase as we continue to open additional stores.</w:t>
      </w:r>
    </w:p>
    <w:p w:rsidR="00000000" w:rsidRDefault="00183441">
      <w:pPr>
        <w:jc w:val="center"/>
        <w:divId w:val="1336961105"/>
        <w:rPr>
          <w:rFonts w:eastAsia="Times New Roman"/>
        </w:rPr>
      </w:pPr>
      <w:r>
        <w:rPr>
          <w:rFonts w:eastAsia="Times New Roman"/>
          <w:color w:val="000000"/>
          <w:sz w:val="20"/>
          <w:szCs w:val="20"/>
        </w:rPr>
        <w:t>37</w:t>
      </w:r>
    </w:p>
    <w:p w:rsidR="00000000" w:rsidRDefault="00183441">
      <w:pPr>
        <w:rPr>
          <w:rFonts w:eastAsia="Times New Roman"/>
        </w:rPr>
      </w:pPr>
      <w:r>
        <w:rPr>
          <w:rFonts w:eastAsia="Times New Roman"/>
        </w:rPr>
        <w:pict>
          <v:rect id="_x0000_i1061" style="width:0;height:1.5pt" o:hralign="center" o:hrstd="t" o:hr="t" fillcolor="#a0a0a0" stroked="f"/>
        </w:pict>
      </w:r>
    </w:p>
    <w:p w:rsidR="00000000" w:rsidRDefault="00183441">
      <w:pPr>
        <w:divId w:val="1179807122"/>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727847635"/>
        <w:rPr>
          <w:rFonts w:eastAsia="Times New Roman"/>
        </w:rPr>
      </w:pPr>
      <w:r>
        <w:rPr>
          <w:rFonts w:eastAsia="Times New Roman"/>
          <w:color w:val="000000"/>
          <w:sz w:val="20"/>
          <w:szCs w:val="20"/>
        </w:rPr>
        <w:t>As of October 1, 2022, we had $256.2 million in cash and cash equivalents and $293.6 million of availability under our revolving credit facility, which includes $6.4 million in outst</w:t>
      </w:r>
      <w:r>
        <w:rPr>
          <w:rFonts w:eastAsia="Times New Roman"/>
          <w:color w:val="000000"/>
          <w:sz w:val="20"/>
          <w:szCs w:val="20"/>
        </w:rPr>
        <w:t>anding letters of credit.</w:t>
      </w:r>
    </w:p>
    <w:p w:rsidR="00000000" w:rsidRDefault="00183441">
      <w:pPr>
        <w:jc w:val="both"/>
        <w:divId w:val="1034304789"/>
        <w:rPr>
          <w:rFonts w:eastAsia="Times New Roman"/>
        </w:rPr>
      </w:pPr>
      <w:r>
        <w:rPr>
          <w:rFonts w:eastAsia="Times New Roman"/>
          <w:color w:val="000000"/>
          <w:sz w:val="20"/>
          <w:szCs w:val="20"/>
        </w:rPr>
        <w:t>As of October 1, 2022, we had $150.0 million of term loan outstanding under our credit agreement. We were in compliance with all covenants related to our long-term debt as of October 1, 2022.</w:t>
      </w:r>
    </w:p>
    <w:p w:rsidR="00000000" w:rsidRDefault="00183441">
      <w:pPr>
        <w:jc w:val="both"/>
        <w:divId w:val="1881163645"/>
        <w:rPr>
          <w:rFonts w:eastAsia="Times New Roman"/>
        </w:rPr>
      </w:pPr>
      <w:r>
        <w:rPr>
          <w:rFonts w:eastAsia="Times New Roman"/>
          <w:color w:val="000000"/>
          <w:sz w:val="20"/>
          <w:szCs w:val="20"/>
        </w:rPr>
        <w:t>The following table summarizes cash fl</w:t>
      </w:r>
      <w:r>
        <w:rPr>
          <w:rFonts w:eastAsia="Times New Roman"/>
          <w:color w:val="000000"/>
          <w:sz w:val="20"/>
          <w:szCs w:val="20"/>
        </w:rPr>
        <w:t>ows provided by (used for) operating activities, investing activities and financing activities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258"/>
        <w:gridCol w:w="37"/>
        <w:gridCol w:w="120"/>
        <w:gridCol w:w="1289"/>
        <w:gridCol w:w="36"/>
        <w:gridCol w:w="36"/>
        <w:gridCol w:w="36"/>
        <w:gridCol w:w="36"/>
        <w:gridCol w:w="120"/>
        <w:gridCol w:w="1262"/>
        <w:gridCol w:w="36"/>
      </w:tblGrid>
      <w:tr w:rsidR="00000000">
        <w:trPr>
          <w:divId w:val="1946229680"/>
        </w:trPr>
        <w:tc>
          <w:tcPr>
            <w:tcW w:w="50" w:type="pct"/>
            <w:vAlign w:val="center"/>
            <w:hideMark/>
          </w:tcPr>
          <w:p w:rsidR="00000000" w:rsidRDefault="00183441">
            <w:pPr>
              <w:jc w:val="both"/>
              <w:rPr>
                <w:rFonts w:eastAsia="Times New Roman"/>
              </w:rPr>
            </w:pPr>
          </w:p>
        </w:tc>
        <w:tc>
          <w:tcPr>
            <w:tcW w:w="319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80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3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80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946229680"/>
        </w:trPr>
        <w:tc>
          <w:tcPr>
            <w:tcW w:w="0" w:type="auto"/>
            <w:gridSpan w:val="3"/>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Nine Months Ended</w:t>
            </w:r>
          </w:p>
        </w:tc>
      </w:tr>
      <w:tr w:rsidR="00000000">
        <w:trPr>
          <w:divId w:val="19462296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In thousands</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1, 2022</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183441">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jc w:val="center"/>
              <w:rPr>
                <w:rFonts w:eastAsia="Times New Roman"/>
              </w:rPr>
            </w:pPr>
            <w:r>
              <w:rPr>
                <w:rFonts w:eastAsia="Times New Roman"/>
                <w:color w:val="000000"/>
                <w:sz w:val="20"/>
                <w:szCs w:val="20"/>
              </w:rPr>
              <w:t>October 2, 2021</w:t>
            </w:r>
          </w:p>
        </w:tc>
      </w:tr>
      <w:tr w:rsidR="00000000">
        <w:trPr>
          <w:divId w:val="1946229680"/>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Cash flows provided by (used for):</w:t>
            </w: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c>
          <w:tcPr>
            <w:tcW w:w="0" w:type="auto"/>
            <w:gridSpan w:val="3"/>
            <w:tcBorders>
              <w:top w:val="single" w:sz="8" w:space="0" w:color="000000"/>
            </w:tcBorders>
            <w:shd w:val="clear" w:color="auto" w:fill="CCEEFF"/>
            <w:tcMar>
              <w:top w:w="0" w:type="dxa"/>
              <w:left w:w="20" w:type="dxa"/>
              <w:bottom w:w="0" w:type="dxa"/>
              <w:right w:w="20" w:type="dxa"/>
            </w:tcMar>
            <w:vAlign w:val="center"/>
            <w:hideMark/>
          </w:tcPr>
          <w:p w:rsidR="00000000" w:rsidRDefault="00183441">
            <w:pPr>
              <w:spacing w:after="100"/>
              <w:rPr>
                <w:rFonts w:eastAsia="Times New Roman"/>
                <w:sz w:val="20"/>
                <w:szCs w:val="20"/>
              </w:rPr>
            </w:pPr>
          </w:p>
        </w:tc>
      </w:tr>
      <w:tr w:rsidR="00000000">
        <w:trPr>
          <w:divId w:val="1946229680"/>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Operating activities</w:t>
            </w: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121,337 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233,807 </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46229680"/>
        </w:trPr>
        <w:tc>
          <w:tcPr>
            <w:tcW w:w="0" w:type="auto"/>
            <w:gridSpan w:val="3"/>
            <w:shd w:val="clear" w:color="auto" w:fill="CCEE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Investing activities</w:t>
            </w: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(86,067)</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(56,445)</w:t>
            </w:r>
          </w:p>
        </w:tc>
        <w:tc>
          <w:tcPr>
            <w:tcW w:w="0" w:type="auto"/>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46229680"/>
        </w:trPr>
        <w:tc>
          <w:tcPr>
            <w:tcW w:w="0" w:type="auto"/>
            <w:gridSpan w:val="3"/>
            <w:shd w:val="clear" w:color="auto" w:fill="FFFFFF"/>
            <w:tcMar>
              <w:top w:w="30" w:type="dxa"/>
              <w:left w:w="155"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Financing activities</w:t>
            </w: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(84,624)</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(112,065)</w:t>
            </w:r>
          </w:p>
        </w:tc>
        <w:tc>
          <w:tcPr>
            <w:tcW w:w="0" w:type="auto"/>
            <w:shd w:val="clear" w:color="auto" w:fill="FFFFFF"/>
            <w:tcMar>
              <w:top w:w="30" w:type="dxa"/>
              <w:left w:w="0" w:type="dxa"/>
              <w:bottom w:w="30" w:type="dxa"/>
              <w:right w:w="20" w:type="dxa"/>
            </w:tcMar>
            <w:vAlign w:val="bottom"/>
            <w:hideMark/>
          </w:tcPr>
          <w:p w:rsidR="00000000" w:rsidRDefault="00183441">
            <w:pPr>
              <w:spacing w:after="100"/>
              <w:jc w:val="right"/>
              <w:rPr>
                <w:rFonts w:eastAsia="Times New Roman"/>
              </w:rPr>
            </w:pPr>
          </w:p>
        </w:tc>
      </w:tr>
      <w:tr w:rsidR="00000000">
        <w:trPr>
          <w:divId w:val="1946229680"/>
        </w:trPr>
        <w:tc>
          <w:tcPr>
            <w:tcW w:w="0" w:type="auto"/>
            <w:gridSpan w:val="3"/>
            <w:shd w:val="clear" w:color="auto" w:fill="CCEEFF"/>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Net change in cash, cash equivalents and restricted cash</w:t>
            </w: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(49,354)</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183441">
            <w:pPr>
              <w:spacing w:after="100"/>
              <w:jc w:val="right"/>
              <w:rPr>
                <w:rFonts w:eastAsia="Times New Roman"/>
                <w:sz w:val="20"/>
                <w:szCs w:val="20"/>
              </w:rPr>
            </w:pPr>
          </w:p>
        </w:tc>
        <w:tc>
          <w:tcPr>
            <w:tcW w:w="0" w:type="auto"/>
            <w:tcBorders>
              <w:top w:val="single" w:sz="8" w:space="0" w:color="000000"/>
              <w:bottom w:val="double" w:sz="6" w:space="0" w:color="000000"/>
            </w:tcBorders>
            <w:shd w:val="clear" w:color="auto" w:fill="CCEEFF"/>
            <w:tcMar>
              <w:top w:w="30" w:type="dxa"/>
              <w:left w:w="20" w:type="dxa"/>
              <w:bottom w:w="30" w:type="dxa"/>
              <w:right w:w="0" w:type="dxa"/>
            </w:tcMar>
            <w:vAlign w:val="bottom"/>
            <w:hideMark/>
          </w:tcPr>
          <w:p w:rsidR="00000000" w:rsidRDefault="00183441">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shd w:val="clear" w:color="auto" w:fill="CCEEFF"/>
            <w:tcMar>
              <w:top w:w="30" w:type="dxa"/>
              <w:left w:w="0" w:type="dxa"/>
              <w:bottom w:w="30" w:type="dxa"/>
              <w:right w:w="0" w:type="dxa"/>
            </w:tcMar>
            <w:vAlign w:val="bottom"/>
            <w:hideMark/>
          </w:tcPr>
          <w:p w:rsidR="00000000" w:rsidRDefault="00183441">
            <w:pPr>
              <w:spacing w:after="100"/>
              <w:jc w:val="right"/>
              <w:rPr>
                <w:rFonts w:eastAsia="Times New Roman"/>
              </w:rPr>
            </w:pPr>
            <w:r>
              <w:rPr>
                <w:rFonts w:eastAsia="Times New Roman"/>
                <w:color w:val="000000"/>
                <w:sz w:val="20"/>
                <w:szCs w:val="20"/>
              </w:rPr>
              <w:t>65,297 </w:t>
            </w:r>
          </w:p>
        </w:tc>
        <w:tc>
          <w:tcPr>
            <w:tcW w:w="0" w:type="auto"/>
            <w:tcBorders>
              <w:top w:val="single" w:sz="8" w:space="0" w:color="000000"/>
              <w:bottom w:val="double" w:sz="6" w:space="0" w:color="000000"/>
            </w:tcBorders>
            <w:shd w:val="clear" w:color="auto" w:fill="CCEEFF"/>
            <w:tcMar>
              <w:top w:w="30" w:type="dxa"/>
              <w:left w:w="0" w:type="dxa"/>
              <w:bottom w:w="30" w:type="dxa"/>
              <w:right w:w="20" w:type="dxa"/>
            </w:tcMar>
            <w:vAlign w:val="bottom"/>
            <w:hideMark/>
          </w:tcPr>
          <w:p w:rsidR="00000000" w:rsidRDefault="00183441">
            <w:pPr>
              <w:spacing w:after="100"/>
              <w:jc w:val="right"/>
              <w:rPr>
                <w:rFonts w:eastAsia="Times New Roman"/>
              </w:rPr>
            </w:pPr>
          </w:p>
        </w:tc>
      </w:tr>
    </w:tbl>
    <w:p w:rsidR="00000000" w:rsidRDefault="00183441">
      <w:pPr>
        <w:divId w:val="1212183969"/>
        <w:rPr>
          <w:rFonts w:eastAsia="Times New Roman"/>
        </w:rPr>
      </w:pPr>
      <w:r>
        <w:rPr>
          <w:rFonts w:eastAsia="Times New Roman"/>
          <w:i/>
          <w:iCs/>
          <w:color w:val="000000"/>
          <w:sz w:val="20"/>
          <w:szCs w:val="20"/>
        </w:rPr>
        <w:t>Net Cash Provided by Operating Activities</w:t>
      </w:r>
    </w:p>
    <w:p w:rsidR="00000000" w:rsidRDefault="00183441">
      <w:pPr>
        <w:jc w:val="both"/>
        <w:divId w:val="984312391"/>
        <w:rPr>
          <w:rFonts w:eastAsia="Times New Roman"/>
        </w:rPr>
      </w:pPr>
      <w:r>
        <w:rPr>
          <w:rFonts w:eastAsia="Times New Roman"/>
          <w:color w:val="000000"/>
          <w:sz w:val="20"/>
          <w:szCs w:val="20"/>
        </w:rPr>
        <w:t>Cash flows provided by operating activities decreased $112.5 million from $233.8 million during the nine months ended October 2, 2021 to $121.3 million for the nine months ended October 1, 2022 as a result of $70.6 million lower net income as compared to t</w:t>
      </w:r>
      <w:r>
        <w:rPr>
          <w:rFonts w:eastAsia="Times New Roman"/>
          <w:color w:val="000000"/>
          <w:sz w:val="20"/>
          <w:szCs w:val="20"/>
        </w:rPr>
        <w:t>he nine months ended October 2, 2021 and a decrease of non-cash expense adjustments of $28.5 million and changes in net working capital and other assets and liabilities, which used $13.3 million in cash compared to the nine months ended October 2, 2021. De</w:t>
      </w:r>
      <w:r>
        <w:rPr>
          <w:rFonts w:eastAsia="Times New Roman"/>
          <w:color w:val="000000"/>
          <w:sz w:val="20"/>
          <w:szCs w:val="20"/>
        </w:rPr>
        <w:t>creases in deferred and unearned revenue used $14.9 million in year-over-year cash, primarily as a result of lower sales of product protection plans and club memberships in the current period. Increases in accounts receivable used $11.6 million in year-ove</w:t>
      </w:r>
      <w:r>
        <w:rPr>
          <w:rFonts w:eastAsia="Times New Roman"/>
          <w:color w:val="000000"/>
          <w:sz w:val="20"/>
          <w:szCs w:val="20"/>
        </w:rPr>
        <w:t xml:space="preserve">r-year cash primarily due to other receivables. Decreases in accounts payable during the nine months ended October 1, 2022 used $6.6 million in year-over-year cash, primarily due to timing of payments. Decreases in other liabilities during the nine months </w:t>
      </w:r>
      <w:r>
        <w:rPr>
          <w:rFonts w:eastAsia="Times New Roman"/>
          <w:color w:val="000000"/>
          <w:sz w:val="20"/>
          <w:szCs w:val="20"/>
        </w:rPr>
        <w:t>ended October 1, 2022 used $5.1 million in year-over-year cash primarily due to compensation related and advertising accruals, partially offset by increases in payroll and income taxes payable. Offsetting these items were decreases in inventories which con</w:t>
      </w:r>
      <w:r>
        <w:rPr>
          <w:rFonts w:eastAsia="Times New Roman"/>
          <w:color w:val="000000"/>
          <w:sz w:val="20"/>
          <w:szCs w:val="20"/>
        </w:rPr>
        <w:t>tributed $14.3 million in year-over-year cash, primarily due to timing of purchases. Decreases in other assets during the nine months ended October 1, 2022 contributed $9.9 million in year-over-year cash consisting primarily of decreases in income tax rela</w:t>
      </w:r>
      <w:r>
        <w:rPr>
          <w:rFonts w:eastAsia="Times New Roman"/>
          <w:color w:val="000000"/>
          <w:sz w:val="20"/>
          <w:szCs w:val="20"/>
        </w:rPr>
        <w:t>ted receivables.</w:t>
      </w:r>
    </w:p>
    <w:p w:rsidR="00000000" w:rsidRDefault="00183441">
      <w:pPr>
        <w:jc w:val="both"/>
        <w:divId w:val="1284388367"/>
        <w:rPr>
          <w:rFonts w:eastAsia="Times New Roman"/>
        </w:rPr>
      </w:pPr>
      <w:r>
        <w:rPr>
          <w:rFonts w:eastAsia="Times New Roman"/>
          <w:i/>
          <w:iCs/>
          <w:color w:val="000000"/>
          <w:sz w:val="20"/>
          <w:szCs w:val="20"/>
        </w:rPr>
        <w:t>Net Cash Used for Investing Activities</w:t>
      </w:r>
    </w:p>
    <w:p w:rsidR="00000000" w:rsidRDefault="00183441">
      <w:pPr>
        <w:jc w:val="both"/>
        <w:divId w:val="1996108640"/>
        <w:rPr>
          <w:rFonts w:eastAsia="Times New Roman"/>
        </w:rPr>
      </w:pPr>
      <w:r>
        <w:rPr>
          <w:rFonts w:eastAsia="Times New Roman"/>
          <w:color w:val="000000"/>
          <w:sz w:val="20"/>
          <w:szCs w:val="20"/>
        </w:rPr>
        <w:t>Net cash used for investing activities increased by $29.6 million, to $86.1 million, during the nine months ended October 1, 2022 from $56.4 million during the nine months ended October 2, 2021. The increase was primarily due to increased capital investmen</w:t>
      </w:r>
      <w:r>
        <w:rPr>
          <w:rFonts w:eastAsia="Times New Roman"/>
          <w:color w:val="000000"/>
          <w:sz w:val="20"/>
          <w:szCs w:val="20"/>
        </w:rPr>
        <w:t>ts in remote medicine, new store openings, and doctor and lab equipment. Approximately 80% of our capital spend is related to our expected growth (i.e., new stores, remote medicine infrastructure, optometric equipment, additional capacity in our optical la</w:t>
      </w:r>
      <w:r>
        <w:rPr>
          <w:rFonts w:eastAsia="Times New Roman"/>
          <w:color w:val="000000"/>
          <w:sz w:val="20"/>
          <w:szCs w:val="20"/>
        </w:rPr>
        <w:t>boratories and distribution centers, and our IT infrastructure, including omni-channel platform related investments).</w:t>
      </w:r>
    </w:p>
    <w:p w:rsidR="00000000" w:rsidRDefault="00183441">
      <w:pPr>
        <w:jc w:val="both"/>
        <w:divId w:val="2126458646"/>
        <w:rPr>
          <w:rFonts w:eastAsia="Times New Roman"/>
        </w:rPr>
      </w:pPr>
      <w:r>
        <w:rPr>
          <w:rFonts w:eastAsia="Times New Roman"/>
          <w:i/>
          <w:iCs/>
          <w:color w:val="000000"/>
          <w:sz w:val="20"/>
          <w:szCs w:val="20"/>
        </w:rPr>
        <w:t>Net Cash Used For Financing Activities</w:t>
      </w:r>
    </w:p>
    <w:p w:rsidR="00000000" w:rsidRDefault="00183441">
      <w:pPr>
        <w:jc w:val="both"/>
        <w:divId w:val="1911501581"/>
        <w:rPr>
          <w:rFonts w:eastAsia="Times New Roman"/>
        </w:rPr>
      </w:pPr>
      <w:r>
        <w:rPr>
          <w:rFonts w:eastAsia="Times New Roman"/>
          <w:color w:val="000000"/>
          <w:sz w:val="20"/>
          <w:szCs w:val="20"/>
        </w:rPr>
        <w:t>Net cash used for financing activities was $84.6 million during the nine months ended October 1, 20</w:t>
      </w:r>
      <w:r>
        <w:rPr>
          <w:rFonts w:eastAsia="Times New Roman"/>
          <w:color w:val="000000"/>
          <w:sz w:val="20"/>
          <w:szCs w:val="20"/>
        </w:rPr>
        <w:t>22 as compared to the use of cash of $112.1 million during the nine months ended October 2, 2021. The decrease in cash used for financing activities was primarily due to voluntary term loan prepayments of $117.4 million during the nine months ended October</w:t>
      </w:r>
      <w:r>
        <w:rPr>
          <w:rFonts w:eastAsia="Times New Roman"/>
          <w:color w:val="000000"/>
          <w:sz w:val="20"/>
          <w:szCs w:val="20"/>
        </w:rPr>
        <w:t xml:space="preserve"> 2, 2021 that did not recur in the current period, partially offset by increases in purchases of treasury stock of $82.3 million and decreases in proceeds from issuance of common stock of $8.7 million during the nine months ended October 1, 2022.</w:t>
      </w:r>
    </w:p>
    <w:p w:rsidR="00000000" w:rsidRDefault="00183441">
      <w:pPr>
        <w:divId w:val="130900315"/>
        <w:rPr>
          <w:rFonts w:eastAsia="Times New Roman"/>
        </w:rPr>
      </w:pPr>
      <w:r>
        <w:rPr>
          <w:rFonts w:eastAsia="Times New Roman"/>
          <w:color w:val="000000"/>
          <w:sz w:val="20"/>
          <w:szCs w:val="20"/>
          <w:u w:val="single"/>
        </w:rPr>
        <w:t>Share Rep</w:t>
      </w:r>
      <w:r>
        <w:rPr>
          <w:rFonts w:eastAsia="Times New Roman"/>
          <w:color w:val="000000"/>
          <w:sz w:val="20"/>
          <w:szCs w:val="20"/>
          <w:u w:val="single"/>
        </w:rPr>
        <w:t>urchase Authority</w:t>
      </w:r>
    </w:p>
    <w:p w:rsidR="00000000" w:rsidRDefault="00183441">
      <w:pPr>
        <w:jc w:val="both"/>
        <w:divId w:val="249899173"/>
        <w:rPr>
          <w:rFonts w:eastAsia="Times New Roman"/>
        </w:rPr>
      </w:pPr>
      <w:r>
        <w:rPr>
          <w:rFonts w:eastAsia="Times New Roman"/>
          <w:color w:val="000000"/>
          <w:sz w:val="20"/>
          <w:szCs w:val="20"/>
        </w:rPr>
        <w:t>During the nine months ended October 1, 2022, the Company repurchased approximately 2.7 million shares of its common stock for $80.0 million under the share repurchase program. After these repurchases, $50.0 million remains available unde</w:t>
      </w:r>
      <w:r>
        <w:rPr>
          <w:rFonts w:eastAsia="Times New Roman"/>
          <w:color w:val="000000"/>
          <w:sz w:val="20"/>
          <w:szCs w:val="20"/>
        </w:rPr>
        <w:t>r the share repurchase authorization.</w:t>
      </w:r>
    </w:p>
    <w:p w:rsidR="00000000" w:rsidRDefault="00183441">
      <w:pPr>
        <w:jc w:val="both"/>
        <w:divId w:val="1218316589"/>
        <w:rPr>
          <w:rFonts w:eastAsia="Times New Roman"/>
        </w:rPr>
      </w:pPr>
      <w:r>
        <w:rPr>
          <w:rFonts w:eastAsia="Times New Roman"/>
          <w:b/>
          <w:bCs/>
          <w:color w:val="000000"/>
          <w:sz w:val="20"/>
          <w:szCs w:val="20"/>
        </w:rPr>
        <w:t>Material Cash Requirements            </w:t>
      </w:r>
    </w:p>
    <w:p w:rsidR="00000000" w:rsidRDefault="00183441">
      <w:pPr>
        <w:jc w:val="both"/>
        <w:divId w:val="376125155"/>
        <w:rPr>
          <w:rFonts w:eastAsia="Times New Roman"/>
        </w:rPr>
      </w:pPr>
      <w:r>
        <w:rPr>
          <w:rFonts w:eastAsia="Times New Roman"/>
          <w:color w:val="000000"/>
          <w:sz w:val="20"/>
          <w:szCs w:val="20"/>
        </w:rPr>
        <w:t>There were no material changes outside the ordinary course of business in our material cash requirements and commercial commitments from those reported in the 2021 Annual Report o</w:t>
      </w:r>
      <w:r>
        <w:rPr>
          <w:rFonts w:eastAsia="Times New Roman"/>
          <w:color w:val="000000"/>
          <w:sz w:val="20"/>
          <w:szCs w:val="20"/>
        </w:rPr>
        <w:t>n Form 10-K.</w:t>
      </w:r>
    </w:p>
    <w:p w:rsidR="00000000" w:rsidRDefault="00183441">
      <w:pPr>
        <w:jc w:val="center"/>
        <w:divId w:val="1114442562"/>
        <w:rPr>
          <w:rFonts w:eastAsia="Times New Roman"/>
        </w:rPr>
      </w:pPr>
      <w:r>
        <w:rPr>
          <w:rFonts w:eastAsia="Times New Roman"/>
          <w:color w:val="000000"/>
          <w:sz w:val="20"/>
          <w:szCs w:val="20"/>
        </w:rPr>
        <w:t>38</w:t>
      </w:r>
    </w:p>
    <w:p w:rsidR="00000000" w:rsidRDefault="00183441">
      <w:pPr>
        <w:rPr>
          <w:rFonts w:eastAsia="Times New Roman"/>
        </w:rPr>
      </w:pPr>
      <w:r>
        <w:rPr>
          <w:rFonts w:eastAsia="Times New Roman"/>
        </w:rPr>
        <w:pict>
          <v:rect id="_x0000_i1062" style="width:0;height:1.5pt" o:hralign="center" o:hrstd="t" o:hr="t" fillcolor="#a0a0a0" stroked="f"/>
        </w:pict>
      </w:r>
    </w:p>
    <w:p w:rsidR="00000000" w:rsidRDefault="00183441">
      <w:pPr>
        <w:divId w:val="2091152317"/>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210001290"/>
        <w:rPr>
          <w:rFonts w:eastAsia="Times New Roman"/>
        </w:rPr>
      </w:pPr>
      <w:r>
        <w:rPr>
          <w:rFonts w:eastAsia="Times New Roman"/>
          <w:color w:val="000000"/>
          <w:sz w:val="20"/>
          <w:szCs w:val="20"/>
        </w:rPr>
        <w:t>We follow U.S. GAAP in making the determination as to whether or not to record an asset or liability related to our arrangements with third parties. Consistent with current accounting guidance, we do not record an asset or liability associated with long-te</w:t>
      </w:r>
      <w:r>
        <w:rPr>
          <w:rFonts w:eastAsia="Times New Roman"/>
          <w:color w:val="000000"/>
          <w:sz w:val="20"/>
          <w:szCs w:val="20"/>
        </w:rPr>
        <w:t>rm purchase, marketing and promotional commitments, or commitments to philanthropic endeavors. We have disclosed the amount of future commitments associated with these items in the 2021 Annual Report on form 10-K. We are not a party to any other material o</w:t>
      </w:r>
      <w:r>
        <w:rPr>
          <w:rFonts w:eastAsia="Times New Roman"/>
          <w:color w:val="000000"/>
          <w:sz w:val="20"/>
          <w:szCs w:val="20"/>
        </w:rPr>
        <w:t>ff-balance sheet arrangements.</w:t>
      </w:r>
    </w:p>
    <w:p w:rsidR="00000000" w:rsidRDefault="00183441">
      <w:pPr>
        <w:jc w:val="both"/>
        <w:divId w:val="136992332"/>
        <w:rPr>
          <w:rFonts w:eastAsia="Times New Roman"/>
        </w:rPr>
      </w:pPr>
      <w:r>
        <w:rPr>
          <w:rFonts w:eastAsia="Times New Roman"/>
          <w:b/>
          <w:bCs/>
          <w:color w:val="000000"/>
          <w:sz w:val="20"/>
          <w:szCs w:val="20"/>
        </w:rPr>
        <w:t xml:space="preserve">Critical Accounting Policies and Estimates </w:t>
      </w:r>
    </w:p>
    <w:p w:rsidR="00000000" w:rsidRDefault="00183441">
      <w:pPr>
        <w:jc w:val="both"/>
        <w:divId w:val="1214854607"/>
        <w:rPr>
          <w:rFonts w:eastAsia="Times New Roman"/>
        </w:rPr>
      </w:pPr>
      <w:r>
        <w:rPr>
          <w:rFonts w:eastAsia="Times New Roman"/>
          <w:color w:val="000000"/>
          <w:sz w:val="20"/>
          <w:szCs w:val="20"/>
        </w:rPr>
        <w:t xml:space="preserve">Management has evaluated the accounting policies used in the preparation of the Company’s unaudited condensed consolidated financial statements and related notes and believes those </w:t>
      </w:r>
      <w:r>
        <w:rPr>
          <w:rFonts w:eastAsia="Times New Roman"/>
          <w:color w:val="000000"/>
          <w:sz w:val="20"/>
          <w:szCs w:val="20"/>
        </w:rPr>
        <w:t>policies to be reasonable and appropriate. Certain of these accounting policies require the application of significant judgment by management in selecting appropriate assumptions for calculating financial estimates. By their nature, these judgments are sub</w:t>
      </w:r>
      <w:r>
        <w:rPr>
          <w:rFonts w:eastAsia="Times New Roman"/>
          <w:color w:val="000000"/>
          <w:sz w:val="20"/>
          <w:szCs w:val="20"/>
        </w:rPr>
        <w:t>ject to an inherent degree of uncertainty. These judgments are based on historical experience, trends in the industry, information provided by customers and information available from other outside sources, as appropriate. The most significant areas involv</w:t>
      </w:r>
      <w:r>
        <w:rPr>
          <w:rFonts w:eastAsia="Times New Roman"/>
          <w:color w:val="000000"/>
          <w:sz w:val="20"/>
          <w:szCs w:val="20"/>
        </w:rPr>
        <w:t>ing management judgments and estimates may be found in the 2021 Annual Report on Form 10-K, in the “Critical Accounting Policies and Estimates” section of “Management’s Discussion and Analysis of Financial Condition and Results of Operations.” Except for t</w:t>
      </w:r>
      <w:r>
        <w:rPr>
          <w:rFonts w:eastAsia="Times New Roman"/>
          <w:color w:val="000000"/>
          <w:sz w:val="20"/>
          <w:szCs w:val="20"/>
        </w:rPr>
        <w:t>he item discussed below, there have been no material changes to our critical accounting policies as compared to the critical accounting policies described in the 2021 Annual Report on Form 10-K.</w:t>
      </w:r>
    </w:p>
    <w:p w:rsidR="00000000" w:rsidRDefault="00183441">
      <w:pPr>
        <w:divId w:val="1623073750"/>
        <w:rPr>
          <w:rFonts w:eastAsia="Times New Roman"/>
        </w:rPr>
      </w:pPr>
      <w:r>
        <w:rPr>
          <w:rFonts w:eastAsia="Times New Roman"/>
          <w:i/>
          <w:iCs/>
          <w:color w:val="000000"/>
          <w:sz w:val="20"/>
          <w:szCs w:val="20"/>
        </w:rPr>
        <w:t>Impairment of Goodwill and Intangible Assets</w:t>
      </w:r>
    </w:p>
    <w:p w:rsidR="00000000" w:rsidRDefault="00183441">
      <w:pPr>
        <w:divId w:val="1814785714"/>
        <w:rPr>
          <w:rFonts w:eastAsia="Times New Roman"/>
        </w:rPr>
      </w:pPr>
      <w:r>
        <w:rPr>
          <w:rFonts w:eastAsia="Times New Roman"/>
          <w:color w:val="000000"/>
          <w:sz w:val="20"/>
          <w:szCs w:val="20"/>
        </w:rPr>
        <w:t xml:space="preserve">Interest rates, </w:t>
      </w:r>
      <w:r>
        <w:rPr>
          <w:rFonts w:eastAsia="Times New Roman"/>
          <w:color w:val="000000"/>
          <w:sz w:val="20"/>
          <w:szCs w:val="20"/>
        </w:rPr>
        <w:t>which are an input to our fair value estimation process for goodwill impairment testing, have increased in 2022. If interest rates continue to increase, future impairments could be possible in our Legacy segment, which would negatively affect the Company’s</w:t>
      </w:r>
      <w:r>
        <w:rPr>
          <w:rFonts w:eastAsia="Times New Roman"/>
          <w:color w:val="000000"/>
          <w:sz w:val="20"/>
          <w:szCs w:val="20"/>
        </w:rPr>
        <w:t xml:space="preserve"> earnings.</w:t>
      </w:r>
    </w:p>
    <w:p w:rsidR="00000000" w:rsidRDefault="00183441">
      <w:pPr>
        <w:jc w:val="both"/>
        <w:divId w:val="1352759440"/>
        <w:rPr>
          <w:rFonts w:eastAsia="Times New Roman"/>
        </w:rPr>
      </w:pPr>
      <w:r>
        <w:rPr>
          <w:rFonts w:eastAsia="Times New Roman"/>
          <w:b/>
          <w:bCs/>
          <w:color w:val="000000"/>
          <w:sz w:val="20"/>
          <w:szCs w:val="20"/>
        </w:rPr>
        <w:t>Adoption of New Accounting Pronouncements</w:t>
      </w:r>
    </w:p>
    <w:p w:rsidR="00000000" w:rsidRDefault="00183441">
      <w:pPr>
        <w:jc w:val="both"/>
        <w:divId w:val="1241135689"/>
        <w:rPr>
          <w:rFonts w:eastAsia="Times New Roman"/>
        </w:rPr>
      </w:pPr>
      <w:r>
        <w:rPr>
          <w:rFonts w:eastAsia="Times New Roman"/>
          <w:color w:val="000000"/>
          <w:sz w:val="20"/>
          <w:szCs w:val="20"/>
        </w:rPr>
        <w:t>Refer to Note 1. “Description of Business and Basis of Presentation” to our unaudited condensed consolidated financial statements under Part I. Item 1. under the heading “Future Adoption Accounting Prono</w:t>
      </w:r>
      <w:r>
        <w:rPr>
          <w:rFonts w:eastAsia="Times New Roman"/>
          <w:color w:val="000000"/>
          <w:sz w:val="20"/>
          <w:szCs w:val="20"/>
        </w:rPr>
        <w:t>uncements” of this Form 10-Q for a discussion of recently issued accounting pronouncements.</w:t>
      </w:r>
    </w:p>
    <w:p w:rsidR="00000000" w:rsidRDefault="00183441">
      <w:pPr>
        <w:jc w:val="both"/>
        <w:divId w:val="627198599"/>
        <w:rPr>
          <w:rFonts w:eastAsia="Times New Roman"/>
        </w:rPr>
      </w:pPr>
    </w:p>
    <w:p w:rsidR="00000000" w:rsidRDefault="00183441">
      <w:pPr>
        <w:divId w:val="1313020194"/>
        <w:rPr>
          <w:rFonts w:eastAsia="Times New Roman"/>
        </w:rPr>
      </w:pPr>
      <w:r>
        <w:rPr>
          <w:rFonts w:eastAsia="Times New Roman"/>
          <w:b/>
          <w:bCs/>
          <w:color w:val="000000"/>
          <w:sz w:val="20"/>
          <w:szCs w:val="20"/>
        </w:rPr>
        <w:t>Item 3. Quantitative and Qualitative Disclosures About Market Risk</w:t>
      </w:r>
    </w:p>
    <w:p w:rsidR="00000000" w:rsidRDefault="00183441">
      <w:pPr>
        <w:jc w:val="both"/>
        <w:divId w:val="974217399"/>
        <w:rPr>
          <w:rFonts w:eastAsia="Times New Roman"/>
        </w:rPr>
      </w:pPr>
      <w:r>
        <w:rPr>
          <w:rFonts w:eastAsia="Times New Roman"/>
          <w:color w:val="000000"/>
          <w:sz w:val="20"/>
          <w:szCs w:val="20"/>
        </w:rPr>
        <w:t>We have market risk exposure from changes in interest rates. When appropriate, we use derivativ</w:t>
      </w:r>
      <w:r>
        <w:rPr>
          <w:rFonts w:eastAsia="Times New Roman"/>
          <w:color w:val="000000"/>
          <w:sz w:val="20"/>
          <w:szCs w:val="20"/>
        </w:rPr>
        <w:t>e financial instruments to mitigate the risk from such exposure. A discussion of our accounting policies for derivative financial instruments is included in Note 3. “Fair Value Measurement” and Note 5. “Interest Rate Derivatives” to our unaudited condensed</w:t>
      </w:r>
      <w:r>
        <w:rPr>
          <w:rFonts w:eastAsia="Times New Roman"/>
          <w:color w:val="000000"/>
          <w:sz w:val="20"/>
          <w:szCs w:val="20"/>
        </w:rPr>
        <w:t xml:space="preserve"> consolidated financial statements included in Part I. Item 1. of this Form 10-Q.</w:t>
      </w:r>
    </w:p>
    <w:p w:rsidR="00000000" w:rsidRDefault="00183441">
      <w:pPr>
        <w:jc w:val="both"/>
        <w:divId w:val="1971202525"/>
        <w:rPr>
          <w:rFonts w:eastAsia="Times New Roman"/>
        </w:rPr>
      </w:pPr>
      <w:r>
        <w:rPr>
          <w:rFonts w:eastAsia="Times New Roman"/>
          <w:color w:val="000000"/>
          <w:sz w:val="20"/>
          <w:szCs w:val="20"/>
        </w:rPr>
        <w:t>A portion of our debt bears interest at variable rates. If market interest rates increase, the interest rate on our variable rate debt will increase and will create higher de</w:t>
      </w:r>
      <w:r>
        <w:rPr>
          <w:rFonts w:eastAsia="Times New Roman"/>
          <w:color w:val="000000"/>
          <w:sz w:val="20"/>
          <w:szCs w:val="20"/>
        </w:rPr>
        <w:t>bt service requirements, which would adversely affect our cash flow and could adversely impact our results of operations. Our interest rate collar is intended to mitigate some of the effects of increases in interest rates.</w:t>
      </w:r>
    </w:p>
    <w:p w:rsidR="00000000" w:rsidRDefault="00183441">
      <w:pPr>
        <w:jc w:val="both"/>
        <w:divId w:val="379718056"/>
        <w:rPr>
          <w:rFonts w:eastAsia="Times New Roman"/>
        </w:rPr>
      </w:pPr>
      <w:r>
        <w:rPr>
          <w:rFonts w:eastAsia="Times New Roman"/>
          <w:color w:val="000000"/>
          <w:sz w:val="20"/>
          <w:szCs w:val="20"/>
        </w:rPr>
        <w:t>As of October 1, 2022, $150.0 mil</w:t>
      </w:r>
      <w:r>
        <w:rPr>
          <w:rFonts w:eastAsia="Times New Roman"/>
          <w:color w:val="000000"/>
          <w:sz w:val="20"/>
          <w:szCs w:val="20"/>
        </w:rPr>
        <w:t>lion of term loan borrowings were subject to variable interest rates, with a weighted average borrowing rate of 3.1%. An increase to market rates of 1.0% as of October 1, 2022 would not result in an increase to interest expense. Assuming a decrease to mark</w:t>
      </w:r>
      <w:r>
        <w:rPr>
          <w:rFonts w:eastAsia="Times New Roman"/>
          <w:color w:val="000000"/>
          <w:sz w:val="20"/>
          <w:szCs w:val="20"/>
        </w:rPr>
        <w:t xml:space="preserve">et rates of 1.0% as of October 1, 2022, the resulting increase to interest expense related to the interest rate derivative would be approximately $5 million. For more information about quantitative and qualitative disclosures about market risk, please see </w:t>
      </w:r>
      <w:r>
        <w:rPr>
          <w:rFonts w:eastAsia="Times New Roman"/>
          <w:color w:val="000000"/>
          <w:sz w:val="20"/>
          <w:szCs w:val="20"/>
        </w:rPr>
        <w:t>Item 7A. “Quantitative and Qualitative Disclosures About Market Risk” in Part II. of the 2021 Annual Report on Form 10-K.</w:t>
      </w:r>
    </w:p>
    <w:p w:rsidR="00000000" w:rsidRDefault="00183441">
      <w:pPr>
        <w:divId w:val="153228604"/>
        <w:rPr>
          <w:rFonts w:eastAsia="Times New Roman"/>
        </w:rPr>
      </w:pPr>
    </w:p>
    <w:p w:rsidR="00000000" w:rsidRDefault="00183441">
      <w:pPr>
        <w:divId w:val="678967662"/>
        <w:rPr>
          <w:rFonts w:eastAsia="Times New Roman"/>
        </w:rPr>
      </w:pPr>
      <w:r>
        <w:rPr>
          <w:rFonts w:eastAsia="Times New Roman"/>
          <w:b/>
          <w:bCs/>
          <w:color w:val="000000"/>
          <w:sz w:val="20"/>
          <w:szCs w:val="20"/>
        </w:rPr>
        <w:t>Item 4. Controls and Procedures</w:t>
      </w:r>
    </w:p>
    <w:p w:rsidR="00000000" w:rsidRDefault="00183441">
      <w:pPr>
        <w:divId w:val="1507480435"/>
        <w:rPr>
          <w:rFonts w:eastAsia="Times New Roman"/>
        </w:rPr>
      </w:pPr>
      <w:r>
        <w:rPr>
          <w:rFonts w:eastAsia="Times New Roman"/>
          <w:b/>
          <w:bCs/>
          <w:color w:val="000000"/>
          <w:sz w:val="20"/>
          <w:szCs w:val="20"/>
        </w:rPr>
        <w:t>Evaluation of Disclosure Controls and Procedures</w:t>
      </w:r>
    </w:p>
    <w:p w:rsidR="00000000" w:rsidRDefault="00183441">
      <w:pPr>
        <w:jc w:val="both"/>
        <w:divId w:val="370805006"/>
        <w:rPr>
          <w:rFonts w:eastAsia="Times New Roman"/>
        </w:rPr>
      </w:pPr>
      <w:r>
        <w:rPr>
          <w:rFonts w:eastAsia="Times New Roman"/>
          <w:color w:val="000000"/>
          <w:sz w:val="20"/>
          <w:szCs w:val="20"/>
        </w:rPr>
        <w:t xml:space="preserve">We maintain disclosure controls and procedures (as </w:t>
      </w:r>
      <w:r>
        <w:rPr>
          <w:rFonts w:eastAsia="Times New Roman"/>
          <w:color w:val="000000"/>
          <w:sz w:val="20"/>
          <w:szCs w:val="20"/>
        </w:rPr>
        <w:t>that term is defined in Rules 13a-15(e) and 15d-15(e) of the Securities Exchange Act of 1934, as amended (the “Exchange Act”)) that are designed to ensure that information required to be disclosed in our reports under the Exchange Act, is recorded, process</w:t>
      </w:r>
      <w:r>
        <w:rPr>
          <w:rFonts w:eastAsia="Times New Roman"/>
          <w:color w:val="000000"/>
          <w:sz w:val="20"/>
          <w:szCs w:val="20"/>
        </w:rPr>
        <w:t xml:space="preserve">ed, summarized and reported within the time periods specified in the SEC’s rules and forms, and that such information is accumulated and communicated to our management, including our Chief Executive Officer (“CEO”) and our Chief Financial Officer (“CFO”), </w:t>
      </w:r>
      <w:r>
        <w:rPr>
          <w:rFonts w:eastAsia="Times New Roman"/>
          <w:color w:val="000000"/>
          <w:sz w:val="20"/>
          <w:szCs w:val="20"/>
        </w:rPr>
        <w:t>as appropriate, to allow timely decisions regarding required disclosures. Any controls and procedures, no matter how well designed and operated, can provide only reasonable assurance of achieving the desired control objectives.</w:t>
      </w:r>
    </w:p>
    <w:p w:rsidR="00000000" w:rsidRDefault="00183441">
      <w:pPr>
        <w:jc w:val="center"/>
        <w:divId w:val="1583685679"/>
        <w:rPr>
          <w:rFonts w:eastAsia="Times New Roman"/>
        </w:rPr>
      </w:pPr>
      <w:r>
        <w:rPr>
          <w:rFonts w:eastAsia="Times New Roman"/>
          <w:color w:val="000000"/>
          <w:sz w:val="20"/>
          <w:szCs w:val="20"/>
        </w:rPr>
        <w:t>39</w:t>
      </w:r>
    </w:p>
    <w:p w:rsidR="00000000" w:rsidRDefault="00183441">
      <w:pPr>
        <w:rPr>
          <w:rFonts w:eastAsia="Times New Roman"/>
        </w:rPr>
      </w:pPr>
      <w:r>
        <w:rPr>
          <w:rFonts w:eastAsia="Times New Roman"/>
        </w:rPr>
        <w:pict>
          <v:rect id="_x0000_i1063" style="width:0;height:1.5pt" o:hralign="center" o:hrstd="t" o:hr="t" fillcolor="#a0a0a0" stroked="f"/>
        </w:pict>
      </w:r>
    </w:p>
    <w:p w:rsidR="00000000" w:rsidRDefault="00183441">
      <w:pPr>
        <w:divId w:val="1457990842"/>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both"/>
        <w:divId w:val="773592918"/>
        <w:rPr>
          <w:rFonts w:eastAsia="Times New Roman"/>
        </w:rPr>
      </w:pPr>
      <w:r>
        <w:rPr>
          <w:rFonts w:eastAsia="Times New Roman"/>
          <w:color w:val="000000"/>
          <w:sz w:val="20"/>
          <w:szCs w:val="20"/>
        </w:rPr>
        <w:t>In accordance with Rule 13a-15(b) of the Exchange Act, the Company carried out an evaluation, under the supervision and with the participation o</w:t>
      </w:r>
      <w:r>
        <w:rPr>
          <w:rFonts w:eastAsia="Times New Roman"/>
          <w:color w:val="000000"/>
          <w:sz w:val="20"/>
          <w:szCs w:val="20"/>
        </w:rPr>
        <w:t>f its management, including its CEO and CFO, of the effectiveness of the design and operation of the Company’s disclosure controls and procedures as of October 1, 2022. Based on that evaluation, the CEO and the CFO have concluded that the Company’s current</w:t>
      </w:r>
      <w:r>
        <w:rPr>
          <w:rFonts w:eastAsia="Times New Roman"/>
          <w:color w:val="000000"/>
          <w:sz w:val="20"/>
          <w:szCs w:val="20"/>
        </w:rPr>
        <w:t xml:space="preserve"> disclosure controls and procedures are effective in ensuring that material information relating to the Company required to be disclosed in the Company’s periodic filings with the SEC is made known to them in a timely manner.</w:t>
      </w:r>
    </w:p>
    <w:p w:rsidR="00000000" w:rsidRDefault="00183441">
      <w:pPr>
        <w:jc w:val="both"/>
        <w:divId w:val="1062949183"/>
        <w:rPr>
          <w:rFonts w:eastAsia="Times New Roman"/>
        </w:rPr>
      </w:pPr>
      <w:r>
        <w:rPr>
          <w:rFonts w:eastAsia="Times New Roman"/>
          <w:b/>
          <w:bCs/>
          <w:color w:val="000000"/>
          <w:sz w:val="20"/>
          <w:szCs w:val="20"/>
        </w:rPr>
        <w:t>Changes in Internal Control ov</w:t>
      </w:r>
      <w:r>
        <w:rPr>
          <w:rFonts w:eastAsia="Times New Roman"/>
          <w:b/>
          <w:bCs/>
          <w:color w:val="000000"/>
          <w:sz w:val="20"/>
          <w:szCs w:val="20"/>
        </w:rPr>
        <w:t>er Financial Reporting</w:t>
      </w:r>
    </w:p>
    <w:p w:rsidR="00000000" w:rsidRDefault="00183441">
      <w:pPr>
        <w:jc w:val="both"/>
        <w:divId w:val="1904103944"/>
        <w:rPr>
          <w:rFonts w:eastAsia="Times New Roman"/>
        </w:rPr>
      </w:pPr>
      <w:r>
        <w:rPr>
          <w:rFonts w:eastAsia="Times New Roman"/>
          <w:color w:val="000000"/>
          <w:sz w:val="20"/>
          <w:szCs w:val="20"/>
        </w:rPr>
        <w:t>There were no changes in our internal control over financial reporting (as that term is defined in Rules 13a-15(f) and 15d-15(f) of the Exchange Act that occurred during the third quarter of fiscal year 2022 that have materially affe</w:t>
      </w:r>
      <w:r>
        <w:rPr>
          <w:rFonts w:eastAsia="Times New Roman"/>
          <w:color w:val="000000"/>
          <w:sz w:val="20"/>
          <w:szCs w:val="20"/>
        </w:rPr>
        <w:t>cted, or are reasonably likely to materially affect, our internal control over financial reporting.</w:t>
      </w:r>
    </w:p>
    <w:p w:rsidR="00000000" w:rsidRDefault="00183441">
      <w:pPr>
        <w:jc w:val="both"/>
        <w:divId w:val="795293387"/>
        <w:rPr>
          <w:rFonts w:eastAsia="Times New Roman"/>
        </w:rPr>
      </w:pPr>
    </w:p>
    <w:p w:rsidR="00000000" w:rsidRDefault="00183441">
      <w:pPr>
        <w:jc w:val="center"/>
        <w:divId w:val="649285684"/>
        <w:rPr>
          <w:rFonts w:eastAsia="Times New Roman"/>
        </w:rPr>
      </w:pPr>
      <w:r>
        <w:rPr>
          <w:rFonts w:eastAsia="Times New Roman"/>
          <w:color w:val="000000"/>
          <w:sz w:val="20"/>
          <w:szCs w:val="20"/>
        </w:rPr>
        <w:t>40</w:t>
      </w:r>
    </w:p>
    <w:p w:rsidR="00000000" w:rsidRDefault="00183441">
      <w:pPr>
        <w:rPr>
          <w:rFonts w:eastAsia="Times New Roman"/>
        </w:rPr>
      </w:pPr>
      <w:r>
        <w:rPr>
          <w:rFonts w:eastAsia="Times New Roman"/>
        </w:rPr>
        <w:pict>
          <v:rect id="_x0000_i1064" style="width:0;height:1.5pt" o:hralign="center" o:hrstd="t" o:hr="t" fillcolor="#a0a0a0" stroked="f"/>
        </w:pict>
      </w:r>
    </w:p>
    <w:p w:rsidR="00000000" w:rsidRDefault="00183441">
      <w:pPr>
        <w:divId w:val="1938783545"/>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divId w:val="76830666"/>
        <w:rPr>
          <w:rFonts w:eastAsia="Times New Roman"/>
        </w:rPr>
      </w:pPr>
      <w:r>
        <w:rPr>
          <w:rFonts w:eastAsia="Times New Roman"/>
          <w:b/>
          <w:bCs/>
          <w:color w:val="000000"/>
          <w:sz w:val="20"/>
          <w:szCs w:val="20"/>
        </w:rPr>
        <w:t>PART II - OTHER INFORMATION</w:t>
      </w:r>
    </w:p>
    <w:p w:rsidR="00000000" w:rsidRDefault="00183441">
      <w:pPr>
        <w:divId w:val="2143763767"/>
        <w:rPr>
          <w:rFonts w:eastAsia="Times New Roman"/>
        </w:rPr>
      </w:pPr>
    </w:p>
    <w:p w:rsidR="00000000" w:rsidRDefault="00183441">
      <w:pPr>
        <w:divId w:val="1964188293"/>
        <w:rPr>
          <w:rFonts w:eastAsia="Times New Roman"/>
        </w:rPr>
      </w:pPr>
      <w:r>
        <w:rPr>
          <w:rFonts w:eastAsia="Times New Roman"/>
          <w:b/>
          <w:bCs/>
          <w:color w:val="000000"/>
          <w:sz w:val="20"/>
          <w:szCs w:val="20"/>
        </w:rPr>
        <w:t xml:space="preserve">Item 1. </w:t>
      </w:r>
      <w:r>
        <w:rPr>
          <w:rFonts w:eastAsia="Times New Roman"/>
          <w:b/>
          <w:bCs/>
          <w:color w:val="000000"/>
          <w:sz w:val="20"/>
          <w:szCs w:val="20"/>
        </w:rPr>
        <w:t>Legal Proceedings</w:t>
      </w:r>
    </w:p>
    <w:p w:rsidR="00000000" w:rsidRDefault="00183441">
      <w:pPr>
        <w:divId w:val="1467118422"/>
        <w:rPr>
          <w:rFonts w:eastAsia="Times New Roman"/>
        </w:rPr>
      </w:pPr>
      <w:r>
        <w:rPr>
          <w:rFonts w:eastAsia="Times New Roman"/>
          <w:color w:val="000000"/>
          <w:sz w:val="20"/>
          <w:szCs w:val="20"/>
        </w:rPr>
        <w:t>See Note 9. “Commitments and Contingencies” in our condensed consolidated financial statements included in Part I. Item 1. of this Form 10-Q for information regarding certain legal proceedings in which we are involved, which discussion is</w:t>
      </w:r>
      <w:r>
        <w:rPr>
          <w:rFonts w:eastAsia="Times New Roman"/>
          <w:color w:val="000000"/>
          <w:sz w:val="20"/>
          <w:szCs w:val="20"/>
        </w:rPr>
        <w:t xml:space="preserve"> incorporated herein by reference.</w:t>
      </w:r>
    </w:p>
    <w:p w:rsidR="00000000" w:rsidRDefault="00183441">
      <w:pPr>
        <w:divId w:val="1199010101"/>
        <w:rPr>
          <w:rFonts w:eastAsia="Times New Roman"/>
        </w:rPr>
      </w:pPr>
      <w:r>
        <w:rPr>
          <w:rFonts w:eastAsia="Times New Roman"/>
          <w:b/>
          <w:bCs/>
          <w:color w:val="000000"/>
          <w:sz w:val="20"/>
          <w:szCs w:val="20"/>
        </w:rPr>
        <w:t>Item 1A. Risk Factors</w:t>
      </w:r>
    </w:p>
    <w:p w:rsidR="00000000" w:rsidRDefault="00183441">
      <w:pPr>
        <w:jc w:val="both"/>
        <w:divId w:val="928806970"/>
        <w:rPr>
          <w:rFonts w:eastAsia="Times New Roman"/>
        </w:rPr>
      </w:pPr>
      <w:r>
        <w:rPr>
          <w:rFonts w:eastAsia="Times New Roman"/>
          <w:color w:val="000000"/>
          <w:sz w:val="20"/>
          <w:szCs w:val="20"/>
        </w:rPr>
        <w:t>For information regarding factors that could affect the Company’</w:t>
      </w:r>
      <w:r>
        <w:rPr>
          <w:rFonts w:eastAsia="Times New Roman"/>
          <w:color w:val="000000"/>
          <w:sz w:val="20"/>
          <w:szCs w:val="20"/>
        </w:rPr>
        <w:t>s results of operations, financial condition and liquidity, see the risk factors discussed in Part I. Item 1A. “Risk Factors” in our 2021 Annual Report on Form 10-K. There have been no material changes to the risk factors described in our 2021 Annual Repor</w:t>
      </w:r>
      <w:r>
        <w:rPr>
          <w:rFonts w:eastAsia="Times New Roman"/>
          <w:color w:val="000000"/>
          <w:sz w:val="20"/>
          <w:szCs w:val="20"/>
        </w:rPr>
        <w:t>t on Form 10-K.</w:t>
      </w:r>
    </w:p>
    <w:p w:rsidR="00000000" w:rsidRDefault="00183441">
      <w:pPr>
        <w:divId w:val="1722288768"/>
        <w:rPr>
          <w:rFonts w:eastAsia="Times New Roman"/>
        </w:rPr>
      </w:pPr>
      <w:r>
        <w:rPr>
          <w:rFonts w:eastAsia="Times New Roman"/>
          <w:b/>
          <w:bCs/>
          <w:color w:val="000000"/>
          <w:sz w:val="20"/>
          <w:szCs w:val="20"/>
        </w:rPr>
        <w:t>Item 2. Unregistered Sales of Equity Securities and Use of Proceeds</w:t>
      </w:r>
    </w:p>
    <w:p w:rsidR="00000000" w:rsidRDefault="00183441">
      <w:pPr>
        <w:jc w:val="both"/>
        <w:divId w:val="1295479424"/>
        <w:rPr>
          <w:rFonts w:eastAsia="Times New Roman"/>
        </w:rPr>
      </w:pPr>
      <w:r>
        <w:rPr>
          <w:rFonts w:eastAsia="Times New Roman"/>
          <w:color w:val="000000"/>
          <w:sz w:val="20"/>
          <w:szCs w:val="20"/>
        </w:rPr>
        <w:t>Effective November 8, 2021, the Company’s Board of Directors authorized the Company to repurchase up to $50 million aggregate amount of shares of the Company’s common stock</w:t>
      </w:r>
      <w:r>
        <w:rPr>
          <w:rFonts w:eastAsia="Times New Roman"/>
          <w:color w:val="000000"/>
          <w:sz w:val="20"/>
          <w:szCs w:val="20"/>
        </w:rPr>
        <w:t>. On November 29, 2021 and February 23, 2022, the Board authorized increases of $50 million and $100 million, respectively, to the share repurchase program for a total authorization of $200 million. The share repurchase authorization expires on December 30</w:t>
      </w:r>
      <w:r>
        <w:rPr>
          <w:rFonts w:eastAsia="Times New Roman"/>
          <w:color w:val="000000"/>
          <w:sz w:val="20"/>
          <w:szCs w:val="20"/>
        </w:rPr>
        <w:t>, 2023. As of October 1, 2022 $50.0 million remains available under the share repurchase authorization. The timing and amounts of any such repurchases will depend on a variety of factors, including the market price of the Company’s shares and general marke</w:t>
      </w:r>
      <w:r>
        <w:rPr>
          <w:rFonts w:eastAsia="Times New Roman"/>
          <w:color w:val="000000"/>
          <w:sz w:val="20"/>
          <w:szCs w:val="20"/>
        </w:rPr>
        <w:t>t and economic conditions.</w:t>
      </w:r>
    </w:p>
    <w:p w:rsidR="00000000" w:rsidRDefault="00183441">
      <w:pPr>
        <w:divId w:val="1416129274"/>
        <w:rPr>
          <w:rFonts w:eastAsia="Times New Roman"/>
        </w:rPr>
      </w:pPr>
      <w:r>
        <w:rPr>
          <w:rFonts w:eastAsia="Times New Roman"/>
          <w:b/>
          <w:bCs/>
          <w:color w:val="000000"/>
          <w:sz w:val="20"/>
          <w:szCs w:val="20"/>
        </w:rPr>
        <w:t>Item 3. Defaults Upon Senior Securities</w:t>
      </w:r>
    </w:p>
    <w:p w:rsidR="00000000" w:rsidRDefault="00183441">
      <w:pPr>
        <w:divId w:val="465469278"/>
        <w:rPr>
          <w:rFonts w:eastAsia="Times New Roman"/>
        </w:rPr>
      </w:pPr>
      <w:r>
        <w:rPr>
          <w:rFonts w:eastAsia="Times New Roman"/>
          <w:color w:val="000000"/>
          <w:sz w:val="20"/>
          <w:szCs w:val="20"/>
        </w:rPr>
        <w:t>None.</w:t>
      </w:r>
    </w:p>
    <w:p w:rsidR="00000000" w:rsidRDefault="00183441">
      <w:pPr>
        <w:divId w:val="1789006510"/>
        <w:rPr>
          <w:rFonts w:eastAsia="Times New Roman"/>
        </w:rPr>
      </w:pPr>
      <w:r>
        <w:rPr>
          <w:rFonts w:eastAsia="Times New Roman"/>
          <w:b/>
          <w:bCs/>
          <w:color w:val="000000"/>
          <w:sz w:val="20"/>
          <w:szCs w:val="20"/>
        </w:rPr>
        <w:t>Item 4. Mine Safety Disclosures</w:t>
      </w:r>
    </w:p>
    <w:p w:rsidR="00000000" w:rsidRDefault="00183441">
      <w:pPr>
        <w:divId w:val="778375426"/>
        <w:rPr>
          <w:rFonts w:eastAsia="Times New Roman"/>
        </w:rPr>
      </w:pPr>
      <w:r>
        <w:rPr>
          <w:rFonts w:eastAsia="Times New Roman"/>
          <w:color w:val="000000"/>
          <w:sz w:val="20"/>
          <w:szCs w:val="20"/>
        </w:rPr>
        <w:t>Not applicable.</w:t>
      </w:r>
    </w:p>
    <w:p w:rsidR="00000000" w:rsidRDefault="00183441">
      <w:pPr>
        <w:divId w:val="2036081630"/>
        <w:rPr>
          <w:rFonts w:eastAsia="Times New Roman"/>
        </w:rPr>
      </w:pPr>
      <w:r>
        <w:rPr>
          <w:rFonts w:eastAsia="Times New Roman"/>
          <w:b/>
          <w:bCs/>
          <w:color w:val="000000"/>
          <w:sz w:val="20"/>
          <w:szCs w:val="20"/>
        </w:rPr>
        <w:t>Item 5. Other Information</w:t>
      </w:r>
    </w:p>
    <w:p w:rsidR="00000000" w:rsidRDefault="00183441">
      <w:pPr>
        <w:jc w:val="both"/>
        <w:divId w:val="317727737"/>
        <w:rPr>
          <w:rFonts w:eastAsia="Times New Roman"/>
        </w:rPr>
      </w:pPr>
      <w:r>
        <w:rPr>
          <w:rFonts w:eastAsia="Times New Roman"/>
          <w:color w:val="000000"/>
          <w:sz w:val="20"/>
          <w:szCs w:val="20"/>
        </w:rPr>
        <w:t>None.</w:t>
      </w:r>
    </w:p>
    <w:p w:rsidR="00000000" w:rsidRDefault="00183441">
      <w:pPr>
        <w:jc w:val="both"/>
        <w:divId w:val="513569458"/>
        <w:rPr>
          <w:rFonts w:eastAsia="Times New Roman"/>
        </w:rPr>
      </w:pPr>
    </w:p>
    <w:p w:rsidR="00000000" w:rsidRDefault="00183441">
      <w:pPr>
        <w:jc w:val="center"/>
        <w:divId w:val="1247570463"/>
        <w:rPr>
          <w:rFonts w:eastAsia="Times New Roman"/>
        </w:rPr>
      </w:pPr>
      <w:r>
        <w:rPr>
          <w:rFonts w:eastAsia="Times New Roman"/>
          <w:color w:val="000000"/>
          <w:sz w:val="20"/>
          <w:szCs w:val="20"/>
        </w:rPr>
        <w:t>41</w:t>
      </w:r>
    </w:p>
    <w:p w:rsidR="00000000" w:rsidRDefault="00183441">
      <w:pPr>
        <w:rPr>
          <w:rFonts w:eastAsia="Times New Roman"/>
        </w:rPr>
      </w:pPr>
      <w:r>
        <w:rPr>
          <w:rFonts w:eastAsia="Times New Roman"/>
        </w:rPr>
        <w:pict>
          <v:rect id="_x0000_i1065" style="width:0;height:1.5pt" o:hralign="center" o:hrstd="t" o:hr="t" fillcolor="#a0a0a0" stroked="f"/>
        </w:pict>
      </w:r>
    </w:p>
    <w:p w:rsidR="00000000" w:rsidRDefault="00183441">
      <w:pPr>
        <w:divId w:val="464352168"/>
        <w:rPr>
          <w:rFonts w:eastAsia="Times New Roman"/>
        </w:rPr>
      </w:pPr>
      <w:hyperlink w:anchor="i51b2a36d66cb4139a869f9e4043fbbb7_7" w:history="1">
        <w:r>
          <w:rPr>
            <w:rStyle w:val="a3"/>
            <w:rFonts w:eastAsia="Times New Roman"/>
            <w:sz w:val="20"/>
            <w:szCs w:val="20"/>
          </w:rPr>
          <w:t>Tabl</w:t>
        </w:r>
        <w:r>
          <w:rPr>
            <w:rStyle w:val="a3"/>
            <w:rFonts w:eastAsia="Times New Roman"/>
            <w:sz w:val="20"/>
            <w:szCs w:val="20"/>
          </w:rPr>
          <w:t>e of Contents</w:t>
        </w:r>
      </w:hyperlink>
    </w:p>
    <w:p w:rsidR="00000000" w:rsidRDefault="00183441">
      <w:pPr>
        <w:divId w:val="1348290755"/>
        <w:rPr>
          <w:rFonts w:eastAsia="Times New Roman"/>
        </w:rPr>
      </w:pPr>
      <w:r>
        <w:rPr>
          <w:rFonts w:eastAsia="Times New Roman"/>
          <w:b/>
          <w:bCs/>
          <w:color w:val="000000"/>
          <w:sz w:val="20"/>
          <w:szCs w:val="20"/>
        </w:rPr>
        <w:t>Item 6. Exhibits</w:t>
      </w:r>
    </w:p>
    <w:p w:rsidR="00000000" w:rsidRDefault="00183441">
      <w:pPr>
        <w:jc w:val="center"/>
        <w:divId w:val="1821993961"/>
        <w:rPr>
          <w:rFonts w:eastAsia="Times New Roman"/>
        </w:rPr>
      </w:pPr>
      <w:r>
        <w:rPr>
          <w:rFonts w:eastAsia="Times New Roman"/>
          <w:b/>
          <w:bCs/>
          <w:color w:val="000000"/>
          <w:sz w:val="20"/>
          <w:szCs w:val="20"/>
          <w:u w:val="single"/>
        </w:rPr>
        <w:t>Exhibit Index</w:t>
      </w:r>
    </w:p>
    <w:tbl>
      <w:tblPr>
        <w:tblW w:w="5000" w:type="pct"/>
        <w:tblCellMar>
          <w:top w:w="15" w:type="dxa"/>
          <w:left w:w="15" w:type="dxa"/>
          <w:bottom w:w="15" w:type="dxa"/>
          <w:right w:w="15" w:type="dxa"/>
        </w:tblCellMar>
        <w:tblLook w:val="04A0" w:firstRow="1" w:lastRow="0" w:firstColumn="1" w:lastColumn="0" w:noHBand="0" w:noVBand="1"/>
      </w:tblPr>
      <w:tblGrid>
        <w:gridCol w:w="64"/>
        <w:gridCol w:w="907"/>
        <w:gridCol w:w="38"/>
        <w:gridCol w:w="36"/>
        <w:gridCol w:w="36"/>
        <w:gridCol w:w="36"/>
        <w:gridCol w:w="46"/>
        <w:gridCol w:w="7106"/>
        <w:gridCol w:w="37"/>
      </w:tblGrid>
      <w:tr w:rsidR="00000000">
        <w:trPr>
          <w:divId w:val="1774323563"/>
        </w:trPr>
        <w:tc>
          <w:tcPr>
            <w:tcW w:w="50" w:type="pct"/>
            <w:vAlign w:val="center"/>
            <w:hideMark/>
          </w:tcPr>
          <w:p w:rsidR="00000000" w:rsidRDefault="00183441">
            <w:pPr>
              <w:jc w:val="center"/>
              <w:rPr>
                <w:rFonts w:eastAsia="Times New Roman"/>
              </w:rPr>
            </w:pPr>
          </w:p>
        </w:tc>
        <w:tc>
          <w:tcPr>
            <w:tcW w:w="562"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27"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429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b/>
                <w:bCs/>
                <w:color w:val="000000"/>
                <w:sz w:val="20"/>
                <w:szCs w:val="20"/>
              </w:rPr>
              <w:t>Exhibit No.</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b/>
                <w:bCs/>
                <w:color w:val="000000"/>
                <w:sz w:val="20"/>
                <w:szCs w:val="20"/>
              </w:rPr>
              <w:t>Exhibit Description</w:t>
            </w:r>
          </w:p>
        </w:tc>
      </w:tr>
      <w:tr w:rsidR="00000000">
        <w:trPr>
          <w:divId w:val="1774323563"/>
        </w:trPr>
        <w:tc>
          <w:tcPr>
            <w:tcW w:w="0" w:type="auto"/>
            <w:gridSpan w:val="3"/>
            <w:tcBorders>
              <w:top w:val="single" w:sz="8" w:space="0" w:color="000000"/>
            </w:tcBorders>
            <w:tcMar>
              <w:top w:w="30" w:type="dxa"/>
              <w:left w:w="20" w:type="dxa"/>
              <w:bottom w:w="30" w:type="dxa"/>
              <w:right w:w="20" w:type="dxa"/>
            </w:tcMar>
            <w:hideMark/>
          </w:tcPr>
          <w:p w:rsidR="00000000" w:rsidRDefault="00183441">
            <w:pPr>
              <w:spacing w:after="100"/>
              <w:divId w:val="1684437756"/>
              <w:rPr>
                <w:rFonts w:eastAsia="Times New Roman"/>
              </w:rPr>
            </w:pPr>
            <w:hyperlink r:id="rId4" w:history="1">
              <w:r>
                <w:rPr>
                  <w:rStyle w:val="a3"/>
                  <w:rFonts w:eastAsia="Times New Roman"/>
                  <w:sz w:val="20"/>
                  <w:szCs w:val="20"/>
                </w:rPr>
                <w:t>3.1</w:t>
              </w:r>
            </w:hyperlink>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183441">
            <w:pPr>
              <w:spacing w:after="100"/>
              <w:jc w:val="both"/>
              <w:rPr>
                <w:rFonts w:eastAsia="Times New Roman"/>
              </w:rPr>
            </w:pPr>
            <w:r>
              <w:rPr>
                <w:rFonts w:eastAsia="Times New Roman"/>
                <w:color w:val="000000"/>
                <w:sz w:val="20"/>
                <w:szCs w:val="20"/>
              </w:rPr>
              <w:t>Third Amended and Restated Certificate of Incorporation of National Vision Holdings, Inc. -incorporated herein by reference to Exhibi</w:t>
            </w:r>
            <w:r>
              <w:rPr>
                <w:rFonts w:eastAsia="Times New Roman"/>
                <w:color w:val="000000"/>
                <w:sz w:val="20"/>
                <w:szCs w:val="20"/>
              </w:rPr>
              <w:t>t 3.1 to the Company’s Current Report on Form 8-K filed on June 10, 2021.</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divId w:val="995382501"/>
              <w:rPr>
                <w:rFonts w:eastAsia="Times New Roman"/>
              </w:rPr>
            </w:pPr>
            <w:hyperlink r:id="rId5" w:history="1">
              <w:r>
                <w:rPr>
                  <w:rStyle w:val="a3"/>
                  <w:rFonts w:eastAsia="Times New Roman"/>
                  <w:sz w:val="20"/>
                  <w:szCs w:val="20"/>
                </w:rPr>
                <w:t>3.2</w:t>
              </w:r>
            </w:hyperlink>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jc w:val="both"/>
              <w:rPr>
                <w:rFonts w:eastAsia="Times New Roman"/>
              </w:rPr>
            </w:pPr>
            <w:r>
              <w:rPr>
                <w:rFonts w:eastAsia="Times New Roman"/>
                <w:color w:val="000000"/>
                <w:sz w:val="20"/>
                <w:szCs w:val="20"/>
              </w:rPr>
              <w:t xml:space="preserve">Third Amended and Restated Bylaws of National Vision </w:t>
            </w:r>
            <w:r>
              <w:rPr>
                <w:rFonts w:eastAsia="Times New Roman"/>
                <w:color w:val="000000"/>
                <w:sz w:val="20"/>
                <w:szCs w:val="20"/>
              </w:rPr>
              <w:t>Holdings, Inc. -incorporated herein by reference to Exhibit 3.2 to the Company’s Current Report on Form 8-K filed on June 10, 2021.</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divId w:val="105662215"/>
              <w:rPr>
                <w:rFonts w:eastAsia="Times New Roman"/>
              </w:rPr>
            </w:pPr>
            <w:hyperlink r:id="rId6" w:history="1">
              <w:r>
                <w:rPr>
                  <w:rStyle w:val="a3"/>
                  <w:rFonts w:eastAsia="Times New Roman"/>
                  <w:sz w:val="20"/>
                  <w:szCs w:val="20"/>
                </w:rPr>
                <w:t>31.1</w:t>
              </w:r>
            </w:hyperlink>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jc w:val="both"/>
              <w:rPr>
                <w:rFonts w:eastAsia="Times New Roman"/>
              </w:rPr>
            </w:pPr>
            <w:r>
              <w:rPr>
                <w:rFonts w:eastAsia="Times New Roman"/>
                <w:color w:val="000000"/>
                <w:sz w:val="20"/>
                <w:szCs w:val="20"/>
              </w:rPr>
              <w:t>Certification of Periodic Report by Chief Executive Officer under Section 302 of the Sarbanes-Oxley Act of 2002 (filed herewith).</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divId w:val="1653558734"/>
              <w:rPr>
                <w:rFonts w:eastAsia="Times New Roman"/>
              </w:rPr>
            </w:pPr>
            <w:hyperlink r:id="rId7" w:history="1">
              <w:r>
                <w:rPr>
                  <w:rStyle w:val="a3"/>
                  <w:rFonts w:eastAsia="Times New Roman"/>
                  <w:sz w:val="20"/>
                  <w:szCs w:val="20"/>
                </w:rPr>
                <w:t>31.2</w:t>
              </w:r>
            </w:hyperlink>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jc w:val="both"/>
              <w:rPr>
                <w:rFonts w:eastAsia="Times New Roman"/>
              </w:rPr>
            </w:pPr>
            <w:r>
              <w:rPr>
                <w:rFonts w:eastAsia="Times New Roman"/>
                <w:color w:val="000000"/>
                <w:sz w:val="20"/>
                <w:szCs w:val="20"/>
              </w:rPr>
              <w:t>Certification of Periodic Report by Chief Financial Officer under</w:t>
            </w:r>
            <w:r>
              <w:rPr>
                <w:rFonts w:eastAsia="Times New Roman"/>
                <w:color w:val="000000"/>
                <w:sz w:val="20"/>
                <w:szCs w:val="20"/>
              </w:rPr>
              <w:t xml:space="preserve"> Section 302 of the Sarbanes-Oxley Act of 2002 (filed herewith).</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divId w:val="1781221905"/>
              <w:rPr>
                <w:rFonts w:eastAsia="Times New Roman"/>
              </w:rPr>
            </w:pPr>
            <w:hyperlink r:id="rId8" w:history="1">
              <w:r>
                <w:rPr>
                  <w:rStyle w:val="a3"/>
                  <w:rFonts w:eastAsia="Times New Roman"/>
                  <w:sz w:val="20"/>
                  <w:szCs w:val="20"/>
                </w:rPr>
                <w:t>32.1</w:t>
              </w:r>
            </w:hyperlink>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jc w:val="both"/>
              <w:rPr>
                <w:rFonts w:eastAsia="Times New Roman"/>
              </w:rPr>
            </w:pPr>
            <w:r>
              <w:rPr>
                <w:rFonts w:eastAsia="Times New Roman"/>
                <w:color w:val="000000"/>
                <w:sz w:val="20"/>
                <w:szCs w:val="20"/>
              </w:rPr>
              <w:t>Certification of Chief Executive Officer Pursuant to 18 U.S.C. Section 1350 as Adopted Pursuant to Section 906 of the Sarbanes-Oxl</w:t>
            </w:r>
            <w:r>
              <w:rPr>
                <w:rFonts w:eastAsia="Times New Roman"/>
                <w:color w:val="000000"/>
                <w:sz w:val="20"/>
                <w:szCs w:val="20"/>
              </w:rPr>
              <w:t>ey Act of 2002 (furnished herewith).</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divId w:val="146556766"/>
              <w:rPr>
                <w:rFonts w:eastAsia="Times New Roman"/>
              </w:rPr>
            </w:pPr>
            <w:hyperlink r:id="rId9" w:history="1">
              <w:r>
                <w:rPr>
                  <w:rStyle w:val="a3"/>
                  <w:rFonts w:eastAsia="Times New Roman"/>
                  <w:sz w:val="20"/>
                  <w:szCs w:val="20"/>
                </w:rPr>
                <w:t>32.2</w:t>
              </w:r>
            </w:hyperlink>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jc w:val="both"/>
              <w:rPr>
                <w:rFonts w:eastAsia="Times New Roman"/>
              </w:rPr>
            </w:pPr>
            <w:r>
              <w:rPr>
                <w:rFonts w:eastAsia="Times New Roman"/>
                <w:color w:val="000000"/>
                <w:sz w:val="20"/>
                <w:szCs w:val="20"/>
              </w:rPr>
              <w:t>Certification of Chief Financial Officer Pursuant to 18 U.S.C. Section 1350 as Adopted Pursuant to Section 906 of the Sarbanes-Oxley Act of 2002 (furnished herewith).</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101.INS</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jc w:val="both"/>
              <w:rPr>
                <w:rFonts w:eastAsia="Times New Roman"/>
              </w:rPr>
            </w:pPr>
            <w:r>
              <w:rPr>
                <w:rFonts w:eastAsia="Times New Roman"/>
                <w:color w:val="000000"/>
                <w:sz w:val="20"/>
                <w:szCs w:val="20"/>
              </w:rPr>
              <w:t xml:space="preserve">Inline XBRL Instance Document - the instance document does not appear in </w:t>
            </w:r>
            <w:r>
              <w:rPr>
                <w:rFonts w:eastAsia="Times New Roman"/>
                <w:color w:val="000000"/>
                <w:sz w:val="20"/>
                <w:szCs w:val="20"/>
              </w:rPr>
              <w:t>the Interactive Data File because its XBRL tags are embedded within Inline XBRL document</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101.SCH</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Inline XBRL Taxonomy Extension Schema Document.</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101.CAL</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Inline XBRL Taxonomy Extension Calculation Linkbase Document.</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101.DEF</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Inline XBRL Taxonomy Extension Definition Linkbase Document.</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101.LAB</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Inline XBRL Taxonomy Extension Label Linkbase Document.</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101.PRE</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Inline XBRL Taxonomy Extension Presentation Linkbase Document.</w:t>
            </w:r>
          </w:p>
        </w:tc>
      </w:tr>
      <w:tr w:rsidR="00000000">
        <w:trPr>
          <w:divId w:val="1774323563"/>
        </w:trPr>
        <w:tc>
          <w:tcPr>
            <w:tcW w:w="0" w:type="auto"/>
            <w:gridSpan w:val="3"/>
            <w:tcMar>
              <w:top w:w="30" w:type="dxa"/>
              <w:left w:w="20" w:type="dxa"/>
              <w:bottom w:w="30" w:type="dxa"/>
              <w:right w:w="20" w:type="dxa"/>
            </w:tcMar>
            <w:hideMark/>
          </w:tcPr>
          <w:p w:rsidR="00000000" w:rsidRDefault="00183441">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183441">
            <w:pPr>
              <w:spacing w:after="100"/>
              <w:rPr>
                <w:rFonts w:eastAsia="Times New Roman"/>
              </w:rPr>
            </w:pPr>
          </w:p>
        </w:tc>
        <w:tc>
          <w:tcPr>
            <w:tcW w:w="0" w:type="auto"/>
            <w:gridSpan w:val="3"/>
            <w:tcMar>
              <w:top w:w="30" w:type="dxa"/>
              <w:left w:w="20" w:type="dxa"/>
              <w:bottom w:w="30" w:type="dxa"/>
              <w:right w:w="20" w:type="dxa"/>
            </w:tcMar>
            <w:hideMark/>
          </w:tcPr>
          <w:p w:rsidR="00000000" w:rsidRDefault="00183441">
            <w:pPr>
              <w:spacing w:after="100"/>
              <w:jc w:val="both"/>
              <w:rPr>
                <w:rFonts w:eastAsia="Times New Roman"/>
              </w:rPr>
            </w:pPr>
            <w:r>
              <w:rPr>
                <w:rFonts w:eastAsia="Times New Roman"/>
                <w:color w:val="000000"/>
                <w:sz w:val="20"/>
                <w:szCs w:val="20"/>
              </w:rPr>
              <w:t>The cover page of the Company’</w:t>
            </w:r>
            <w:r>
              <w:rPr>
                <w:rFonts w:eastAsia="Times New Roman"/>
                <w:color w:val="000000"/>
                <w:sz w:val="20"/>
                <w:szCs w:val="20"/>
              </w:rPr>
              <w:t>s Quarterly report on Form 10-Q for the quarter ended October 1, 2022, formatted in Inline XBRL (included within the Exhibit 101 attachments)</w:t>
            </w:r>
          </w:p>
        </w:tc>
      </w:tr>
    </w:tbl>
    <w:p w:rsidR="00000000" w:rsidRDefault="00183441">
      <w:pPr>
        <w:divId w:val="197550466"/>
        <w:rPr>
          <w:rFonts w:eastAsia="Times New Roman"/>
        </w:rPr>
      </w:pPr>
    </w:p>
    <w:p w:rsidR="00000000" w:rsidRDefault="00183441">
      <w:pPr>
        <w:jc w:val="center"/>
        <w:divId w:val="1400514486"/>
        <w:rPr>
          <w:rFonts w:eastAsia="Times New Roman"/>
        </w:rPr>
      </w:pPr>
      <w:r>
        <w:rPr>
          <w:rFonts w:eastAsia="Times New Roman"/>
          <w:color w:val="000000"/>
          <w:sz w:val="20"/>
          <w:szCs w:val="20"/>
        </w:rPr>
        <w:t>42</w:t>
      </w:r>
    </w:p>
    <w:p w:rsidR="00000000" w:rsidRDefault="00183441">
      <w:pPr>
        <w:rPr>
          <w:rFonts w:eastAsia="Times New Roman"/>
        </w:rPr>
      </w:pPr>
      <w:r>
        <w:rPr>
          <w:rFonts w:eastAsia="Times New Roman"/>
        </w:rPr>
        <w:pict>
          <v:rect id="_x0000_i1066" style="width:0;height:1.5pt" o:hralign="center" o:hrstd="t" o:hr="t" fillcolor="#a0a0a0" stroked="f"/>
        </w:pict>
      </w:r>
    </w:p>
    <w:p w:rsidR="00000000" w:rsidRDefault="00183441">
      <w:pPr>
        <w:divId w:val="1370648729"/>
        <w:rPr>
          <w:rFonts w:eastAsia="Times New Roman"/>
        </w:rPr>
      </w:pPr>
      <w:hyperlink w:anchor="i51b2a36d66cb4139a869f9e4043fbbb7_7" w:history="1">
        <w:r>
          <w:rPr>
            <w:rStyle w:val="a3"/>
            <w:rFonts w:eastAsia="Times New Roman"/>
            <w:sz w:val="20"/>
            <w:szCs w:val="20"/>
          </w:rPr>
          <w:t>Table of Contents</w:t>
        </w:r>
      </w:hyperlink>
    </w:p>
    <w:p w:rsidR="00000000" w:rsidRDefault="00183441">
      <w:pPr>
        <w:jc w:val="center"/>
        <w:divId w:val="504785953"/>
        <w:rPr>
          <w:rFonts w:eastAsia="Times New Roman"/>
        </w:rPr>
      </w:pPr>
      <w:r>
        <w:rPr>
          <w:rFonts w:eastAsia="Times New Roman"/>
          <w:b/>
          <w:bCs/>
          <w:color w:val="000000"/>
          <w:sz w:val="20"/>
          <w:szCs w:val="20"/>
        </w:rPr>
        <w:t>Signatures</w:t>
      </w:r>
    </w:p>
    <w:p w:rsidR="00000000" w:rsidRDefault="00183441">
      <w:pPr>
        <w:divId w:val="1540894885"/>
        <w:rPr>
          <w:rFonts w:eastAsia="Times New Roman"/>
        </w:rPr>
      </w:pPr>
      <w:r>
        <w:rPr>
          <w:rFonts w:eastAsia="Times New Roman"/>
          <w:color w:val="000000"/>
          <w:sz w:val="20"/>
          <w:szCs w:val="20"/>
        </w:rPr>
        <w:t>Pursuant to the requirements of the Securities Exchange Act of 1934, the registrant has duly caused this report to be signed on its b</w:t>
      </w:r>
      <w:r>
        <w:rPr>
          <w:rFonts w:eastAsia="Times New Roman"/>
          <w:color w:val="000000"/>
          <w:sz w:val="20"/>
          <w:szCs w:val="20"/>
        </w:rPr>
        <w:t>ehalf by the undersigned thereunto duly authorized.</w:t>
      </w:r>
    </w:p>
    <w:tbl>
      <w:tblPr>
        <w:tblW w:w="5000" w:type="pct"/>
        <w:tblCellMar>
          <w:top w:w="15" w:type="dxa"/>
          <w:left w:w="15" w:type="dxa"/>
          <w:bottom w:w="15" w:type="dxa"/>
          <w:right w:w="15" w:type="dxa"/>
        </w:tblCellMar>
        <w:tblLook w:val="04A0" w:firstRow="1" w:lastRow="0" w:firstColumn="1" w:lastColumn="0" w:noHBand="0" w:noVBand="1"/>
      </w:tblPr>
      <w:tblGrid>
        <w:gridCol w:w="68"/>
        <w:gridCol w:w="3980"/>
        <w:gridCol w:w="36"/>
        <w:gridCol w:w="74"/>
        <w:gridCol w:w="262"/>
        <w:gridCol w:w="38"/>
        <w:gridCol w:w="69"/>
        <w:gridCol w:w="3742"/>
        <w:gridCol w:w="37"/>
      </w:tblGrid>
      <w:tr w:rsidR="00000000">
        <w:trPr>
          <w:divId w:val="246689980"/>
        </w:trPr>
        <w:tc>
          <w:tcPr>
            <w:tcW w:w="50" w:type="pct"/>
            <w:vAlign w:val="center"/>
            <w:hideMark/>
          </w:tcPr>
          <w:p w:rsidR="00000000" w:rsidRDefault="00183441">
            <w:pPr>
              <w:rPr>
                <w:rFonts w:eastAsia="Times New Roman"/>
              </w:rPr>
            </w:pPr>
          </w:p>
        </w:tc>
        <w:tc>
          <w:tcPr>
            <w:tcW w:w="2404"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169"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c>
          <w:tcPr>
            <w:tcW w:w="50" w:type="pct"/>
            <w:vAlign w:val="center"/>
            <w:hideMark/>
          </w:tcPr>
          <w:p w:rsidR="00000000" w:rsidRDefault="00183441">
            <w:pPr>
              <w:spacing w:after="100"/>
              <w:rPr>
                <w:rFonts w:eastAsia="Times New Roman"/>
                <w:sz w:val="20"/>
                <w:szCs w:val="20"/>
              </w:rPr>
            </w:pPr>
          </w:p>
        </w:tc>
        <w:tc>
          <w:tcPr>
            <w:tcW w:w="2260" w:type="pct"/>
            <w:vAlign w:val="center"/>
            <w:hideMark/>
          </w:tcPr>
          <w:p w:rsidR="00000000" w:rsidRDefault="00183441">
            <w:pPr>
              <w:spacing w:after="100"/>
              <w:rPr>
                <w:rFonts w:eastAsia="Times New Roman"/>
                <w:sz w:val="20"/>
                <w:szCs w:val="20"/>
              </w:rPr>
            </w:pPr>
          </w:p>
        </w:tc>
        <w:tc>
          <w:tcPr>
            <w:tcW w:w="5" w:type="pct"/>
            <w:vAlign w:val="center"/>
            <w:hideMark/>
          </w:tcPr>
          <w:p w:rsidR="00000000" w:rsidRDefault="00183441">
            <w:pPr>
              <w:spacing w:after="100"/>
              <w:rPr>
                <w:rFonts w:eastAsia="Times New Roman"/>
                <w:sz w:val="20"/>
                <w:szCs w:val="20"/>
              </w:rPr>
            </w:pPr>
          </w:p>
        </w:tc>
      </w:tr>
      <w:tr w:rsidR="00000000">
        <w:trPr>
          <w:divId w:val="2466899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National Vision Holdings, Inc.</w:t>
            </w:r>
          </w:p>
        </w:tc>
      </w:tr>
      <w:tr w:rsidR="00000000">
        <w:trPr>
          <w:divId w:val="2466899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6"/>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r>
      <w:tr w:rsidR="00000000">
        <w:trPr>
          <w:divId w:val="2466899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Dated: November 10, 2022</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 L. Reade Fahs</w:t>
            </w:r>
          </w:p>
        </w:tc>
      </w:tr>
      <w:tr w:rsidR="00000000">
        <w:trPr>
          <w:divId w:val="2466899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Chief Executive Officer and Director</w:t>
            </w:r>
          </w:p>
        </w:tc>
      </w:tr>
      <w:tr w:rsidR="00000000">
        <w:trPr>
          <w:divId w:val="2466899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(Principal Executive Officer)</w:t>
            </w:r>
          </w:p>
        </w:tc>
      </w:tr>
      <w:tr w:rsidR="00000000">
        <w:trPr>
          <w:divId w:val="2466899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r>
      <w:tr w:rsidR="00000000">
        <w:trPr>
          <w:divId w:val="2466899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Dated: November 10, 2022</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/s/ Patrick R. Moore</w:t>
            </w:r>
          </w:p>
        </w:tc>
      </w:tr>
      <w:tr w:rsidR="00000000">
        <w:trPr>
          <w:divId w:val="2466899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b/>
                <w:bCs/>
                <w:color w:val="000000"/>
                <w:sz w:val="20"/>
                <w:szCs w:val="20"/>
              </w:rPr>
              <w:t>Senior Vice President, Chief Operating and Financial Officer</w:t>
            </w:r>
          </w:p>
        </w:tc>
      </w:tr>
      <w:tr w:rsidR="00000000">
        <w:trPr>
          <w:divId w:val="246689980"/>
        </w:trPr>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color w:val="000000"/>
                <w:sz w:val="20"/>
                <w:szCs w:val="20"/>
              </w:rPr>
              <w:t> </w:t>
            </w:r>
          </w:p>
        </w:tc>
        <w:tc>
          <w:tcPr>
            <w:tcW w:w="0" w:type="auto"/>
            <w:gridSpan w:val="3"/>
            <w:tcMar>
              <w:top w:w="30" w:type="dxa"/>
              <w:left w:w="20" w:type="dxa"/>
              <w:bottom w:w="30" w:type="dxa"/>
              <w:right w:w="20" w:type="dxa"/>
            </w:tcMar>
            <w:vAlign w:val="bottom"/>
            <w:hideMark/>
          </w:tcPr>
          <w:p w:rsidR="00000000" w:rsidRDefault="00183441">
            <w:pPr>
              <w:spacing w:after="100"/>
              <w:rPr>
                <w:rFonts w:eastAsia="Times New Roman"/>
              </w:rPr>
            </w:pPr>
            <w:r>
              <w:rPr>
                <w:rFonts w:eastAsia="Times New Roman"/>
                <w:i/>
                <w:iCs/>
                <w:color w:val="000000"/>
                <w:sz w:val="20"/>
                <w:szCs w:val="20"/>
              </w:rPr>
              <w:t xml:space="preserve">(Principal Financial Officer) </w:t>
            </w:r>
          </w:p>
        </w:tc>
      </w:tr>
    </w:tbl>
    <w:p w:rsidR="00183441" w:rsidRDefault="00183441">
      <w:pPr>
        <w:jc w:val="center"/>
        <w:divId w:val="671299257"/>
        <w:rPr>
          <w:rFonts w:eastAsia="Times New Roman"/>
        </w:rPr>
      </w:pPr>
      <w:r>
        <w:rPr>
          <w:rFonts w:eastAsia="Times New Roman"/>
          <w:color w:val="000000"/>
          <w:sz w:val="20"/>
          <w:szCs w:val="20"/>
        </w:rPr>
        <w:t>43</w:t>
      </w:r>
    </w:p>
    <w:sectPr w:rsidR="00183441">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83441"/>
    <w:rsid w:val="00183441"/>
  </w:rsids>
  <m:mathPr>
    <m:mathFont m:val="Cambria Math"/>
    <m:brkBin m:val="before"/>
    <m:brkBinSub m:val="--"/>
    <m:smallFrac m:val="0"/>
    <m:dispDef/>
    <m:lMargin m:val="0"/>
    <m:rMargin m:val="0"/>
    <m:defJc m:val="centerGroup"/>
    <m:wrapIndent m:val="1440"/>
    <m:intLim m:val="subSup"/>
    <m:naryLim m:val="undOvr"/>
  </m:mathPr>
  <w:attachedSchema w:val="http://www.sec.gov/inlineXBRL/transformation/2015-08-31"/>
  <w:attachedSchema w:val="http://xbrl.org/2006/xbrldi"/>
  <w:attachedSchema w:val="http://www.nationalvision.com/20221001"/>
  <w:attachedSchema w:val="http://www.xbrl.org/2003/linkbase"/>
  <w:attachedSchema w:val="http://fasb.org/us-gaap/2022"/>
  <w:attachedSchema w:val="http://www.xbrl.org/2003/iso4217"/>
  <w:attachedSchema w:val="http://fasb.org/srt/2022"/>
  <w:attachedSchema w:val="http://www.xbrl.org/inlineXBRL/transformation/2020-02-12"/>
  <w:attachedSchema w:val="http://xbrl.sec.gov/dei/2022"/>
  <w:attachedSchema w:val="http://www.xbrl.org/2003/instance"/>
  <w:attachedSchema w:val="http://www.w3.org/1999/xlink"/>
  <w:attachedSchema w:val="http://www.xbrl.org/2013/inlineXBRL"/>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452">
      <w:marLeft w:val="0"/>
      <w:marRight w:val="0"/>
      <w:marTop w:val="0"/>
      <w:marBottom w:val="120"/>
      <w:divBdr>
        <w:top w:val="none" w:sz="0" w:space="0" w:color="auto"/>
        <w:left w:val="none" w:sz="0" w:space="0" w:color="auto"/>
        <w:bottom w:val="none" w:sz="0" w:space="0" w:color="auto"/>
        <w:right w:val="none" w:sz="0" w:space="0" w:color="auto"/>
      </w:divBdr>
    </w:div>
    <w:div w:id="2903197">
      <w:marLeft w:val="0"/>
      <w:marRight w:val="0"/>
      <w:marTop w:val="0"/>
      <w:marBottom w:val="0"/>
      <w:divBdr>
        <w:top w:val="none" w:sz="0" w:space="0" w:color="auto"/>
        <w:left w:val="none" w:sz="0" w:space="0" w:color="auto"/>
        <w:bottom w:val="none" w:sz="0" w:space="0" w:color="auto"/>
        <w:right w:val="none" w:sz="0" w:space="0" w:color="auto"/>
      </w:divBdr>
    </w:div>
    <w:div w:id="12805742">
      <w:marLeft w:val="0"/>
      <w:marRight w:val="0"/>
      <w:marTop w:val="0"/>
      <w:marBottom w:val="120"/>
      <w:divBdr>
        <w:top w:val="none" w:sz="0" w:space="0" w:color="auto"/>
        <w:left w:val="none" w:sz="0" w:space="0" w:color="auto"/>
        <w:bottom w:val="none" w:sz="0" w:space="0" w:color="auto"/>
        <w:right w:val="none" w:sz="0" w:space="0" w:color="auto"/>
      </w:divBdr>
    </w:div>
    <w:div w:id="29502420">
      <w:marLeft w:val="0"/>
      <w:marRight w:val="0"/>
      <w:marTop w:val="0"/>
      <w:marBottom w:val="120"/>
      <w:divBdr>
        <w:top w:val="none" w:sz="0" w:space="0" w:color="auto"/>
        <w:left w:val="none" w:sz="0" w:space="0" w:color="auto"/>
        <w:bottom w:val="none" w:sz="0" w:space="0" w:color="auto"/>
        <w:right w:val="none" w:sz="0" w:space="0" w:color="auto"/>
      </w:divBdr>
    </w:div>
    <w:div w:id="34427575">
      <w:marLeft w:val="0"/>
      <w:marRight w:val="0"/>
      <w:marTop w:val="0"/>
      <w:marBottom w:val="120"/>
      <w:divBdr>
        <w:top w:val="none" w:sz="0" w:space="0" w:color="auto"/>
        <w:left w:val="none" w:sz="0" w:space="0" w:color="auto"/>
        <w:bottom w:val="none" w:sz="0" w:space="0" w:color="auto"/>
        <w:right w:val="none" w:sz="0" w:space="0" w:color="auto"/>
      </w:divBdr>
    </w:div>
    <w:div w:id="36321052">
      <w:marLeft w:val="0"/>
      <w:marRight w:val="0"/>
      <w:marTop w:val="0"/>
      <w:marBottom w:val="120"/>
      <w:divBdr>
        <w:top w:val="none" w:sz="0" w:space="0" w:color="auto"/>
        <w:left w:val="none" w:sz="0" w:space="0" w:color="auto"/>
        <w:bottom w:val="none" w:sz="0" w:space="0" w:color="auto"/>
        <w:right w:val="none" w:sz="0" w:space="0" w:color="auto"/>
      </w:divBdr>
    </w:div>
    <w:div w:id="38019213">
      <w:marLeft w:val="0"/>
      <w:marRight w:val="0"/>
      <w:marTop w:val="100"/>
      <w:marBottom w:val="0"/>
      <w:divBdr>
        <w:top w:val="none" w:sz="0" w:space="0" w:color="auto"/>
        <w:left w:val="none" w:sz="0" w:space="0" w:color="auto"/>
        <w:bottom w:val="none" w:sz="0" w:space="0" w:color="auto"/>
        <w:right w:val="none" w:sz="0" w:space="0" w:color="auto"/>
      </w:divBdr>
    </w:div>
    <w:div w:id="39747417">
      <w:marLeft w:val="0"/>
      <w:marRight w:val="0"/>
      <w:marTop w:val="0"/>
      <w:marBottom w:val="120"/>
      <w:divBdr>
        <w:top w:val="none" w:sz="0" w:space="0" w:color="auto"/>
        <w:left w:val="none" w:sz="0" w:space="0" w:color="auto"/>
        <w:bottom w:val="none" w:sz="0" w:space="0" w:color="auto"/>
        <w:right w:val="none" w:sz="0" w:space="0" w:color="auto"/>
      </w:divBdr>
    </w:div>
    <w:div w:id="40402715">
      <w:marLeft w:val="0"/>
      <w:marRight w:val="0"/>
      <w:marTop w:val="0"/>
      <w:marBottom w:val="0"/>
      <w:divBdr>
        <w:top w:val="none" w:sz="0" w:space="0" w:color="auto"/>
        <w:left w:val="none" w:sz="0" w:space="0" w:color="auto"/>
        <w:bottom w:val="none" w:sz="0" w:space="0" w:color="auto"/>
        <w:right w:val="none" w:sz="0" w:space="0" w:color="auto"/>
      </w:divBdr>
      <w:divsChild>
        <w:div w:id="583027057">
          <w:marLeft w:val="0"/>
          <w:marRight w:val="0"/>
          <w:marTop w:val="0"/>
          <w:marBottom w:val="0"/>
          <w:divBdr>
            <w:top w:val="none" w:sz="0" w:space="0" w:color="auto"/>
            <w:left w:val="none" w:sz="0" w:space="0" w:color="auto"/>
            <w:bottom w:val="none" w:sz="0" w:space="0" w:color="auto"/>
            <w:right w:val="none" w:sz="0" w:space="0" w:color="auto"/>
          </w:divBdr>
        </w:div>
      </w:divsChild>
    </w:div>
    <w:div w:id="40981925">
      <w:marLeft w:val="0"/>
      <w:marRight w:val="0"/>
      <w:marTop w:val="0"/>
      <w:marBottom w:val="120"/>
      <w:divBdr>
        <w:top w:val="none" w:sz="0" w:space="0" w:color="auto"/>
        <w:left w:val="none" w:sz="0" w:space="0" w:color="auto"/>
        <w:bottom w:val="none" w:sz="0" w:space="0" w:color="auto"/>
        <w:right w:val="none" w:sz="0" w:space="0" w:color="auto"/>
      </w:divBdr>
    </w:div>
    <w:div w:id="41104084">
      <w:marLeft w:val="0"/>
      <w:marRight w:val="0"/>
      <w:marTop w:val="0"/>
      <w:marBottom w:val="120"/>
      <w:divBdr>
        <w:top w:val="none" w:sz="0" w:space="0" w:color="auto"/>
        <w:left w:val="none" w:sz="0" w:space="0" w:color="auto"/>
        <w:bottom w:val="none" w:sz="0" w:space="0" w:color="auto"/>
        <w:right w:val="none" w:sz="0" w:space="0" w:color="auto"/>
      </w:divBdr>
    </w:div>
    <w:div w:id="44910640">
      <w:marLeft w:val="0"/>
      <w:marRight w:val="0"/>
      <w:marTop w:val="0"/>
      <w:marBottom w:val="120"/>
      <w:divBdr>
        <w:top w:val="none" w:sz="0" w:space="0" w:color="auto"/>
        <w:left w:val="none" w:sz="0" w:space="0" w:color="auto"/>
        <w:bottom w:val="none" w:sz="0" w:space="0" w:color="auto"/>
        <w:right w:val="none" w:sz="0" w:space="0" w:color="auto"/>
      </w:divBdr>
    </w:div>
    <w:div w:id="49035961">
      <w:marLeft w:val="0"/>
      <w:marRight w:val="0"/>
      <w:marTop w:val="0"/>
      <w:marBottom w:val="0"/>
      <w:divBdr>
        <w:top w:val="none" w:sz="0" w:space="0" w:color="auto"/>
        <w:left w:val="none" w:sz="0" w:space="0" w:color="auto"/>
        <w:bottom w:val="none" w:sz="0" w:space="0" w:color="auto"/>
        <w:right w:val="none" w:sz="0" w:space="0" w:color="auto"/>
      </w:divBdr>
      <w:divsChild>
        <w:div w:id="762069020">
          <w:marLeft w:val="0"/>
          <w:marRight w:val="0"/>
          <w:marTop w:val="0"/>
          <w:marBottom w:val="0"/>
          <w:divBdr>
            <w:top w:val="none" w:sz="0" w:space="0" w:color="auto"/>
            <w:left w:val="none" w:sz="0" w:space="0" w:color="auto"/>
            <w:bottom w:val="none" w:sz="0" w:space="0" w:color="auto"/>
            <w:right w:val="none" w:sz="0" w:space="0" w:color="auto"/>
          </w:divBdr>
        </w:div>
      </w:divsChild>
    </w:div>
    <w:div w:id="50346716">
      <w:marLeft w:val="0"/>
      <w:marRight w:val="0"/>
      <w:marTop w:val="0"/>
      <w:marBottom w:val="120"/>
      <w:divBdr>
        <w:top w:val="none" w:sz="0" w:space="0" w:color="auto"/>
        <w:left w:val="none" w:sz="0" w:space="0" w:color="auto"/>
        <w:bottom w:val="none" w:sz="0" w:space="0" w:color="auto"/>
        <w:right w:val="none" w:sz="0" w:space="0" w:color="auto"/>
      </w:divBdr>
    </w:div>
    <w:div w:id="52509263">
      <w:marLeft w:val="0"/>
      <w:marRight w:val="0"/>
      <w:marTop w:val="0"/>
      <w:marBottom w:val="0"/>
      <w:divBdr>
        <w:top w:val="none" w:sz="0" w:space="0" w:color="auto"/>
        <w:left w:val="none" w:sz="0" w:space="0" w:color="auto"/>
        <w:bottom w:val="none" w:sz="0" w:space="0" w:color="auto"/>
        <w:right w:val="none" w:sz="0" w:space="0" w:color="auto"/>
      </w:divBdr>
      <w:divsChild>
        <w:div w:id="2057463285">
          <w:marLeft w:val="0"/>
          <w:marRight w:val="0"/>
          <w:marTop w:val="0"/>
          <w:marBottom w:val="0"/>
          <w:divBdr>
            <w:top w:val="none" w:sz="0" w:space="0" w:color="auto"/>
            <w:left w:val="none" w:sz="0" w:space="0" w:color="auto"/>
            <w:bottom w:val="none" w:sz="0" w:space="0" w:color="auto"/>
            <w:right w:val="none" w:sz="0" w:space="0" w:color="auto"/>
          </w:divBdr>
        </w:div>
      </w:divsChild>
    </w:div>
    <w:div w:id="53167077">
      <w:marLeft w:val="0"/>
      <w:marRight w:val="0"/>
      <w:marTop w:val="0"/>
      <w:marBottom w:val="0"/>
      <w:divBdr>
        <w:top w:val="none" w:sz="0" w:space="0" w:color="auto"/>
        <w:left w:val="none" w:sz="0" w:space="0" w:color="auto"/>
        <w:bottom w:val="none" w:sz="0" w:space="0" w:color="auto"/>
        <w:right w:val="none" w:sz="0" w:space="0" w:color="auto"/>
      </w:divBdr>
      <w:divsChild>
        <w:div w:id="55399039">
          <w:marLeft w:val="0"/>
          <w:marRight w:val="0"/>
          <w:marTop w:val="0"/>
          <w:marBottom w:val="0"/>
          <w:divBdr>
            <w:top w:val="none" w:sz="0" w:space="0" w:color="auto"/>
            <w:left w:val="none" w:sz="0" w:space="0" w:color="auto"/>
            <w:bottom w:val="none" w:sz="0" w:space="0" w:color="auto"/>
            <w:right w:val="none" w:sz="0" w:space="0" w:color="auto"/>
          </w:divBdr>
        </w:div>
        <w:div w:id="22098128">
          <w:marLeft w:val="0"/>
          <w:marRight w:val="0"/>
          <w:marTop w:val="0"/>
          <w:marBottom w:val="0"/>
          <w:divBdr>
            <w:top w:val="none" w:sz="0" w:space="0" w:color="auto"/>
            <w:left w:val="none" w:sz="0" w:space="0" w:color="auto"/>
            <w:bottom w:val="none" w:sz="0" w:space="0" w:color="auto"/>
            <w:right w:val="none" w:sz="0" w:space="0" w:color="auto"/>
          </w:divBdr>
        </w:div>
        <w:div w:id="796526229">
          <w:marLeft w:val="0"/>
          <w:marRight w:val="0"/>
          <w:marTop w:val="0"/>
          <w:marBottom w:val="0"/>
          <w:divBdr>
            <w:top w:val="none" w:sz="0" w:space="0" w:color="auto"/>
            <w:left w:val="none" w:sz="0" w:space="0" w:color="auto"/>
            <w:bottom w:val="none" w:sz="0" w:space="0" w:color="auto"/>
            <w:right w:val="none" w:sz="0" w:space="0" w:color="auto"/>
          </w:divBdr>
        </w:div>
      </w:divsChild>
    </w:div>
    <w:div w:id="54356934">
      <w:marLeft w:val="0"/>
      <w:marRight w:val="0"/>
      <w:marTop w:val="0"/>
      <w:marBottom w:val="60"/>
      <w:divBdr>
        <w:top w:val="none" w:sz="0" w:space="0" w:color="auto"/>
        <w:left w:val="none" w:sz="0" w:space="0" w:color="auto"/>
        <w:bottom w:val="none" w:sz="0" w:space="0" w:color="auto"/>
        <w:right w:val="none" w:sz="0" w:space="0" w:color="auto"/>
      </w:divBdr>
    </w:div>
    <w:div w:id="56125753">
      <w:marLeft w:val="0"/>
      <w:marRight w:val="0"/>
      <w:marTop w:val="0"/>
      <w:marBottom w:val="0"/>
      <w:divBdr>
        <w:top w:val="none" w:sz="0" w:space="0" w:color="auto"/>
        <w:left w:val="none" w:sz="0" w:space="0" w:color="auto"/>
        <w:bottom w:val="none" w:sz="0" w:space="0" w:color="auto"/>
        <w:right w:val="none" w:sz="0" w:space="0" w:color="auto"/>
      </w:divBdr>
      <w:divsChild>
        <w:div w:id="1056003655">
          <w:marLeft w:val="0"/>
          <w:marRight w:val="0"/>
          <w:marTop w:val="0"/>
          <w:marBottom w:val="0"/>
          <w:divBdr>
            <w:top w:val="none" w:sz="0" w:space="0" w:color="auto"/>
            <w:left w:val="none" w:sz="0" w:space="0" w:color="auto"/>
            <w:bottom w:val="none" w:sz="0" w:space="0" w:color="auto"/>
            <w:right w:val="none" w:sz="0" w:space="0" w:color="auto"/>
          </w:divBdr>
        </w:div>
      </w:divsChild>
    </w:div>
    <w:div w:id="57284518">
      <w:marLeft w:val="0"/>
      <w:marRight w:val="0"/>
      <w:marTop w:val="0"/>
      <w:marBottom w:val="120"/>
      <w:divBdr>
        <w:top w:val="none" w:sz="0" w:space="0" w:color="auto"/>
        <w:left w:val="none" w:sz="0" w:space="0" w:color="auto"/>
        <w:bottom w:val="none" w:sz="0" w:space="0" w:color="auto"/>
        <w:right w:val="none" w:sz="0" w:space="0" w:color="auto"/>
      </w:divBdr>
    </w:div>
    <w:div w:id="59251400">
      <w:marLeft w:val="0"/>
      <w:marRight w:val="0"/>
      <w:marTop w:val="0"/>
      <w:marBottom w:val="20"/>
      <w:divBdr>
        <w:top w:val="none" w:sz="0" w:space="0" w:color="auto"/>
        <w:left w:val="none" w:sz="0" w:space="0" w:color="auto"/>
        <w:bottom w:val="none" w:sz="0" w:space="0" w:color="auto"/>
        <w:right w:val="none" w:sz="0" w:space="0" w:color="auto"/>
      </w:divBdr>
    </w:div>
    <w:div w:id="59715055">
      <w:marLeft w:val="0"/>
      <w:marRight w:val="0"/>
      <w:marTop w:val="0"/>
      <w:marBottom w:val="0"/>
      <w:divBdr>
        <w:top w:val="none" w:sz="0" w:space="0" w:color="auto"/>
        <w:left w:val="none" w:sz="0" w:space="0" w:color="auto"/>
        <w:bottom w:val="none" w:sz="0" w:space="0" w:color="auto"/>
        <w:right w:val="none" w:sz="0" w:space="0" w:color="auto"/>
      </w:divBdr>
    </w:div>
    <w:div w:id="63643583">
      <w:marLeft w:val="0"/>
      <w:marRight w:val="0"/>
      <w:marTop w:val="0"/>
      <w:marBottom w:val="120"/>
      <w:divBdr>
        <w:top w:val="none" w:sz="0" w:space="0" w:color="auto"/>
        <w:left w:val="none" w:sz="0" w:space="0" w:color="auto"/>
        <w:bottom w:val="none" w:sz="0" w:space="0" w:color="auto"/>
        <w:right w:val="none" w:sz="0" w:space="0" w:color="auto"/>
      </w:divBdr>
    </w:div>
    <w:div w:id="69280010">
      <w:marLeft w:val="0"/>
      <w:marRight w:val="0"/>
      <w:marTop w:val="0"/>
      <w:marBottom w:val="120"/>
      <w:divBdr>
        <w:top w:val="none" w:sz="0" w:space="0" w:color="auto"/>
        <w:left w:val="none" w:sz="0" w:space="0" w:color="auto"/>
        <w:bottom w:val="none" w:sz="0" w:space="0" w:color="auto"/>
        <w:right w:val="none" w:sz="0" w:space="0" w:color="auto"/>
      </w:divBdr>
    </w:div>
    <w:div w:id="76830666">
      <w:marLeft w:val="0"/>
      <w:marRight w:val="0"/>
      <w:marTop w:val="0"/>
      <w:marBottom w:val="0"/>
      <w:divBdr>
        <w:top w:val="none" w:sz="0" w:space="0" w:color="auto"/>
        <w:left w:val="none" w:sz="0" w:space="0" w:color="auto"/>
        <w:bottom w:val="none" w:sz="0" w:space="0" w:color="auto"/>
        <w:right w:val="none" w:sz="0" w:space="0" w:color="auto"/>
      </w:divBdr>
    </w:div>
    <w:div w:id="85156729">
      <w:marLeft w:val="0"/>
      <w:marRight w:val="0"/>
      <w:marTop w:val="0"/>
      <w:marBottom w:val="0"/>
      <w:divBdr>
        <w:top w:val="none" w:sz="0" w:space="0" w:color="auto"/>
        <w:left w:val="none" w:sz="0" w:space="0" w:color="auto"/>
        <w:bottom w:val="none" w:sz="0" w:space="0" w:color="auto"/>
        <w:right w:val="none" w:sz="0" w:space="0" w:color="auto"/>
      </w:divBdr>
      <w:divsChild>
        <w:div w:id="465860183">
          <w:marLeft w:val="0"/>
          <w:marRight w:val="0"/>
          <w:marTop w:val="0"/>
          <w:marBottom w:val="0"/>
          <w:divBdr>
            <w:top w:val="none" w:sz="0" w:space="0" w:color="auto"/>
            <w:left w:val="none" w:sz="0" w:space="0" w:color="auto"/>
            <w:bottom w:val="none" w:sz="0" w:space="0" w:color="auto"/>
            <w:right w:val="none" w:sz="0" w:space="0" w:color="auto"/>
          </w:divBdr>
        </w:div>
        <w:div w:id="171191496">
          <w:marLeft w:val="0"/>
          <w:marRight w:val="0"/>
          <w:marTop w:val="0"/>
          <w:marBottom w:val="0"/>
          <w:divBdr>
            <w:top w:val="none" w:sz="0" w:space="0" w:color="auto"/>
            <w:left w:val="none" w:sz="0" w:space="0" w:color="auto"/>
            <w:bottom w:val="none" w:sz="0" w:space="0" w:color="auto"/>
            <w:right w:val="none" w:sz="0" w:space="0" w:color="auto"/>
          </w:divBdr>
        </w:div>
        <w:div w:id="2142453740">
          <w:marLeft w:val="0"/>
          <w:marRight w:val="0"/>
          <w:marTop w:val="0"/>
          <w:marBottom w:val="0"/>
          <w:divBdr>
            <w:top w:val="none" w:sz="0" w:space="0" w:color="auto"/>
            <w:left w:val="none" w:sz="0" w:space="0" w:color="auto"/>
            <w:bottom w:val="none" w:sz="0" w:space="0" w:color="auto"/>
            <w:right w:val="none" w:sz="0" w:space="0" w:color="auto"/>
          </w:divBdr>
        </w:div>
        <w:div w:id="1545749578">
          <w:marLeft w:val="0"/>
          <w:marRight w:val="0"/>
          <w:marTop w:val="0"/>
          <w:marBottom w:val="0"/>
          <w:divBdr>
            <w:top w:val="none" w:sz="0" w:space="0" w:color="auto"/>
            <w:left w:val="none" w:sz="0" w:space="0" w:color="auto"/>
            <w:bottom w:val="none" w:sz="0" w:space="0" w:color="auto"/>
            <w:right w:val="none" w:sz="0" w:space="0" w:color="auto"/>
          </w:divBdr>
        </w:div>
        <w:div w:id="1928727493">
          <w:marLeft w:val="0"/>
          <w:marRight w:val="0"/>
          <w:marTop w:val="0"/>
          <w:marBottom w:val="0"/>
          <w:divBdr>
            <w:top w:val="none" w:sz="0" w:space="0" w:color="auto"/>
            <w:left w:val="none" w:sz="0" w:space="0" w:color="auto"/>
            <w:bottom w:val="none" w:sz="0" w:space="0" w:color="auto"/>
            <w:right w:val="none" w:sz="0" w:space="0" w:color="auto"/>
          </w:divBdr>
        </w:div>
      </w:divsChild>
    </w:div>
    <w:div w:id="101464738">
      <w:marLeft w:val="0"/>
      <w:marRight w:val="0"/>
      <w:marTop w:val="0"/>
      <w:marBottom w:val="120"/>
      <w:divBdr>
        <w:top w:val="none" w:sz="0" w:space="0" w:color="auto"/>
        <w:left w:val="none" w:sz="0" w:space="0" w:color="auto"/>
        <w:bottom w:val="none" w:sz="0" w:space="0" w:color="auto"/>
        <w:right w:val="none" w:sz="0" w:space="0" w:color="auto"/>
      </w:divBdr>
    </w:div>
    <w:div w:id="104546615">
      <w:marLeft w:val="0"/>
      <w:marRight w:val="0"/>
      <w:marTop w:val="0"/>
      <w:marBottom w:val="0"/>
      <w:divBdr>
        <w:top w:val="none" w:sz="0" w:space="0" w:color="auto"/>
        <w:left w:val="none" w:sz="0" w:space="0" w:color="auto"/>
        <w:bottom w:val="none" w:sz="0" w:space="0" w:color="auto"/>
        <w:right w:val="none" w:sz="0" w:space="0" w:color="auto"/>
      </w:divBdr>
    </w:div>
    <w:div w:id="110826586">
      <w:marLeft w:val="0"/>
      <w:marRight w:val="0"/>
      <w:marTop w:val="0"/>
      <w:marBottom w:val="0"/>
      <w:divBdr>
        <w:top w:val="none" w:sz="0" w:space="0" w:color="auto"/>
        <w:left w:val="none" w:sz="0" w:space="0" w:color="auto"/>
        <w:bottom w:val="none" w:sz="0" w:space="0" w:color="auto"/>
        <w:right w:val="none" w:sz="0" w:space="0" w:color="auto"/>
      </w:divBdr>
    </w:div>
    <w:div w:id="113715257">
      <w:marLeft w:val="0"/>
      <w:marRight w:val="0"/>
      <w:marTop w:val="0"/>
      <w:marBottom w:val="120"/>
      <w:divBdr>
        <w:top w:val="none" w:sz="0" w:space="0" w:color="auto"/>
        <w:left w:val="none" w:sz="0" w:space="0" w:color="auto"/>
        <w:bottom w:val="none" w:sz="0" w:space="0" w:color="auto"/>
        <w:right w:val="none" w:sz="0" w:space="0" w:color="auto"/>
      </w:divBdr>
    </w:div>
    <w:div w:id="114257875">
      <w:marLeft w:val="0"/>
      <w:marRight w:val="0"/>
      <w:marTop w:val="0"/>
      <w:marBottom w:val="240"/>
      <w:divBdr>
        <w:top w:val="none" w:sz="0" w:space="0" w:color="auto"/>
        <w:left w:val="none" w:sz="0" w:space="0" w:color="auto"/>
        <w:bottom w:val="none" w:sz="0" w:space="0" w:color="auto"/>
        <w:right w:val="none" w:sz="0" w:space="0" w:color="auto"/>
      </w:divBdr>
    </w:div>
    <w:div w:id="122505662">
      <w:marLeft w:val="0"/>
      <w:marRight w:val="0"/>
      <w:marTop w:val="0"/>
      <w:marBottom w:val="0"/>
      <w:divBdr>
        <w:top w:val="none" w:sz="0" w:space="0" w:color="auto"/>
        <w:left w:val="none" w:sz="0" w:space="0" w:color="auto"/>
        <w:bottom w:val="none" w:sz="0" w:space="0" w:color="auto"/>
        <w:right w:val="none" w:sz="0" w:space="0" w:color="auto"/>
      </w:divBdr>
      <w:divsChild>
        <w:div w:id="1863668602">
          <w:marLeft w:val="0"/>
          <w:marRight w:val="0"/>
          <w:marTop w:val="0"/>
          <w:marBottom w:val="0"/>
          <w:divBdr>
            <w:top w:val="none" w:sz="0" w:space="0" w:color="auto"/>
            <w:left w:val="none" w:sz="0" w:space="0" w:color="auto"/>
            <w:bottom w:val="none" w:sz="0" w:space="0" w:color="auto"/>
            <w:right w:val="none" w:sz="0" w:space="0" w:color="auto"/>
          </w:divBdr>
        </w:div>
      </w:divsChild>
    </w:div>
    <w:div w:id="123472519">
      <w:marLeft w:val="0"/>
      <w:marRight w:val="0"/>
      <w:marTop w:val="0"/>
      <w:marBottom w:val="0"/>
      <w:divBdr>
        <w:top w:val="none" w:sz="0" w:space="0" w:color="auto"/>
        <w:left w:val="none" w:sz="0" w:space="0" w:color="auto"/>
        <w:bottom w:val="none" w:sz="0" w:space="0" w:color="auto"/>
        <w:right w:val="none" w:sz="0" w:space="0" w:color="auto"/>
      </w:divBdr>
      <w:divsChild>
        <w:div w:id="52899650">
          <w:marLeft w:val="0"/>
          <w:marRight w:val="0"/>
          <w:marTop w:val="0"/>
          <w:marBottom w:val="0"/>
          <w:divBdr>
            <w:top w:val="none" w:sz="0" w:space="0" w:color="auto"/>
            <w:left w:val="none" w:sz="0" w:space="0" w:color="auto"/>
            <w:bottom w:val="none" w:sz="0" w:space="0" w:color="auto"/>
            <w:right w:val="none" w:sz="0" w:space="0" w:color="auto"/>
          </w:divBdr>
        </w:div>
      </w:divsChild>
    </w:div>
    <w:div w:id="126702192">
      <w:marLeft w:val="0"/>
      <w:marRight w:val="0"/>
      <w:marTop w:val="0"/>
      <w:marBottom w:val="120"/>
      <w:divBdr>
        <w:top w:val="none" w:sz="0" w:space="0" w:color="auto"/>
        <w:left w:val="none" w:sz="0" w:space="0" w:color="auto"/>
        <w:bottom w:val="none" w:sz="0" w:space="0" w:color="auto"/>
        <w:right w:val="none" w:sz="0" w:space="0" w:color="auto"/>
      </w:divBdr>
    </w:div>
    <w:div w:id="130900315">
      <w:marLeft w:val="0"/>
      <w:marRight w:val="0"/>
      <w:marTop w:val="0"/>
      <w:marBottom w:val="120"/>
      <w:divBdr>
        <w:top w:val="none" w:sz="0" w:space="0" w:color="auto"/>
        <w:left w:val="none" w:sz="0" w:space="0" w:color="auto"/>
        <w:bottom w:val="none" w:sz="0" w:space="0" w:color="auto"/>
        <w:right w:val="none" w:sz="0" w:space="0" w:color="auto"/>
      </w:divBdr>
    </w:div>
    <w:div w:id="133183956">
      <w:marLeft w:val="0"/>
      <w:marRight w:val="0"/>
      <w:marTop w:val="0"/>
      <w:marBottom w:val="100"/>
      <w:divBdr>
        <w:top w:val="none" w:sz="0" w:space="0" w:color="auto"/>
        <w:left w:val="none" w:sz="0" w:space="0" w:color="auto"/>
        <w:bottom w:val="none" w:sz="0" w:space="0" w:color="auto"/>
        <w:right w:val="none" w:sz="0" w:space="0" w:color="auto"/>
      </w:divBdr>
    </w:div>
    <w:div w:id="136992332">
      <w:marLeft w:val="0"/>
      <w:marRight w:val="0"/>
      <w:marTop w:val="0"/>
      <w:marBottom w:val="120"/>
      <w:divBdr>
        <w:top w:val="none" w:sz="0" w:space="0" w:color="auto"/>
        <w:left w:val="none" w:sz="0" w:space="0" w:color="auto"/>
        <w:bottom w:val="none" w:sz="0" w:space="0" w:color="auto"/>
        <w:right w:val="none" w:sz="0" w:space="0" w:color="auto"/>
      </w:divBdr>
    </w:div>
    <w:div w:id="144393530">
      <w:marLeft w:val="0"/>
      <w:marRight w:val="0"/>
      <w:marTop w:val="0"/>
      <w:marBottom w:val="120"/>
      <w:divBdr>
        <w:top w:val="none" w:sz="0" w:space="0" w:color="auto"/>
        <w:left w:val="none" w:sz="0" w:space="0" w:color="auto"/>
        <w:bottom w:val="none" w:sz="0" w:space="0" w:color="auto"/>
        <w:right w:val="none" w:sz="0" w:space="0" w:color="auto"/>
      </w:divBdr>
    </w:div>
    <w:div w:id="150757105">
      <w:marLeft w:val="0"/>
      <w:marRight w:val="0"/>
      <w:marTop w:val="0"/>
      <w:marBottom w:val="200"/>
      <w:divBdr>
        <w:top w:val="none" w:sz="0" w:space="0" w:color="auto"/>
        <w:left w:val="none" w:sz="0" w:space="0" w:color="auto"/>
        <w:bottom w:val="none" w:sz="0" w:space="0" w:color="auto"/>
        <w:right w:val="none" w:sz="0" w:space="0" w:color="auto"/>
      </w:divBdr>
    </w:div>
    <w:div w:id="153228604">
      <w:marLeft w:val="0"/>
      <w:marRight w:val="0"/>
      <w:marTop w:val="0"/>
      <w:marBottom w:val="0"/>
      <w:divBdr>
        <w:top w:val="none" w:sz="0" w:space="0" w:color="auto"/>
        <w:left w:val="none" w:sz="0" w:space="0" w:color="auto"/>
        <w:bottom w:val="none" w:sz="0" w:space="0" w:color="auto"/>
        <w:right w:val="none" w:sz="0" w:space="0" w:color="auto"/>
      </w:divBdr>
    </w:div>
    <w:div w:id="159858212">
      <w:marLeft w:val="0"/>
      <w:marRight w:val="0"/>
      <w:marTop w:val="0"/>
      <w:marBottom w:val="0"/>
      <w:divBdr>
        <w:top w:val="none" w:sz="0" w:space="0" w:color="auto"/>
        <w:left w:val="none" w:sz="0" w:space="0" w:color="auto"/>
        <w:bottom w:val="none" w:sz="0" w:space="0" w:color="auto"/>
        <w:right w:val="none" w:sz="0" w:space="0" w:color="auto"/>
      </w:divBdr>
      <w:divsChild>
        <w:div w:id="578100261">
          <w:marLeft w:val="0"/>
          <w:marRight w:val="0"/>
          <w:marTop w:val="0"/>
          <w:marBottom w:val="0"/>
          <w:divBdr>
            <w:top w:val="none" w:sz="0" w:space="0" w:color="auto"/>
            <w:left w:val="none" w:sz="0" w:space="0" w:color="auto"/>
            <w:bottom w:val="none" w:sz="0" w:space="0" w:color="auto"/>
            <w:right w:val="none" w:sz="0" w:space="0" w:color="auto"/>
          </w:divBdr>
        </w:div>
        <w:div w:id="1195967865">
          <w:marLeft w:val="0"/>
          <w:marRight w:val="0"/>
          <w:marTop w:val="0"/>
          <w:marBottom w:val="120"/>
          <w:divBdr>
            <w:top w:val="none" w:sz="0" w:space="0" w:color="auto"/>
            <w:left w:val="none" w:sz="0" w:space="0" w:color="auto"/>
            <w:bottom w:val="none" w:sz="0" w:space="0" w:color="auto"/>
            <w:right w:val="none" w:sz="0" w:space="0" w:color="auto"/>
          </w:divBdr>
        </w:div>
      </w:divsChild>
    </w:div>
    <w:div w:id="160432710">
      <w:marLeft w:val="0"/>
      <w:marRight w:val="0"/>
      <w:marTop w:val="0"/>
      <w:marBottom w:val="120"/>
      <w:divBdr>
        <w:top w:val="none" w:sz="0" w:space="0" w:color="auto"/>
        <w:left w:val="none" w:sz="0" w:space="0" w:color="auto"/>
        <w:bottom w:val="none" w:sz="0" w:space="0" w:color="auto"/>
        <w:right w:val="none" w:sz="0" w:space="0" w:color="auto"/>
      </w:divBdr>
    </w:div>
    <w:div w:id="172690680">
      <w:marLeft w:val="0"/>
      <w:marRight w:val="0"/>
      <w:marTop w:val="0"/>
      <w:marBottom w:val="120"/>
      <w:divBdr>
        <w:top w:val="none" w:sz="0" w:space="0" w:color="auto"/>
        <w:left w:val="none" w:sz="0" w:space="0" w:color="auto"/>
        <w:bottom w:val="none" w:sz="0" w:space="0" w:color="auto"/>
        <w:right w:val="none" w:sz="0" w:space="0" w:color="auto"/>
      </w:divBdr>
    </w:div>
    <w:div w:id="178394585">
      <w:marLeft w:val="0"/>
      <w:marRight w:val="0"/>
      <w:marTop w:val="0"/>
      <w:marBottom w:val="120"/>
      <w:divBdr>
        <w:top w:val="none" w:sz="0" w:space="0" w:color="auto"/>
        <w:left w:val="none" w:sz="0" w:space="0" w:color="auto"/>
        <w:bottom w:val="none" w:sz="0" w:space="0" w:color="auto"/>
        <w:right w:val="none" w:sz="0" w:space="0" w:color="auto"/>
      </w:divBdr>
    </w:div>
    <w:div w:id="179785428">
      <w:marLeft w:val="0"/>
      <w:marRight w:val="0"/>
      <w:marTop w:val="0"/>
      <w:marBottom w:val="120"/>
      <w:divBdr>
        <w:top w:val="none" w:sz="0" w:space="0" w:color="auto"/>
        <w:left w:val="none" w:sz="0" w:space="0" w:color="auto"/>
        <w:bottom w:val="none" w:sz="0" w:space="0" w:color="auto"/>
        <w:right w:val="none" w:sz="0" w:space="0" w:color="auto"/>
      </w:divBdr>
    </w:div>
    <w:div w:id="186142644">
      <w:marLeft w:val="0"/>
      <w:marRight w:val="0"/>
      <w:marTop w:val="0"/>
      <w:marBottom w:val="20"/>
      <w:divBdr>
        <w:top w:val="none" w:sz="0" w:space="0" w:color="auto"/>
        <w:left w:val="none" w:sz="0" w:space="0" w:color="auto"/>
        <w:bottom w:val="none" w:sz="0" w:space="0" w:color="auto"/>
        <w:right w:val="none" w:sz="0" w:space="0" w:color="auto"/>
      </w:divBdr>
    </w:div>
    <w:div w:id="191068433">
      <w:marLeft w:val="0"/>
      <w:marRight w:val="0"/>
      <w:marTop w:val="100"/>
      <w:marBottom w:val="120"/>
      <w:divBdr>
        <w:top w:val="none" w:sz="0" w:space="0" w:color="auto"/>
        <w:left w:val="none" w:sz="0" w:space="0" w:color="auto"/>
        <w:bottom w:val="none" w:sz="0" w:space="0" w:color="auto"/>
        <w:right w:val="none" w:sz="0" w:space="0" w:color="auto"/>
      </w:divBdr>
    </w:div>
    <w:div w:id="197008557">
      <w:marLeft w:val="0"/>
      <w:marRight w:val="0"/>
      <w:marTop w:val="0"/>
      <w:marBottom w:val="0"/>
      <w:divBdr>
        <w:top w:val="none" w:sz="0" w:space="0" w:color="auto"/>
        <w:left w:val="none" w:sz="0" w:space="0" w:color="auto"/>
        <w:bottom w:val="none" w:sz="0" w:space="0" w:color="auto"/>
        <w:right w:val="none" w:sz="0" w:space="0" w:color="auto"/>
      </w:divBdr>
      <w:divsChild>
        <w:div w:id="1037587899">
          <w:marLeft w:val="0"/>
          <w:marRight w:val="0"/>
          <w:marTop w:val="0"/>
          <w:marBottom w:val="0"/>
          <w:divBdr>
            <w:top w:val="none" w:sz="0" w:space="0" w:color="auto"/>
            <w:left w:val="none" w:sz="0" w:space="0" w:color="auto"/>
            <w:bottom w:val="none" w:sz="0" w:space="0" w:color="auto"/>
            <w:right w:val="none" w:sz="0" w:space="0" w:color="auto"/>
          </w:divBdr>
        </w:div>
      </w:divsChild>
    </w:div>
    <w:div w:id="197550466">
      <w:marLeft w:val="0"/>
      <w:marRight w:val="0"/>
      <w:marTop w:val="0"/>
      <w:marBottom w:val="0"/>
      <w:divBdr>
        <w:top w:val="none" w:sz="0" w:space="0" w:color="auto"/>
        <w:left w:val="none" w:sz="0" w:space="0" w:color="auto"/>
        <w:bottom w:val="none" w:sz="0" w:space="0" w:color="auto"/>
        <w:right w:val="none" w:sz="0" w:space="0" w:color="auto"/>
      </w:divBdr>
    </w:div>
    <w:div w:id="198443687">
      <w:marLeft w:val="0"/>
      <w:marRight w:val="0"/>
      <w:marTop w:val="0"/>
      <w:marBottom w:val="120"/>
      <w:divBdr>
        <w:top w:val="none" w:sz="0" w:space="0" w:color="auto"/>
        <w:left w:val="none" w:sz="0" w:space="0" w:color="auto"/>
        <w:bottom w:val="none" w:sz="0" w:space="0" w:color="auto"/>
        <w:right w:val="none" w:sz="0" w:space="0" w:color="auto"/>
      </w:divBdr>
    </w:div>
    <w:div w:id="198592600">
      <w:marLeft w:val="0"/>
      <w:marRight w:val="0"/>
      <w:marTop w:val="0"/>
      <w:marBottom w:val="120"/>
      <w:divBdr>
        <w:top w:val="none" w:sz="0" w:space="0" w:color="auto"/>
        <w:left w:val="none" w:sz="0" w:space="0" w:color="auto"/>
        <w:bottom w:val="none" w:sz="0" w:space="0" w:color="auto"/>
        <w:right w:val="none" w:sz="0" w:space="0" w:color="auto"/>
      </w:divBdr>
    </w:div>
    <w:div w:id="210001290">
      <w:marLeft w:val="0"/>
      <w:marRight w:val="0"/>
      <w:marTop w:val="0"/>
      <w:marBottom w:val="120"/>
      <w:divBdr>
        <w:top w:val="none" w:sz="0" w:space="0" w:color="auto"/>
        <w:left w:val="none" w:sz="0" w:space="0" w:color="auto"/>
        <w:bottom w:val="none" w:sz="0" w:space="0" w:color="auto"/>
        <w:right w:val="none" w:sz="0" w:space="0" w:color="auto"/>
      </w:divBdr>
    </w:div>
    <w:div w:id="222183880">
      <w:marLeft w:val="0"/>
      <w:marRight w:val="0"/>
      <w:marTop w:val="0"/>
      <w:marBottom w:val="0"/>
      <w:divBdr>
        <w:top w:val="none" w:sz="0" w:space="0" w:color="auto"/>
        <w:left w:val="none" w:sz="0" w:space="0" w:color="auto"/>
        <w:bottom w:val="none" w:sz="0" w:space="0" w:color="auto"/>
        <w:right w:val="none" w:sz="0" w:space="0" w:color="auto"/>
      </w:divBdr>
      <w:divsChild>
        <w:div w:id="265582774">
          <w:marLeft w:val="0"/>
          <w:marRight w:val="0"/>
          <w:marTop w:val="0"/>
          <w:marBottom w:val="0"/>
          <w:divBdr>
            <w:top w:val="none" w:sz="0" w:space="0" w:color="auto"/>
            <w:left w:val="none" w:sz="0" w:space="0" w:color="auto"/>
            <w:bottom w:val="none" w:sz="0" w:space="0" w:color="auto"/>
            <w:right w:val="none" w:sz="0" w:space="0" w:color="auto"/>
          </w:divBdr>
        </w:div>
      </w:divsChild>
    </w:div>
    <w:div w:id="229116992">
      <w:marLeft w:val="0"/>
      <w:marRight w:val="0"/>
      <w:marTop w:val="0"/>
      <w:marBottom w:val="120"/>
      <w:divBdr>
        <w:top w:val="none" w:sz="0" w:space="0" w:color="auto"/>
        <w:left w:val="none" w:sz="0" w:space="0" w:color="auto"/>
        <w:bottom w:val="none" w:sz="0" w:space="0" w:color="auto"/>
        <w:right w:val="none" w:sz="0" w:space="0" w:color="auto"/>
      </w:divBdr>
    </w:div>
    <w:div w:id="230627345">
      <w:marLeft w:val="0"/>
      <w:marRight w:val="0"/>
      <w:marTop w:val="0"/>
      <w:marBottom w:val="0"/>
      <w:divBdr>
        <w:top w:val="none" w:sz="0" w:space="0" w:color="auto"/>
        <w:left w:val="none" w:sz="0" w:space="0" w:color="auto"/>
        <w:bottom w:val="none" w:sz="0" w:space="0" w:color="auto"/>
        <w:right w:val="none" w:sz="0" w:space="0" w:color="auto"/>
      </w:divBdr>
      <w:divsChild>
        <w:div w:id="1975212772">
          <w:marLeft w:val="0"/>
          <w:marRight w:val="0"/>
          <w:marTop w:val="0"/>
          <w:marBottom w:val="0"/>
          <w:divBdr>
            <w:top w:val="none" w:sz="0" w:space="0" w:color="auto"/>
            <w:left w:val="none" w:sz="0" w:space="0" w:color="auto"/>
            <w:bottom w:val="none" w:sz="0" w:space="0" w:color="auto"/>
            <w:right w:val="none" w:sz="0" w:space="0" w:color="auto"/>
          </w:divBdr>
        </w:div>
      </w:divsChild>
    </w:div>
    <w:div w:id="240415275">
      <w:marLeft w:val="0"/>
      <w:marRight w:val="0"/>
      <w:marTop w:val="0"/>
      <w:marBottom w:val="120"/>
      <w:divBdr>
        <w:top w:val="none" w:sz="0" w:space="0" w:color="auto"/>
        <w:left w:val="none" w:sz="0" w:space="0" w:color="auto"/>
        <w:bottom w:val="none" w:sz="0" w:space="0" w:color="auto"/>
        <w:right w:val="none" w:sz="0" w:space="0" w:color="auto"/>
      </w:divBdr>
    </w:div>
    <w:div w:id="240796894">
      <w:marLeft w:val="0"/>
      <w:marRight w:val="0"/>
      <w:marTop w:val="100"/>
      <w:marBottom w:val="0"/>
      <w:divBdr>
        <w:top w:val="none" w:sz="0" w:space="0" w:color="auto"/>
        <w:left w:val="none" w:sz="0" w:space="0" w:color="auto"/>
        <w:bottom w:val="none" w:sz="0" w:space="0" w:color="auto"/>
        <w:right w:val="none" w:sz="0" w:space="0" w:color="auto"/>
      </w:divBdr>
    </w:div>
    <w:div w:id="241062608">
      <w:marLeft w:val="0"/>
      <w:marRight w:val="0"/>
      <w:marTop w:val="0"/>
      <w:marBottom w:val="0"/>
      <w:divBdr>
        <w:top w:val="none" w:sz="0" w:space="0" w:color="auto"/>
        <w:left w:val="none" w:sz="0" w:space="0" w:color="auto"/>
        <w:bottom w:val="none" w:sz="0" w:space="0" w:color="auto"/>
        <w:right w:val="none" w:sz="0" w:space="0" w:color="auto"/>
      </w:divBdr>
    </w:div>
    <w:div w:id="246689980">
      <w:marLeft w:val="0"/>
      <w:marRight w:val="0"/>
      <w:marTop w:val="100"/>
      <w:marBottom w:val="120"/>
      <w:divBdr>
        <w:top w:val="none" w:sz="0" w:space="0" w:color="auto"/>
        <w:left w:val="none" w:sz="0" w:space="0" w:color="auto"/>
        <w:bottom w:val="none" w:sz="0" w:space="0" w:color="auto"/>
        <w:right w:val="none" w:sz="0" w:space="0" w:color="auto"/>
      </w:divBdr>
    </w:div>
    <w:div w:id="249779685">
      <w:marLeft w:val="0"/>
      <w:marRight w:val="0"/>
      <w:marTop w:val="0"/>
      <w:marBottom w:val="0"/>
      <w:divBdr>
        <w:top w:val="none" w:sz="0" w:space="0" w:color="auto"/>
        <w:left w:val="none" w:sz="0" w:space="0" w:color="auto"/>
        <w:bottom w:val="none" w:sz="0" w:space="0" w:color="auto"/>
        <w:right w:val="none" w:sz="0" w:space="0" w:color="auto"/>
      </w:divBdr>
      <w:divsChild>
        <w:div w:id="464352168">
          <w:marLeft w:val="0"/>
          <w:marRight w:val="0"/>
          <w:marTop w:val="0"/>
          <w:marBottom w:val="0"/>
          <w:divBdr>
            <w:top w:val="none" w:sz="0" w:space="0" w:color="auto"/>
            <w:left w:val="none" w:sz="0" w:space="0" w:color="auto"/>
            <w:bottom w:val="none" w:sz="0" w:space="0" w:color="auto"/>
            <w:right w:val="none" w:sz="0" w:space="0" w:color="auto"/>
          </w:divBdr>
        </w:div>
      </w:divsChild>
    </w:div>
    <w:div w:id="249899173">
      <w:marLeft w:val="0"/>
      <w:marRight w:val="0"/>
      <w:marTop w:val="0"/>
      <w:marBottom w:val="120"/>
      <w:divBdr>
        <w:top w:val="none" w:sz="0" w:space="0" w:color="auto"/>
        <w:left w:val="none" w:sz="0" w:space="0" w:color="auto"/>
        <w:bottom w:val="none" w:sz="0" w:space="0" w:color="auto"/>
        <w:right w:val="none" w:sz="0" w:space="0" w:color="auto"/>
      </w:divBdr>
    </w:div>
    <w:div w:id="250360790">
      <w:marLeft w:val="0"/>
      <w:marRight w:val="0"/>
      <w:marTop w:val="0"/>
      <w:marBottom w:val="0"/>
      <w:divBdr>
        <w:top w:val="none" w:sz="0" w:space="0" w:color="auto"/>
        <w:left w:val="none" w:sz="0" w:space="0" w:color="auto"/>
        <w:bottom w:val="none" w:sz="0" w:space="0" w:color="auto"/>
        <w:right w:val="none" w:sz="0" w:space="0" w:color="auto"/>
      </w:divBdr>
    </w:div>
    <w:div w:id="263614879">
      <w:marLeft w:val="0"/>
      <w:marRight w:val="0"/>
      <w:marTop w:val="100"/>
      <w:marBottom w:val="0"/>
      <w:divBdr>
        <w:top w:val="none" w:sz="0" w:space="0" w:color="auto"/>
        <w:left w:val="none" w:sz="0" w:space="0" w:color="auto"/>
        <w:bottom w:val="none" w:sz="0" w:space="0" w:color="auto"/>
        <w:right w:val="none" w:sz="0" w:space="0" w:color="auto"/>
      </w:divBdr>
    </w:div>
    <w:div w:id="264073821">
      <w:marLeft w:val="0"/>
      <w:marRight w:val="0"/>
      <w:marTop w:val="0"/>
      <w:marBottom w:val="0"/>
      <w:divBdr>
        <w:top w:val="none" w:sz="0" w:space="0" w:color="auto"/>
        <w:left w:val="none" w:sz="0" w:space="0" w:color="auto"/>
        <w:bottom w:val="none" w:sz="0" w:space="0" w:color="auto"/>
        <w:right w:val="none" w:sz="0" w:space="0" w:color="auto"/>
      </w:divBdr>
      <w:divsChild>
        <w:div w:id="952400371">
          <w:marLeft w:val="0"/>
          <w:marRight w:val="0"/>
          <w:marTop w:val="0"/>
          <w:marBottom w:val="0"/>
          <w:divBdr>
            <w:top w:val="none" w:sz="0" w:space="0" w:color="auto"/>
            <w:left w:val="none" w:sz="0" w:space="0" w:color="auto"/>
            <w:bottom w:val="none" w:sz="0" w:space="0" w:color="auto"/>
            <w:right w:val="none" w:sz="0" w:space="0" w:color="auto"/>
          </w:divBdr>
        </w:div>
      </w:divsChild>
    </w:div>
    <w:div w:id="295568753">
      <w:marLeft w:val="0"/>
      <w:marRight w:val="0"/>
      <w:marTop w:val="0"/>
      <w:marBottom w:val="0"/>
      <w:divBdr>
        <w:top w:val="none" w:sz="0" w:space="0" w:color="auto"/>
        <w:left w:val="none" w:sz="0" w:space="0" w:color="auto"/>
        <w:bottom w:val="none" w:sz="0" w:space="0" w:color="auto"/>
        <w:right w:val="none" w:sz="0" w:space="0" w:color="auto"/>
      </w:divBdr>
      <w:divsChild>
        <w:div w:id="1400514486">
          <w:marLeft w:val="0"/>
          <w:marRight w:val="0"/>
          <w:marTop w:val="0"/>
          <w:marBottom w:val="0"/>
          <w:divBdr>
            <w:top w:val="none" w:sz="0" w:space="0" w:color="auto"/>
            <w:left w:val="none" w:sz="0" w:space="0" w:color="auto"/>
            <w:bottom w:val="none" w:sz="0" w:space="0" w:color="auto"/>
            <w:right w:val="none" w:sz="0" w:space="0" w:color="auto"/>
          </w:divBdr>
        </w:div>
      </w:divsChild>
    </w:div>
    <w:div w:id="296843374">
      <w:marLeft w:val="0"/>
      <w:marRight w:val="0"/>
      <w:marTop w:val="0"/>
      <w:marBottom w:val="120"/>
      <w:divBdr>
        <w:top w:val="none" w:sz="0" w:space="0" w:color="auto"/>
        <w:left w:val="none" w:sz="0" w:space="0" w:color="auto"/>
        <w:bottom w:val="none" w:sz="0" w:space="0" w:color="auto"/>
        <w:right w:val="none" w:sz="0" w:space="0" w:color="auto"/>
      </w:divBdr>
    </w:div>
    <w:div w:id="317727737">
      <w:marLeft w:val="0"/>
      <w:marRight w:val="0"/>
      <w:marTop w:val="0"/>
      <w:marBottom w:val="120"/>
      <w:divBdr>
        <w:top w:val="none" w:sz="0" w:space="0" w:color="auto"/>
        <w:left w:val="none" w:sz="0" w:space="0" w:color="auto"/>
        <w:bottom w:val="none" w:sz="0" w:space="0" w:color="auto"/>
        <w:right w:val="none" w:sz="0" w:space="0" w:color="auto"/>
      </w:divBdr>
    </w:div>
    <w:div w:id="321281455">
      <w:marLeft w:val="0"/>
      <w:marRight w:val="0"/>
      <w:marTop w:val="0"/>
      <w:marBottom w:val="120"/>
      <w:divBdr>
        <w:top w:val="none" w:sz="0" w:space="0" w:color="auto"/>
        <w:left w:val="none" w:sz="0" w:space="0" w:color="auto"/>
        <w:bottom w:val="none" w:sz="0" w:space="0" w:color="auto"/>
        <w:right w:val="none" w:sz="0" w:space="0" w:color="auto"/>
      </w:divBdr>
    </w:div>
    <w:div w:id="330984199">
      <w:marLeft w:val="0"/>
      <w:marRight w:val="0"/>
      <w:marTop w:val="0"/>
      <w:marBottom w:val="120"/>
      <w:divBdr>
        <w:top w:val="none" w:sz="0" w:space="0" w:color="auto"/>
        <w:left w:val="none" w:sz="0" w:space="0" w:color="auto"/>
        <w:bottom w:val="none" w:sz="0" w:space="0" w:color="auto"/>
        <w:right w:val="none" w:sz="0" w:space="0" w:color="auto"/>
      </w:divBdr>
    </w:div>
    <w:div w:id="332073720">
      <w:marLeft w:val="0"/>
      <w:marRight w:val="0"/>
      <w:marTop w:val="0"/>
      <w:marBottom w:val="20"/>
      <w:divBdr>
        <w:top w:val="none" w:sz="0" w:space="0" w:color="auto"/>
        <w:left w:val="none" w:sz="0" w:space="0" w:color="auto"/>
        <w:bottom w:val="none" w:sz="0" w:space="0" w:color="auto"/>
        <w:right w:val="none" w:sz="0" w:space="0" w:color="auto"/>
      </w:divBdr>
    </w:div>
    <w:div w:id="333068717">
      <w:marLeft w:val="0"/>
      <w:marRight w:val="0"/>
      <w:marTop w:val="0"/>
      <w:marBottom w:val="0"/>
      <w:divBdr>
        <w:top w:val="none" w:sz="0" w:space="0" w:color="auto"/>
        <w:left w:val="none" w:sz="0" w:space="0" w:color="auto"/>
        <w:bottom w:val="none" w:sz="0" w:space="0" w:color="auto"/>
        <w:right w:val="none" w:sz="0" w:space="0" w:color="auto"/>
      </w:divBdr>
      <w:divsChild>
        <w:div w:id="1336961105">
          <w:marLeft w:val="0"/>
          <w:marRight w:val="0"/>
          <w:marTop w:val="0"/>
          <w:marBottom w:val="0"/>
          <w:divBdr>
            <w:top w:val="none" w:sz="0" w:space="0" w:color="auto"/>
            <w:left w:val="none" w:sz="0" w:space="0" w:color="auto"/>
            <w:bottom w:val="none" w:sz="0" w:space="0" w:color="auto"/>
            <w:right w:val="none" w:sz="0" w:space="0" w:color="auto"/>
          </w:divBdr>
        </w:div>
      </w:divsChild>
    </w:div>
    <w:div w:id="334497460">
      <w:marLeft w:val="0"/>
      <w:marRight w:val="0"/>
      <w:marTop w:val="0"/>
      <w:marBottom w:val="120"/>
      <w:divBdr>
        <w:top w:val="none" w:sz="0" w:space="0" w:color="auto"/>
        <w:left w:val="none" w:sz="0" w:space="0" w:color="auto"/>
        <w:bottom w:val="none" w:sz="0" w:space="0" w:color="auto"/>
        <w:right w:val="none" w:sz="0" w:space="0" w:color="auto"/>
      </w:divBdr>
    </w:div>
    <w:div w:id="336689120">
      <w:marLeft w:val="0"/>
      <w:marRight w:val="0"/>
      <w:marTop w:val="0"/>
      <w:marBottom w:val="0"/>
      <w:divBdr>
        <w:top w:val="none" w:sz="0" w:space="0" w:color="auto"/>
        <w:left w:val="none" w:sz="0" w:space="0" w:color="auto"/>
        <w:bottom w:val="none" w:sz="0" w:space="0" w:color="auto"/>
        <w:right w:val="none" w:sz="0" w:space="0" w:color="auto"/>
      </w:divBdr>
      <w:divsChild>
        <w:div w:id="1612544783">
          <w:marLeft w:val="0"/>
          <w:marRight w:val="0"/>
          <w:marTop w:val="0"/>
          <w:marBottom w:val="0"/>
          <w:divBdr>
            <w:top w:val="none" w:sz="0" w:space="0" w:color="auto"/>
            <w:left w:val="none" w:sz="0" w:space="0" w:color="auto"/>
            <w:bottom w:val="none" w:sz="0" w:space="0" w:color="auto"/>
            <w:right w:val="none" w:sz="0" w:space="0" w:color="auto"/>
          </w:divBdr>
          <w:divsChild>
            <w:div w:id="16286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5855">
      <w:marLeft w:val="0"/>
      <w:marRight w:val="0"/>
      <w:marTop w:val="0"/>
      <w:marBottom w:val="120"/>
      <w:divBdr>
        <w:top w:val="none" w:sz="0" w:space="0" w:color="auto"/>
        <w:left w:val="none" w:sz="0" w:space="0" w:color="auto"/>
        <w:bottom w:val="none" w:sz="0" w:space="0" w:color="auto"/>
        <w:right w:val="none" w:sz="0" w:space="0" w:color="auto"/>
      </w:divBdr>
    </w:div>
    <w:div w:id="346714753">
      <w:marLeft w:val="0"/>
      <w:marRight w:val="0"/>
      <w:marTop w:val="0"/>
      <w:marBottom w:val="120"/>
      <w:divBdr>
        <w:top w:val="none" w:sz="0" w:space="0" w:color="auto"/>
        <w:left w:val="none" w:sz="0" w:space="0" w:color="auto"/>
        <w:bottom w:val="none" w:sz="0" w:space="0" w:color="auto"/>
        <w:right w:val="none" w:sz="0" w:space="0" w:color="auto"/>
      </w:divBdr>
    </w:div>
    <w:div w:id="346753276">
      <w:marLeft w:val="0"/>
      <w:marRight w:val="0"/>
      <w:marTop w:val="0"/>
      <w:marBottom w:val="120"/>
      <w:divBdr>
        <w:top w:val="none" w:sz="0" w:space="0" w:color="auto"/>
        <w:left w:val="none" w:sz="0" w:space="0" w:color="auto"/>
        <w:bottom w:val="none" w:sz="0" w:space="0" w:color="auto"/>
        <w:right w:val="none" w:sz="0" w:space="0" w:color="auto"/>
      </w:divBdr>
    </w:div>
    <w:div w:id="353070739">
      <w:marLeft w:val="0"/>
      <w:marRight w:val="0"/>
      <w:marTop w:val="100"/>
      <w:marBottom w:val="0"/>
      <w:divBdr>
        <w:top w:val="none" w:sz="0" w:space="0" w:color="auto"/>
        <w:left w:val="none" w:sz="0" w:space="0" w:color="auto"/>
        <w:bottom w:val="none" w:sz="0" w:space="0" w:color="auto"/>
        <w:right w:val="none" w:sz="0" w:space="0" w:color="auto"/>
      </w:divBdr>
      <w:divsChild>
        <w:div w:id="313997268">
          <w:marLeft w:val="0"/>
          <w:marRight w:val="0"/>
          <w:marTop w:val="0"/>
          <w:marBottom w:val="0"/>
          <w:divBdr>
            <w:top w:val="none" w:sz="0" w:space="0" w:color="auto"/>
            <w:left w:val="none" w:sz="0" w:space="0" w:color="auto"/>
            <w:bottom w:val="none" w:sz="0" w:space="0" w:color="auto"/>
            <w:right w:val="none" w:sz="0" w:space="0" w:color="auto"/>
          </w:divBdr>
        </w:div>
      </w:divsChild>
    </w:div>
    <w:div w:id="354382260">
      <w:marLeft w:val="0"/>
      <w:marRight w:val="0"/>
      <w:marTop w:val="0"/>
      <w:marBottom w:val="0"/>
      <w:divBdr>
        <w:top w:val="none" w:sz="0" w:space="0" w:color="auto"/>
        <w:left w:val="none" w:sz="0" w:space="0" w:color="auto"/>
        <w:bottom w:val="none" w:sz="0" w:space="0" w:color="auto"/>
        <w:right w:val="none" w:sz="0" w:space="0" w:color="auto"/>
      </w:divBdr>
    </w:div>
    <w:div w:id="370805006">
      <w:marLeft w:val="0"/>
      <w:marRight w:val="0"/>
      <w:marTop w:val="0"/>
      <w:marBottom w:val="120"/>
      <w:divBdr>
        <w:top w:val="none" w:sz="0" w:space="0" w:color="auto"/>
        <w:left w:val="none" w:sz="0" w:space="0" w:color="auto"/>
        <w:bottom w:val="none" w:sz="0" w:space="0" w:color="auto"/>
        <w:right w:val="none" w:sz="0" w:space="0" w:color="auto"/>
      </w:divBdr>
    </w:div>
    <w:div w:id="370962622">
      <w:marLeft w:val="0"/>
      <w:marRight w:val="0"/>
      <w:marTop w:val="0"/>
      <w:marBottom w:val="120"/>
      <w:divBdr>
        <w:top w:val="none" w:sz="0" w:space="0" w:color="auto"/>
        <w:left w:val="none" w:sz="0" w:space="0" w:color="auto"/>
        <w:bottom w:val="none" w:sz="0" w:space="0" w:color="auto"/>
        <w:right w:val="none" w:sz="0" w:space="0" w:color="auto"/>
      </w:divBdr>
    </w:div>
    <w:div w:id="374551468">
      <w:marLeft w:val="0"/>
      <w:marRight w:val="0"/>
      <w:marTop w:val="0"/>
      <w:marBottom w:val="120"/>
      <w:divBdr>
        <w:top w:val="none" w:sz="0" w:space="0" w:color="auto"/>
        <w:left w:val="none" w:sz="0" w:space="0" w:color="auto"/>
        <w:bottom w:val="none" w:sz="0" w:space="0" w:color="auto"/>
        <w:right w:val="none" w:sz="0" w:space="0" w:color="auto"/>
      </w:divBdr>
    </w:div>
    <w:div w:id="376125155">
      <w:marLeft w:val="0"/>
      <w:marRight w:val="0"/>
      <w:marTop w:val="0"/>
      <w:marBottom w:val="120"/>
      <w:divBdr>
        <w:top w:val="none" w:sz="0" w:space="0" w:color="auto"/>
        <w:left w:val="none" w:sz="0" w:space="0" w:color="auto"/>
        <w:bottom w:val="none" w:sz="0" w:space="0" w:color="auto"/>
        <w:right w:val="none" w:sz="0" w:space="0" w:color="auto"/>
      </w:divBdr>
    </w:div>
    <w:div w:id="379718056">
      <w:marLeft w:val="0"/>
      <w:marRight w:val="0"/>
      <w:marTop w:val="0"/>
      <w:marBottom w:val="120"/>
      <w:divBdr>
        <w:top w:val="none" w:sz="0" w:space="0" w:color="auto"/>
        <w:left w:val="none" w:sz="0" w:space="0" w:color="auto"/>
        <w:bottom w:val="none" w:sz="0" w:space="0" w:color="auto"/>
        <w:right w:val="none" w:sz="0" w:space="0" w:color="auto"/>
      </w:divBdr>
    </w:div>
    <w:div w:id="381757515">
      <w:marLeft w:val="0"/>
      <w:marRight w:val="0"/>
      <w:marTop w:val="0"/>
      <w:marBottom w:val="120"/>
      <w:divBdr>
        <w:top w:val="none" w:sz="0" w:space="0" w:color="auto"/>
        <w:left w:val="none" w:sz="0" w:space="0" w:color="auto"/>
        <w:bottom w:val="none" w:sz="0" w:space="0" w:color="auto"/>
        <w:right w:val="none" w:sz="0" w:space="0" w:color="auto"/>
      </w:divBdr>
    </w:div>
    <w:div w:id="384642241">
      <w:marLeft w:val="0"/>
      <w:marRight w:val="0"/>
      <w:marTop w:val="0"/>
      <w:marBottom w:val="120"/>
      <w:divBdr>
        <w:top w:val="none" w:sz="0" w:space="0" w:color="auto"/>
        <w:left w:val="none" w:sz="0" w:space="0" w:color="auto"/>
        <w:bottom w:val="none" w:sz="0" w:space="0" w:color="auto"/>
        <w:right w:val="none" w:sz="0" w:space="0" w:color="auto"/>
      </w:divBdr>
    </w:div>
    <w:div w:id="386419836">
      <w:marLeft w:val="0"/>
      <w:marRight w:val="0"/>
      <w:marTop w:val="0"/>
      <w:marBottom w:val="120"/>
      <w:divBdr>
        <w:top w:val="none" w:sz="0" w:space="0" w:color="auto"/>
        <w:left w:val="none" w:sz="0" w:space="0" w:color="auto"/>
        <w:bottom w:val="none" w:sz="0" w:space="0" w:color="auto"/>
        <w:right w:val="none" w:sz="0" w:space="0" w:color="auto"/>
      </w:divBdr>
    </w:div>
    <w:div w:id="387533028">
      <w:marLeft w:val="0"/>
      <w:marRight w:val="0"/>
      <w:marTop w:val="0"/>
      <w:marBottom w:val="120"/>
      <w:divBdr>
        <w:top w:val="none" w:sz="0" w:space="0" w:color="auto"/>
        <w:left w:val="none" w:sz="0" w:space="0" w:color="auto"/>
        <w:bottom w:val="none" w:sz="0" w:space="0" w:color="auto"/>
        <w:right w:val="none" w:sz="0" w:space="0" w:color="auto"/>
      </w:divBdr>
      <w:divsChild>
        <w:div w:id="642000733">
          <w:marLeft w:val="0"/>
          <w:marRight w:val="0"/>
          <w:marTop w:val="0"/>
          <w:marBottom w:val="0"/>
          <w:divBdr>
            <w:top w:val="none" w:sz="0" w:space="0" w:color="auto"/>
            <w:left w:val="none" w:sz="0" w:space="0" w:color="auto"/>
            <w:bottom w:val="none" w:sz="0" w:space="0" w:color="auto"/>
            <w:right w:val="none" w:sz="0" w:space="0" w:color="auto"/>
          </w:divBdr>
        </w:div>
        <w:div w:id="564874344">
          <w:marLeft w:val="0"/>
          <w:marRight w:val="0"/>
          <w:marTop w:val="0"/>
          <w:marBottom w:val="0"/>
          <w:divBdr>
            <w:top w:val="none" w:sz="0" w:space="0" w:color="auto"/>
            <w:left w:val="none" w:sz="0" w:space="0" w:color="auto"/>
            <w:bottom w:val="none" w:sz="0" w:space="0" w:color="auto"/>
            <w:right w:val="none" w:sz="0" w:space="0" w:color="auto"/>
          </w:divBdr>
        </w:div>
        <w:div w:id="1621258136">
          <w:marLeft w:val="0"/>
          <w:marRight w:val="0"/>
          <w:marTop w:val="0"/>
          <w:marBottom w:val="0"/>
          <w:divBdr>
            <w:top w:val="none" w:sz="0" w:space="0" w:color="auto"/>
            <w:left w:val="none" w:sz="0" w:space="0" w:color="auto"/>
            <w:bottom w:val="none" w:sz="0" w:space="0" w:color="auto"/>
            <w:right w:val="none" w:sz="0" w:space="0" w:color="auto"/>
          </w:divBdr>
        </w:div>
        <w:div w:id="1367873887">
          <w:marLeft w:val="0"/>
          <w:marRight w:val="0"/>
          <w:marTop w:val="0"/>
          <w:marBottom w:val="0"/>
          <w:divBdr>
            <w:top w:val="none" w:sz="0" w:space="0" w:color="auto"/>
            <w:left w:val="none" w:sz="0" w:space="0" w:color="auto"/>
            <w:bottom w:val="none" w:sz="0" w:space="0" w:color="auto"/>
            <w:right w:val="none" w:sz="0" w:space="0" w:color="auto"/>
          </w:divBdr>
        </w:div>
        <w:div w:id="1744986132">
          <w:marLeft w:val="0"/>
          <w:marRight w:val="0"/>
          <w:marTop w:val="0"/>
          <w:marBottom w:val="0"/>
          <w:divBdr>
            <w:top w:val="none" w:sz="0" w:space="0" w:color="auto"/>
            <w:left w:val="none" w:sz="0" w:space="0" w:color="auto"/>
            <w:bottom w:val="none" w:sz="0" w:space="0" w:color="auto"/>
            <w:right w:val="none" w:sz="0" w:space="0" w:color="auto"/>
          </w:divBdr>
        </w:div>
        <w:div w:id="2100522409">
          <w:marLeft w:val="0"/>
          <w:marRight w:val="0"/>
          <w:marTop w:val="0"/>
          <w:marBottom w:val="0"/>
          <w:divBdr>
            <w:top w:val="none" w:sz="0" w:space="0" w:color="auto"/>
            <w:left w:val="none" w:sz="0" w:space="0" w:color="auto"/>
            <w:bottom w:val="none" w:sz="0" w:space="0" w:color="auto"/>
            <w:right w:val="none" w:sz="0" w:space="0" w:color="auto"/>
          </w:divBdr>
        </w:div>
        <w:div w:id="507982491">
          <w:marLeft w:val="0"/>
          <w:marRight w:val="0"/>
          <w:marTop w:val="0"/>
          <w:marBottom w:val="0"/>
          <w:divBdr>
            <w:top w:val="none" w:sz="0" w:space="0" w:color="auto"/>
            <w:left w:val="none" w:sz="0" w:space="0" w:color="auto"/>
            <w:bottom w:val="none" w:sz="0" w:space="0" w:color="auto"/>
            <w:right w:val="none" w:sz="0" w:space="0" w:color="auto"/>
          </w:divBdr>
        </w:div>
        <w:div w:id="22294245">
          <w:marLeft w:val="0"/>
          <w:marRight w:val="0"/>
          <w:marTop w:val="0"/>
          <w:marBottom w:val="0"/>
          <w:divBdr>
            <w:top w:val="none" w:sz="0" w:space="0" w:color="auto"/>
            <w:left w:val="none" w:sz="0" w:space="0" w:color="auto"/>
            <w:bottom w:val="none" w:sz="0" w:space="0" w:color="auto"/>
            <w:right w:val="none" w:sz="0" w:space="0" w:color="auto"/>
          </w:divBdr>
        </w:div>
      </w:divsChild>
    </w:div>
    <w:div w:id="390231554">
      <w:marLeft w:val="0"/>
      <w:marRight w:val="0"/>
      <w:marTop w:val="0"/>
      <w:marBottom w:val="120"/>
      <w:divBdr>
        <w:top w:val="none" w:sz="0" w:space="0" w:color="auto"/>
        <w:left w:val="none" w:sz="0" w:space="0" w:color="auto"/>
        <w:bottom w:val="none" w:sz="0" w:space="0" w:color="auto"/>
        <w:right w:val="none" w:sz="0" w:space="0" w:color="auto"/>
      </w:divBdr>
    </w:div>
    <w:div w:id="392123662">
      <w:marLeft w:val="0"/>
      <w:marRight w:val="0"/>
      <w:marTop w:val="0"/>
      <w:marBottom w:val="0"/>
      <w:divBdr>
        <w:top w:val="none" w:sz="0" w:space="0" w:color="auto"/>
        <w:left w:val="none" w:sz="0" w:space="0" w:color="auto"/>
        <w:bottom w:val="none" w:sz="0" w:space="0" w:color="auto"/>
        <w:right w:val="none" w:sz="0" w:space="0" w:color="auto"/>
      </w:divBdr>
      <w:divsChild>
        <w:div w:id="1179807122">
          <w:marLeft w:val="0"/>
          <w:marRight w:val="0"/>
          <w:marTop w:val="0"/>
          <w:marBottom w:val="0"/>
          <w:divBdr>
            <w:top w:val="none" w:sz="0" w:space="0" w:color="auto"/>
            <w:left w:val="none" w:sz="0" w:space="0" w:color="auto"/>
            <w:bottom w:val="none" w:sz="0" w:space="0" w:color="auto"/>
            <w:right w:val="none" w:sz="0" w:space="0" w:color="auto"/>
          </w:divBdr>
        </w:div>
      </w:divsChild>
    </w:div>
    <w:div w:id="413016882">
      <w:marLeft w:val="0"/>
      <w:marRight w:val="0"/>
      <w:marTop w:val="0"/>
      <w:marBottom w:val="0"/>
      <w:divBdr>
        <w:top w:val="none" w:sz="0" w:space="0" w:color="auto"/>
        <w:left w:val="none" w:sz="0" w:space="0" w:color="auto"/>
        <w:bottom w:val="none" w:sz="0" w:space="0" w:color="auto"/>
        <w:right w:val="none" w:sz="0" w:space="0" w:color="auto"/>
      </w:divBdr>
    </w:div>
    <w:div w:id="415516340">
      <w:marLeft w:val="0"/>
      <w:marRight w:val="0"/>
      <w:marTop w:val="0"/>
      <w:marBottom w:val="0"/>
      <w:divBdr>
        <w:top w:val="none" w:sz="0" w:space="0" w:color="auto"/>
        <w:left w:val="none" w:sz="0" w:space="0" w:color="auto"/>
        <w:bottom w:val="none" w:sz="0" w:space="0" w:color="auto"/>
        <w:right w:val="none" w:sz="0" w:space="0" w:color="auto"/>
      </w:divBdr>
    </w:div>
    <w:div w:id="434516564">
      <w:marLeft w:val="0"/>
      <w:marRight w:val="0"/>
      <w:marTop w:val="0"/>
      <w:marBottom w:val="0"/>
      <w:divBdr>
        <w:top w:val="none" w:sz="0" w:space="0" w:color="auto"/>
        <w:left w:val="none" w:sz="0" w:space="0" w:color="auto"/>
        <w:bottom w:val="none" w:sz="0" w:space="0" w:color="auto"/>
        <w:right w:val="none" w:sz="0" w:space="0" w:color="auto"/>
      </w:divBdr>
      <w:divsChild>
        <w:div w:id="268585376">
          <w:marLeft w:val="0"/>
          <w:marRight w:val="0"/>
          <w:marTop w:val="0"/>
          <w:marBottom w:val="0"/>
          <w:divBdr>
            <w:top w:val="none" w:sz="0" w:space="0" w:color="auto"/>
            <w:left w:val="none" w:sz="0" w:space="0" w:color="auto"/>
            <w:bottom w:val="none" w:sz="0" w:space="0" w:color="auto"/>
            <w:right w:val="none" w:sz="0" w:space="0" w:color="auto"/>
          </w:divBdr>
        </w:div>
        <w:div w:id="514421915">
          <w:marLeft w:val="0"/>
          <w:marRight w:val="0"/>
          <w:marTop w:val="0"/>
          <w:marBottom w:val="120"/>
          <w:divBdr>
            <w:top w:val="none" w:sz="0" w:space="0" w:color="auto"/>
            <w:left w:val="none" w:sz="0" w:space="0" w:color="auto"/>
            <w:bottom w:val="none" w:sz="0" w:space="0" w:color="auto"/>
            <w:right w:val="none" w:sz="0" w:space="0" w:color="auto"/>
          </w:divBdr>
        </w:div>
      </w:divsChild>
    </w:div>
    <w:div w:id="438262307">
      <w:marLeft w:val="0"/>
      <w:marRight w:val="0"/>
      <w:marTop w:val="0"/>
      <w:marBottom w:val="0"/>
      <w:divBdr>
        <w:top w:val="none" w:sz="0" w:space="0" w:color="auto"/>
        <w:left w:val="none" w:sz="0" w:space="0" w:color="auto"/>
        <w:bottom w:val="none" w:sz="0" w:space="0" w:color="auto"/>
        <w:right w:val="none" w:sz="0" w:space="0" w:color="auto"/>
      </w:divBdr>
    </w:div>
    <w:div w:id="451632659">
      <w:marLeft w:val="0"/>
      <w:marRight w:val="0"/>
      <w:marTop w:val="0"/>
      <w:marBottom w:val="0"/>
      <w:divBdr>
        <w:top w:val="none" w:sz="0" w:space="0" w:color="auto"/>
        <w:left w:val="none" w:sz="0" w:space="0" w:color="auto"/>
        <w:bottom w:val="none" w:sz="0" w:space="0" w:color="auto"/>
        <w:right w:val="none" w:sz="0" w:space="0" w:color="auto"/>
      </w:divBdr>
      <w:divsChild>
        <w:div w:id="857500156">
          <w:marLeft w:val="0"/>
          <w:marRight w:val="0"/>
          <w:marTop w:val="0"/>
          <w:marBottom w:val="120"/>
          <w:divBdr>
            <w:top w:val="none" w:sz="0" w:space="0" w:color="auto"/>
            <w:left w:val="none" w:sz="0" w:space="0" w:color="auto"/>
            <w:bottom w:val="none" w:sz="0" w:space="0" w:color="auto"/>
            <w:right w:val="none" w:sz="0" w:space="0" w:color="auto"/>
          </w:divBdr>
        </w:div>
      </w:divsChild>
    </w:div>
    <w:div w:id="455877541">
      <w:marLeft w:val="0"/>
      <w:marRight w:val="0"/>
      <w:marTop w:val="0"/>
      <w:marBottom w:val="120"/>
      <w:divBdr>
        <w:top w:val="none" w:sz="0" w:space="0" w:color="auto"/>
        <w:left w:val="none" w:sz="0" w:space="0" w:color="auto"/>
        <w:bottom w:val="none" w:sz="0" w:space="0" w:color="auto"/>
        <w:right w:val="none" w:sz="0" w:space="0" w:color="auto"/>
      </w:divBdr>
    </w:div>
    <w:div w:id="456800815">
      <w:marLeft w:val="0"/>
      <w:marRight w:val="0"/>
      <w:marTop w:val="0"/>
      <w:marBottom w:val="120"/>
      <w:divBdr>
        <w:top w:val="none" w:sz="0" w:space="0" w:color="auto"/>
        <w:left w:val="none" w:sz="0" w:space="0" w:color="auto"/>
        <w:bottom w:val="none" w:sz="0" w:space="0" w:color="auto"/>
        <w:right w:val="none" w:sz="0" w:space="0" w:color="auto"/>
      </w:divBdr>
    </w:div>
    <w:div w:id="459228385">
      <w:marLeft w:val="0"/>
      <w:marRight w:val="0"/>
      <w:marTop w:val="0"/>
      <w:marBottom w:val="0"/>
      <w:divBdr>
        <w:top w:val="none" w:sz="0" w:space="0" w:color="auto"/>
        <w:left w:val="none" w:sz="0" w:space="0" w:color="auto"/>
        <w:bottom w:val="none" w:sz="0" w:space="0" w:color="auto"/>
        <w:right w:val="none" w:sz="0" w:space="0" w:color="auto"/>
      </w:divBdr>
      <w:divsChild>
        <w:div w:id="1885368652">
          <w:marLeft w:val="0"/>
          <w:marRight w:val="0"/>
          <w:marTop w:val="0"/>
          <w:marBottom w:val="0"/>
          <w:divBdr>
            <w:top w:val="none" w:sz="0" w:space="0" w:color="auto"/>
            <w:left w:val="none" w:sz="0" w:space="0" w:color="auto"/>
            <w:bottom w:val="none" w:sz="0" w:space="0" w:color="auto"/>
            <w:right w:val="none" w:sz="0" w:space="0" w:color="auto"/>
          </w:divBdr>
        </w:div>
      </w:divsChild>
    </w:div>
    <w:div w:id="462428028">
      <w:marLeft w:val="0"/>
      <w:marRight w:val="0"/>
      <w:marTop w:val="100"/>
      <w:marBottom w:val="120"/>
      <w:divBdr>
        <w:top w:val="none" w:sz="0" w:space="0" w:color="auto"/>
        <w:left w:val="none" w:sz="0" w:space="0" w:color="auto"/>
        <w:bottom w:val="none" w:sz="0" w:space="0" w:color="auto"/>
        <w:right w:val="none" w:sz="0" w:space="0" w:color="auto"/>
      </w:divBdr>
    </w:div>
    <w:div w:id="465469278">
      <w:marLeft w:val="0"/>
      <w:marRight w:val="0"/>
      <w:marTop w:val="0"/>
      <w:marBottom w:val="120"/>
      <w:divBdr>
        <w:top w:val="none" w:sz="0" w:space="0" w:color="auto"/>
        <w:left w:val="none" w:sz="0" w:space="0" w:color="auto"/>
        <w:bottom w:val="none" w:sz="0" w:space="0" w:color="auto"/>
        <w:right w:val="none" w:sz="0" w:space="0" w:color="auto"/>
      </w:divBdr>
    </w:div>
    <w:div w:id="465779457">
      <w:marLeft w:val="0"/>
      <w:marRight w:val="0"/>
      <w:marTop w:val="0"/>
      <w:marBottom w:val="120"/>
      <w:divBdr>
        <w:top w:val="none" w:sz="0" w:space="0" w:color="auto"/>
        <w:left w:val="none" w:sz="0" w:space="0" w:color="auto"/>
        <w:bottom w:val="none" w:sz="0" w:space="0" w:color="auto"/>
        <w:right w:val="none" w:sz="0" w:space="0" w:color="auto"/>
      </w:divBdr>
    </w:div>
    <w:div w:id="467286335">
      <w:marLeft w:val="0"/>
      <w:marRight w:val="0"/>
      <w:marTop w:val="0"/>
      <w:marBottom w:val="20"/>
      <w:divBdr>
        <w:top w:val="none" w:sz="0" w:space="0" w:color="auto"/>
        <w:left w:val="none" w:sz="0" w:space="0" w:color="auto"/>
        <w:bottom w:val="none" w:sz="0" w:space="0" w:color="auto"/>
        <w:right w:val="none" w:sz="0" w:space="0" w:color="auto"/>
      </w:divBdr>
      <w:divsChild>
        <w:div w:id="1006009538">
          <w:marLeft w:val="0"/>
          <w:marRight w:val="0"/>
          <w:marTop w:val="0"/>
          <w:marBottom w:val="0"/>
          <w:divBdr>
            <w:top w:val="none" w:sz="0" w:space="0" w:color="auto"/>
            <w:left w:val="none" w:sz="0" w:space="0" w:color="auto"/>
            <w:bottom w:val="none" w:sz="0" w:space="0" w:color="auto"/>
            <w:right w:val="none" w:sz="0" w:space="0" w:color="auto"/>
          </w:divBdr>
        </w:div>
      </w:divsChild>
    </w:div>
    <w:div w:id="468012327">
      <w:marLeft w:val="0"/>
      <w:marRight w:val="0"/>
      <w:marTop w:val="0"/>
      <w:marBottom w:val="120"/>
      <w:divBdr>
        <w:top w:val="none" w:sz="0" w:space="0" w:color="auto"/>
        <w:left w:val="none" w:sz="0" w:space="0" w:color="auto"/>
        <w:bottom w:val="none" w:sz="0" w:space="0" w:color="auto"/>
        <w:right w:val="none" w:sz="0" w:space="0" w:color="auto"/>
      </w:divBdr>
    </w:div>
    <w:div w:id="474300434">
      <w:marLeft w:val="0"/>
      <w:marRight w:val="0"/>
      <w:marTop w:val="0"/>
      <w:marBottom w:val="120"/>
      <w:divBdr>
        <w:top w:val="none" w:sz="0" w:space="0" w:color="auto"/>
        <w:left w:val="none" w:sz="0" w:space="0" w:color="auto"/>
        <w:bottom w:val="none" w:sz="0" w:space="0" w:color="auto"/>
        <w:right w:val="none" w:sz="0" w:space="0" w:color="auto"/>
      </w:divBdr>
    </w:div>
    <w:div w:id="476802750">
      <w:marLeft w:val="0"/>
      <w:marRight w:val="0"/>
      <w:marTop w:val="0"/>
      <w:marBottom w:val="0"/>
      <w:divBdr>
        <w:top w:val="none" w:sz="0" w:space="0" w:color="auto"/>
        <w:left w:val="none" w:sz="0" w:space="0" w:color="auto"/>
        <w:bottom w:val="none" w:sz="0" w:space="0" w:color="auto"/>
        <w:right w:val="none" w:sz="0" w:space="0" w:color="auto"/>
      </w:divBdr>
    </w:div>
    <w:div w:id="477235472">
      <w:marLeft w:val="0"/>
      <w:marRight w:val="0"/>
      <w:marTop w:val="0"/>
      <w:marBottom w:val="0"/>
      <w:divBdr>
        <w:top w:val="none" w:sz="0" w:space="0" w:color="auto"/>
        <w:left w:val="none" w:sz="0" w:space="0" w:color="auto"/>
        <w:bottom w:val="none" w:sz="0" w:space="0" w:color="auto"/>
        <w:right w:val="none" w:sz="0" w:space="0" w:color="auto"/>
      </w:divBdr>
      <w:divsChild>
        <w:div w:id="1429765592">
          <w:marLeft w:val="0"/>
          <w:marRight w:val="0"/>
          <w:marTop w:val="0"/>
          <w:marBottom w:val="0"/>
          <w:divBdr>
            <w:top w:val="none" w:sz="0" w:space="0" w:color="auto"/>
            <w:left w:val="none" w:sz="0" w:space="0" w:color="auto"/>
            <w:bottom w:val="none" w:sz="0" w:space="0" w:color="auto"/>
            <w:right w:val="none" w:sz="0" w:space="0" w:color="auto"/>
          </w:divBdr>
        </w:div>
        <w:div w:id="1911768997">
          <w:marLeft w:val="0"/>
          <w:marRight w:val="0"/>
          <w:marTop w:val="0"/>
          <w:marBottom w:val="0"/>
          <w:divBdr>
            <w:top w:val="none" w:sz="0" w:space="0" w:color="auto"/>
            <w:left w:val="none" w:sz="0" w:space="0" w:color="auto"/>
            <w:bottom w:val="none" w:sz="0" w:space="0" w:color="auto"/>
            <w:right w:val="none" w:sz="0" w:space="0" w:color="auto"/>
          </w:divBdr>
        </w:div>
      </w:divsChild>
    </w:div>
    <w:div w:id="478235245">
      <w:marLeft w:val="0"/>
      <w:marRight w:val="0"/>
      <w:marTop w:val="0"/>
      <w:marBottom w:val="0"/>
      <w:divBdr>
        <w:top w:val="none" w:sz="0" w:space="0" w:color="auto"/>
        <w:left w:val="none" w:sz="0" w:space="0" w:color="auto"/>
        <w:bottom w:val="none" w:sz="0" w:space="0" w:color="auto"/>
        <w:right w:val="none" w:sz="0" w:space="0" w:color="auto"/>
      </w:divBdr>
    </w:div>
    <w:div w:id="478886093">
      <w:marLeft w:val="0"/>
      <w:marRight w:val="0"/>
      <w:marTop w:val="0"/>
      <w:marBottom w:val="0"/>
      <w:divBdr>
        <w:top w:val="none" w:sz="0" w:space="0" w:color="auto"/>
        <w:left w:val="none" w:sz="0" w:space="0" w:color="auto"/>
        <w:bottom w:val="none" w:sz="0" w:space="0" w:color="auto"/>
        <w:right w:val="none" w:sz="0" w:space="0" w:color="auto"/>
      </w:divBdr>
      <w:divsChild>
        <w:div w:id="304428630">
          <w:marLeft w:val="0"/>
          <w:marRight w:val="0"/>
          <w:marTop w:val="0"/>
          <w:marBottom w:val="0"/>
          <w:divBdr>
            <w:top w:val="none" w:sz="0" w:space="0" w:color="auto"/>
            <w:left w:val="none" w:sz="0" w:space="0" w:color="auto"/>
            <w:bottom w:val="none" w:sz="0" w:space="0" w:color="auto"/>
            <w:right w:val="none" w:sz="0" w:space="0" w:color="auto"/>
          </w:divBdr>
        </w:div>
      </w:divsChild>
    </w:div>
    <w:div w:id="484857999">
      <w:marLeft w:val="0"/>
      <w:marRight w:val="0"/>
      <w:marTop w:val="0"/>
      <w:marBottom w:val="120"/>
      <w:divBdr>
        <w:top w:val="none" w:sz="0" w:space="0" w:color="auto"/>
        <w:left w:val="none" w:sz="0" w:space="0" w:color="auto"/>
        <w:bottom w:val="none" w:sz="0" w:space="0" w:color="auto"/>
        <w:right w:val="none" w:sz="0" w:space="0" w:color="auto"/>
      </w:divBdr>
    </w:div>
    <w:div w:id="491874535">
      <w:marLeft w:val="0"/>
      <w:marRight w:val="0"/>
      <w:marTop w:val="0"/>
      <w:marBottom w:val="120"/>
      <w:divBdr>
        <w:top w:val="none" w:sz="0" w:space="0" w:color="auto"/>
        <w:left w:val="none" w:sz="0" w:space="0" w:color="auto"/>
        <w:bottom w:val="none" w:sz="0" w:space="0" w:color="auto"/>
        <w:right w:val="none" w:sz="0" w:space="0" w:color="auto"/>
      </w:divBdr>
    </w:div>
    <w:div w:id="494340130">
      <w:marLeft w:val="0"/>
      <w:marRight w:val="0"/>
      <w:marTop w:val="0"/>
      <w:marBottom w:val="120"/>
      <w:divBdr>
        <w:top w:val="none" w:sz="0" w:space="0" w:color="auto"/>
        <w:left w:val="none" w:sz="0" w:space="0" w:color="auto"/>
        <w:bottom w:val="none" w:sz="0" w:space="0" w:color="auto"/>
        <w:right w:val="none" w:sz="0" w:space="0" w:color="auto"/>
      </w:divBdr>
    </w:div>
    <w:div w:id="496850914">
      <w:marLeft w:val="0"/>
      <w:marRight w:val="0"/>
      <w:marTop w:val="0"/>
      <w:marBottom w:val="120"/>
      <w:divBdr>
        <w:top w:val="none" w:sz="0" w:space="0" w:color="auto"/>
        <w:left w:val="none" w:sz="0" w:space="0" w:color="auto"/>
        <w:bottom w:val="none" w:sz="0" w:space="0" w:color="auto"/>
        <w:right w:val="none" w:sz="0" w:space="0" w:color="auto"/>
      </w:divBdr>
    </w:div>
    <w:div w:id="500855314">
      <w:marLeft w:val="0"/>
      <w:marRight w:val="0"/>
      <w:marTop w:val="0"/>
      <w:marBottom w:val="0"/>
      <w:divBdr>
        <w:top w:val="none" w:sz="0" w:space="0" w:color="auto"/>
        <w:left w:val="none" w:sz="0" w:space="0" w:color="auto"/>
        <w:bottom w:val="none" w:sz="0" w:space="0" w:color="auto"/>
        <w:right w:val="none" w:sz="0" w:space="0" w:color="auto"/>
      </w:divBdr>
    </w:div>
    <w:div w:id="504785953">
      <w:marLeft w:val="0"/>
      <w:marRight w:val="0"/>
      <w:marTop w:val="0"/>
      <w:marBottom w:val="120"/>
      <w:divBdr>
        <w:top w:val="none" w:sz="0" w:space="0" w:color="auto"/>
        <w:left w:val="none" w:sz="0" w:space="0" w:color="auto"/>
        <w:bottom w:val="none" w:sz="0" w:space="0" w:color="auto"/>
        <w:right w:val="none" w:sz="0" w:space="0" w:color="auto"/>
      </w:divBdr>
    </w:div>
    <w:div w:id="506477870">
      <w:marLeft w:val="0"/>
      <w:marRight w:val="0"/>
      <w:marTop w:val="100"/>
      <w:marBottom w:val="20"/>
      <w:divBdr>
        <w:top w:val="none" w:sz="0" w:space="0" w:color="auto"/>
        <w:left w:val="none" w:sz="0" w:space="0" w:color="auto"/>
        <w:bottom w:val="none" w:sz="0" w:space="0" w:color="auto"/>
        <w:right w:val="none" w:sz="0" w:space="0" w:color="auto"/>
      </w:divBdr>
      <w:divsChild>
        <w:div w:id="893006443">
          <w:marLeft w:val="0"/>
          <w:marRight w:val="0"/>
          <w:marTop w:val="0"/>
          <w:marBottom w:val="0"/>
          <w:divBdr>
            <w:top w:val="none" w:sz="0" w:space="0" w:color="auto"/>
            <w:left w:val="none" w:sz="0" w:space="0" w:color="auto"/>
            <w:bottom w:val="none" w:sz="0" w:space="0" w:color="auto"/>
            <w:right w:val="none" w:sz="0" w:space="0" w:color="auto"/>
          </w:divBdr>
        </w:div>
        <w:div w:id="1483501768">
          <w:marLeft w:val="0"/>
          <w:marRight w:val="0"/>
          <w:marTop w:val="0"/>
          <w:marBottom w:val="0"/>
          <w:divBdr>
            <w:top w:val="none" w:sz="0" w:space="0" w:color="auto"/>
            <w:left w:val="none" w:sz="0" w:space="0" w:color="auto"/>
            <w:bottom w:val="none" w:sz="0" w:space="0" w:color="auto"/>
            <w:right w:val="none" w:sz="0" w:space="0" w:color="auto"/>
          </w:divBdr>
        </w:div>
        <w:div w:id="1165239969">
          <w:marLeft w:val="0"/>
          <w:marRight w:val="0"/>
          <w:marTop w:val="0"/>
          <w:marBottom w:val="0"/>
          <w:divBdr>
            <w:top w:val="none" w:sz="0" w:space="0" w:color="auto"/>
            <w:left w:val="none" w:sz="0" w:space="0" w:color="auto"/>
            <w:bottom w:val="none" w:sz="0" w:space="0" w:color="auto"/>
            <w:right w:val="none" w:sz="0" w:space="0" w:color="auto"/>
          </w:divBdr>
        </w:div>
        <w:div w:id="2142574213">
          <w:marLeft w:val="0"/>
          <w:marRight w:val="0"/>
          <w:marTop w:val="0"/>
          <w:marBottom w:val="0"/>
          <w:divBdr>
            <w:top w:val="none" w:sz="0" w:space="0" w:color="auto"/>
            <w:left w:val="none" w:sz="0" w:space="0" w:color="auto"/>
            <w:bottom w:val="none" w:sz="0" w:space="0" w:color="auto"/>
            <w:right w:val="none" w:sz="0" w:space="0" w:color="auto"/>
          </w:divBdr>
        </w:div>
      </w:divsChild>
    </w:div>
    <w:div w:id="513033939">
      <w:marLeft w:val="0"/>
      <w:marRight w:val="0"/>
      <w:marTop w:val="0"/>
      <w:marBottom w:val="0"/>
      <w:divBdr>
        <w:top w:val="none" w:sz="0" w:space="0" w:color="auto"/>
        <w:left w:val="none" w:sz="0" w:space="0" w:color="auto"/>
        <w:bottom w:val="none" w:sz="0" w:space="0" w:color="auto"/>
        <w:right w:val="none" w:sz="0" w:space="0" w:color="auto"/>
      </w:divBdr>
    </w:div>
    <w:div w:id="513569458">
      <w:marLeft w:val="0"/>
      <w:marRight w:val="0"/>
      <w:marTop w:val="0"/>
      <w:marBottom w:val="240"/>
      <w:divBdr>
        <w:top w:val="none" w:sz="0" w:space="0" w:color="auto"/>
        <w:left w:val="none" w:sz="0" w:space="0" w:color="auto"/>
        <w:bottom w:val="none" w:sz="0" w:space="0" w:color="auto"/>
        <w:right w:val="none" w:sz="0" w:space="0" w:color="auto"/>
      </w:divBdr>
    </w:div>
    <w:div w:id="513768813">
      <w:marLeft w:val="0"/>
      <w:marRight w:val="0"/>
      <w:marTop w:val="0"/>
      <w:marBottom w:val="120"/>
      <w:divBdr>
        <w:top w:val="none" w:sz="0" w:space="0" w:color="auto"/>
        <w:left w:val="none" w:sz="0" w:space="0" w:color="auto"/>
        <w:bottom w:val="none" w:sz="0" w:space="0" w:color="auto"/>
        <w:right w:val="none" w:sz="0" w:space="0" w:color="auto"/>
      </w:divBdr>
    </w:div>
    <w:div w:id="518468055">
      <w:marLeft w:val="0"/>
      <w:marRight w:val="0"/>
      <w:marTop w:val="0"/>
      <w:marBottom w:val="0"/>
      <w:divBdr>
        <w:top w:val="none" w:sz="0" w:space="0" w:color="auto"/>
        <w:left w:val="none" w:sz="0" w:space="0" w:color="auto"/>
        <w:bottom w:val="none" w:sz="0" w:space="0" w:color="auto"/>
        <w:right w:val="none" w:sz="0" w:space="0" w:color="auto"/>
      </w:divBdr>
      <w:divsChild>
        <w:div w:id="1378235643">
          <w:marLeft w:val="0"/>
          <w:marRight w:val="0"/>
          <w:marTop w:val="0"/>
          <w:marBottom w:val="0"/>
          <w:divBdr>
            <w:top w:val="none" w:sz="0" w:space="0" w:color="auto"/>
            <w:left w:val="none" w:sz="0" w:space="0" w:color="auto"/>
            <w:bottom w:val="none" w:sz="0" w:space="0" w:color="auto"/>
            <w:right w:val="none" w:sz="0" w:space="0" w:color="auto"/>
          </w:divBdr>
        </w:div>
      </w:divsChild>
    </w:div>
    <w:div w:id="534464147">
      <w:marLeft w:val="0"/>
      <w:marRight w:val="0"/>
      <w:marTop w:val="0"/>
      <w:marBottom w:val="120"/>
      <w:divBdr>
        <w:top w:val="none" w:sz="0" w:space="0" w:color="auto"/>
        <w:left w:val="none" w:sz="0" w:space="0" w:color="auto"/>
        <w:bottom w:val="none" w:sz="0" w:space="0" w:color="auto"/>
        <w:right w:val="none" w:sz="0" w:space="0" w:color="auto"/>
      </w:divBdr>
    </w:div>
    <w:div w:id="535236792">
      <w:marLeft w:val="0"/>
      <w:marRight w:val="0"/>
      <w:marTop w:val="0"/>
      <w:marBottom w:val="100"/>
      <w:divBdr>
        <w:top w:val="none" w:sz="0" w:space="0" w:color="auto"/>
        <w:left w:val="none" w:sz="0" w:space="0" w:color="auto"/>
        <w:bottom w:val="none" w:sz="0" w:space="0" w:color="auto"/>
        <w:right w:val="none" w:sz="0" w:space="0" w:color="auto"/>
      </w:divBdr>
    </w:div>
    <w:div w:id="538320508">
      <w:marLeft w:val="0"/>
      <w:marRight w:val="0"/>
      <w:marTop w:val="0"/>
      <w:marBottom w:val="0"/>
      <w:divBdr>
        <w:top w:val="none" w:sz="0" w:space="0" w:color="auto"/>
        <w:left w:val="none" w:sz="0" w:space="0" w:color="auto"/>
        <w:bottom w:val="none" w:sz="0" w:space="0" w:color="auto"/>
        <w:right w:val="none" w:sz="0" w:space="0" w:color="auto"/>
      </w:divBdr>
      <w:divsChild>
        <w:div w:id="1938783545">
          <w:marLeft w:val="0"/>
          <w:marRight w:val="0"/>
          <w:marTop w:val="0"/>
          <w:marBottom w:val="0"/>
          <w:divBdr>
            <w:top w:val="none" w:sz="0" w:space="0" w:color="auto"/>
            <w:left w:val="none" w:sz="0" w:space="0" w:color="auto"/>
            <w:bottom w:val="none" w:sz="0" w:space="0" w:color="auto"/>
            <w:right w:val="none" w:sz="0" w:space="0" w:color="auto"/>
          </w:divBdr>
        </w:div>
      </w:divsChild>
    </w:div>
    <w:div w:id="538934585">
      <w:marLeft w:val="0"/>
      <w:marRight w:val="0"/>
      <w:marTop w:val="0"/>
      <w:marBottom w:val="0"/>
      <w:divBdr>
        <w:top w:val="none" w:sz="0" w:space="0" w:color="auto"/>
        <w:left w:val="none" w:sz="0" w:space="0" w:color="auto"/>
        <w:bottom w:val="none" w:sz="0" w:space="0" w:color="auto"/>
        <w:right w:val="none" w:sz="0" w:space="0" w:color="auto"/>
      </w:divBdr>
      <w:divsChild>
        <w:div w:id="706761368">
          <w:marLeft w:val="0"/>
          <w:marRight w:val="0"/>
          <w:marTop w:val="0"/>
          <w:marBottom w:val="0"/>
          <w:divBdr>
            <w:top w:val="none" w:sz="0" w:space="0" w:color="auto"/>
            <w:left w:val="none" w:sz="0" w:space="0" w:color="auto"/>
            <w:bottom w:val="none" w:sz="0" w:space="0" w:color="auto"/>
            <w:right w:val="none" w:sz="0" w:space="0" w:color="auto"/>
          </w:divBdr>
        </w:div>
      </w:divsChild>
    </w:div>
    <w:div w:id="542257278">
      <w:marLeft w:val="0"/>
      <w:marRight w:val="0"/>
      <w:marTop w:val="0"/>
      <w:marBottom w:val="120"/>
      <w:divBdr>
        <w:top w:val="none" w:sz="0" w:space="0" w:color="auto"/>
        <w:left w:val="none" w:sz="0" w:space="0" w:color="auto"/>
        <w:bottom w:val="none" w:sz="0" w:space="0" w:color="auto"/>
        <w:right w:val="none" w:sz="0" w:space="0" w:color="auto"/>
      </w:divBdr>
    </w:div>
    <w:div w:id="550385086">
      <w:marLeft w:val="0"/>
      <w:marRight w:val="0"/>
      <w:marTop w:val="0"/>
      <w:marBottom w:val="0"/>
      <w:divBdr>
        <w:top w:val="none" w:sz="0" w:space="0" w:color="auto"/>
        <w:left w:val="none" w:sz="0" w:space="0" w:color="auto"/>
        <w:bottom w:val="none" w:sz="0" w:space="0" w:color="auto"/>
        <w:right w:val="none" w:sz="0" w:space="0" w:color="auto"/>
      </w:divBdr>
      <w:divsChild>
        <w:div w:id="579875134">
          <w:marLeft w:val="0"/>
          <w:marRight w:val="0"/>
          <w:marTop w:val="0"/>
          <w:marBottom w:val="120"/>
          <w:divBdr>
            <w:top w:val="none" w:sz="0" w:space="0" w:color="auto"/>
            <w:left w:val="none" w:sz="0" w:space="0" w:color="auto"/>
            <w:bottom w:val="none" w:sz="0" w:space="0" w:color="auto"/>
            <w:right w:val="none" w:sz="0" w:space="0" w:color="auto"/>
          </w:divBdr>
        </w:div>
      </w:divsChild>
    </w:div>
    <w:div w:id="550503038">
      <w:marLeft w:val="0"/>
      <w:marRight w:val="0"/>
      <w:marTop w:val="0"/>
      <w:marBottom w:val="120"/>
      <w:divBdr>
        <w:top w:val="none" w:sz="0" w:space="0" w:color="auto"/>
        <w:left w:val="none" w:sz="0" w:space="0" w:color="auto"/>
        <w:bottom w:val="none" w:sz="0" w:space="0" w:color="auto"/>
        <w:right w:val="none" w:sz="0" w:space="0" w:color="auto"/>
      </w:divBdr>
    </w:div>
    <w:div w:id="551620601">
      <w:marLeft w:val="0"/>
      <w:marRight w:val="0"/>
      <w:marTop w:val="0"/>
      <w:marBottom w:val="0"/>
      <w:divBdr>
        <w:top w:val="none" w:sz="0" w:space="0" w:color="auto"/>
        <w:left w:val="none" w:sz="0" w:space="0" w:color="auto"/>
        <w:bottom w:val="none" w:sz="0" w:space="0" w:color="auto"/>
        <w:right w:val="none" w:sz="0" w:space="0" w:color="auto"/>
      </w:divBdr>
      <w:divsChild>
        <w:div w:id="477310536">
          <w:marLeft w:val="0"/>
          <w:marRight w:val="0"/>
          <w:marTop w:val="0"/>
          <w:marBottom w:val="0"/>
          <w:divBdr>
            <w:top w:val="none" w:sz="0" w:space="0" w:color="auto"/>
            <w:left w:val="none" w:sz="0" w:space="0" w:color="auto"/>
            <w:bottom w:val="none" w:sz="0" w:space="0" w:color="auto"/>
            <w:right w:val="none" w:sz="0" w:space="0" w:color="auto"/>
          </w:divBdr>
        </w:div>
      </w:divsChild>
    </w:div>
    <w:div w:id="555823212">
      <w:marLeft w:val="0"/>
      <w:marRight w:val="0"/>
      <w:marTop w:val="0"/>
      <w:marBottom w:val="120"/>
      <w:divBdr>
        <w:top w:val="none" w:sz="0" w:space="0" w:color="auto"/>
        <w:left w:val="none" w:sz="0" w:space="0" w:color="auto"/>
        <w:bottom w:val="none" w:sz="0" w:space="0" w:color="auto"/>
        <w:right w:val="none" w:sz="0" w:space="0" w:color="auto"/>
      </w:divBdr>
    </w:div>
    <w:div w:id="557935930">
      <w:marLeft w:val="0"/>
      <w:marRight w:val="0"/>
      <w:marTop w:val="180"/>
      <w:marBottom w:val="0"/>
      <w:divBdr>
        <w:top w:val="none" w:sz="0" w:space="0" w:color="auto"/>
        <w:left w:val="none" w:sz="0" w:space="0" w:color="auto"/>
        <w:bottom w:val="none" w:sz="0" w:space="0" w:color="auto"/>
        <w:right w:val="none" w:sz="0" w:space="0" w:color="auto"/>
      </w:divBdr>
    </w:div>
    <w:div w:id="559289897">
      <w:marLeft w:val="0"/>
      <w:marRight w:val="0"/>
      <w:marTop w:val="0"/>
      <w:marBottom w:val="20"/>
      <w:divBdr>
        <w:top w:val="none" w:sz="0" w:space="0" w:color="auto"/>
        <w:left w:val="none" w:sz="0" w:space="0" w:color="auto"/>
        <w:bottom w:val="none" w:sz="0" w:space="0" w:color="auto"/>
        <w:right w:val="none" w:sz="0" w:space="0" w:color="auto"/>
      </w:divBdr>
    </w:div>
    <w:div w:id="564070196">
      <w:marLeft w:val="0"/>
      <w:marRight w:val="0"/>
      <w:marTop w:val="0"/>
      <w:marBottom w:val="120"/>
      <w:divBdr>
        <w:top w:val="none" w:sz="0" w:space="0" w:color="auto"/>
        <w:left w:val="none" w:sz="0" w:space="0" w:color="auto"/>
        <w:bottom w:val="none" w:sz="0" w:space="0" w:color="auto"/>
        <w:right w:val="none" w:sz="0" w:space="0" w:color="auto"/>
      </w:divBdr>
    </w:div>
    <w:div w:id="569197787">
      <w:marLeft w:val="0"/>
      <w:marRight w:val="0"/>
      <w:marTop w:val="0"/>
      <w:marBottom w:val="120"/>
      <w:divBdr>
        <w:top w:val="none" w:sz="0" w:space="0" w:color="auto"/>
        <w:left w:val="none" w:sz="0" w:space="0" w:color="auto"/>
        <w:bottom w:val="none" w:sz="0" w:space="0" w:color="auto"/>
        <w:right w:val="none" w:sz="0" w:space="0" w:color="auto"/>
      </w:divBdr>
    </w:div>
    <w:div w:id="571162131">
      <w:marLeft w:val="0"/>
      <w:marRight w:val="0"/>
      <w:marTop w:val="0"/>
      <w:marBottom w:val="0"/>
      <w:divBdr>
        <w:top w:val="none" w:sz="0" w:space="0" w:color="auto"/>
        <w:left w:val="none" w:sz="0" w:space="0" w:color="auto"/>
        <w:bottom w:val="none" w:sz="0" w:space="0" w:color="auto"/>
        <w:right w:val="none" w:sz="0" w:space="0" w:color="auto"/>
      </w:divBdr>
      <w:divsChild>
        <w:div w:id="480930674">
          <w:marLeft w:val="0"/>
          <w:marRight w:val="0"/>
          <w:marTop w:val="0"/>
          <w:marBottom w:val="0"/>
          <w:divBdr>
            <w:top w:val="none" w:sz="0" w:space="0" w:color="auto"/>
            <w:left w:val="none" w:sz="0" w:space="0" w:color="auto"/>
            <w:bottom w:val="none" w:sz="0" w:space="0" w:color="auto"/>
            <w:right w:val="none" w:sz="0" w:space="0" w:color="auto"/>
          </w:divBdr>
        </w:div>
      </w:divsChild>
    </w:div>
    <w:div w:id="571165215">
      <w:marLeft w:val="0"/>
      <w:marRight w:val="0"/>
      <w:marTop w:val="0"/>
      <w:marBottom w:val="0"/>
      <w:divBdr>
        <w:top w:val="none" w:sz="0" w:space="0" w:color="auto"/>
        <w:left w:val="none" w:sz="0" w:space="0" w:color="auto"/>
        <w:bottom w:val="none" w:sz="0" w:space="0" w:color="auto"/>
        <w:right w:val="none" w:sz="0" w:space="0" w:color="auto"/>
      </w:divBdr>
    </w:div>
    <w:div w:id="573584987">
      <w:marLeft w:val="0"/>
      <w:marRight w:val="0"/>
      <w:marTop w:val="0"/>
      <w:marBottom w:val="120"/>
      <w:divBdr>
        <w:top w:val="none" w:sz="0" w:space="0" w:color="auto"/>
        <w:left w:val="none" w:sz="0" w:space="0" w:color="auto"/>
        <w:bottom w:val="none" w:sz="0" w:space="0" w:color="auto"/>
        <w:right w:val="none" w:sz="0" w:space="0" w:color="auto"/>
      </w:divBdr>
    </w:div>
    <w:div w:id="574364426">
      <w:marLeft w:val="0"/>
      <w:marRight w:val="0"/>
      <w:marTop w:val="0"/>
      <w:marBottom w:val="0"/>
      <w:divBdr>
        <w:top w:val="none" w:sz="0" w:space="0" w:color="auto"/>
        <w:left w:val="none" w:sz="0" w:space="0" w:color="auto"/>
        <w:bottom w:val="none" w:sz="0" w:space="0" w:color="auto"/>
        <w:right w:val="none" w:sz="0" w:space="0" w:color="auto"/>
      </w:divBdr>
      <w:divsChild>
        <w:div w:id="1764178959">
          <w:marLeft w:val="0"/>
          <w:marRight w:val="0"/>
          <w:marTop w:val="0"/>
          <w:marBottom w:val="0"/>
          <w:divBdr>
            <w:top w:val="none" w:sz="0" w:space="0" w:color="auto"/>
            <w:left w:val="none" w:sz="0" w:space="0" w:color="auto"/>
            <w:bottom w:val="none" w:sz="0" w:space="0" w:color="auto"/>
            <w:right w:val="none" w:sz="0" w:space="0" w:color="auto"/>
          </w:divBdr>
        </w:div>
      </w:divsChild>
    </w:div>
    <w:div w:id="575552388">
      <w:marLeft w:val="0"/>
      <w:marRight w:val="0"/>
      <w:marTop w:val="0"/>
      <w:marBottom w:val="120"/>
      <w:divBdr>
        <w:top w:val="none" w:sz="0" w:space="0" w:color="auto"/>
        <w:left w:val="none" w:sz="0" w:space="0" w:color="auto"/>
        <w:bottom w:val="none" w:sz="0" w:space="0" w:color="auto"/>
        <w:right w:val="none" w:sz="0" w:space="0" w:color="auto"/>
      </w:divBdr>
    </w:div>
    <w:div w:id="583684160">
      <w:marLeft w:val="0"/>
      <w:marRight w:val="0"/>
      <w:marTop w:val="0"/>
      <w:marBottom w:val="0"/>
      <w:divBdr>
        <w:top w:val="none" w:sz="0" w:space="0" w:color="auto"/>
        <w:left w:val="none" w:sz="0" w:space="0" w:color="auto"/>
        <w:bottom w:val="none" w:sz="0" w:space="0" w:color="auto"/>
        <w:right w:val="none" w:sz="0" w:space="0" w:color="auto"/>
      </w:divBdr>
      <w:divsChild>
        <w:div w:id="257951995">
          <w:marLeft w:val="0"/>
          <w:marRight w:val="0"/>
          <w:marTop w:val="0"/>
          <w:marBottom w:val="0"/>
          <w:divBdr>
            <w:top w:val="none" w:sz="0" w:space="0" w:color="auto"/>
            <w:left w:val="none" w:sz="0" w:space="0" w:color="auto"/>
            <w:bottom w:val="none" w:sz="0" w:space="0" w:color="auto"/>
            <w:right w:val="none" w:sz="0" w:space="0" w:color="auto"/>
          </w:divBdr>
        </w:div>
      </w:divsChild>
    </w:div>
    <w:div w:id="588077158">
      <w:marLeft w:val="0"/>
      <w:marRight w:val="0"/>
      <w:marTop w:val="0"/>
      <w:marBottom w:val="120"/>
      <w:divBdr>
        <w:top w:val="none" w:sz="0" w:space="0" w:color="auto"/>
        <w:left w:val="none" w:sz="0" w:space="0" w:color="auto"/>
        <w:bottom w:val="none" w:sz="0" w:space="0" w:color="auto"/>
        <w:right w:val="none" w:sz="0" w:space="0" w:color="auto"/>
      </w:divBdr>
    </w:div>
    <w:div w:id="590314591">
      <w:marLeft w:val="0"/>
      <w:marRight w:val="0"/>
      <w:marTop w:val="0"/>
      <w:marBottom w:val="120"/>
      <w:divBdr>
        <w:top w:val="none" w:sz="0" w:space="0" w:color="auto"/>
        <w:left w:val="none" w:sz="0" w:space="0" w:color="auto"/>
        <w:bottom w:val="none" w:sz="0" w:space="0" w:color="auto"/>
        <w:right w:val="none" w:sz="0" w:space="0" w:color="auto"/>
      </w:divBdr>
    </w:div>
    <w:div w:id="596327875">
      <w:marLeft w:val="0"/>
      <w:marRight w:val="0"/>
      <w:marTop w:val="0"/>
      <w:marBottom w:val="120"/>
      <w:divBdr>
        <w:top w:val="none" w:sz="0" w:space="0" w:color="auto"/>
        <w:left w:val="none" w:sz="0" w:space="0" w:color="auto"/>
        <w:bottom w:val="none" w:sz="0" w:space="0" w:color="auto"/>
        <w:right w:val="none" w:sz="0" w:space="0" w:color="auto"/>
      </w:divBdr>
    </w:div>
    <w:div w:id="597830266">
      <w:marLeft w:val="0"/>
      <w:marRight w:val="0"/>
      <w:marTop w:val="0"/>
      <w:marBottom w:val="120"/>
      <w:divBdr>
        <w:top w:val="none" w:sz="0" w:space="0" w:color="auto"/>
        <w:left w:val="none" w:sz="0" w:space="0" w:color="auto"/>
        <w:bottom w:val="none" w:sz="0" w:space="0" w:color="auto"/>
        <w:right w:val="none" w:sz="0" w:space="0" w:color="auto"/>
      </w:divBdr>
    </w:div>
    <w:div w:id="598029656">
      <w:marLeft w:val="0"/>
      <w:marRight w:val="0"/>
      <w:marTop w:val="0"/>
      <w:marBottom w:val="0"/>
      <w:divBdr>
        <w:top w:val="none" w:sz="0" w:space="0" w:color="auto"/>
        <w:left w:val="none" w:sz="0" w:space="0" w:color="auto"/>
        <w:bottom w:val="none" w:sz="0" w:space="0" w:color="auto"/>
        <w:right w:val="none" w:sz="0" w:space="0" w:color="auto"/>
      </w:divBdr>
      <w:divsChild>
        <w:div w:id="1736929489">
          <w:marLeft w:val="0"/>
          <w:marRight w:val="0"/>
          <w:marTop w:val="0"/>
          <w:marBottom w:val="0"/>
          <w:divBdr>
            <w:top w:val="none" w:sz="0" w:space="0" w:color="auto"/>
            <w:left w:val="none" w:sz="0" w:space="0" w:color="auto"/>
            <w:bottom w:val="none" w:sz="0" w:space="0" w:color="auto"/>
            <w:right w:val="none" w:sz="0" w:space="0" w:color="auto"/>
          </w:divBdr>
        </w:div>
      </w:divsChild>
    </w:div>
    <w:div w:id="602305238">
      <w:marLeft w:val="0"/>
      <w:marRight w:val="0"/>
      <w:marTop w:val="0"/>
      <w:marBottom w:val="120"/>
      <w:divBdr>
        <w:top w:val="none" w:sz="0" w:space="0" w:color="auto"/>
        <w:left w:val="none" w:sz="0" w:space="0" w:color="auto"/>
        <w:bottom w:val="none" w:sz="0" w:space="0" w:color="auto"/>
        <w:right w:val="none" w:sz="0" w:space="0" w:color="auto"/>
      </w:divBdr>
    </w:div>
    <w:div w:id="606229357">
      <w:marLeft w:val="0"/>
      <w:marRight w:val="0"/>
      <w:marTop w:val="100"/>
      <w:marBottom w:val="20"/>
      <w:divBdr>
        <w:top w:val="none" w:sz="0" w:space="0" w:color="auto"/>
        <w:left w:val="none" w:sz="0" w:space="0" w:color="auto"/>
        <w:bottom w:val="none" w:sz="0" w:space="0" w:color="auto"/>
        <w:right w:val="none" w:sz="0" w:space="0" w:color="auto"/>
      </w:divBdr>
    </w:div>
    <w:div w:id="610667139">
      <w:marLeft w:val="0"/>
      <w:marRight w:val="0"/>
      <w:marTop w:val="0"/>
      <w:marBottom w:val="120"/>
      <w:divBdr>
        <w:top w:val="none" w:sz="0" w:space="0" w:color="auto"/>
        <w:left w:val="none" w:sz="0" w:space="0" w:color="auto"/>
        <w:bottom w:val="none" w:sz="0" w:space="0" w:color="auto"/>
        <w:right w:val="none" w:sz="0" w:space="0" w:color="auto"/>
      </w:divBdr>
    </w:div>
    <w:div w:id="614097895">
      <w:marLeft w:val="0"/>
      <w:marRight w:val="0"/>
      <w:marTop w:val="0"/>
      <w:marBottom w:val="240"/>
      <w:divBdr>
        <w:top w:val="none" w:sz="0" w:space="0" w:color="auto"/>
        <w:left w:val="none" w:sz="0" w:space="0" w:color="auto"/>
        <w:bottom w:val="none" w:sz="0" w:space="0" w:color="auto"/>
        <w:right w:val="none" w:sz="0" w:space="0" w:color="auto"/>
      </w:divBdr>
    </w:div>
    <w:div w:id="619796483">
      <w:marLeft w:val="0"/>
      <w:marRight w:val="0"/>
      <w:marTop w:val="0"/>
      <w:marBottom w:val="120"/>
      <w:divBdr>
        <w:top w:val="none" w:sz="0" w:space="0" w:color="auto"/>
        <w:left w:val="none" w:sz="0" w:space="0" w:color="auto"/>
        <w:bottom w:val="none" w:sz="0" w:space="0" w:color="auto"/>
        <w:right w:val="none" w:sz="0" w:space="0" w:color="auto"/>
      </w:divBdr>
    </w:div>
    <w:div w:id="627198599">
      <w:marLeft w:val="0"/>
      <w:marRight w:val="0"/>
      <w:marTop w:val="0"/>
      <w:marBottom w:val="120"/>
      <w:divBdr>
        <w:top w:val="none" w:sz="0" w:space="0" w:color="auto"/>
        <w:left w:val="none" w:sz="0" w:space="0" w:color="auto"/>
        <w:bottom w:val="none" w:sz="0" w:space="0" w:color="auto"/>
        <w:right w:val="none" w:sz="0" w:space="0" w:color="auto"/>
      </w:divBdr>
    </w:div>
    <w:div w:id="639925307">
      <w:marLeft w:val="0"/>
      <w:marRight w:val="0"/>
      <w:marTop w:val="0"/>
      <w:marBottom w:val="120"/>
      <w:divBdr>
        <w:top w:val="none" w:sz="0" w:space="0" w:color="auto"/>
        <w:left w:val="none" w:sz="0" w:space="0" w:color="auto"/>
        <w:bottom w:val="none" w:sz="0" w:space="0" w:color="auto"/>
        <w:right w:val="none" w:sz="0" w:space="0" w:color="auto"/>
      </w:divBdr>
    </w:div>
    <w:div w:id="647395923">
      <w:marLeft w:val="0"/>
      <w:marRight w:val="0"/>
      <w:marTop w:val="0"/>
      <w:marBottom w:val="120"/>
      <w:divBdr>
        <w:top w:val="none" w:sz="0" w:space="0" w:color="auto"/>
        <w:left w:val="none" w:sz="0" w:space="0" w:color="auto"/>
        <w:bottom w:val="none" w:sz="0" w:space="0" w:color="auto"/>
        <w:right w:val="none" w:sz="0" w:space="0" w:color="auto"/>
      </w:divBdr>
    </w:div>
    <w:div w:id="670570045">
      <w:marLeft w:val="0"/>
      <w:marRight w:val="0"/>
      <w:marTop w:val="0"/>
      <w:marBottom w:val="120"/>
      <w:divBdr>
        <w:top w:val="none" w:sz="0" w:space="0" w:color="auto"/>
        <w:left w:val="none" w:sz="0" w:space="0" w:color="auto"/>
        <w:bottom w:val="none" w:sz="0" w:space="0" w:color="auto"/>
        <w:right w:val="none" w:sz="0" w:space="0" w:color="auto"/>
      </w:divBdr>
    </w:div>
    <w:div w:id="671644056">
      <w:marLeft w:val="0"/>
      <w:marRight w:val="0"/>
      <w:marTop w:val="0"/>
      <w:marBottom w:val="120"/>
      <w:divBdr>
        <w:top w:val="none" w:sz="0" w:space="0" w:color="auto"/>
        <w:left w:val="none" w:sz="0" w:space="0" w:color="auto"/>
        <w:bottom w:val="none" w:sz="0" w:space="0" w:color="auto"/>
        <w:right w:val="none" w:sz="0" w:space="0" w:color="auto"/>
      </w:divBdr>
    </w:div>
    <w:div w:id="675808490">
      <w:marLeft w:val="0"/>
      <w:marRight w:val="0"/>
      <w:marTop w:val="0"/>
      <w:marBottom w:val="120"/>
      <w:divBdr>
        <w:top w:val="none" w:sz="0" w:space="0" w:color="auto"/>
        <w:left w:val="none" w:sz="0" w:space="0" w:color="auto"/>
        <w:bottom w:val="none" w:sz="0" w:space="0" w:color="auto"/>
        <w:right w:val="none" w:sz="0" w:space="0" w:color="auto"/>
      </w:divBdr>
    </w:div>
    <w:div w:id="677392685">
      <w:marLeft w:val="0"/>
      <w:marRight w:val="0"/>
      <w:marTop w:val="0"/>
      <w:marBottom w:val="0"/>
      <w:divBdr>
        <w:top w:val="none" w:sz="0" w:space="0" w:color="auto"/>
        <w:left w:val="none" w:sz="0" w:space="0" w:color="auto"/>
        <w:bottom w:val="none" w:sz="0" w:space="0" w:color="auto"/>
        <w:right w:val="none" w:sz="0" w:space="0" w:color="auto"/>
      </w:divBdr>
      <w:divsChild>
        <w:div w:id="1243444660">
          <w:marLeft w:val="0"/>
          <w:marRight w:val="0"/>
          <w:marTop w:val="0"/>
          <w:marBottom w:val="0"/>
          <w:divBdr>
            <w:top w:val="none" w:sz="0" w:space="0" w:color="auto"/>
            <w:left w:val="none" w:sz="0" w:space="0" w:color="auto"/>
            <w:bottom w:val="none" w:sz="0" w:space="0" w:color="auto"/>
            <w:right w:val="none" w:sz="0" w:space="0" w:color="auto"/>
          </w:divBdr>
        </w:div>
      </w:divsChild>
    </w:div>
    <w:div w:id="678967662">
      <w:marLeft w:val="0"/>
      <w:marRight w:val="0"/>
      <w:marTop w:val="0"/>
      <w:marBottom w:val="120"/>
      <w:divBdr>
        <w:top w:val="none" w:sz="0" w:space="0" w:color="auto"/>
        <w:left w:val="none" w:sz="0" w:space="0" w:color="auto"/>
        <w:bottom w:val="none" w:sz="0" w:space="0" w:color="auto"/>
        <w:right w:val="none" w:sz="0" w:space="0" w:color="auto"/>
      </w:divBdr>
    </w:div>
    <w:div w:id="679358024">
      <w:marLeft w:val="0"/>
      <w:marRight w:val="0"/>
      <w:marTop w:val="0"/>
      <w:marBottom w:val="120"/>
      <w:divBdr>
        <w:top w:val="none" w:sz="0" w:space="0" w:color="auto"/>
        <w:left w:val="none" w:sz="0" w:space="0" w:color="auto"/>
        <w:bottom w:val="none" w:sz="0" w:space="0" w:color="auto"/>
        <w:right w:val="none" w:sz="0" w:space="0" w:color="auto"/>
      </w:divBdr>
    </w:div>
    <w:div w:id="681129738">
      <w:marLeft w:val="0"/>
      <w:marRight w:val="0"/>
      <w:marTop w:val="0"/>
      <w:marBottom w:val="100"/>
      <w:divBdr>
        <w:top w:val="none" w:sz="0" w:space="0" w:color="auto"/>
        <w:left w:val="none" w:sz="0" w:space="0" w:color="auto"/>
        <w:bottom w:val="none" w:sz="0" w:space="0" w:color="auto"/>
        <w:right w:val="none" w:sz="0" w:space="0" w:color="auto"/>
      </w:divBdr>
    </w:div>
    <w:div w:id="686175043">
      <w:marLeft w:val="0"/>
      <w:marRight w:val="0"/>
      <w:marTop w:val="0"/>
      <w:marBottom w:val="120"/>
      <w:divBdr>
        <w:top w:val="none" w:sz="0" w:space="0" w:color="auto"/>
        <w:left w:val="none" w:sz="0" w:space="0" w:color="auto"/>
        <w:bottom w:val="none" w:sz="0" w:space="0" w:color="auto"/>
        <w:right w:val="none" w:sz="0" w:space="0" w:color="auto"/>
      </w:divBdr>
    </w:div>
    <w:div w:id="686906865">
      <w:marLeft w:val="0"/>
      <w:marRight w:val="0"/>
      <w:marTop w:val="0"/>
      <w:marBottom w:val="120"/>
      <w:divBdr>
        <w:top w:val="none" w:sz="0" w:space="0" w:color="auto"/>
        <w:left w:val="none" w:sz="0" w:space="0" w:color="auto"/>
        <w:bottom w:val="none" w:sz="0" w:space="0" w:color="auto"/>
        <w:right w:val="none" w:sz="0" w:space="0" w:color="auto"/>
      </w:divBdr>
    </w:div>
    <w:div w:id="687681651">
      <w:marLeft w:val="0"/>
      <w:marRight w:val="0"/>
      <w:marTop w:val="0"/>
      <w:marBottom w:val="120"/>
      <w:divBdr>
        <w:top w:val="none" w:sz="0" w:space="0" w:color="auto"/>
        <w:left w:val="none" w:sz="0" w:space="0" w:color="auto"/>
        <w:bottom w:val="none" w:sz="0" w:space="0" w:color="auto"/>
        <w:right w:val="none" w:sz="0" w:space="0" w:color="auto"/>
      </w:divBdr>
    </w:div>
    <w:div w:id="696857011">
      <w:marLeft w:val="0"/>
      <w:marRight w:val="0"/>
      <w:marTop w:val="0"/>
      <w:marBottom w:val="120"/>
      <w:divBdr>
        <w:top w:val="none" w:sz="0" w:space="0" w:color="auto"/>
        <w:left w:val="none" w:sz="0" w:space="0" w:color="auto"/>
        <w:bottom w:val="none" w:sz="0" w:space="0" w:color="auto"/>
        <w:right w:val="none" w:sz="0" w:space="0" w:color="auto"/>
      </w:divBdr>
    </w:div>
    <w:div w:id="697000787">
      <w:marLeft w:val="0"/>
      <w:marRight w:val="0"/>
      <w:marTop w:val="0"/>
      <w:marBottom w:val="0"/>
      <w:divBdr>
        <w:top w:val="none" w:sz="0" w:space="0" w:color="auto"/>
        <w:left w:val="none" w:sz="0" w:space="0" w:color="auto"/>
        <w:bottom w:val="none" w:sz="0" w:space="0" w:color="auto"/>
        <w:right w:val="none" w:sz="0" w:space="0" w:color="auto"/>
      </w:divBdr>
    </w:div>
    <w:div w:id="698506812">
      <w:marLeft w:val="0"/>
      <w:marRight w:val="0"/>
      <w:marTop w:val="0"/>
      <w:marBottom w:val="120"/>
      <w:divBdr>
        <w:top w:val="none" w:sz="0" w:space="0" w:color="auto"/>
        <w:left w:val="none" w:sz="0" w:space="0" w:color="auto"/>
        <w:bottom w:val="none" w:sz="0" w:space="0" w:color="auto"/>
        <w:right w:val="none" w:sz="0" w:space="0" w:color="auto"/>
      </w:divBdr>
    </w:div>
    <w:div w:id="698896346">
      <w:marLeft w:val="0"/>
      <w:marRight w:val="0"/>
      <w:marTop w:val="100"/>
      <w:marBottom w:val="20"/>
      <w:divBdr>
        <w:top w:val="none" w:sz="0" w:space="0" w:color="auto"/>
        <w:left w:val="none" w:sz="0" w:space="0" w:color="auto"/>
        <w:bottom w:val="none" w:sz="0" w:space="0" w:color="auto"/>
        <w:right w:val="none" w:sz="0" w:space="0" w:color="auto"/>
      </w:divBdr>
    </w:div>
    <w:div w:id="701593882">
      <w:marLeft w:val="0"/>
      <w:marRight w:val="0"/>
      <w:marTop w:val="0"/>
      <w:marBottom w:val="120"/>
      <w:divBdr>
        <w:top w:val="none" w:sz="0" w:space="0" w:color="auto"/>
        <w:left w:val="none" w:sz="0" w:space="0" w:color="auto"/>
        <w:bottom w:val="none" w:sz="0" w:space="0" w:color="auto"/>
        <w:right w:val="none" w:sz="0" w:space="0" w:color="auto"/>
      </w:divBdr>
    </w:div>
    <w:div w:id="715204031">
      <w:marLeft w:val="0"/>
      <w:marRight w:val="0"/>
      <w:marTop w:val="0"/>
      <w:marBottom w:val="0"/>
      <w:divBdr>
        <w:top w:val="none" w:sz="0" w:space="0" w:color="auto"/>
        <w:left w:val="none" w:sz="0" w:space="0" w:color="auto"/>
        <w:bottom w:val="none" w:sz="0" w:space="0" w:color="auto"/>
        <w:right w:val="none" w:sz="0" w:space="0" w:color="auto"/>
      </w:divBdr>
    </w:div>
    <w:div w:id="723717051">
      <w:marLeft w:val="0"/>
      <w:marRight w:val="0"/>
      <w:marTop w:val="0"/>
      <w:marBottom w:val="0"/>
      <w:divBdr>
        <w:top w:val="none" w:sz="0" w:space="0" w:color="auto"/>
        <w:left w:val="none" w:sz="0" w:space="0" w:color="auto"/>
        <w:bottom w:val="none" w:sz="0" w:space="0" w:color="auto"/>
        <w:right w:val="none" w:sz="0" w:space="0" w:color="auto"/>
      </w:divBdr>
      <w:divsChild>
        <w:div w:id="1410083324">
          <w:marLeft w:val="0"/>
          <w:marRight w:val="0"/>
          <w:marTop w:val="0"/>
          <w:marBottom w:val="0"/>
          <w:divBdr>
            <w:top w:val="none" w:sz="0" w:space="0" w:color="auto"/>
            <w:left w:val="none" w:sz="0" w:space="0" w:color="auto"/>
            <w:bottom w:val="none" w:sz="0" w:space="0" w:color="auto"/>
            <w:right w:val="none" w:sz="0" w:space="0" w:color="auto"/>
          </w:divBdr>
        </w:div>
      </w:divsChild>
    </w:div>
    <w:div w:id="726957509">
      <w:marLeft w:val="0"/>
      <w:marRight w:val="0"/>
      <w:marTop w:val="100"/>
      <w:marBottom w:val="120"/>
      <w:divBdr>
        <w:top w:val="none" w:sz="0" w:space="0" w:color="auto"/>
        <w:left w:val="none" w:sz="0" w:space="0" w:color="auto"/>
        <w:bottom w:val="none" w:sz="0" w:space="0" w:color="auto"/>
        <w:right w:val="none" w:sz="0" w:space="0" w:color="auto"/>
      </w:divBdr>
    </w:div>
    <w:div w:id="727847635">
      <w:marLeft w:val="0"/>
      <w:marRight w:val="0"/>
      <w:marTop w:val="0"/>
      <w:marBottom w:val="120"/>
      <w:divBdr>
        <w:top w:val="none" w:sz="0" w:space="0" w:color="auto"/>
        <w:left w:val="none" w:sz="0" w:space="0" w:color="auto"/>
        <w:bottom w:val="none" w:sz="0" w:space="0" w:color="auto"/>
        <w:right w:val="none" w:sz="0" w:space="0" w:color="auto"/>
      </w:divBdr>
    </w:div>
    <w:div w:id="730881043">
      <w:marLeft w:val="0"/>
      <w:marRight w:val="0"/>
      <w:marTop w:val="0"/>
      <w:marBottom w:val="0"/>
      <w:divBdr>
        <w:top w:val="none" w:sz="0" w:space="0" w:color="auto"/>
        <w:left w:val="none" w:sz="0" w:space="0" w:color="auto"/>
        <w:bottom w:val="none" w:sz="0" w:space="0" w:color="auto"/>
        <w:right w:val="none" w:sz="0" w:space="0" w:color="auto"/>
      </w:divBdr>
      <w:divsChild>
        <w:div w:id="1583685679">
          <w:marLeft w:val="0"/>
          <w:marRight w:val="0"/>
          <w:marTop w:val="0"/>
          <w:marBottom w:val="0"/>
          <w:divBdr>
            <w:top w:val="none" w:sz="0" w:space="0" w:color="auto"/>
            <w:left w:val="none" w:sz="0" w:space="0" w:color="auto"/>
            <w:bottom w:val="none" w:sz="0" w:space="0" w:color="auto"/>
            <w:right w:val="none" w:sz="0" w:space="0" w:color="auto"/>
          </w:divBdr>
        </w:div>
      </w:divsChild>
    </w:div>
    <w:div w:id="733696491">
      <w:marLeft w:val="0"/>
      <w:marRight w:val="0"/>
      <w:marTop w:val="0"/>
      <w:marBottom w:val="0"/>
      <w:divBdr>
        <w:top w:val="none" w:sz="0" w:space="0" w:color="auto"/>
        <w:left w:val="none" w:sz="0" w:space="0" w:color="auto"/>
        <w:bottom w:val="none" w:sz="0" w:space="0" w:color="auto"/>
        <w:right w:val="none" w:sz="0" w:space="0" w:color="auto"/>
      </w:divBdr>
      <w:divsChild>
        <w:div w:id="207226798">
          <w:marLeft w:val="0"/>
          <w:marRight w:val="0"/>
          <w:marTop w:val="0"/>
          <w:marBottom w:val="0"/>
          <w:divBdr>
            <w:top w:val="none" w:sz="0" w:space="0" w:color="auto"/>
            <w:left w:val="none" w:sz="0" w:space="0" w:color="auto"/>
            <w:bottom w:val="none" w:sz="0" w:space="0" w:color="auto"/>
            <w:right w:val="none" w:sz="0" w:space="0" w:color="auto"/>
          </w:divBdr>
        </w:div>
      </w:divsChild>
    </w:div>
    <w:div w:id="739523484">
      <w:marLeft w:val="0"/>
      <w:marRight w:val="0"/>
      <w:marTop w:val="0"/>
      <w:marBottom w:val="120"/>
      <w:divBdr>
        <w:top w:val="none" w:sz="0" w:space="0" w:color="auto"/>
        <w:left w:val="none" w:sz="0" w:space="0" w:color="auto"/>
        <w:bottom w:val="none" w:sz="0" w:space="0" w:color="auto"/>
        <w:right w:val="none" w:sz="0" w:space="0" w:color="auto"/>
      </w:divBdr>
    </w:div>
    <w:div w:id="744761357">
      <w:marLeft w:val="0"/>
      <w:marRight w:val="0"/>
      <w:marTop w:val="0"/>
      <w:marBottom w:val="120"/>
      <w:divBdr>
        <w:top w:val="none" w:sz="0" w:space="0" w:color="auto"/>
        <w:left w:val="none" w:sz="0" w:space="0" w:color="auto"/>
        <w:bottom w:val="none" w:sz="0" w:space="0" w:color="auto"/>
        <w:right w:val="none" w:sz="0" w:space="0" w:color="auto"/>
      </w:divBdr>
    </w:div>
    <w:div w:id="745422517">
      <w:marLeft w:val="0"/>
      <w:marRight w:val="0"/>
      <w:marTop w:val="0"/>
      <w:marBottom w:val="20"/>
      <w:divBdr>
        <w:top w:val="none" w:sz="0" w:space="0" w:color="auto"/>
        <w:left w:val="none" w:sz="0" w:space="0" w:color="auto"/>
        <w:bottom w:val="none" w:sz="0" w:space="0" w:color="auto"/>
        <w:right w:val="none" w:sz="0" w:space="0" w:color="auto"/>
      </w:divBdr>
    </w:div>
    <w:div w:id="745879758">
      <w:marLeft w:val="0"/>
      <w:marRight w:val="0"/>
      <w:marTop w:val="0"/>
      <w:marBottom w:val="120"/>
      <w:divBdr>
        <w:top w:val="none" w:sz="0" w:space="0" w:color="auto"/>
        <w:left w:val="none" w:sz="0" w:space="0" w:color="auto"/>
        <w:bottom w:val="none" w:sz="0" w:space="0" w:color="auto"/>
        <w:right w:val="none" w:sz="0" w:space="0" w:color="auto"/>
      </w:divBdr>
    </w:div>
    <w:div w:id="748162302">
      <w:marLeft w:val="0"/>
      <w:marRight w:val="0"/>
      <w:marTop w:val="100"/>
      <w:marBottom w:val="120"/>
      <w:divBdr>
        <w:top w:val="none" w:sz="0" w:space="0" w:color="auto"/>
        <w:left w:val="none" w:sz="0" w:space="0" w:color="auto"/>
        <w:bottom w:val="none" w:sz="0" w:space="0" w:color="auto"/>
        <w:right w:val="none" w:sz="0" w:space="0" w:color="auto"/>
      </w:divBdr>
      <w:divsChild>
        <w:div w:id="1091513989">
          <w:marLeft w:val="0"/>
          <w:marRight w:val="0"/>
          <w:marTop w:val="0"/>
          <w:marBottom w:val="0"/>
          <w:divBdr>
            <w:top w:val="none" w:sz="0" w:space="0" w:color="auto"/>
            <w:left w:val="none" w:sz="0" w:space="0" w:color="auto"/>
            <w:bottom w:val="none" w:sz="0" w:space="0" w:color="auto"/>
            <w:right w:val="none" w:sz="0" w:space="0" w:color="auto"/>
          </w:divBdr>
        </w:div>
      </w:divsChild>
    </w:div>
    <w:div w:id="753815869">
      <w:marLeft w:val="0"/>
      <w:marRight w:val="0"/>
      <w:marTop w:val="0"/>
      <w:marBottom w:val="120"/>
      <w:divBdr>
        <w:top w:val="none" w:sz="0" w:space="0" w:color="auto"/>
        <w:left w:val="none" w:sz="0" w:space="0" w:color="auto"/>
        <w:bottom w:val="none" w:sz="0" w:space="0" w:color="auto"/>
        <w:right w:val="none" w:sz="0" w:space="0" w:color="auto"/>
      </w:divBdr>
    </w:div>
    <w:div w:id="756443275">
      <w:marLeft w:val="0"/>
      <w:marRight w:val="0"/>
      <w:marTop w:val="0"/>
      <w:marBottom w:val="0"/>
      <w:divBdr>
        <w:top w:val="none" w:sz="0" w:space="0" w:color="auto"/>
        <w:left w:val="none" w:sz="0" w:space="0" w:color="auto"/>
        <w:bottom w:val="none" w:sz="0" w:space="0" w:color="auto"/>
        <w:right w:val="none" w:sz="0" w:space="0" w:color="auto"/>
      </w:divBdr>
      <w:divsChild>
        <w:div w:id="1267230845">
          <w:marLeft w:val="0"/>
          <w:marRight w:val="0"/>
          <w:marTop w:val="0"/>
          <w:marBottom w:val="0"/>
          <w:divBdr>
            <w:top w:val="none" w:sz="0" w:space="0" w:color="auto"/>
            <w:left w:val="none" w:sz="0" w:space="0" w:color="auto"/>
            <w:bottom w:val="none" w:sz="0" w:space="0" w:color="auto"/>
            <w:right w:val="none" w:sz="0" w:space="0" w:color="auto"/>
          </w:divBdr>
        </w:div>
      </w:divsChild>
    </w:div>
    <w:div w:id="758019404">
      <w:marLeft w:val="0"/>
      <w:marRight w:val="0"/>
      <w:marTop w:val="0"/>
      <w:marBottom w:val="120"/>
      <w:divBdr>
        <w:top w:val="none" w:sz="0" w:space="0" w:color="auto"/>
        <w:left w:val="none" w:sz="0" w:space="0" w:color="auto"/>
        <w:bottom w:val="none" w:sz="0" w:space="0" w:color="auto"/>
        <w:right w:val="none" w:sz="0" w:space="0" w:color="auto"/>
      </w:divBdr>
    </w:div>
    <w:div w:id="767971780">
      <w:marLeft w:val="0"/>
      <w:marRight w:val="0"/>
      <w:marTop w:val="0"/>
      <w:marBottom w:val="100"/>
      <w:divBdr>
        <w:top w:val="none" w:sz="0" w:space="0" w:color="auto"/>
        <w:left w:val="none" w:sz="0" w:space="0" w:color="auto"/>
        <w:bottom w:val="none" w:sz="0" w:space="0" w:color="auto"/>
        <w:right w:val="none" w:sz="0" w:space="0" w:color="auto"/>
      </w:divBdr>
    </w:div>
    <w:div w:id="768355412">
      <w:marLeft w:val="0"/>
      <w:marRight w:val="0"/>
      <w:marTop w:val="0"/>
      <w:marBottom w:val="120"/>
      <w:divBdr>
        <w:top w:val="none" w:sz="0" w:space="0" w:color="auto"/>
        <w:left w:val="none" w:sz="0" w:space="0" w:color="auto"/>
        <w:bottom w:val="none" w:sz="0" w:space="0" w:color="auto"/>
        <w:right w:val="none" w:sz="0" w:space="0" w:color="auto"/>
      </w:divBdr>
    </w:div>
    <w:div w:id="769205157">
      <w:marLeft w:val="0"/>
      <w:marRight w:val="0"/>
      <w:marTop w:val="0"/>
      <w:marBottom w:val="0"/>
      <w:divBdr>
        <w:top w:val="none" w:sz="0" w:space="0" w:color="auto"/>
        <w:left w:val="none" w:sz="0" w:space="0" w:color="auto"/>
        <w:bottom w:val="none" w:sz="0" w:space="0" w:color="auto"/>
        <w:right w:val="none" w:sz="0" w:space="0" w:color="auto"/>
      </w:divBdr>
      <w:divsChild>
        <w:div w:id="2027978232">
          <w:marLeft w:val="0"/>
          <w:marRight w:val="0"/>
          <w:marTop w:val="0"/>
          <w:marBottom w:val="0"/>
          <w:divBdr>
            <w:top w:val="none" w:sz="0" w:space="0" w:color="auto"/>
            <w:left w:val="none" w:sz="0" w:space="0" w:color="auto"/>
            <w:bottom w:val="none" w:sz="0" w:space="0" w:color="auto"/>
            <w:right w:val="none" w:sz="0" w:space="0" w:color="auto"/>
          </w:divBdr>
        </w:div>
      </w:divsChild>
    </w:div>
    <w:div w:id="771625667">
      <w:marLeft w:val="0"/>
      <w:marRight w:val="0"/>
      <w:marTop w:val="0"/>
      <w:marBottom w:val="120"/>
      <w:divBdr>
        <w:top w:val="none" w:sz="0" w:space="0" w:color="auto"/>
        <w:left w:val="none" w:sz="0" w:space="0" w:color="auto"/>
        <w:bottom w:val="none" w:sz="0" w:space="0" w:color="auto"/>
        <w:right w:val="none" w:sz="0" w:space="0" w:color="auto"/>
      </w:divBdr>
    </w:div>
    <w:div w:id="771701402">
      <w:marLeft w:val="0"/>
      <w:marRight w:val="0"/>
      <w:marTop w:val="0"/>
      <w:marBottom w:val="0"/>
      <w:divBdr>
        <w:top w:val="none" w:sz="0" w:space="0" w:color="auto"/>
        <w:left w:val="none" w:sz="0" w:space="0" w:color="auto"/>
        <w:bottom w:val="none" w:sz="0" w:space="0" w:color="auto"/>
        <w:right w:val="none" w:sz="0" w:space="0" w:color="auto"/>
      </w:divBdr>
      <w:divsChild>
        <w:div w:id="937904691">
          <w:marLeft w:val="0"/>
          <w:marRight w:val="0"/>
          <w:marTop w:val="0"/>
          <w:marBottom w:val="0"/>
          <w:divBdr>
            <w:top w:val="none" w:sz="0" w:space="0" w:color="auto"/>
            <w:left w:val="none" w:sz="0" w:space="0" w:color="auto"/>
            <w:bottom w:val="none" w:sz="0" w:space="0" w:color="auto"/>
            <w:right w:val="none" w:sz="0" w:space="0" w:color="auto"/>
          </w:divBdr>
        </w:div>
      </w:divsChild>
    </w:div>
    <w:div w:id="773592918">
      <w:marLeft w:val="0"/>
      <w:marRight w:val="0"/>
      <w:marTop w:val="0"/>
      <w:marBottom w:val="120"/>
      <w:divBdr>
        <w:top w:val="none" w:sz="0" w:space="0" w:color="auto"/>
        <w:left w:val="none" w:sz="0" w:space="0" w:color="auto"/>
        <w:bottom w:val="none" w:sz="0" w:space="0" w:color="auto"/>
        <w:right w:val="none" w:sz="0" w:space="0" w:color="auto"/>
      </w:divBdr>
    </w:div>
    <w:div w:id="775563896">
      <w:marLeft w:val="0"/>
      <w:marRight w:val="0"/>
      <w:marTop w:val="0"/>
      <w:marBottom w:val="0"/>
      <w:divBdr>
        <w:top w:val="none" w:sz="0" w:space="0" w:color="auto"/>
        <w:left w:val="none" w:sz="0" w:space="0" w:color="auto"/>
        <w:bottom w:val="none" w:sz="0" w:space="0" w:color="auto"/>
        <w:right w:val="none" w:sz="0" w:space="0" w:color="auto"/>
      </w:divBdr>
      <w:divsChild>
        <w:div w:id="1549801605">
          <w:marLeft w:val="0"/>
          <w:marRight w:val="0"/>
          <w:marTop w:val="0"/>
          <w:marBottom w:val="0"/>
          <w:divBdr>
            <w:top w:val="none" w:sz="0" w:space="0" w:color="auto"/>
            <w:left w:val="none" w:sz="0" w:space="0" w:color="auto"/>
            <w:bottom w:val="none" w:sz="0" w:space="0" w:color="auto"/>
            <w:right w:val="none" w:sz="0" w:space="0" w:color="auto"/>
          </w:divBdr>
        </w:div>
      </w:divsChild>
    </w:div>
    <w:div w:id="778375426">
      <w:marLeft w:val="0"/>
      <w:marRight w:val="0"/>
      <w:marTop w:val="0"/>
      <w:marBottom w:val="120"/>
      <w:divBdr>
        <w:top w:val="none" w:sz="0" w:space="0" w:color="auto"/>
        <w:left w:val="none" w:sz="0" w:space="0" w:color="auto"/>
        <w:bottom w:val="none" w:sz="0" w:space="0" w:color="auto"/>
        <w:right w:val="none" w:sz="0" w:space="0" w:color="auto"/>
      </w:divBdr>
    </w:div>
    <w:div w:id="792986895">
      <w:marLeft w:val="0"/>
      <w:marRight w:val="0"/>
      <w:marTop w:val="0"/>
      <w:marBottom w:val="120"/>
      <w:divBdr>
        <w:top w:val="none" w:sz="0" w:space="0" w:color="auto"/>
        <w:left w:val="none" w:sz="0" w:space="0" w:color="auto"/>
        <w:bottom w:val="none" w:sz="0" w:space="0" w:color="auto"/>
        <w:right w:val="none" w:sz="0" w:space="0" w:color="auto"/>
      </w:divBdr>
    </w:div>
    <w:div w:id="793983709">
      <w:marLeft w:val="0"/>
      <w:marRight w:val="0"/>
      <w:marTop w:val="0"/>
      <w:marBottom w:val="0"/>
      <w:divBdr>
        <w:top w:val="none" w:sz="0" w:space="0" w:color="auto"/>
        <w:left w:val="none" w:sz="0" w:space="0" w:color="auto"/>
        <w:bottom w:val="none" w:sz="0" w:space="0" w:color="auto"/>
        <w:right w:val="none" w:sz="0" w:space="0" w:color="auto"/>
      </w:divBdr>
    </w:div>
    <w:div w:id="795293387">
      <w:marLeft w:val="0"/>
      <w:marRight w:val="0"/>
      <w:marTop w:val="0"/>
      <w:marBottom w:val="120"/>
      <w:divBdr>
        <w:top w:val="none" w:sz="0" w:space="0" w:color="auto"/>
        <w:left w:val="none" w:sz="0" w:space="0" w:color="auto"/>
        <w:bottom w:val="none" w:sz="0" w:space="0" w:color="auto"/>
        <w:right w:val="none" w:sz="0" w:space="0" w:color="auto"/>
      </w:divBdr>
    </w:div>
    <w:div w:id="803473045">
      <w:marLeft w:val="0"/>
      <w:marRight w:val="0"/>
      <w:marTop w:val="0"/>
      <w:marBottom w:val="120"/>
      <w:divBdr>
        <w:top w:val="none" w:sz="0" w:space="0" w:color="auto"/>
        <w:left w:val="none" w:sz="0" w:space="0" w:color="auto"/>
        <w:bottom w:val="none" w:sz="0" w:space="0" w:color="auto"/>
        <w:right w:val="none" w:sz="0" w:space="0" w:color="auto"/>
      </w:divBdr>
    </w:div>
    <w:div w:id="803815983">
      <w:marLeft w:val="0"/>
      <w:marRight w:val="0"/>
      <w:marTop w:val="0"/>
      <w:marBottom w:val="0"/>
      <w:divBdr>
        <w:top w:val="none" w:sz="0" w:space="0" w:color="auto"/>
        <w:left w:val="none" w:sz="0" w:space="0" w:color="auto"/>
        <w:bottom w:val="none" w:sz="0" w:space="0" w:color="auto"/>
        <w:right w:val="none" w:sz="0" w:space="0" w:color="auto"/>
      </w:divBdr>
      <w:divsChild>
        <w:div w:id="2043556742">
          <w:marLeft w:val="0"/>
          <w:marRight w:val="0"/>
          <w:marTop w:val="0"/>
          <w:marBottom w:val="0"/>
          <w:divBdr>
            <w:top w:val="none" w:sz="0" w:space="0" w:color="auto"/>
            <w:left w:val="none" w:sz="0" w:space="0" w:color="auto"/>
            <w:bottom w:val="none" w:sz="0" w:space="0" w:color="auto"/>
            <w:right w:val="none" w:sz="0" w:space="0" w:color="auto"/>
          </w:divBdr>
        </w:div>
      </w:divsChild>
    </w:div>
    <w:div w:id="808590470">
      <w:marLeft w:val="0"/>
      <w:marRight w:val="0"/>
      <w:marTop w:val="0"/>
      <w:marBottom w:val="120"/>
      <w:divBdr>
        <w:top w:val="none" w:sz="0" w:space="0" w:color="auto"/>
        <w:left w:val="none" w:sz="0" w:space="0" w:color="auto"/>
        <w:bottom w:val="none" w:sz="0" w:space="0" w:color="auto"/>
        <w:right w:val="none" w:sz="0" w:space="0" w:color="auto"/>
      </w:divBdr>
    </w:div>
    <w:div w:id="813185293">
      <w:marLeft w:val="0"/>
      <w:marRight w:val="0"/>
      <w:marTop w:val="0"/>
      <w:marBottom w:val="120"/>
      <w:divBdr>
        <w:top w:val="none" w:sz="0" w:space="0" w:color="auto"/>
        <w:left w:val="none" w:sz="0" w:space="0" w:color="auto"/>
        <w:bottom w:val="none" w:sz="0" w:space="0" w:color="auto"/>
        <w:right w:val="none" w:sz="0" w:space="0" w:color="auto"/>
      </w:divBdr>
    </w:div>
    <w:div w:id="815226334">
      <w:marLeft w:val="0"/>
      <w:marRight w:val="0"/>
      <w:marTop w:val="0"/>
      <w:marBottom w:val="120"/>
      <w:divBdr>
        <w:top w:val="none" w:sz="0" w:space="0" w:color="auto"/>
        <w:left w:val="none" w:sz="0" w:space="0" w:color="auto"/>
        <w:bottom w:val="none" w:sz="0" w:space="0" w:color="auto"/>
        <w:right w:val="none" w:sz="0" w:space="0" w:color="auto"/>
      </w:divBdr>
    </w:div>
    <w:div w:id="817844162">
      <w:marLeft w:val="0"/>
      <w:marRight w:val="0"/>
      <w:marTop w:val="100"/>
      <w:marBottom w:val="20"/>
      <w:divBdr>
        <w:top w:val="none" w:sz="0" w:space="0" w:color="auto"/>
        <w:left w:val="none" w:sz="0" w:space="0" w:color="auto"/>
        <w:bottom w:val="none" w:sz="0" w:space="0" w:color="auto"/>
        <w:right w:val="none" w:sz="0" w:space="0" w:color="auto"/>
      </w:divBdr>
    </w:div>
    <w:div w:id="818811594">
      <w:marLeft w:val="0"/>
      <w:marRight w:val="0"/>
      <w:marTop w:val="100"/>
      <w:marBottom w:val="0"/>
      <w:divBdr>
        <w:top w:val="none" w:sz="0" w:space="0" w:color="auto"/>
        <w:left w:val="none" w:sz="0" w:space="0" w:color="auto"/>
        <w:bottom w:val="none" w:sz="0" w:space="0" w:color="auto"/>
        <w:right w:val="none" w:sz="0" w:space="0" w:color="auto"/>
      </w:divBdr>
    </w:div>
    <w:div w:id="821897683">
      <w:marLeft w:val="0"/>
      <w:marRight w:val="0"/>
      <w:marTop w:val="120"/>
      <w:marBottom w:val="120"/>
      <w:divBdr>
        <w:top w:val="none" w:sz="0" w:space="0" w:color="auto"/>
        <w:left w:val="none" w:sz="0" w:space="0" w:color="auto"/>
        <w:bottom w:val="none" w:sz="0" w:space="0" w:color="auto"/>
        <w:right w:val="none" w:sz="0" w:space="0" w:color="auto"/>
      </w:divBdr>
    </w:div>
    <w:div w:id="828594624">
      <w:marLeft w:val="0"/>
      <w:marRight w:val="0"/>
      <w:marTop w:val="0"/>
      <w:marBottom w:val="0"/>
      <w:divBdr>
        <w:top w:val="none" w:sz="0" w:space="0" w:color="auto"/>
        <w:left w:val="none" w:sz="0" w:space="0" w:color="auto"/>
        <w:bottom w:val="none" w:sz="0" w:space="0" w:color="auto"/>
        <w:right w:val="none" w:sz="0" w:space="0" w:color="auto"/>
      </w:divBdr>
    </w:div>
    <w:div w:id="829830858">
      <w:marLeft w:val="0"/>
      <w:marRight w:val="0"/>
      <w:marTop w:val="80"/>
      <w:marBottom w:val="0"/>
      <w:divBdr>
        <w:top w:val="none" w:sz="0" w:space="0" w:color="auto"/>
        <w:left w:val="none" w:sz="0" w:space="0" w:color="auto"/>
        <w:bottom w:val="none" w:sz="0" w:space="0" w:color="auto"/>
        <w:right w:val="none" w:sz="0" w:space="0" w:color="auto"/>
      </w:divBdr>
    </w:div>
    <w:div w:id="830488441">
      <w:marLeft w:val="0"/>
      <w:marRight w:val="0"/>
      <w:marTop w:val="100"/>
      <w:marBottom w:val="20"/>
      <w:divBdr>
        <w:top w:val="none" w:sz="0" w:space="0" w:color="auto"/>
        <w:left w:val="none" w:sz="0" w:space="0" w:color="auto"/>
        <w:bottom w:val="none" w:sz="0" w:space="0" w:color="auto"/>
        <w:right w:val="none" w:sz="0" w:space="0" w:color="auto"/>
      </w:divBdr>
    </w:div>
    <w:div w:id="836382520">
      <w:marLeft w:val="0"/>
      <w:marRight w:val="0"/>
      <w:marTop w:val="0"/>
      <w:marBottom w:val="120"/>
      <w:divBdr>
        <w:top w:val="none" w:sz="0" w:space="0" w:color="auto"/>
        <w:left w:val="none" w:sz="0" w:space="0" w:color="auto"/>
        <w:bottom w:val="none" w:sz="0" w:space="0" w:color="auto"/>
        <w:right w:val="none" w:sz="0" w:space="0" w:color="auto"/>
      </w:divBdr>
    </w:div>
    <w:div w:id="841093232">
      <w:marLeft w:val="0"/>
      <w:marRight w:val="0"/>
      <w:marTop w:val="0"/>
      <w:marBottom w:val="120"/>
      <w:divBdr>
        <w:top w:val="none" w:sz="0" w:space="0" w:color="auto"/>
        <w:left w:val="none" w:sz="0" w:space="0" w:color="auto"/>
        <w:bottom w:val="none" w:sz="0" w:space="0" w:color="auto"/>
        <w:right w:val="none" w:sz="0" w:space="0" w:color="auto"/>
      </w:divBdr>
    </w:div>
    <w:div w:id="849566641">
      <w:marLeft w:val="0"/>
      <w:marRight w:val="0"/>
      <w:marTop w:val="0"/>
      <w:marBottom w:val="120"/>
      <w:divBdr>
        <w:top w:val="none" w:sz="0" w:space="0" w:color="auto"/>
        <w:left w:val="none" w:sz="0" w:space="0" w:color="auto"/>
        <w:bottom w:val="none" w:sz="0" w:space="0" w:color="auto"/>
        <w:right w:val="none" w:sz="0" w:space="0" w:color="auto"/>
      </w:divBdr>
    </w:div>
    <w:div w:id="851988908">
      <w:marLeft w:val="0"/>
      <w:marRight w:val="0"/>
      <w:marTop w:val="0"/>
      <w:marBottom w:val="0"/>
      <w:divBdr>
        <w:top w:val="none" w:sz="0" w:space="0" w:color="auto"/>
        <w:left w:val="none" w:sz="0" w:space="0" w:color="auto"/>
        <w:bottom w:val="none" w:sz="0" w:space="0" w:color="auto"/>
        <w:right w:val="none" w:sz="0" w:space="0" w:color="auto"/>
      </w:divBdr>
      <w:divsChild>
        <w:div w:id="738869881">
          <w:marLeft w:val="0"/>
          <w:marRight w:val="0"/>
          <w:marTop w:val="0"/>
          <w:marBottom w:val="0"/>
          <w:divBdr>
            <w:top w:val="none" w:sz="0" w:space="0" w:color="auto"/>
            <w:left w:val="none" w:sz="0" w:space="0" w:color="auto"/>
            <w:bottom w:val="none" w:sz="0" w:space="0" w:color="auto"/>
            <w:right w:val="none" w:sz="0" w:space="0" w:color="auto"/>
          </w:divBdr>
        </w:div>
      </w:divsChild>
    </w:div>
    <w:div w:id="874927295">
      <w:marLeft w:val="0"/>
      <w:marRight w:val="0"/>
      <w:marTop w:val="0"/>
      <w:marBottom w:val="120"/>
      <w:divBdr>
        <w:top w:val="none" w:sz="0" w:space="0" w:color="auto"/>
        <w:left w:val="none" w:sz="0" w:space="0" w:color="auto"/>
        <w:bottom w:val="none" w:sz="0" w:space="0" w:color="auto"/>
        <w:right w:val="none" w:sz="0" w:space="0" w:color="auto"/>
      </w:divBdr>
    </w:div>
    <w:div w:id="877620511">
      <w:marLeft w:val="0"/>
      <w:marRight w:val="0"/>
      <w:marTop w:val="0"/>
      <w:marBottom w:val="120"/>
      <w:divBdr>
        <w:top w:val="none" w:sz="0" w:space="0" w:color="auto"/>
        <w:left w:val="none" w:sz="0" w:space="0" w:color="auto"/>
        <w:bottom w:val="none" w:sz="0" w:space="0" w:color="auto"/>
        <w:right w:val="none" w:sz="0" w:space="0" w:color="auto"/>
      </w:divBdr>
    </w:div>
    <w:div w:id="883906054">
      <w:marLeft w:val="0"/>
      <w:marRight w:val="0"/>
      <w:marTop w:val="0"/>
      <w:marBottom w:val="120"/>
      <w:divBdr>
        <w:top w:val="none" w:sz="0" w:space="0" w:color="auto"/>
        <w:left w:val="none" w:sz="0" w:space="0" w:color="auto"/>
        <w:bottom w:val="none" w:sz="0" w:space="0" w:color="auto"/>
        <w:right w:val="none" w:sz="0" w:space="0" w:color="auto"/>
      </w:divBdr>
    </w:div>
    <w:div w:id="883911430">
      <w:marLeft w:val="0"/>
      <w:marRight w:val="0"/>
      <w:marTop w:val="120"/>
      <w:marBottom w:val="120"/>
      <w:divBdr>
        <w:top w:val="none" w:sz="0" w:space="0" w:color="auto"/>
        <w:left w:val="none" w:sz="0" w:space="0" w:color="auto"/>
        <w:bottom w:val="none" w:sz="0" w:space="0" w:color="auto"/>
        <w:right w:val="none" w:sz="0" w:space="0" w:color="auto"/>
      </w:divBdr>
    </w:div>
    <w:div w:id="886261198">
      <w:marLeft w:val="0"/>
      <w:marRight w:val="0"/>
      <w:marTop w:val="0"/>
      <w:marBottom w:val="20"/>
      <w:divBdr>
        <w:top w:val="none" w:sz="0" w:space="0" w:color="auto"/>
        <w:left w:val="none" w:sz="0" w:space="0" w:color="auto"/>
        <w:bottom w:val="none" w:sz="0" w:space="0" w:color="auto"/>
        <w:right w:val="none" w:sz="0" w:space="0" w:color="auto"/>
      </w:divBdr>
    </w:div>
    <w:div w:id="894238829">
      <w:marLeft w:val="0"/>
      <w:marRight w:val="0"/>
      <w:marTop w:val="120"/>
      <w:marBottom w:val="120"/>
      <w:divBdr>
        <w:top w:val="none" w:sz="0" w:space="0" w:color="auto"/>
        <w:left w:val="none" w:sz="0" w:space="0" w:color="auto"/>
        <w:bottom w:val="none" w:sz="0" w:space="0" w:color="auto"/>
        <w:right w:val="none" w:sz="0" w:space="0" w:color="auto"/>
      </w:divBdr>
    </w:div>
    <w:div w:id="896820630">
      <w:marLeft w:val="0"/>
      <w:marRight w:val="0"/>
      <w:marTop w:val="0"/>
      <w:marBottom w:val="100"/>
      <w:divBdr>
        <w:top w:val="none" w:sz="0" w:space="0" w:color="auto"/>
        <w:left w:val="none" w:sz="0" w:space="0" w:color="auto"/>
        <w:bottom w:val="none" w:sz="0" w:space="0" w:color="auto"/>
        <w:right w:val="none" w:sz="0" w:space="0" w:color="auto"/>
      </w:divBdr>
    </w:div>
    <w:div w:id="900484450">
      <w:marLeft w:val="0"/>
      <w:marRight w:val="0"/>
      <w:marTop w:val="0"/>
      <w:marBottom w:val="120"/>
      <w:divBdr>
        <w:top w:val="none" w:sz="0" w:space="0" w:color="auto"/>
        <w:left w:val="none" w:sz="0" w:space="0" w:color="auto"/>
        <w:bottom w:val="none" w:sz="0" w:space="0" w:color="auto"/>
        <w:right w:val="none" w:sz="0" w:space="0" w:color="auto"/>
      </w:divBdr>
    </w:div>
    <w:div w:id="904873780">
      <w:marLeft w:val="0"/>
      <w:marRight w:val="0"/>
      <w:marTop w:val="0"/>
      <w:marBottom w:val="120"/>
      <w:divBdr>
        <w:top w:val="none" w:sz="0" w:space="0" w:color="auto"/>
        <w:left w:val="none" w:sz="0" w:space="0" w:color="auto"/>
        <w:bottom w:val="none" w:sz="0" w:space="0" w:color="auto"/>
        <w:right w:val="none" w:sz="0" w:space="0" w:color="auto"/>
      </w:divBdr>
    </w:div>
    <w:div w:id="905914064">
      <w:marLeft w:val="0"/>
      <w:marRight w:val="0"/>
      <w:marTop w:val="0"/>
      <w:marBottom w:val="120"/>
      <w:divBdr>
        <w:top w:val="none" w:sz="0" w:space="0" w:color="auto"/>
        <w:left w:val="none" w:sz="0" w:space="0" w:color="auto"/>
        <w:bottom w:val="none" w:sz="0" w:space="0" w:color="auto"/>
        <w:right w:val="none" w:sz="0" w:space="0" w:color="auto"/>
      </w:divBdr>
    </w:div>
    <w:div w:id="910694751">
      <w:marLeft w:val="0"/>
      <w:marRight w:val="0"/>
      <w:marTop w:val="0"/>
      <w:marBottom w:val="120"/>
      <w:divBdr>
        <w:top w:val="none" w:sz="0" w:space="0" w:color="auto"/>
        <w:left w:val="none" w:sz="0" w:space="0" w:color="auto"/>
        <w:bottom w:val="none" w:sz="0" w:space="0" w:color="auto"/>
        <w:right w:val="none" w:sz="0" w:space="0" w:color="auto"/>
      </w:divBdr>
    </w:div>
    <w:div w:id="915550328">
      <w:marLeft w:val="0"/>
      <w:marRight w:val="0"/>
      <w:marTop w:val="0"/>
      <w:marBottom w:val="120"/>
      <w:divBdr>
        <w:top w:val="none" w:sz="0" w:space="0" w:color="auto"/>
        <w:left w:val="none" w:sz="0" w:space="0" w:color="auto"/>
        <w:bottom w:val="none" w:sz="0" w:space="0" w:color="auto"/>
        <w:right w:val="none" w:sz="0" w:space="0" w:color="auto"/>
      </w:divBdr>
    </w:div>
    <w:div w:id="922491602">
      <w:marLeft w:val="0"/>
      <w:marRight w:val="0"/>
      <w:marTop w:val="0"/>
      <w:marBottom w:val="0"/>
      <w:divBdr>
        <w:top w:val="none" w:sz="0" w:space="0" w:color="auto"/>
        <w:left w:val="none" w:sz="0" w:space="0" w:color="auto"/>
        <w:bottom w:val="none" w:sz="0" w:space="0" w:color="auto"/>
        <w:right w:val="none" w:sz="0" w:space="0" w:color="auto"/>
      </w:divBdr>
    </w:div>
    <w:div w:id="928806970">
      <w:marLeft w:val="0"/>
      <w:marRight w:val="0"/>
      <w:marTop w:val="0"/>
      <w:marBottom w:val="120"/>
      <w:divBdr>
        <w:top w:val="none" w:sz="0" w:space="0" w:color="auto"/>
        <w:left w:val="none" w:sz="0" w:space="0" w:color="auto"/>
        <w:bottom w:val="none" w:sz="0" w:space="0" w:color="auto"/>
        <w:right w:val="none" w:sz="0" w:space="0" w:color="auto"/>
      </w:divBdr>
    </w:div>
    <w:div w:id="942809336">
      <w:marLeft w:val="0"/>
      <w:marRight w:val="0"/>
      <w:marTop w:val="0"/>
      <w:marBottom w:val="120"/>
      <w:divBdr>
        <w:top w:val="none" w:sz="0" w:space="0" w:color="auto"/>
        <w:left w:val="none" w:sz="0" w:space="0" w:color="auto"/>
        <w:bottom w:val="none" w:sz="0" w:space="0" w:color="auto"/>
        <w:right w:val="none" w:sz="0" w:space="0" w:color="auto"/>
      </w:divBdr>
    </w:div>
    <w:div w:id="946933486">
      <w:marLeft w:val="0"/>
      <w:marRight w:val="0"/>
      <w:marTop w:val="0"/>
      <w:marBottom w:val="120"/>
      <w:divBdr>
        <w:top w:val="none" w:sz="0" w:space="0" w:color="auto"/>
        <w:left w:val="none" w:sz="0" w:space="0" w:color="auto"/>
        <w:bottom w:val="none" w:sz="0" w:space="0" w:color="auto"/>
        <w:right w:val="none" w:sz="0" w:space="0" w:color="auto"/>
      </w:divBdr>
    </w:div>
    <w:div w:id="950556138">
      <w:marLeft w:val="0"/>
      <w:marRight w:val="0"/>
      <w:marTop w:val="0"/>
      <w:marBottom w:val="100"/>
      <w:divBdr>
        <w:top w:val="none" w:sz="0" w:space="0" w:color="auto"/>
        <w:left w:val="none" w:sz="0" w:space="0" w:color="auto"/>
        <w:bottom w:val="none" w:sz="0" w:space="0" w:color="auto"/>
        <w:right w:val="none" w:sz="0" w:space="0" w:color="auto"/>
      </w:divBdr>
    </w:div>
    <w:div w:id="960038221">
      <w:marLeft w:val="0"/>
      <w:marRight w:val="0"/>
      <w:marTop w:val="100"/>
      <w:marBottom w:val="120"/>
      <w:divBdr>
        <w:top w:val="none" w:sz="0" w:space="0" w:color="auto"/>
        <w:left w:val="none" w:sz="0" w:space="0" w:color="auto"/>
        <w:bottom w:val="none" w:sz="0" w:space="0" w:color="auto"/>
        <w:right w:val="none" w:sz="0" w:space="0" w:color="auto"/>
      </w:divBdr>
      <w:divsChild>
        <w:div w:id="572466423">
          <w:marLeft w:val="0"/>
          <w:marRight w:val="0"/>
          <w:marTop w:val="0"/>
          <w:marBottom w:val="0"/>
          <w:divBdr>
            <w:top w:val="none" w:sz="0" w:space="0" w:color="auto"/>
            <w:left w:val="none" w:sz="0" w:space="0" w:color="auto"/>
            <w:bottom w:val="none" w:sz="0" w:space="0" w:color="auto"/>
            <w:right w:val="none" w:sz="0" w:space="0" w:color="auto"/>
          </w:divBdr>
        </w:div>
      </w:divsChild>
    </w:div>
    <w:div w:id="960695910">
      <w:marLeft w:val="0"/>
      <w:marRight w:val="0"/>
      <w:marTop w:val="0"/>
      <w:marBottom w:val="20"/>
      <w:divBdr>
        <w:top w:val="none" w:sz="0" w:space="0" w:color="auto"/>
        <w:left w:val="none" w:sz="0" w:space="0" w:color="auto"/>
        <w:bottom w:val="none" w:sz="0" w:space="0" w:color="auto"/>
        <w:right w:val="none" w:sz="0" w:space="0" w:color="auto"/>
      </w:divBdr>
    </w:div>
    <w:div w:id="961106993">
      <w:marLeft w:val="0"/>
      <w:marRight w:val="0"/>
      <w:marTop w:val="0"/>
      <w:marBottom w:val="120"/>
      <w:divBdr>
        <w:top w:val="none" w:sz="0" w:space="0" w:color="auto"/>
        <w:left w:val="none" w:sz="0" w:space="0" w:color="auto"/>
        <w:bottom w:val="none" w:sz="0" w:space="0" w:color="auto"/>
        <w:right w:val="none" w:sz="0" w:space="0" w:color="auto"/>
      </w:divBdr>
    </w:div>
    <w:div w:id="963578476">
      <w:marLeft w:val="0"/>
      <w:marRight w:val="0"/>
      <w:marTop w:val="0"/>
      <w:marBottom w:val="120"/>
      <w:divBdr>
        <w:top w:val="none" w:sz="0" w:space="0" w:color="auto"/>
        <w:left w:val="none" w:sz="0" w:space="0" w:color="auto"/>
        <w:bottom w:val="none" w:sz="0" w:space="0" w:color="auto"/>
        <w:right w:val="none" w:sz="0" w:space="0" w:color="auto"/>
      </w:divBdr>
    </w:div>
    <w:div w:id="964889627">
      <w:marLeft w:val="0"/>
      <w:marRight w:val="0"/>
      <w:marTop w:val="100"/>
      <w:marBottom w:val="120"/>
      <w:divBdr>
        <w:top w:val="none" w:sz="0" w:space="0" w:color="auto"/>
        <w:left w:val="none" w:sz="0" w:space="0" w:color="auto"/>
        <w:bottom w:val="none" w:sz="0" w:space="0" w:color="auto"/>
        <w:right w:val="none" w:sz="0" w:space="0" w:color="auto"/>
      </w:divBdr>
      <w:divsChild>
        <w:div w:id="1910192301">
          <w:marLeft w:val="0"/>
          <w:marRight w:val="0"/>
          <w:marTop w:val="0"/>
          <w:marBottom w:val="0"/>
          <w:divBdr>
            <w:top w:val="none" w:sz="0" w:space="0" w:color="auto"/>
            <w:left w:val="none" w:sz="0" w:space="0" w:color="auto"/>
            <w:bottom w:val="none" w:sz="0" w:space="0" w:color="auto"/>
            <w:right w:val="none" w:sz="0" w:space="0" w:color="auto"/>
          </w:divBdr>
        </w:div>
        <w:div w:id="1584532119">
          <w:marLeft w:val="0"/>
          <w:marRight w:val="0"/>
          <w:marTop w:val="0"/>
          <w:marBottom w:val="0"/>
          <w:divBdr>
            <w:top w:val="none" w:sz="0" w:space="0" w:color="auto"/>
            <w:left w:val="none" w:sz="0" w:space="0" w:color="auto"/>
            <w:bottom w:val="none" w:sz="0" w:space="0" w:color="auto"/>
            <w:right w:val="none" w:sz="0" w:space="0" w:color="auto"/>
          </w:divBdr>
        </w:div>
        <w:div w:id="1149438835">
          <w:marLeft w:val="0"/>
          <w:marRight w:val="0"/>
          <w:marTop w:val="0"/>
          <w:marBottom w:val="0"/>
          <w:divBdr>
            <w:top w:val="none" w:sz="0" w:space="0" w:color="auto"/>
            <w:left w:val="none" w:sz="0" w:space="0" w:color="auto"/>
            <w:bottom w:val="none" w:sz="0" w:space="0" w:color="auto"/>
            <w:right w:val="none" w:sz="0" w:space="0" w:color="auto"/>
          </w:divBdr>
        </w:div>
        <w:div w:id="1344891959">
          <w:marLeft w:val="0"/>
          <w:marRight w:val="0"/>
          <w:marTop w:val="0"/>
          <w:marBottom w:val="0"/>
          <w:divBdr>
            <w:top w:val="none" w:sz="0" w:space="0" w:color="auto"/>
            <w:left w:val="none" w:sz="0" w:space="0" w:color="auto"/>
            <w:bottom w:val="none" w:sz="0" w:space="0" w:color="auto"/>
            <w:right w:val="none" w:sz="0" w:space="0" w:color="auto"/>
          </w:divBdr>
        </w:div>
        <w:div w:id="520313636">
          <w:marLeft w:val="0"/>
          <w:marRight w:val="0"/>
          <w:marTop w:val="0"/>
          <w:marBottom w:val="0"/>
          <w:divBdr>
            <w:top w:val="none" w:sz="0" w:space="0" w:color="auto"/>
            <w:left w:val="none" w:sz="0" w:space="0" w:color="auto"/>
            <w:bottom w:val="none" w:sz="0" w:space="0" w:color="auto"/>
            <w:right w:val="none" w:sz="0" w:space="0" w:color="auto"/>
          </w:divBdr>
        </w:div>
        <w:div w:id="572473127">
          <w:marLeft w:val="0"/>
          <w:marRight w:val="0"/>
          <w:marTop w:val="0"/>
          <w:marBottom w:val="0"/>
          <w:divBdr>
            <w:top w:val="none" w:sz="0" w:space="0" w:color="auto"/>
            <w:left w:val="none" w:sz="0" w:space="0" w:color="auto"/>
            <w:bottom w:val="none" w:sz="0" w:space="0" w:color="auto"/>
            <w:right w:val="none" w:sz="0" w:space="0" w:color="auto"/>
          </w:divBdr>
        </w:div>
      </w:divsChild>
    </w:div>
    <w:div w:id="965162956">
      <w:marLeft w:val="0"/>
      <w:marRight w:val="0"/>
      <w:marTop w:val="100"/>
      <w:marBottom w:val="0"/>
      <w:divBdr>
        <w:top w:val="none" w:sz="0" w:space="0" w:color="auto"/>
        <w:left w:val="none" w:sz="0" w:space="0" w:color="auto"/>
        <w:bottom w:val="none" w:sz="0" w:space="0" w:color="auto"/>
        <w:right w:val="none" w:sz="0" w:space="0" w:color="auto"/>
      </w:divBdr>
      <w:divsChild>
        <w:div w:id="1845973747">
          <w:marLeft w:val="0"/>
          <w:marRight w:val="0"/>
          <w:marTop w:val="0"/>
          <w:marBottom w:val="0"/>
          <w:divBdr>
            <w:top w:val="none" w:sz="0" w:space="0" w:color="auto"/>
            <w:left w:val="none" w:sz="0" w:space="0" w:color="auto"/>
            <w:bottom w:val="none" w:sz="0" w:space="0" w:color="auto"/>
            <w:right w:val="none" w:sz="0" w:space="0" w:color="auto"/>
          </w:divBdr>
        </w:div>
        <w:div w:id="1496147218">
          <w:marLeft w:val="0"/>
          <w:marRight w:val="0"/>
          <w:marTop w:val="0"/>
          <w:marBottom w:val="0"/>
          <w:divBdr>
            <w:top w:val="none" w:sz="0" w:space="0" w:color="auto"/>
            <w:left w:val="none" w:sz="0" w:space="0" w:color="auto"/>
            <w:bottom w:val="none" w:sz="0" w:space="0" w:color="auto"/>
            <w:right w:val="none" w:sz="0" w:space="0" w:color="auto"/>
          </w:divBdr>
        </w:div>
        <w:div w:id="245892058">
          <w:marLeft w:val="0"/>
          <w:marRight w:val="0"/>
          <w:marTop w:val="0"/>
          <w:marBottom w:val="0"/>
          <w:divBdr>
            <w:top w:val="none" w:sz="0" w:space="0" w:color="auto"/>
            <w:left w:val="none" w:sz="0" w:space="0" w:color="auto"/>
            <w:bottom w:val="none" w:sz="0" w:space="0" w:color="auto"/>
            <w:right w:val="none" w:sz="0" w:space="0" w:color="auto"/>
          </w:divBdr>
        </w:div>
        <w:div w:id="1014040716">
          <w:marLeft w:val="0"/>
          <w:marRight w:val="0"/>
          <w:marTop w:val="0"/>
          <w:marBottom w:val="0"/>
          <w:divBdr>
            <w:top w:val="none" w:sz="0" w:space="0" w:color="auto"/>
            <w:left w:val="none" w:sz="0" w:space="0" w:color="auto"/>
            <w:bottom w:val="none" w:sz="0" w:space="0" w:color="auto"/>
            <w:right w:val="none" w:sz="0" w:space="0" w:color="auto"/>
          </w:divBdr>
        </w:div>
        <w:div w:id="1631010141">
          <w:marLeft w:val="0"/>
          <w:marRight w:val="0"/>
          <w:marTop w:val="0"/>
          <w:marBottom w:val="0"/>
          <w:divBdr>
            <w:top w:val="none" w:sz="0" w:space="0" w:color="auto"/>
            <w:left w:val="none" w:sz="0" w:space="0" w:color="auto"/>
            <w:bottom w:val="none" w:sz="0" w:space="0" w:color="auto"/>
            <w:right w:val="none" w:sz="0" w:space="0" w:color="auto"/>
          </w:divBdr>
        </w:div>
        <w:div w:id="711920983">
          <w:marLeft w:val="0"/>
          <w:marRight w:val="0"/>
          <w:marTop w:val="0"/>
          <w:marBottom w:val="0"/>
          <w:divBdr>
            <w:top w:val="none" w:sz="0" w:space="0" w:color="auto"/>
            <w:left w:val="none" w:sz="0" w:space="0" w:color="auto"/>
            <w:bottom w:val="none" w:sz="0" w:space="0" w:color="auto"/>
            <w:right w:val="none" w:sz="0" w:space="0" w:color="auto"/>
          </w:divBdr>
        </w:div>
        <w:div w:id="1542477375">
          <w:marLeft w:val="0"/>
          <w:marRight w:val="0"/>
          <w:marTop w:val="0"/>
          <w:marBottom w:val="0"/>
          <w:divBdr>
            <w:top w:val="none" w:sz="0" w:space="0" w:color="auto"/>
            <w:left w:val="none" w:sz="0" w:space="0" w:color="auto"/>
            <w:bottom w:val="none" w:sz="0" w:space="0" w:color="auto"/>
            <w:right w:val="none" w:sz="0" w:space="0" w:color="auto"/>
          </w:divBdr>
        </w:div>
        <w:div w:id="1186361546">
          <w:marLeft w:val="0"/>
          <w:marRight w:val="0"/>
          <w:marTop w:val="0"/>
          <w:marBottom w:val="0"/>
          <w:divBdr>
            <w:top w:val="none" w:sz="0" w:space="0" w:color="auto"/>
            <w:left w:val="none" w:sz="0" w:space="0" w:color="auto"/>
            <w:bottom w:val="none" w:sz="0" w:space="0" w:color="auto"/>
            <w:right w:val="none" w:sz="0" w:space="0" w:color="auto"/>
          </w:divBdr>
        </w:div>
        <w:div w:id="772676250">
          <w:marLeft w:val="0"/>
          <w:marRight w:val="0"/>
          <w:marTop w:val="0"/>
          <w:marBottom w:val="0"/>
          <w:divBdr>
            <w:top w:val="none" w:sz="0" w:space="0" w:color="auto"/>
            <w:left w:val="none" w:sz="0" w:space="0" w:color="auto"/>
            <w:bottom w:val="none" w:sz="0" w:space="0" w:color="auto"/>
            <w:right w:val="none" w:sz="0" w:space="0" w:color="auto"/>
          </w:divBdr>
        </w:div>
        <w:div w:id="527985950">
          <w:marLeft w:val="0"/>
          <w:marRight w:val="0"/>
          <w:marTop w:val="0"/>
          <w:marBottom w:val="0"/>
          <w:divBdr>
            <w:top w:val="none" w:sz="0" w:space="0" w:color="auto"/>
            <w:left w:val="none" w:sz="0" w:space="0" w:color="auto"/>
            <w:bottom w:val="none" w:sz="0" w:space="0" w:color="auto"/>
            <w:right w:val="none" w:sz="0" w:space="0" w:color="auto"/>
          </w:divBdr>
        </w:div>
        <w:div w:id="1161040380">
          <w:marLeft w:val="0"/>
          <w:marRight w:val="0"/>
          <w:marTop w:val="0"/>
          <w:marBottom w:val="0"/>
          <w:divBdr>
            <w:top w:val="none" w:sz="0" w:space="0" w:color="auto"/>
            <w:left w:val="none" w:sz="0" w:space="0" w:color="auto"/>
            <w:bottom w:val="none" w:sz="0" w:space="0" w:color="auto"/>
            <w:right w:val="none" w:sz="0" w:space="0" w:color="auto"/>
          </w:divBdr>
        </w:div>
        <w:div w:id="1985305713">
          <w:marLeft w:val="0"/>
          <w:marRight w:val="0"/>
          <w:marTop w:val="0"/>
          <w:marBottom w:val="0"/>
          <w:divBdr>
            <w:top w:val="none" w:sz="0" w:space="0" w:color="auto"/>
            <w:left w:val="none" w:sz="0" w:space="0" w:color="auto"/>
            <w:bottom w:val="none" w:sz="0" w:space="0" w:color="auto"/>
            <w:right w:val="none" w:sz="0" w:space="0" w:color="auto"/>
          </w:divBdr>
        </w:div>
        <w:div w:id="42219648">
          <w:marLeft w:val="0"/>
          <w:marRight w:val="0"/>
          <w:marTop w:val="0"/>
          <w:marBottom w:val="0"/>
          <w:divBdr>
            <w:top w:val="none" w:sz="0" w:space="0" w:color="auto"/>
            <w:left w:val="none" w:sz="0" w:space="0" w:color="auto"/>
            <w:bottom w:val="none" w:sz="0" w:space="0" w:color="auto"/>
            <w:right w:val="none" w:sz="0" w:space="0" w:color="auto"/>
          </w:divBdr>
        </w:div>
        <w:div w:id="506676858">
          <w:marLeft w:val="0"/>
          <w:marRight w:val="0"/>
          <w:marTop w:val="0"/>
          <w:marBottom w:val="0"/>
          <w:divBdr>
            <w:top w:val="none" w:sz="0" w:space="0" w:color="auto"/>
            <w:left w:val="none" w:sz="0" w:space="0" w:color="auto"/>
            <w:bottom w:val="none" w:sz="0" w:space="0" w:color="auto"/>
            <w:right w:val="none" w:sz="0" w:space="0" w:color="auto"/>
          </w:divBdr>
        </w:div>
        <w:div w:id="1124882507">
          <w:marLeft w:val="0"/>
          <w:marRight w:val="0"/>
          <w:marTop w:val="0"/>
          <w:marBottom w:val="0"/>
          <w:divBdr>
            <w:top w:val="none" w:sz="0" w:space="0" w:color="auto"/>
            <w:left w:val="none" w:sz="0" w:space="0" w:color="auto"/>
            <w:bottom w:val="none" w:sz="0" w:space="0" w:color="auto"/>
            <w:right w:val="none" w:sz="0" w:space="0" w:color="auto"/>
          </w:divBdr>
        </w:div>
        <w:div w:id="1378092781">
          <w:marLeft w:val="0"/>
          <w:marRight w:val="0"/>
          <w:marTop w:val="0"/>
          <w:marBottom w:val="0"/>
          <w:divBdr>
            <w:top w:val="none" w:sz="0" w:space="0" w:color="auto"/>
            <w:left w:val="none" w:sz="0" w:space="0" w:color="auto"/>
            <w:bottom w:val="none" w:sz="0" w:space="0" w:color="auto"/>
            <w:right w:val="none" w:sz="0" w:space="0" w:color="auto"/>
          </w:divBdr>
        </w:div>
        <w:div w:id="864944524">
          <w:marLeft w:val="0"/>
          <w:marRight w:val="0"/>
          <w:marTop w:val="0"/>
          <w:marBottom w:val="0"/>
          <w:divBdr>
            <w:top w:val="none" w:sz="0" w:space="0" w:color="auto"/>
            <w:left w:val="none" w:sz="0" w:space="0" w:color="auto"/>
            <w:bottom w:val="none" w:sz="0" w:space="0" w:color="auto"/>
            <w:right w:val="none" w:sz="0" w:space="0" w:color="auto"/>
          </w:divBdr>
        </w:div>
        <w:div w:id="1370184114">
          <w:marLeft w:val="0"/>
          <w:marRight w:val="0"/>
          <w:marTop w:val="0"/>
          <w:marBottom w:val="0"/>
          <w:divBdr>
            <w:top w:val="none" w:sz="0" w:space="0" w:color="auto"/>
            <w:left w:val="none" w:sz="0" w:space="0" w:color="auto"/>
            <w:bottom w:val="none" w:sz="0" w:space="0" w:color="auto"/>
            <w:right w:val="none" w:sz="0" w:space="0" w:color="auto"/>
          </w:divBdr>
        </w:div>
        <w:div w:id="629673413">
          <w:marLeft w:val="0"/>
          <w:marRight w:val="0"/>
          <w:marTop w:val="0"/>
          <w:marBottom w:val="0"/>
          <w:divBdr>
            <w:top w:val="none" w:sz="0" w:space="0" w:color="auto"/>
            <w:left w:val="none" w:sz="0" w:space="0" w:color="auto"/>
            <w:bottom w:val="none" w:sz="0" w:space="0" w:color="auto"/>
            <w:right w:val="none" w:sz="0" w:space="0" w:color="auto"/>
          </w:divBdr>
        </w:div>
        <w:div w:id="1399016248">
          <w:marLeft w:val="0"/>
          <w:marRight w:val="0"/>
          <w:marTop w:val="0"/>
          <w:marBottom w:val="0"/>
          <w:divBdr>
            <w:top w:val="none" w:sz="0" w:space="0" w:color="auto"/>
            <w:left w:val="none" w:sz="0" w:space="0" w:color="auto"/>
            <w:bottom w:val="none" w:sz="0" w:space="0" w:color="auto"/>
            <w:right w:val="none" w:sz="0" w:space="0" w:color="auto"/>
          </w:divBdr>
        </w:div>
        <w:div w:id="1221600558">
          <w:marLeft w:val="0"/>
          <w:marRight w:val="0"/>
          <w:marTop w:val="0"/>
          <w:marBottom w:val="0"/>
          <w:divBdr>
            <w:top w:val="none" w:sz="0" w:space="0" w:color="auto"/>
            <w:left w:val="none" w:sz="0" w:space="0" w:color="auto"/>
            <w:bottom w:val="none" w:sz="0" w:space="0" w:color="auto"/>
            <w:right w:val="none" w:sz="0" w:space="0" w:color="auto"/>
          </w:divBdr>
        </w:div>
        <w:div w:id="1684818185">
          <w:marLeft w:val="0"/>
          <w:marRight w:val="0"/>
          <w:marTop w:val="0"/>
          <w:marBottom w:val="0"/>
          <w:divBdr>
            <w:top w:val="none" w:sz="0" w:space="0" w:color="auto"/>
            <w:left w:val="none" w:sz="0" w:space="0" w:color="auto"/>
            <w:bottom w:val="none" w:sz="0" w:space="0" w:color="auto"/>
            <w:right w:val="none" w:sz="0" w:space="0" w:color="auto"/>
          </w:divBdr>
        </w:div>
        <w:div w:id="1783570107">
          <w:marLeft w:val="0"/>
          <w:marRight w:val="0"/>
          <w:marTop w:val="0"/>
          <w:marBottom w:val="0"/>
          <w:divBdr>
            <w:top w:val="none" w:sz="0" w:space="0" w:color="auto"/>
            <w:left w:val="none" w:sz="0" w:space="0" w:color="auto"/>
            <w:bottom w:val="none" w:sz="0" w:space="0" w:color="auto"/>
            <w:right w:val="none" w:sz="0" w:space="0" w:color="auto"/>
          </w:divBdr>
        </w:div>
        <w:div w:id="71586383">
          <w:marLeft w:val="0"/>
          <w:marRight w:val="0"/>
          <w:marTop w:val="0"/>
          <w:marBottom w:val="0"/>
          <w:divBdr>
            <w:top w:val="none" w:sz="0" w:space="0" w:color="auto"/>
            <w:left w:val="none" w:sz="0" w:space="0" w:color="auto"/>
            <w:bottom w:val="none" w:sz="0" w:space="0" w:color="auto"/>
            <w:right w:val="none" w:sz="0" w:space="0" w:color="auto"/>
          </w:divBdr>
        </w:div>
        <w:div w:id="1047989953">
          <w:marLeft w:val="0"/>
          <w:marRight w:val="0"/>
          <w:marTop w:val="0"/>
          <w:marBottom w:val="0"/>
          <w:divBdr>
            <w:top w:val="none" w:sz="0" w:space="0" w:color="auto"/>
            <w:left w:val="none" w:sz="0" w:space="0" w:color="auto"/>
            <w:bottom w:val="none" w:sz="0" w:space="0" w:color="auto"/>
            <w:right w:val="none" w:sz="0" w:space="0" w:color="auto"/>
          </w:divBdr>
        </w:div>
        <w:div w:id="293095815">
          <w:marLeft w:val="0"/>
          <w:marRight w:val="0"/>
          <w:marTop w:val="0"/>
          <w:marBottom w:val="0"/>
          <w:divBdr>
            <w:top w:val="none" w:sz="0" w:space="0" w:color="auto"/>
            <w:left w:val="none" w:sz="0" w:space="0" w:color="auto"/>
            <w:bottom w:val="none" w:sz="0" w:space="0" w:color="auto"/>
            <w:right w:val="none" w:sz="0" w:space="0" w:color="auto"/>
          </w:divBdr>
        </w:div>
        <w:div w:id="1835953152">
          <w:marLeft w:val="0"/>
          <w:marRight w:val="0"/>
          <w:marTop w:val="0"/>
          <w:marBottom w:val="0"/>
          <w:divBdr>
            <w:top w:val="none" w:sz="0" w:space="0" w:color="auto"/>
            <w:left w:val="none" w:sz="0" w:space="0" w:color="auto"/>
            <w:bottom w:val="none" w:sz="0" w:space="0" w:color="auto"/>
            <w:right w:val="none" w:sz="0" w:space="0" w:color="auto"/>
          </w:divBdr>
        </w:div>
        <w:div w:id="1680496775">
          <w:marLeft w:val="0"/>
          <w:marRight w:val="0"/>
          <w:marTop w:val="0"/>
          <w:marBottom w:val="0"/>
          <w:divBdr>
            <w:top w:val="none" w:sz="0" w:space="0" w:color="auto"/>
            <w:left w:val="none" w:sz="0" w:space="0" w:color="auto"/>
            <w:bottom w:val="none" w:sz="0" w:space="0" w:color="auto"/>
            <w:right w:val="none" w:sz="0" w:space="0" w:color="auto"/>
          </w:divBdr>
        </w:div>
        <w:div w:id="1366364292">
          <w:marLeft w:val="0"/>
          <w:marRight w:val="0"/>
          <w:marTop w:val="0"/>
          <w:marBottom w:val="0"/>
          <w:divBdr>
            <w:top w:val="none" w:sz="0" w:space="0" w:color="auto"/>
            <w:left w:val="none" w:sz="0" w:space="0" w:color="auto"/>
            <w:bottom w:val="none" w:sz="0" w:space="0" w:color="auto"/>
            <w:right w:val="none" w:sz="0" w:space="0" w:color="auto"/>
          </w:divBdr>
        </w:div>
        <w:div w:id="480194482">
          <w:marLeft w:val="0"/>
          <w:marRight w:val="0"/>
          <w:marTop w:val="0"/>
          <w:marBottom w:val="0"/>
          <w:divBdr>
            <w:top w:val="none" w:sz="0" w:space="0" w:color="auto"/>
            <w:left w:val="none" w:sz="0" w:space="0" w:color="auto"/>
            <w:bottom w:val="none" w:sz="0" w:space="0" w:color="auto"/>
            <w:right w:val="none" w:sz="0" w:space="0" w:color="auto"/>
          </w:divBdr>
        </w:div>
        <w:div w:id="1201092829">
          <w:marLeft w:val="0"/>
          <w:marRight w:val="0"/>
          <w:marTop w:val="0"/>
          <w:marBottom w:val="0"/>
          <w:divBdr>
            <w:top w:val="none" w:sz="0" w:space="0" w:color="auto"/>
            <w:left w:val="none" w:sz="0" w:space="0" w:color="auto"/>
            <w:bottom w:val="none" w:sz="0" w:space="0" w:color="auto"/>
            <w:right w:val="none" w:sz="0" w:space="0" w:color="auto"/>
          </w:divBdr>
        </w:div>
        <w:div w:id="2092892499">
          <w:marLeft w:val="0"/>
          <w:marRight w:val="0"/>
          <w:marTop w:val="0"/>
          <w:marBottom w:val="0"/>
          <w:divBdr>
            <w:top w:val="none" w:sz="0" w:space="0" w:color="auto"/>
            <w:left w:val="none" w:sz="0" w:space="0" w:color="auto"/>
            <w:bottom w:val="none" w:sz="0" w:space="0" w:color="auto"/>
            <w:right w:val="none" w:sz="0" w:space="0" w:color="auto"/>
          </w:divBdr>
        </w:div>
        <w:div w:id="1143161291">
          <w:marLeft w:val="0"/>
          <w:marRight w:val="0"/>
          <w:marTop w:val="0"/>
          <w:marBottom w:val="0"/>
          <w:divBdr>
            <w:top w:val="none" w:sz="0" w:space="0" w:color="auto"/>
            <w:left w:val="none" w:sz="0" w:space="0" w:color="auto"/>
            <w:bottom w:val="none" w:sz="0" w:space="0" w:color="auto"/>
            <w:right w:val="none" w:sz="0" w:space="0" w:color="auto"/>
          </w:divBdr>
        </w:div>
        <w:div w:id="849491319">
          <w:marLeft w:val="0"/>
          <w:marRight w:val="0"/>
          <w:marTop w:val="0"/>
          <w:marBottom w:val="0"/>
          <w:divBdr>
            <w:top w:val="none" w:sz="0" w:space="0" w:color="auto"/>
            <w:left w:val="none" w:sz="0" w:space="0" w:color="auto"/>
            <w:bottom w:val="none" w:sz="0" w:space="0" w:color="auto"/>
            <w:right w:val="none" w:sz="0" w:space="0" w:color="auto"/>
          </w:divBdr>
        </w:div>
        <w:div w:id="851066820">
          <w:marLeft w:val="0"/>
          <w:marRight w:val="0"/>
          <w:marTop w:val="0"/>
          <w:marBottom w:val="0"/>
          <w:divBdr>
            <w:top w:val="none" w:sz="0" w:space="0" w:color="auto"/>
            <w:left w:val="none" w:sz="0" w:space="0" w:color="auto"/>
            <w:bottom w:val="none" w:sz="0" w:space="0" w:color="auto"/>
            <w:right w:val="none" w:sz="0" w:space="0" w:color="auto"/>
          </w:divBdr>
        </w:div>
        <w:div w:id="1659991480">
          <w:marLeft w:val="0"/>
          <w:marRight w:val="0"/>
          <w:marTop w:val="0"/>
          <w:marBottom w:val="0"/>
          <w:divBdr>
            <w:top w:val="none" w:sz="0" w:space="0" w:color="auto"/>
            <w:left w:val="none" w:sz="0" w:space="0" w:color="auto"/>
            <w:bottom w:val="none" w:sz="0" w:space="0" w:color="auto"/>
            <w:right w:val="none" w:sz="0" w:space="0" w:color="auto"/>
          </w:divBdr>
        </w:div>
        <w:div w:id="856698203">
          <w:marLeft w:val="0"/>
          <w:marRight w:val="0"/>
          <w:marTop w:val="0"/>
          <w:marBottom w:val="0"/>
          <w:divBdr>
            <w:top w:val="none" w:sz="0" w:space="0" w:color="auto"/>
            <w:left w:val="none" w:sz="0" w:space="0" w:color="auto"/>
            <w:bottom w:val="none" w:sz="0" w:space="0" w:color="auto"/>
            <w:right w:val="none" w:sz="0" w:space="0" w:color="auto"/>
          </w:divBdr>
        </w:div>
        <w:div w:id="493231147">
          <w:marLeft w:val="0"/>
          <w:marRight w:val="0"/>
          <w:marTop w:val="0"/>
          <w:marBottom w:val="0"/>
          <w:divBdr>
            <w:top w:val="none" w:sz="0" w:space="0" w:color="auto"/>
            <w:left w:val="none" w:sz="0" w:space="0" w:color="auto"/>
            <w:bottom w:val="none" w:sz="0" w:space="0" w:color="auto"/>
            <w:right w:val="none" w:sz="0" w:space="0" w:color="auto"/>
          </w:divBdr>
        </w:div>
        <w:div w:id="479735368">
          <w:marLeft w:val="0"/>
          <w:marRight w:val="0"/>
          <w:marTop w:val="0"/>
          <w:marBottom w:val="0"/>
          <w:divBdr>
            <w:top w:val="none" w:sz="0" w:space="0" w:color="auto"/>
            <w:left w:val="none" w:sz="0" w:space="0" w:color="auto"/>
            <w:bottom w:val="none" w:sz="0" w:space="0" w:color="auto"/>
            <w:right w:val="none" w:sz="0" w:space="0" w:color="auto"/>
          </w:divBdr>
        </w:div>
        <w:div w:id="457722464">
          <w:marLeft w:val="0"/>
          <w:marRight w:val="0"/>
          <w:marTop w:val="0"/>
          <w:marBottom w:val="0"/>
          <w:divBdr>
            <w:top w:val="none" w:sz="0" w:space="0" w:color="auto"/>
            <w:left w:val="none" w:sz="0" w:space="0" w:color="auto"/>
            <w:bottom w:val="none" w:sz="0" w:space="0" w:color="auto"/>
            <w:right w:val="none" w:sz="0" w:space="0" w:color="auto"/>
          </w:divBdr>
        </w:div>
        <w:div w:id="1574967594">
          <w:marLeft w:val="0"/>
          <w:marRight w:val="0"/>
          <w:marTop w:val="0"/>
          <w:marBottom w:val="0"/>
          <w:divBdr>
            <w:top w:val="none" w:sz="0" w:space="0" w:color="auto"/>
            <w:left w:val="none" w:sz="0" w:space="0" w:color="auto"/>
            <w:bottom w:val="none" w:sz="0" w:space="0" w:color="auto"/>
            <w:right w:val="none" w:sz="0" w:space="0" w:color="auto"/>
          </w:divBdr>
        </w:div>
        <w:div w:id="2086414207">
          <w:marLeft w:val="0"/>
          <w:marRight w:val="0"/>
          <w:marTop w:val="0"/>
          <w:marBottom w:val="0"/>
          <w:divBdr>
            <w:top w:val="none" w:sz="0" w:space="0" w:color="auto"/>
            <w:left w:val="none" w:sz="0" w:space="0" w:color="auto"/>
            <w:bottom w:val="none" w:sz="0" w:space="0" w:color="auto"/>
            <w:right w:val="none" w:sz="0" w:space="0" w:color="auto"/>
          </w:divBdr>
        </w:div>
        <w:div w:id="970402562">
          <w:marLeft w:val="0"/>
          <w:marRight w:val="0"/>
          <w:marTop w:val="0"/>
          <w:marBottom w:val="0"/>
          <w:divBdr>
            <w:top w:val="none" w:sz="0" w:space="0" w:color="auto"/>
            <w:left w:val="none" w:sz="0" w:space="0" w:color="auto"/>
            <w:bottom w:val="none" w:sz="0" w:space="0" w:color="auto"/>
            <w:right w:val="none" w:sz="0" w:space="0" w:color="auto"/>
          </w:divBdr>
        </w:div>
        <w:div w:id="116603156">
          <w:marLeft w:val="0"/>
          <w:marRight w:val="0"/>
          <w:marTop w:val="0"/>
          <w:marBottom w:val="0"/>
          <w:divBdr>
            <w:top w:val="none" w:sz="0" w:space="0" w:color="auto"/>
            <w:left w:val="none" w:sz="0" w:space="0" w:color="auto"/>
            <w:bottom w:val="none" w:sz="0" w:space="0" w:color="auto"/>
            <w:right w:val="none" w:sz="0" w:space="0" w:color="auto"/>
          </w:divBdr>
        </w:div>
        <w:div w:id="1594775630">
          <w:marLeft w:val="0"/>
          <w:marRight w:val="0"/>
          <w:marTop w:val="0"/>
          <w:marBottom w:val="0"/>
          <w:divBdr>
            <w:top w:val="none" w:sz="0" w:space="0" w:color="auto"/>
            <w:left w:val="none" w:sz="0" w:space="0" w:color="auto"/>
            <w:bottom w:val="none" w:sz="0" w:space="0" w:color="auto"/>
            <w:right w:val="none" w:sz="0" w:space="0" w:color="auto"/>
          </w:divBdr>
        </w:div>
        <w:div w:id="1024671076">
          <w:marLeft w:val="0"/>
          <w:marRight w:val="0"/>
          <w:marTop w:val="0"/>
          <w:marBottom w:val="0"/>
          <w:divBdr>
            <w:top w:val="none" w:sz="0" w:space="0" w:color="auto"/>
            <w:left w:val="none" w:sz="0" w:space="0" w:color="auto"/>
            <w:bottom w:val="none" w:sz="0" w:space="0" w:color="auto"/>
            <w:right w:val="none" w:sz="0" w:space="0" w:color="auto"/>
          </w:divBdr>
        </w:div>
        <w:div w:id="991181725">
          <w:marLeft w:val="0"/>
          <w:marRight w:val="0"/>
          <w:marTop w:val="0"/>
          <w:marBottom w:val="0"/>
          <w:divBdr>
            <w:top w:val="none" w:sz="0" w:space="0" w:color="auto"/>
            <w:left w:val="none" w:sz="0" w:space="0" w:color="auto"/>
            <w:bottom w:val="none" w:sz="0" w:space="0" w:color="auto"/>
            <w:right w:val="none" w:sz="0" w:space="0" w:color="auto"/>
          </w:divBdr>
        </w:div>
        <w:div w:id="142241837">
          <w:marLeft w:val="0"/>
          <w:marRight w:val="0"/>
          <w:marTop w:val="0"/>
          <w:marBottom w:val="0"/>
          <w:divBdr>
            <w:top w:val="none" w:sz="0" w:space="0" w:color="auto"/>
            <w:left w:val="none" w:sz="0" w:space="0" w:color="auto"/>
            <w:bottom w:val="none" w:sz="0" w:space="0" w:color="auto"/>
            <w:right w:val="none" w:sz="0" w:space="0" w:color="auto"/>
          </w:divBdr>
        </w:div>
        <w:div w:id="190268214">
          <w:marLeft w:val="0"/>
          <w:marRight w:val="0"/>
          <w:marTop w:val="0"/>
          <w:marBottom w:val="0"/>
          <w:divBdr>
            <w:top w:val="none" w:sz="0" w:space="0" w:color="auto"/>
            <w:left w:val="none" w:sz="0" w:space="0" w:color="auto"/>
            <w:bottom w:val="none" w:sz="0" w:space="0" w:color="auto"/>
            <w:right w:val="none" w:sz="0" w:space="0" w:color="auto"/>
          </w:divBdr>
        </w:div>
        <w:div w:id="241843248">
          <w:marLeft w:val="0"/>
          <w:marRight w:val="0"/>
          <w:marTop w:val="0"/>
          <w:marBottom w:val="0"/>
          <w:divBdr>
            <w:top w:val="none" w:sz="0" w:space="0" w:color="auto"/>
            <w:left w:val="none" w:sz="0" w:space="0" w:color="auto"/>
            <w:bottom w:val="none" w:sz="0" w:space="0" w:color="auto"/>
            <w:right w:val="none" w:sz="0" w:space="0" w:color="auto"/>
          </w:divBdr>
        </w:div>
        <w:div w:id="137766130">
          <w:marLeft w:val="0"/>
          <w:marRight w:val="0"/>
          <w:marTop w:val="0"/>
          <w:marBottom w:val="0"/>
          <w:divBdr>
            <w:top w:val="none" w:sz="0" w:space="0" w:color="auto"/>
            <w:left w:val="none" w:sz="0" w:space="0" w:color="auto"/>
            <w:bottom w:val="none" w:sz="0" w:space="0" w:color="auto"/>
            <w:right w:val="none" w:sz="0" w:space="0" w:color="auto"/>
          </w:divBdr>
        </w:div>
        <w:div w:id="1927418874">
          <w:marLeft w:val="0"/>
          <w:marRight w:val="0"/>
          <w:marTop w:val="0"/>
          <w:marBottom w:val="0"/>
          <w:divBdr>
            <w:top w:val="none" w:sz="0" w:space="0" w:color="auto"/>
            <w:left w:val="none" w:sz="0" w:space="0" w:color="auto"/>
            <w:bottom w:val="none" w:sz="0" w:space="0" w:color="auto"/>
            <w:right w:val="none" w:sz="0" w:space="0" w:color="auto"/>
          </w:divBdr>
        </w:div>
      </w:divsChild>
    </w:div>
    <w:div w:id="970670512">
      <w:marLeft w:val="0"/>
      <w:marRight w:val="0"/>
      <w:marTop w:val="0"/>
      <w:marBottom w:val="0"/>
      <w:divBdr>
        <w:top w:val="none" w:sz="0" w:space="0" w:color="auto"/>
        <w:left w:val="none" w:sz="0" w:space="0" w:color="auto"/>
        <w:bottom w:val="none" w:sz="0" w:space="0" w:color="auto"/>
        <w:right w:val="none" w:sz="0" w:space="0" w:color="auto"/>
      </w:divBdr>
      <w:divsChild>
        <w:div w:id="1271551724">
          <w:marLeft w:val="0"/>
          <w:marRight w:val="0"/>
          <w:marTop w:val="0"/>
          <w:marBottom w:val="0"/>
          <w:divBdr>
            <w:top w:val="none" w:sz="0" w:space="0" w:color="auto"/>
            <w:left w:val="none" w:sz="0" w:space="0" w:color="auto"/>
            <w:bottom w:val="none" w:sz="0" w:space="0" w:color="auto"/>
            <w:right w:val="none" w:sz="0" w:space="0" w:color="auto"/>
          </w:divBdr>
        </w:div>
      </w:divsChild>
    </w:div>
    <w:div w:id="974217399">
      <w:marLeft w:val="0"/>
      <w:marRight w:val="0"/>
      <w:marTop w:val="0"/>
      <w:marBottom w:val="120"/>
      <w:divBdr>
        <w:top w:val="none" w:sz="0" w:space="0" w:color="auto"/>
        <w:left w:val="none" w:sz="0" w:space="0" w:color="auto"/>
        <w:bottom w:val="none" w:sz="0" w:space="0" w:color="auto"/>
        <w:right w:val="none" w:sz="0" w:space="0" w:color="auto"/>
      </w:divBdr>
    </w:div>
    <w:div w:id="974482597">
      <w:marLeft w:val="0"/>
      <w:marRight w:val="0"/>
      <w:marTop w:val="0"/>
      <w:marBottom w:val="0"/>
      <w:divBdr>
        <w:top w:val="none" w:sz="0" w:space="0" w:color="auto"/>
        <w:left w:val="none" w:sz="0" w:space="0" w:color="auto"/>
        <w:bottom w:val="none" w:sz="0" w:space="0" w:color="auto"/>
        <w:right w:val="none" w:sz="0" w:space="0" w:color="auto"/>
      </w:divBdr>
      <w:divsChild>
        <w:div w:id="317810630">
          <w:marLeft w:val="0"/>
          <w:marRight w:val="0"/>
          <w:marTop w:val="0"/>
          <w:marBottom w:val="0"/>
          <w:divBdr>
            <w:top w:val="none" w:sz="0" w:space="0" w:color="auto"/>
            <w:left w:val="none" w:sz="0" w:space="0" w:color="auto"/>
            <w:bottom w:val="none" w:sz="0" w:space="0" w:color="auto"/>
            <w:right w:val="none" w:sz="0" w:space="0" w:color="auto"/>
          </w:divBdr>
        </w:div>
      </w:divsChild>
    </w:div>
    <w:div w:id="974484244">
      <w:marLeft w:val="0"/>
      <w:marRight w:val="0"/>
      <w:marTop w:val="0"/>
      <w:marBottom w:val="120"/>
      <w:divBdr>
        <w:top w:val="none" w:sz="0" w:space="0" w:color="auto"/>
        <w:left w:val="none" w:sz="0" w:space="0" w:color="auto"/>
        <w:bottom w:val="none" w:sz="0" w:space="0" w:color="auto"/>
        <w:right w:val="none" w:sz="0" w:space="0" w:color="auto"/>
      </w:divBdr>
    </w:div>
    <w:div w:id="984312391">
      <w:marLeft w:val="0"/>
      <w:marRight w:val="0"/>
      <w:marTop w:val="0"/>
      <w:marBottom w:val="120"/>
      <w:divBdr>
        <w:top w:val="none" w:sz="0" w:space="0" w:color="auto"/>
        <w:left w:val="none" w:sz="0" w:space="0" w:color="auto"/>
        <w:bottom w:val="none" w:sz="0" w:space="0" w:color="auto"/>
        <w:right w:val="none" w:sz="0" w:space="0" w:color="auto"/>
      </w:divBdr>
    </w:div>
    <w:div w:id="990255135">
      <w:marLeft w:val="0"/>
      <w:marRight w:val="0"/>
      <w:marTop w:val="0"/>
      <w:marBottom w:val="120"/>
      <w:divBdr>
        <w:top w:val="none" w:sz="0" w:space="0" w:color="auto"/>
        <w:left w:val="none" w:sz="0" w:space="0" w:color="auto"/>
        <w:bottom w:val="none" w:sz="0" w:space="0" w:color="auto"/>
        <w:right w:val="none" w:sz="0" w:space="0" w:color="auto"/>
      </w:divBdr>
    </w:div>
    <w:div w:id="1000350204">
      <w:marLeft w:val="0"/>
      <w:marRight w:val="0"/>
      <w:marTop w:val="0"/>
      <w:marBottom w:val="120"/>
      <w:divBdr>
        <w:top w:val="none" w:sz="0" w:space="0" w:color="auto"/>
        <w:left w:val="none" w:sz="0" w:space="0" w:color="auto"/>
        <w:bottom w:val="none" w:sz="0" w:space="0" w:color="auto"/>
        <w:right w:val="none" w:sz="0" w:space="0" w:color="auto"/>
      </w:divBdr>
    </w:div>
    <w:div w:id="1001741890">
      <w:marLeft w:val="0"/>
      <w:marRight w:val="0"/>
      <w:marTop w:val="0"/>
      <w:marBottom w:val="120"/>
      <w:divBdr>
        <w:top w:val="none" w:sz="0" w:space="0" w:color="auto"/>
        <w:left w:val="none" w:sz="0" w:space="0" w:color="auto"/>
        <w:bottom w:val="none" w:sz="0" w:space="0" w:color="auto"/>
        <w:right w:val="none" w:sz="0" w:space="0" w:color="auto"/>
      </w:divBdr>
    </w:div>
    <w:div w:id="1007827637">
      <w:marLeft w:val="0"/>
      <w:marRight w:val="0"/>
      <w:marTop w:val="0"/>
      <w:marBottom w:val="120"/>
      <w:divBdr>
        <w:top w:val="none" w:sz="0" w:space="0" w:color="auto"/>
        <w:left w:val="none" w:sz="0" w:space="0" w:color="auto"/>
        <w:bottom w:val="none" w:sz="0" w:space="0" w:color="auto"/>
        <w:right w:val="none" w:sz="0" w:space="0" w:color="auto"/>
      </w:divBdr>
    </w:div>
    <w:div w:id="1009483714">
      <w:marLeft w:val="0"/>
      <w:marRight w:val="0"/>
      <w:marTop w:val="0"/>
      <w:marBottom w:val="120"/>
      <w:divBdr>
        <w:top w:val="none" w:sz="0" w:space="0" w:color="auto"/>
        <w:left w:val="none" w:sz="0" w:space="0" w:color="auto"/>
        <w:bottom w:val="none" w:sz="0" w:space="0" w:color="auto"/>
        <w:right w:val="none" w:sz="0" w:space="0" w:color="auto"/>
      </w:divBdr>
    </w:div>
    <w:div w:id="1012488282">
      <w:marLeft w:val="0"/>
      <w:marRight w:val="0"/>
      <w:marTop w:val="0"/>
      <w:marBottom w:val="0"/>
      <w:divBdr>
        <w:top w:val="none" w:sz="0" w:space="0" w:color="auto"/>
        <w:left w:val="none" w:sz="0" w:space="0" w:color="auto"/>
        <w:bottom w:val="none" w:sz="0" w:space="0" w:color="auto"/>
        <w:right w:val="none" w:sz="0" w:space="0" w:color="auto"/>
      </w:divBdr>
      <w:divsChild>
        <w:div w:id="962930756">
          <w:marLeft w:val="0"/>
          <w:marRight w:val="0"/>
          <w:marTop w:val="0"/>
          <w:marBottom w:val="0"/>
          <w:divBdr>
            <w:top w:val="none" w:sz="0" w:space="0" w:color="auto"/>
            <w:left w:val="none" w:sz="0" w:space="0" w:color="auto"/>
            <w:bottom w:val="none" w:sz="0" w:space="0" w:color="auto"/>
            <w:right w:val="none" w:sz="0" w:space="0" w:color="auto"/>
          </w:divBdr>
        </w:div>
      </w:divsChild>
    </w:div>
    <w:div w:id="1013872475">
      <w:marLeft w:val="0"/>
      <w:marRight w:val="0"/>
      <w:marTop w:val="0"/>
      <w:marBottom w:val="0"/>
      <w:divBdr>
        <w:top w:val="none" w:sz="0" w:space="0" w:color="auto"/>
        <w:left w:val="none" w:sz="0" w:space="0" w:color="auto"/>
        <w:bottom w:val="none" w:sz="0" w:space="0" w:color="auto"/>
        <w:right w:val="none" w:sz="0" w:space="0" w:color="auto"/>
      </w:divBdr>
      <w:divsChild>
        <w:div w:id="2049334340">
          <w:marLeft w:val="0"/>
          <w:marRight w:val="0"/>
          <w:marTop w:val="0"/>
          <w:marBottom w:val="120"/>
          <w:divBdr>
            <w:top w:val="none" w:sz="0" w:space="0" w:color="auto"/>
            <w:left w:val="none" w:sz="0" w:space="0" w:color="auto"/>
            <w:bottom w:val="none" w:sz="0" w:space="0" w:color="auto"/>
            <w:right w:val="none" w:sz="0" w:space="0" w:color="auto"/>
          </w:divBdr>
        </w:div>
      </w:divsChild>
    </w:div>
    <w:div w:id="1015808480">
      <w:marLeft w:val="0"/>
      <w:marRight w:val="0"/>
      <w:marTop w:val="0"/>
      <w:marBottom w:val="120"/>
      <w:divBdr>
        <w:top w:val="none" w:sz="0" w:space="0" w:color="auto"/>
        <w:left w:val="none" w:sz="0" w:space="0" w:color="auto"/>
        <w:bottom w:val="none" w:sz="0" w:space="0" w:color="auto"/>
        <w:right w:val="none" w:sz="0" w:space="0" w:color="auto"/>
      </w:divBdr>
    </w:div>
    <w:div w:id="1029837147">
      <w:marLeft w:val="0"/>
      <w:marRight w:val="0"/>
      <w:marTop w:val="0"/>
      <w:marBottom w:val="0"/>
      <w:divBdr>
        <w:top w:val="none" w:sz="0" w:space="0" w:color="auto"/>
        <w:left w:val="none" w:sz="0" w:space="0" w:color="auto"/>
        <w:bottom w:val="none" w:sz="0" w:space="0" w:color="auto"/>
        <w:right w:val="none" w:sz="0" w:space="0" w:color="auto"/>
      </w:divBdr>
    </w:div>
    <w:div w:id="1030254806">
      <w:marLeft w:val="0"/>
      <w:marRight w:val="0"/>
      <w:marTop w:val="0"/>
      <w:marBottom w:val="120"/>
      <w:divBdr>
        <w:top w:val="none" w:sz="0" w:space="0" w:color="auto"/>
        <w:left w:val="none" w:sz="0" w:space="0" w:color="auto"/>
        <w:bottom w:val="none" w:sz="0" w:space="0" w:color="auto"/>
        <w:right w:val="none" w:sz="0" w:space="0" w:color="auto"/>
      </w:divBdr>
    </w:div>
    <w:div w:id="1034304789">
      <w:marLeft w:val="0"/>
      <w:marRight w:val="0"/>
      <w:marTop w:val="0"/>
      <w:marBottom w:val="120"/>
      <w:divBdr>
        <w:top w:val="none" w:sz="0" w:space="0" w:color="auto"/>
        <w:left w:val="none" w:sz="0" w:space="0" w:color="auto"/>
        <w:bottom w:val="none" w:sz="0" w:space="0" w:color="auto"/>
        <w:right w:val="none" w:sz="0" w:space="0" w:color="auto"/>
      </w:divBdr>
    </w:div>
    <w:div w:id="1035696018">
      <w:marLeft w:val="0"/>
      <w:marRight w:val="0"/>
      <w:marTop w:val="100"/>
      <w:marBottom w:val="0"/>
      <w:divBdr>
        <w:top w:val="none" w:sz="0" w:space="0" w:color="auto"/>
        <w:left w:val="none" w:sz="0" w:space="0" w:color="auto"/>
        <w:bottom w:val="none" w:sz="0" w:space="0" w:color="auto"/>
        <w:right w:val="none" w:sz="0" w:space="0" w:color="auto"/>
      </w:divBdr>
    </w:div>
    <w:div w:id="1040667770">
      <w:marLeft w:val="0"/>
      <w:marRight w:val="0"/>
      <w:marTop w:val="0"/>
      <w:marBottom w:val="120"/>
      <w:divBdr>
        <w:top w:val="none" w:sz="0" w:space="0" w:color="auto"/>
        <w:left w:val="none" w:sz="0" w:space="0" w:color="auto"/>
        <w:bottom w:val="none" w:sz="0" w:space="0" w:color="auto"/>
        <w:right w:val="none" w:sz="0" w:space="0" w:color="auto"/>
      </w:divBdr>
    </w:div>
    <w:div w:id="1041130070">
      <w:marLeft w:val="0"/>
      <w:marRight w:val="0"/>
      <w:marTop w:val="0"/>
      <w:marBottom w:val="0"/>
      <w:divBdr>
        <w:top w:val="none" w:sz="0" w:space="0" w:color="auto"/>
        <w:left w:val="none" w:sz="0" w:space="0" w:color="auto"/>
        <w:bottom w:val="none" w:sz="0" w:space="0" w:color="auto"/>
        <w:right w:val="none" w:sz="0" w:space="0" w:color="auto"/>
      </w:divBdr>
      <w:divsChild>
        <w:div w:id="1302539113">
          <w:marLeft w:val="0"/>
          <w:marRight w:val="0"/>
          <w:marTop w:val="0"/>
          <w:marBottom w:val="0"/>
          <w:divBdr>
            <w:top w:val="none" w:sz="0" w:space="0" w:color="auto"/>
            <w:left w:val="none" w:sz="0" w:space="0" w:color="auto"/>
            <w:bottom w:val="none" w:sz="0" w:space="0" w:color="auto"/>
            <w:right w:val="none" w:sz="0" w:space="0" w:color="auto"/>
          </w:divBdr>
        </w:div>
        <w:div w:id="1946426985">
          <w:marLeft w:val="0"/>
          <w:marRight w:val="0"/>
          <w:marTop w:val="0"/>
          <w:marBottom w:val="0"/>
          <w:divBdr>
            <w:top w:val="none" w:sz="0" w:space="0" w:color="auto"/>
            <w:left w:val="none" w:sz="0" w:space="0" w:color="auto"/>
            <w:bottom w:val="none" w:sz="0" w:space="0" w:color="auto"/>
            <w:right w:val="none" w:sz="0" w:space="0" w:color="auto"/>
          </w:divBdr>
        </w:div>
        <w:div w:id="751969520">
          <w:marLeft w:val="0"/>
          <w:marRight w:val="0"/>
          <w:marTop w:val="0"/>
          <w:marBottom w:val="0"/>
          <w:divBdr>
            <w:top w:val="none" w:sz="0" w:space="0" w:color="auto"/>
            <w:left w:val="none" w:sz="0" w:space="0" w:color="auto"/>
            <w:bottom w:val="none" w:sz="0" w:space="0" w:color="auto"/>
            <w:right w:val="none" w:sz="0" w:space="0" w:color="auto"/>
          </w:divBdr>
        </w:div>
        <w:div w:id="328484067">
          <w:marLeft w:val="0"/>
          <w:marRight w:val="0"/>
          <w:marTop w:val="0"/>
          <w:marBottom w:val="0"/>
          <w:divBdr>
            <w:top w:val="none" w:sz="0" w:space="0" w:color="auto"/>
            <w:left w:val="none" w:sz="0" w:space="0" w:color="auto"/>
            <w:bottom w:val="none" w:sz="0" w:space="0" w:color="auto"/>
            <w:right w:val="none" w:sz="0" w:space="0" w:color="auto"/>
          </w:divBdr>
        </w:div>
        <w:div w:id="1397556415">
          <w:marLeft w:val="0"/>
          <w:marRight w:val="0"/>
          <w:marTop w:val="0"/>
          <w:marBottom w:val="0"/>
          <w:divBdr>
            <w:top w:val="none" w:sz="0" w:space="0" w:color="auto"/>
            <w:left w:val="none" w:sz="0" w:space="0" w:color="auto"/>
            <w:bottom w:val="none" w:sz="0" w:space="0" w:color="auto"/>
            <w:right w:val="none" w:sz="0" w:space="0" w:color="auto"/>
          </w:divBdr>
        </w:div>
        <w:div w:id="773018428">
          <w:marLeft w:val="0"/>
          <w:marRight w:val="0"/>
          <w:marTop w:val="0"/>
          <w:marBottom w:val="0"/>
          <w:divBdr>
            <w:top w:val="none" w:sz="0" w:space="0" w:color="auto"/>
            <w:left w:val="none" w:sz="0" w:space="0" w:color="auto"/>
            <w:bottom w:val="none" w:sz="0" w:space="0" w:color="auto"/>
            <w:right w:val="none" w:sz="0" w:space="0" w:color="auto"/>
          </w:divBdr>
        </w:div>
        <w:div w:id="1086070654">
          <w:marLeft w:val="0"/>
          <w:marRight w:val="0"/>
          <w:marTop w:val="0"/>
          <w:marBottom w:val="0"/>
          <w:divBdr>
            <w:top w:val="none" w:sz="0" w:space="0" w:color="auto"/>
            <w:left w:val="none" w:sz="0" w:space="0" w:color="auto"/>
            <w:bottom w:val="none" w:sz="0" w:space="0" w:color="auto"/>
            <w:right w:val="none" w:sz="0" w:space="0" w:color="auto"/>
          </w:divBdr>
        </w:div>
        <w:div w:id="1215967395">
          <w:marLeft w:val="0"/>
          <w:marRight w:val="0"/>
          <w:marTop w:val="0"/>
          <w:marBottom w:val="0"/>
          <w:divBdr>
            <w:top w:val="none" w:sz="0" w:space="0" w:color="auto"/>
            <w:left w:val="none" w:sz="0" w:space="0" w:color="auto"/>
            <w:bottom w:val="none" w:sz="0" w:space="0" w:color="auto"/>
            <w:right w:val="none" w:sz="0" w:space="0" w:color="auto"/>
          </w:divBdr>
        </w:div>
        <w:div w:id="2086295026">
          <w:marLeft w:val="0"/>
          <w:marRight w:val="0"/>
          <w:marTop w:val="0"/>
          <w:marBottom w:val="0"/>
          <w:divBdr>
            <w:top w:val="none" w:sz="0" w:space="0" w:color="auto"/>
            <w:left w:val="none" w:sz="0" w:space="0" w:color="auto"/>
            <w:bottom w:val="none" w:sz="0" w:space="0" w:color="auto"/>
            <w:right w:val="none" w:sz="0" w:space="0" w:color="auto"/>
          </w:divBdr>
        </w:div>
        <w:div w:id="1049525555">
          <w:marLeft w:val="0"/>
          <w:marRight w:val="0"/>
          <w:marTop w:val="0"/>
          <w:marBottom w:val="0"/>
          <w:divBdr>
            <w:top w:val="none" w:sz="0" w:space="0" w:color="auto"/>
            <w:left w:val="none" w:sz="0" w:space="0" w:color="auto"/>
            <w:bottom w:val="none" w:sz="0" w:space="0" w:color="auto"/>
            <w:right w:val="none" w:sz="0" w:space="0" w:color="auto"/>
          </w:divBdr>
        </w:div>
        <w:div w:id="855846214">
          <w:marLeft w:val="0"/>
          <w:marRight w:val="0"/>
          <w:marTop w:val="0"/>
          <w:marBottom w:val="0"/>
          <w:divBdr>
            <w:top w:val="none" w:sz="0" w:space="0" w:color="auto"/>
            <w:left w:val="none" w:sz="0" w:space="0" w:color="auto"/>
            <w:bottom w:val="none" w:sz="0" w:space="0" w:color="auto"/>
            <w:right w:val="none" w:sz="0" w:space="0" w:color="auto"/>
          </w:divBdr>
        </w:div>
        <w:div w:id="1674651699">
          <w:marLeft w:val="0"/>
          <w:marRight w:val="0"/>
          <w:marTop w:val="0"/>
          <w:marBottom w:val="0"/>
          <w:divBdr>
            <w:top w:val="none" w:sz="0" w:space="0" w:color="auto"/>
            <w:left w:val="none" w:sz="0" w:space="0" w:color="auto"/>
            <w:bottom w:val="none" w:sz="0" w:space="0" w:color="auto"/>
            <w:right w:val="none" w:sz="0" w:space="0" w:color="auto"/>
          </w:divBdr>
        </w:div>
        <w:div w:id="847015766">
          <w:marLeft w:val="0"/>
          <w:marRight w:val="0"/>
          <w:marTop w:val="0"/>
          <w:marBottom w:val="0"/>
          <w:divBdr>
            <w:top w:val="none" w:sz="0" w:space="0" w:color="auto"/>
            <w:left w:val="none" w:sz="0" w:space="0" w:color="auto"/>
            <w:bottom w:val="none" w:sz="0" w:space="0" w:color="auto"/>
            <w:right w:val="none" w:sz="0" w:space="0" w:color="auto"/>
          </w:divBdr>
        </w:div>
        <w:div w:id="1464887067">
          <w:marLeft w:val="0"/>
          <w:marRight w:val="0"/>
          <w:marTop w:val="0"/>
          <w:marBottom w:val="0"/>
          <w:divBdr>
            <w:top w:val="none" w:sz="0" w:space="0" w:color="auto"/>
            <w:left w:val="none" w:sz="0" w:space="0" w:color="auto"/>
            <w:bottom w:val="none" w:sz="0" w:space="0" w:color="auto"/>
            <w:right w:val="none" w:sz="0" w:space="0" w:color="auto"/>
          </w:divBdr>
        </w:div>
        <w:div w:id="550505156">
          <w:marLeft w:val="0"/>
          <w:marRight w:val="0"/>
          <w:marTop w:val="0"/>
          <w:marBottom w:val="0"/>
          <w:divBdr>
            <w:top w:val="none" w:sz="0" w:space="0" w:color="auto"/>
            <w:left w:val="none" w:sz="0" w:space="0" w:color="auto"/>
            <w:bottom w:val="none" w:sz="0" w:space="0" w:color="auto"/>
            <w:right w:val="none" w:sz="0" w:space="0" w:color="auto"/>
          </w:divBdr>
        </w:div>
        <w:div w:id="153104621">
          <w:marLeft w:val="0"/>
          <w:marRight w:val="0"/>
          <w:marTop w:val="0"/>
          <w:marBottom w:val="0"/>
          <w:divBdr>
            <w:top w:val="none" w:sz="0" w:space="0" w:color="auto"/>
            <w:left w:val="none" w:sz="0" w:space="0" w:color="auto"/>
            <w:bottom w:val="none" w:sz="0" w:space="0" w:color="auto"/>
            <w:right w:val="none" w:sz="0" w:space="0" w:color="auto"/>
          </w:divBdr>
        </w:div>
      </w:divsChild>
    </w:div>
    <w:div w:id="1046755558">
      <w:marLeft w:val="0"/>
      <w:marRight w:val="0"/>
      <w:marTop w:val="0"/>
      <w:marBottom w:val="120"/>
      <w:divBdr>
        <w:top w:val="none" w:sz="0" w:space="0" w:color="auto"/>
        <w:left w:val="none" w:sz="0" w:space="0" w:color="auto"/>
        <w:bottom w:val="none" w:sz="0" w:space="0" w:color="auto"/>
        <w:right w:val="none" w:sz="0" w:space="0" w:color="auto"/>
      </w:divBdr>
    </w:div>
    <w:div w:id="1053165044">
      <w:marLeft w:val="0"/>
      <w:marRight w:val="0"/>
      <w:marTop w:val="0"/>
      <w:marBottom w:val="0"/>
      <w:divBdr>
        <w:top w:val="none" w:sz="0" w:space="0" w:color="auto"/>
        <w:left w:val="none" w:sz="0" w:space="0" w:color="auto"/>
        <w:bottom w:val="none" w:sz="0" w:space="0" w:color="auto"/>
        <w:right w:val="none" w:sz="0" w:space="0" w:color="auto"/>
      </w:divBdr>
    </w:div>
    <w:div w:id="1062949183">
      <w:marLeft w:val="0"/>
      <w:marRight w:val="0"/>
      <w:marTop w:val="0"/>
      <w:marBottom w:val="120"/>
      <w:divBdr>
        <w:top w:val="none" w:sz="0" w:space="0" w:color="auto"/>
        <w:left w:val="none" w:sz="0" w:space="0" w:color="auto"/>
        <w:bottom w:val="none" w:sz="0" w:space="0" w:color="auto"/>
        <w:right w:val="none" w:sz="0" w:space="0" w:color="auto"/>
      </w:divBdr>
    </w:div>
    <w:div w:id="1067417533">
      <w:marLeft w:val="0"/>
      <w:marRight w:val="0"/>
      <w:marTop w:val="0"/>
      <w:marBottom w:val="120"/>
      <w:divBdr>
        <w:top w:val="none" w:sz="0" w:space="0" w:color="auto"/>
        <w:left w:val="none" w:sz="0" w:space="0" w:color="auto"/>
        <w:bottom w:val="none" w:sz="0" w:space="0" w:color="auto"/>
        <w:right w:val="none" w:sz="0" w:space="0" w:color="auto"/>
      </w:divBdr>
    </w:div>
    <w:div w:id="1071196699">
      <w:marLeft w:val="0"/>
      <w:marRight w:val="0"/>
      <w:marTop w:val="0"/>
      <w:marBottom w:val="120"/>
      <w:divBdr>
        <w:top w:val="none" w:sz="0" w:space="0" w:color="auto"/>
        <w:left w:val="none" w:sz="0" w:space="0" w:color="auto"/>
        <w:bottom w:val="none" w:sz="0" w:space="0" w:color="auto"/>
        <w:right w:val="none" w:sz="0" w:space="0" w:color="auto"/>
      </w:divBdr>
    </w:div>
    <w:div w:id="1071999219">
      <w:marLeft w:val="0"/>
      <w:marRight w:val="0"/>
      <w:marTop w:val="0"/>
      <w:marBottom w:val="60"/>
      <w:divBdr>
        <w:top w:val="none" w:sz="0" w:space="0" w:color="auto"/>
        <w:left w:val="none" w:sz="0" w:space="0" w:color="auto"/>
        <w:bottom w:val="none" w:sz="0" w:space="0" w:color="auto"/>
        <w:right w:val="none" w:sz="0" w:space="0" w:color="auto"/>
      </w:divBdr>
    </w:div>
    <w:div w:id="1086149508">
      <w:marLeft w:val="0"/>
      <w:marRight w:val="0"/>
      <w:marTop w:val="0"/>
      <w:marBottom w:val="120"/>
      <w:divBdr>
        <w:top w:val="none" w:sz="0" w:space="0" w:color="auto"/>
        <w:left w:val="none" w:sz="0" w:space="0" w:color="auto"/>
        <w:bottom w:val="none" w:sz="0" w:space="0" w:color="auto"/>
        <w:right w:val="none" w:sz="0" w:space="0" w:color="auto"/>
      </w:divBdr>
    </w:div>
    <w:div w:id="1087656834">
      <w:marLeft w:val="0"/>
      <w:marRight w:val="0"/>
      <w:marTop w:val="0"/>
      <w:marBottom w:val="120"/>
      <w:divBdr>
        <w:top w:val="none" w:sz="0" w:space="0" w:color="auto"/>
        <w:left w:val="none" w:sz="0" w:space="0" w:color="auto"/>
        <w:bottom w:val="none" w:sz="0" w:space="0" w:color="auto"/>
        <w:right w:val="none" w:sz="0" w:space="0" w:color="auto"/>
      </w:divBdr>
    </w:div>
    <w:div w:id="1092778100">
      <w:marLeft w:val="0"/>
      <w:marRight w:val="0"/>
      <w:marTop w:val="0"/>
      <w:marBottom w:val="120"/>
      <w:divBdr>
        <w:top w:val="none" w:sz="0" w:space="0" w:color="auto"/>
        <w:left w:val="none" w:sz="0" w:space="0" w:color="auto"/>
        <w:bottom w:val="none" w:sz="0" w:space="0" w:color="auto"/>
        <w:right w:val="none" w:sz="0" w:space="0" w:color="auto"/>
      </w:divBdr>
    </w:div>
    <w:div w:id="1116018835">
      <w:marLeft w:val="0"/>
      <w:marRight w:val="0"/>
      <w:marTop w:val="0"/>
      <w:marBottom w:val="120"/>
      <w:divBdr>
        <w:top w:val="none" w:sz="0" w:space="0" w:color="auto"/>
        <w:left w:val="none" w:sz="0" w:space="0" w:color="auto"/>
        <w:bottom w:val="none" w:sz="0" w:space="0" w:color="auto"/>
        <w:right w:val="none" w:sz="0" w:space="0" w:color="auto"/>
      </w:divBdr>
    </w:div>
    <w:div w:id="1129516024">
      <w:marLeft w:val="0"/>
      <w:marRight w:val="0"/>
      <w:marTop w:val="0"/>
      <w:marBottom w:val="120"/>
      <w:divBdr>
        <w:top w:val="none" w:sz="0" w:space="0" w:color="auto"/>
        <w:left w:val="none" w:sz="0" w:space="0" w:color="auto"/>
        <w:bottom w:val="none" w:sz="0" w:space="0" w:color="auto"/>
        <w:right w:val="none" w:sz="0" w:space="0" w:color="auto"/>
      </w:divBdr>
    </w:div>
    <w:div w:id="1132557684">
      <w:marLeft w:val="0"/>
      <w:marRight w:val="0"/>
      <w:marTop w:val="0"/>
      <w:marBottom w:val="0"/>
      <w:divBdr>
        <w:top w:val="none" w:sz="0" w:space="0" w:color="auto"/>
        <w:left w:val="none" w:sz="0" w:space="0" w:color="auto"/>
        <w:bottom w:val="none" w:sz="0" w:space="0" w:color="auto"/>
        <w:right w:val="none" w:sz="0" w:space="0" w:color="auto"/>
      </w:divBdr>
      <w:divsChild>
        <w:div w:id="1519149975">
          <w:marLeft w:val="0"/>
          <w:marRight w:val="0"/>
          <w:marTop w:val="0"/>
          <w:marBottom w:val="0"/>
          <w:divBdr>
            <w:top w:val="none" w:sz="0" w:space="0" w:color="auto"/>
            <w:left w:val="none" w:sz="0" w:space="0" w:color="auto"/>
            <w:bottom w:val="none" w:sz="0" w:space="0" w:color="auto"/>
            <w:right w:val="none" w:sz="0" w:space="0" w:color="auto"/>
          </w:divBdr>
        </w:div>
      </w:divsChild>
    </w:div>
    <w:div w:id="1138229701">
      <w:marLeft w:val="0"/>
      <w:marRight w:val="0"/>
      <w:marTop w:val="0"/>
      <w:marBottom w:val="0"/>
      <w:divBdr>
        <w:top w:val="none" w:sz="0" w:space="0" w:color="auto"/>
        <w:left w:val="none" w:sz="0" w:space="0" w:color="auto"/>
        <w:bottom w:val="none" w:sz="0" w:space="0" w:color="auto"/>
        <w:right w:val="none" w:sz="0" w:space="0" w:color="auto"/>
      </w:divBdr>
      <w:divsChild>
        <w:div w:id="1244488863">
          <w:marLeft w:val="0"/>
          <w:marRight w:val="0"/>
          <w:marTop w:val="0"/>
          <w:marBottom w:val="0"/>
          <w:divBdr>
            <w:top w:val="none" w:sz="0" w:space="0" w:color="auto"/>
            <w:left w:val="none" w:sz="0" w:space="0" w:color="auto"/>
            <w:bottom w:val="none" w:sz="0" w:space="0" w:color="auto"/>
            <w:right w:val="none" w:sz="0" w:space="0" w:color="auto"/>
          </w:divBdr>
        </w:div>
        <w:div w:id="1298950142">
          <w:marLeft w:val="0"/>
          <w:marRight w:val="0"/>
          <w:marTop w:val="0"/>
          <w:marBottom w:val="0"/>
          <w:divBdr>
            <w:top w:val="none" w:sz="0" w:space="0" w:color="auto"/>
            <w:left w:val="none" w:sz="0" w:space="0" w:color="auto"/>
            <w:bottom w:val="none" w:sz="0" w:space="0" w:color="auto"/>
            <w:right w:val="none" w:sz="0" w:space="0" w:color="auto"/>
          </w:divBdr>
        </w:div>
        <w:div w:id="395856835">
          <w:marLeft w:val="0"/>
          <w:marRight w:val="0"/>
          <w:marTop w:val="0"/>
          <w:marBottom w:val="0"/>
          <w:divBdr>
            <w:top w:val="none" w:sz="0" w:space="0" w:color="auto"/>
            <w:left w:val="none" w:sz="0" w:space="0" w:color="auto"/>
            <w:bottom w:val="none" w:sz="0" w:space="0" w:color="auto"/>
            <w:right w:val="none" w:sz="0" w:space="0" w:color="auto"/>
          </w:divBdr>
        </w:div>
        <w:div w:id="83575086">
          <w:marLeft w:val="0"/>
          <w:marRight w:val="0"/>
          <w:marTop w:val="0"/>
          <w:marBottom w:val="0"/>
          <w:divBdr>
            <w:top w:val="none" w:sz="0" w:space="0" w:color="auto"/>
            <w:left w:val="none" w:sz="0" w:space="0" w:color="auto"/>
            <w:bottom w:val="none" w:sz="0" w:space="0" w:color="auto"/>
            <w:right w:val="none" w:sz="0" w:space="0" w:color="auto"/>
          </w:divBdr>
        </w:div>
        <w:div w:id="685134545">
          <w:marLeft w:val="0"/>
          <w:marRight w:val="0"/>
          <w:marTop w:val="0"/>
          <w:marBottom w:val="0"/>
          <w:divBdr>
            <w:top w:val="none" w:sz="0" w:space="0" w:color="auto"/>
            <w:left w:val="none" w:sz="0" w:space="0" w:color="auto"/>
            <w:bottom w:val="none" w:sz="0" w:space="0" w:color="auto"/>
            <w:right w:val="none" w:sz="0" w:space="0" w:color="auto"/>
          </w:divBdr>
        </w:div>
      </w:divsChild>
    </w:div>
    <w:div w:id="1142620347">
      <w:marLeft w:val="0"/>
      <w:marRight w:val="0"/>
      <w:marTop w:val="0"/>
      <w:marBottom w:val="120"/>
      <w:divBdr>
        <w:top w:val="none" w:sz="0" w:space="0" w:color="auto"/>
        <w:left w:val="none" w:sz="0" w:space="0" w:color="auto"/>
        <w:bottom w:val="none" w:sz="0" w:space="0" w:color="auto"/>
        <w:right w:val="none" w:sz="0" w:space="0" w:color="auto"/>
      </w:divBdr>
    </w:div>
    <w:div w:id="1142961442">
      <w:marLeft w:val="0"/>
      <w:marRight w:val="0"/>
      <w:marTop w:val="0"/>
      <w:marBottom w:val="120"/>
      <w:divBdr>
        <w:top w:val="none" w:sz="0" w:space="0" w:color="auto"/>
        <w:left w:val="none" w:sz="0" w:space="0" w:color="auto"/>
        <w:bottom w:val="none" w:sz="0" w:space="0" w:color="auto"/>
        <w:right w:val="none" w:sz="0" w:space="0" w:color="auto"/>
      </w:divBdr>
    </w:div>
    <w:div w:id="1148672996">
      <w:marLeft w:val="0"/>
      <w:marRight w:val="0"/>
      <w:marTop w:val="0"/>
      <w:marBottom w:val="0"/>
      <w:divBdr>
        <w:top w:val="none" w:sz="0" w:space="0" w:color="auto"/>
        <w:left w:val="none" w:sz="0" w:space="0" w:color="auto"/>
        <w:bottom w:val="none" w:sz="0" w:space="0" w:color="auto"/>
        <w:right w:val="none" w:sz="0" w:space="0" w:color="auto"/>
      </w:divBdr>
    </w:div>
    <w:div w:id="1159032590">
      <w:marLeft w:val="0"/>
      <w:marRight w:val="0"/>
      <w:marTop w:val="0"/>
      <w:marBottom w:val="100"/>
      <w:divBdr>
        <w:top w:val="none" w:sz="0" w:space="0" w:color="auto"/>
        <w:left w:val="none" w:sz="0" w:space="0" w:color="auto"/>
        <w:bottom w:val="none" w:sz="0" w:space="0" w:color="auto"/>
        <w:right w:val="none" w:sz="0" w:space="0" w:color="auto"/>
      </w:divBdr>
    </w:div>
    <w:div w:id="1159150928">
      <w:marLeft w:val="0"/>
      <w:marRight w:val="0"/>
      <w:marTop w:val="0"/>
      <w:marBottom w:val="0"/>
      <w:divBdr>
        <w:top w:val="none" w:sz="0" w:space="0" w:color="auto"/>
        <w:left w:val="none" w:sz="0" w:space="0" w:color="auto"/>
        <w:bottom w:val="none" w:sz="0" w:space="0" w:color="auto"/>
        <w:right w:val="none" w:sz="0" w:space="0" w:color="auto"/>
      </w:divBdr>
      <w:divsChild>
        <w:div w:id="2053771177">
          <w:marLeft w:val="0"/>
          <w:marRight w:val="0"/>
          <w:marTop w:val="0"/>
          <w:marBottom w:val="0"/>
          <w:divBdr>
            <w:top w:val="none" w:sz="0" w:space="0" w:color="auto"/>
            <w:left w:val="none" w:sz="0" w:space="0" w:color="auto"/>
            <w:bottom w:val="none" w:sz="0" w:space="0" w:color="auto"/>
            <w:right w:val="none" w:sz="0" w:space="0" w:color="auto"/>
          </w:divBdr>
        </w:div>
      </w:divsChild>
    </w:div>
    <w:div w:id="1163474415">
      <w:marLeft w:val="0"/>
      <w:marRight w:val="0"/>
      <w:marTop w:val="0"/>
      <w:marBottom w:val="240"/>
      <w:divBdr>
        <w:top w:val="none" w:sz="0" w:space="0" w:color="auto"/>
        <w:left w:val="none" w:sz="0" w:space="0" w:color="auto"/>
        <w:bottom w:val="none" w:sz="0" w:space="0" w:color="auto"/>
        <w:right w:val="none" w:sz="0" w:space="0" w:color="auto"/>
      </w:divBdr>
    </w:div>
    <w:div w:id="1163543612">
      <w:marLeft w:val="0"/>
      <w:marRight w:val="0"/>
      <w:marTop w:val="0"/>
      <w:marBottom w:val="120"/>
      <w:divBdr>
        <w:top w:val="none" w:sz="0" w:space="0" w:color="auto"/>
        <w:left w:val="none" w:sz="0" w:space="0" w:color="auto"/>
        <w:bottom w:val="none" w:sz="0" w:space="0" w:color="auto"/>
        <w:right w:val="none" w:sz="0" w:space="0" w:color="auto"/>
      </w:divBdr>
    </w:div>
    <w:div w:id="1175461149">
      <w:marLeft w:val="0"/>
      <w:marRight w:val="0"/>
      <w:marTop w:val="0"/>
      <w:marBottom w:val="120"/>
      <w:divBdr>
        <w:top w:val="none" w:sz="0" w:space="0" w:color="auto"/>
        <w:left w:val="none" w:sz="0" w:space="0" w:color="auto"/>
        <w:bottom w:val="none" w:sz="0" w:space="0" w:color="auto"/>
        <w:right w:val="none" w:sz="0" w:space="0" w:color="auto"/>
      </w:divBdr>
    </w:div>
    <w:div w:id="1191601744">
      <w:marLeft w:val="0"/>
      <w:marRight w:val="0"/>
      <w:marTop w:val="0"/>
      <w:marBottom w:val="0"/>
      <w:divBdr>
        <w:top w:val="none" w:sz="0" w:space="0" w:color="auto"/>
        <w:left w:val="none" w:sz="0" w:space="0" w:color="auto"/>
        <w:bottom w:val="none" w:sz="0" w:space="0" w:color="auto"/>
        <w:right w:val="none" w:sz="0" w:space="0" w:color="auto"/>
      </w:divBdr>
    </w:div>
    <w:div w:id="1199010101">
      <w:marLeft w:val="0"/>
      <w:marRight w:val="0"/>
      <w:marTop w:val="0"/>
      <w:marBottom w:val="120"/>
      <w:divBdr>
        <w:top w:val="none" w:sz="0" w:space="0" w:color="auto"/>
        <w:left w:val="none" w:sz="0" w:space="0" w:color="auto"/>
        <w:bottom w:val="none" w:sz="0" w:space="0" w:color="auto"/>
        <w:right w:val="none" w:sz="0" w:space="0" w:color="auto"/>
      </w:divBdr>
    </w:div>
    <w:div w:id="1206016957">
      <w:marLeft w:val="0"/>
      <w:marRight w:val="0"/>
      <w:marTop w:val="0"/>
      <w:marBottom w:val="120"/>
      <w:divBdr>
        <w:top w:val="none" w:sz="0" w:space="0" w:color="auto"/>
        <w:left w:val="none" w:sz="0" w:space="0" w:color="auto"/>
        <w:bottom w:val="none" w:sz="0" w:space="0" w:color="auto"/>
        <w:right w:val="none" w:sz="0" w:space="0" w:color="auto"/>
      </w:divBdr>
    </w:div>
    <w:div w:id="1206412009">
      <w:marLeft w:val="0"/>
      <w:marRight w:val="0"/>
      <w:marTop w:val="0"/>
      <w:marBottom w:val="0"/>
      <w:divBdr>
        <w:top w:val="none" w:sz="0" w:space="0" w:color="auto"/>
        <w:left w:val="none" w:sz="0" w:space="0" w:color="auto"/>
        <w:bottom w:val="none" w:sz="0" w:space="0" w:color="auto"/>
        <w:right w:val="none" w:sz="0" w:space="0" w:color="auto"/>
      </w:divBdr>
      <w:divsChild>
        <w:div w:id="963267337">
          <w:marLeft w:val="0"/>
          <w:marRight w:val="0"/>
          <w:marTop w:val="0"/>
          <w:marBottom w:val="0"/>
          <w:divBdr>
            <w:top w:val="none" w:sz="0" w:space="0" w:color="auto"/>
            <w:left w:val="none" w:sz="0" w:space="0" w:color="auto"/>
            <w:bottom w:val="none" w:sz="0" w:space="0" w:color="auto"/>
            <w:right w:val="none" w:sz="0" w:space="0" w:color="auto"/>
          </w:divBdr>
        </w:div>
      </w:divsChild>
    </w:div>
    <w:div w:id="1212183969">
      <w:marLeft w:val="0"/>
      <w:marRight w:val="0"/>
      <w:marTop w:val="140"/>
      <w:marBottom w:val="120"/>
      <w:divBdr>
        <w:top w:val="none" w:sz="0" w:space="0" w:color="auto"/>
        <w:left w:val="none" w:sz="0" w:space="0" w:color="auto"/>
        <w:bottom w:val="none" w:sz="0" w:space="0" w:color="auto"/>
        <w:right w:val="none" w:sz="0" w:space="0" w:color="auto"/>
      </w:divBdr>
    </w:div>
    <w:div w:id="1214854607">
      <w:marLeft w:val="0"/>
      <w:marRight w:val="0"/>
      <w:marTop w:val="0"/>
      <w:marBottom w:val="120"/>
      <w:divBdr>
        <w:top w:val="none" w:sz="0" w:space="0" w:color="auto"/>
        <w:left w:val="none" w:sz="0" w:space="0" w:color="auto"/>
        <w:bottom w:val="none" w:sz="0" w:space="0" w:color="auto"/>
        <w:right w:val="none" w:sz="0" w:space="0" w:color="auto"/>
      </w:divBdr>
    </w:div>
    <w:div w:id="1217550181">
      <w:marLeft w:val="0"/>
      <w:marRight w:val="0"/>
      <w:marTop w:val="0"/>
      <w:marBottom w:val="120"/>
      <w:divBdr>
        <w:top w:val="none" w:sz="0" w:space="0" w:color="auto"/>
        <w:left w:val="none" w:sz="0" w:space="0" w:color="auto"/>
        <w:bottom w:val="none" w:sz="0" w:space="0" w:color="auto"/>
        <w:right w:val="none" w:sz="0" w:space="0" w:color="auto"/>
      </w:divBdr>
    </w:div>
    <w:div w:id="1218316589">
      <w:marLeft w:val="0"/>
      <w:marRight w:val="0"/>
      <w:marTop w:val="0"/>
      <w:marBottom w:val="120"/>
      <w:divBdr>
        <w:top w:val="none" w:sz="0" w:space="0" w:color="auto"/>
        <w:left w:val="none" w:sz="0" w:space="0" w:color="auto"/>
        <w:bottom w:val="none" w:sz="0" w:space="0" w:color="auto"/>
        <w:right w:val="none" w:sz="0" w:space="0" w:color="auto"/>
      </w:divBdr>
    </w:div>
    <w:div w:id="1230534598">
      <w:marLeft w:val="0"/>
      <w:marRight w:val="0"/>
      <w:marTop w:val="0"/>
      <w:marBottom w:val="120"/>
      <w:divBdr>
        <w:top w:val="none" w:sz="0" w:space="0" w:color="auto"/>
        <w:left w:val="none" w:sz="0" w:space="0" w:color="auto"/>
        <w:bottom w:val="none" w:sz="0" w:space="0" w:color="auto"/>
        <w:right w:val="none" w:sz="0" w:space="0" w:color="auto"/>
      </w:divBdr>
    </w:div>
    <w:div w:id="1232346712">
      <w:marLeft w:val="0"/>
      <w:marRight w:val="0"/>
      <w:marTop w:val="0"/>
      <w:marBottom w:val="0"/>
      <w:divBdr>
        <w:top w:val="none" w:sz="0" w:space="0" w:color="auto"/>
        <w:left w:val="none" w:sz="0" w:space="0" w:color="auto"/>
        <w:bottom w:val="none" w:sz="0" w:space="0" w:color="auto"/>
        <w:right w:val="none" w:sz="0" w:space="0" w:color="auto"/>
      </w:divBdr>
    </w:div>
    <w:div w:id="1236746332">
      <w:marLeft w:val="0"/>
      <w:marRight w:val="0"/>
      <w:marTop w:val="0"/>
      <w:marBottom w:val="0"/>
      <w:divBdr>
        <w:top w:val="none" w:sz="0" w:space="0" w:color="auto"/>
        <w:left w:val="none" w:sz="0" w:space="0" w:color="auto"/>
        <w:bottom w:val="none" w:sz="0" w:space="0" w:color="auto"/>
        <w:right w:val="none" w:sz="0" w:space="0" w:color="auto"/>
      </w:divBdr>
      <w:divsChild>
        <w:div w:id="915432607">
          <w:marLeft w:val="0"/>
          <w:marRight w:val="0"/>
          <w:marTop w:val="0"/>
          <w:marBottom w:val="0"/>
          <w:divBdr>
            <w:top w:val="none" w:sz="0" w:space="0" w:color="auto"/>
            <w:left w:val="none" w:sz="0" w:space="0" w:color="auto"/>
            <w:bottom w:val="none" w:sz="0" w:space="0" w:color="auto"/>
            <w:right w:val="none" w:sz="0" w:space="0" w:color="auto"/>
          </w:divBdr>
        </w:div>
      </w:divsChild>
    </w:div>
    <w:div w:id="1239556286">
      <w:marLeft w:val="0"/>
      <w:marRight w:val="0"/>
      <w:marTop w:val="100"/>
      <w:marBottom w:val="0"/>
      <w:divBdr>
        <w:top w:val="none" w:sz="0" w:space="0" w:color="auto"/>
        <w:left w:val="none" w:sz="0" w:space="0" w:color="auto"/>
        <w:bottom w:val="none" w:sz="0" w:space="0" w:color="auto"/>
        <w:right w:val="none" w:sz="0" w:space="0" w:color="auto"/>
      </w:divBdr>
    </w:div>
    <w:div w:id="1241135689">
      <w:marLeft w:val="0"/>
      <w:marRight w:val="0"/>
      <w:marTop w:val="0"/>
      <w:marBottom w:val="120"/>
      <w:divBdr>
        <w:top w:val="none" w:sz="0" w:space="0" w:color="auto"/>
        <w:left w:val="none" w:sz="0" w:space="0" w:color="auto"/>
        <w:bottom w:val="none" w:sz="0" w:space="0" w:color="auto"/>
        <w:right w:val="none" w:sz="0" w:space="0" w:color="auto"/>
      </w:divBdr>
    </w:div>
    <w:div w:id="1243224485">
      <w:marLeft w:val="0"/>
      <w:marRight w:val="0"/>
      <w:marTop w:val="0"/>
      <w:marBottom w:val="120"/>
      <w:divBdr>
        <w:top w:val="none" w:sz="0" w:space="0" w:color="auto"/>
        <w:left w:val="none" w:sz="0" w:space="0" w:color="auto"/>
        <w:bottom w:val="none" w:sz="0" w:space="0" w:color="auto"/>
        <w:right w:val="none" w:sz="0" w:space="0" w:color="auto"/>
      </w:divBdr>
    </w:div>
    <w:div w:id="1243638389">
      <w:marLeft w:val="0"/>
      <w:marRight w:val="0"/>
      <w:marTop w:val="100"/>
      <w:marBottom w:val="120"/>
      <w:divBdr>
        <w:top w:val="none" w:sz="0" w:space="0" w:color="auto"/>
        <w:left w:val="none" w:sz="0" w:space="0" w:color="auto"/>
        <w:bottom w:val="none" w:sz="0" w:space="0" w:color="auto"/>
        <w:right w:val="none" w:sz="0" w:space="0" w:color="auto"/>
      </w:divBdr>
    </w:div>
    <w:div w:id="1250584315">
      <w:marLeft w:val="0"/>
      <w:marRight w:val="0"/>
      <w:marTop w:val="0"/>
      <w:marBottom w:val="120"/>
      <w:divBdr>
        <w:top w:val="none" w:sz="0" w:space="0" w:color="auto"/>
        <w:left w:val="none" w:sz="0" w:space="0" w:color="auto"/>
        <w:bottom w:val="none" w:sz="0" w:space="0" w:color="auto"/>
        <w:right w:val="none" w:sz="0" w:space="0" w:color="auto"/>
      </w:divBdr>
    </w:div>
    <w:div w:id="1252393965">
      <w:marLeft w:val="0"/>
      <w:marRight w:val="0"/>
      <w:marTop w:val="0"/>
      <w:marBottom w:val="0"/>
      <w:divBdr>
        <w:top w:val="none" w:sz="0" w:space="0" w:color="auto"/>
        <w:left w:val="none" w:sz="0" w:space="0" w:color="auto"/>
        <w:bottom w:val="none" w:sz="0" w:space="0" w:color="auto"/>
        <w:right w:val="none" w:sz="0" w:space="0" w:color="auto"/>
      </w:divBdr>
      <w:divsChild>
        <w:div w:id="869606898">
          <w:marLeft w:val="0"/>
          <w:marRight w:val="0"/>
          <w:marTop w:val="0"/>
          <w:marBottom w:val="0"/>
          <w:divBdr>
            <w:top w:val="none" w:sz="0" w:space="0" w:color="auto"/>
            <w:left w:val="none" w:sz="0" w:space="0" w:color="auto"/>
            <w:bottom w:val="none" w:sz="0" w:space="0" w:color="auto"/>
            <w:right w:val="none" w:sz="0" w:space="0" w:color="auto"/>
          </w:divBdr>
        </w:div>
      </w:divsChild>
    </w:div>
    <w:div w:id="1265722929">
      <w:marLeft w:val="0"/>
      <w:marRight w:val="0"/>
      <w:marTop w:val="0"/>
      <w:marBottom w:val="0"/>
      <w:divBdr>
        <w:top w:val="none" w:sz="0" w:space="0" w:color="auto"/>
        <w:left w:val="none" w:sz="0" w:space="0" w:color="auto"/>
        <w:bottom w:val="none" w:sz="0" w:space="0" w:color="auto"/>
        <w:right w:val="none" w:sz="0" w:space="0" w:color="auto"/>
      </w:divBdr>
      <w:divsChild>
        <w:div w:id="1370648729">
          <w:marLeft w:val="0"/>
          <w:marRight w:val="0"/>
          <w:marTop w:val="0"/>
          <w:marBottom w:val="0"/>
          <w:divBdr>
            <w:top w:val="none" w:sz="0" w:space="0" w:color="auto"/>
            <w:left w:val="none" w:sz="0" w:space="0" w:color="auto"/>
            <w:bottom w:val="none" w:sz="0" w:space="0" w:color="auto"/>
            <w:right w:val="none" w:sz="0" w:space="0" w:color="auto"/>
          </w:divBdr>
        </w:div>
      </w:divsChild>
    </w:div>
    <w:div w:id="1268808136">
      <w:marLeft w:val="0"/>
      <w:marRight w:val="0"/>
      <w:marTop w:val="0"/>
      <w:marBottom w:val="0"/>
      <w:divBdr>
        <w:top w:val="none" w:sz="0" w:space="0" w:color="auto"/>
        <w:left w:val="none" w:sz="0" w:space="0" w:color="auto"/>
        <w:bottom w:val="none" w:sz="0" w:space="0" w:color="auto"/>
        <w:right w:val="none" w:sz="0" w:space="0" w:color="auto"/>
      </w:divBdr>
      <w:divsChild>
        <w:div w:id="1174881316">
          <w:marLeft w:val="0"/>
          <w:marRight w:val="0"/>
          <w:marTop w:val="0"/>
          <w:marBottom w:val="0"/>
          <w:divBdr>
            <w:top w:val="none" w:sz="0" w:space="0" w:color="auto"/>
            <w:left w:val="none" w:sz="0" w:space="0" w:color="auto"/>
            <w:bottom w:val="none" w:sz="0" w:space="0" w:color="auto"/>
            <w:right w:val="none" w:sz="0" w:space="0" w:color="auto"/>
          </w:divBdr>
        </w:div>
        <w:div w:id="980385559">
          <w:marLeft w:val="0"/>
          <w:marRight w:val="0"/>
          <w:marTop w:val="0"/>
          <w:marBottom w:val="0"/>
          <w:divBdr>
            <w:top w:val="none" w:sz="0" w:space="0" w:color="auto"/>
            <w:left w:val="none" w:sz="0" w:space="0" w:color="auto"/>
            <w:bottom w:val="none" w:sz="0" w:space="0" w:color="auto"/>
            <w:right w:val="none" w:sz="0" w:space="0" w:color="auto"/>
          </w:divBdr>
        </w:div>
      </w:divsChild>
    </w:div>
    <w:div w:id="1269199333">
      <w:marLeft w:val="0"/>
      <w:marRight w:val="0"/>
      <w:marTop w:val="0"/>
      <w:marBottom w:val="0"/>
      <w:divBdr>
        <w:top w:val="none" w:sz="0" w:space="0" w:color="auto"/>
        <w:left w:val="none" w:sz="0" w:space="0" w:color="auto"/>
        <w:bottom w:val="none" w:sz="0" w:space="0" w:color="auto"/>
        <w:right w:val="none" w:sz="0" w:space="0" w:color="auto"/>
      </w:divBdr>
      <w:divsChild>
        <w:div w:id="1275598731">
          <w:marLeft w:val="0"/>
          <w:marRight w:val="0"/>
          <w:marTop w:val="0"/>
          <w:marBottom w:val="0"/>
          <w:divBdr>
            <w:top w:val="none" w:sz="0" w:space="0" w:color="auto"/>
            <w:left w:val="none" w:sz="0" w:space="0" w:color="auto"/>
            <w:bottom w:val="none" w:sz="0" w:space="0" w:color="auto"/>
            <w:right w:val="none" w:sz="0" w:space="0" w:color="auto"/>
          </w:divBdr>
        </w:div>
      </w:divsChild>
    </w:div>
    <w:div w:id="1279529012">
      <w:marLeft w:val="0"/>
      <w:marRight w:val="0"/>
      <w:marTop w:val="0"/>
      <w:marBottom w:val="120"/>
      <w:divBdr>
        <w:top w:val="none" w:sz="0" w:space="0" w:color="auto"/>
        <w:left w:val="none" w:sz="0" w:space="0" w:color="auto"/>
        <w:bottom w:val="none" w:sz="0" w:space="0" w:color="auto"/>
        <w:right w:val="none" w:sz="0" w:space="0" w:color="auto"/>
      </w:divBdr>
    </w:div>
    <w:div w:id="1284388367">
      <w:marLeft w:val="0"/>
      <w:marRight w:val="0"/>
      <w:marTop w:val="0"/>
      <w:marBottom w:val="120"/>
      <w:divBdr>
        <w:top w:val="none" w:sz="0" w:space="0" w:color="auto"/>
        <w:left w:val="none" w:sz="0" w:space="0" w:color="auto"/>
        <w:bottom w:val="none" w:sz="0" w:space="0" w:color="auto"/>
        <w:right w:val="none" w:sz="0" w:space="0" w:color="auto"/>
      </w:divBdr>
    </w:div>
    <w:div w:id="1290816632">
      <w:marLeft w:val="0"/>
      <w:marRight w:val="0"/>
      <w:marTop w:val="0"/>
      <w:marBottom w:val="0"/>
      <w:divBdr>
        <w:top w:val="none" w:sz="0" w:space="0" w:color="auto"/>
        <w:left w:val="none" w:sz="0" w:space="0" w:color="auto"/>
        <w:bottom w:val="none" w:sz="0" w:space="0" w:color="auto"/>
        <w:right w:val="none" w:sz="0" w:space="0" w:color="auto"/>
      </w:divBdr>
    </w:div>
    <w:div w:id="1295479424">
      <w:marLeft w:val="0"/>
      <w:marRight w:val="0"/>
      <w:marTop w:val="0"/>
      <w:marBottom w:val="120"/>
      <w:divBdr>
        <w:top w:val="none" w:sz="0" w:space="0" w:color="auto"/>
        <w:left w:val="none" w:sz="0" w:space="0" w:color="auto"/>
        <w:bottom w:val="none" w:sz="0" w:space="0" w:color="auto"/>
        <w:right w:val="none" w:sz="0" w:space="0" w:color="auto"/>
      </w:divBdr>
    </w:div>
    <w:div w:id="1309282840">
      <w:marLeft w:val="0"/>
      <w:marRight w:val="0"/>
      <w:marTop w:val="0"/>
      <w:marBottom w:val="120"/>
      <w:divBdr>
        <w:top w:val="none" w:sz="0" w:space="0" w:color="auto"/>
        <w:left w:val="none" w:sz="0" w:space="0" w:color="auto"/>
        <w:bottom w:val="none" w:sz="0" w:space="0" w:color="auto"/>
        <w:right w:val="none" w:sz="0" w:space="0" w:color="auto"/>
      </w:divBdr>
    </w:div>
    <w:div w:id="1313020194">
      <w:marLeft w:val="0"/>
      <w:marRight w:val="0"/>
      <w:marTop w:val="0"/>
      <w:marBottom w:val="120"/>
      <w:divBdr>
        <w:top w:val="none" w:sz="0" w:space="0" w:color="auto"/>
        <w:left w:val="none" w:sz="0" w:space="0" w:color="auto"/>
        <w:bottom w:val="none" w:sz="0" w:space="0" w:color="auto"/>
        <w:right w:val="none" w:sz="0" w:space="0" w:color="auto"/>
      </w:divBdr>
    </w:div>
    <w:div w:id="1315531302">
      <w:marLeft w:val="0"/>
      <w:marRight w:val="0"/>
      <w:marTop w:val="0"/>
      <w:marBottom w:val="120"/>
      <w:divBdr>
        <w:top w:val="none" w:sz="0" w:space="0" w:color="auto"/>
        <w:left w:val="none" w:sz="0" w:space="0" w:color="auto"/>
        <w:bottom w:val="none" w:sz="0" w:space="0" w:color="auto"/>
        <w:right w:val="none" w:sz="0" w:space="0" w:color="auto"/>
      </w:divBdr>
    </w:div>
    <w:div w:id="1323318840">
      <w:marLeft w:val="0"/>
      <w:marRight w:val="0"/>
      <w:marTop w:val="0"/>
      <w:marBottom w:val="0"/>
      <w:divBdr>
        <w:top w:val="none" w:sz="0" w:space="0" w:color="auto"/>
        <w:left w:val="none" w:sz="0" w:space="0" w:color="auto"/>
        <w:bottom w:val="none" w:sz="0" w:space="0" w:color="auto"/>
        <w:right w:val="none" w:sz="0" w:space="0" w:color="auto"/>
      </w:divBdr>
    </w:div>
    <w:div w:id="1330599295">
      <w:marLeft w:val="0"/>
      <w:marRight w:val="0"/>
      <w:marTop w:val="100"/>
      <w:marBottom w:val="120"/>
      <w:divBdr>
        <w:top w:val="none" w:sz="0" w:space="0" w:color="auto"/>
        <w:left w:val="none" w:sz="0" w:space="0" w:color="auto"/>
        <w:bottom w:val="none" w:sz="0" w:space="0" w:color="auto"/>
        <w:right w:val="none" w:sz="0" w:space="0" w:color="auto"/>
      </w:divBdr>
    </w:div>
    <w:div w:id="1337924339">
      <w:marLeft w:val="0"/>
      <w:marRight w:val="0"/>
      <w:marTop w:val="0"/>
      <w:marBottom w:val="120"/>
      <w:divBdr>
        <w:top w:val="none" w:sz="0" w:space="0" w:color="auto"/>
        <w:left w:val="none" w:sz="0" w:space="0" w:color="auto"/>
        <w:bottom w:val="none" w:sz="0" w:space="0" w:color="auto"/>
        <w:right w:val="none" w:sz="0" w:space="0" w:color="auto"/>
      </w:divBdr>
    </w:div>
    <w:div w:id="1340307292">
      <w:marLeft w:val="0"/>
      <w:marRight w:val="0"/>
      <w:marTop w:val="0"/>
      <w:marBottom w:val="0"/>
      <w:divBdr>
        <w:top w:val="none" w:sz="0" w:space="0" w:color="auto"/>
        <w:left w:val="none" w:sz="0" w:space="0" w:color="auto"/>
        <w:bottom w:val="none" w:sz="0" w:space="0" w:color="auto"/>
        <w:right w:val="none" w:sz="0" w:space="0" w:color="auto"/>
      </w:divBdr>
      <w:divsChild>
        <w:div w:id="1766346379">
          <w:marLeft w:val="0"/>
          <w:marRight w:val="0"/>
          <w:marTop w:val="0"/>
          <w:marBottom w:val="120"/>
          <w:divBdr>
            <w:top w:val="none" w:sz="0" w:space="0" w:color="auto"/>
            <w:left w:val="none" w:sz="0" w:space="0" w:color="auto"/>
            <w:bottom w:val="none" w:sz="0" w:space="0" w:color="auto"/>
            <w:right w:val="none" w:sz="0" w:space="0" w:color="auto"/>
          </w:divBdr>
        </w:div>
      </w:divsChild>
    </w:div>
    <w:div w:id="1344934238">
      <w:marLeft w:val="0"/>
      <w:marRight w:val="0"/>
      <w:marTop w:val="0"/>
      <w:marBottom w:val="120"/>
      <w:divBdr>
        <w:top w:val="none" w:sz="0" w:space="0" w:color="auto"/>
        <w:left w:val="none" w:sz="0" w:space="0" w:color="auto"/>
        <w:bottom w:val="none" w:sz="0" w:space="0" w:color="auto"/>
        <w:right w:val="none" w:sz="0" w:space="0" w:color="auto"/>
      </w:divBdr>
    </w:div>
    <w:div w:id="1348290755">
      <w:marLeft w:val="0"/>
      <w:marRight w:val="0"/>
      <w:marTop w:val="0"/>
      <w:marBottom w:val="120"/>
      <w:divBdr>
        <w:top w:val="none" w:sz="0" w:space="0" w:color="auto"/>
        <w:left w:val="none" w:sz="0" w:space="0" w:color="auto"/>
        <w:bottom w:val="none" w:sz="0" w:space="0" w:color="auto"/>
        <w:right w:val="none" w:sz="0" w:space="0" w:color="auto"/>
      </w:divBdr>
    </w:div>
    <w:div w:id="1352755268">
      <w:marLeft w:val="0"/>
      <w:marRight w:val="0"/>
      <w:marTop w:val="0"/>
      <w:marBottom w:val="120"/>
      <w:divBdr>
        <w:top w:val="none" w:sz="0" w:space="0" w:color="auto"/>
        <w:left w:val="none" w:sz="0" w:space="0" w:color="auto"/>
        <w:bottom w:val="none" w:sz="0" w:space="0" w:color="auto"/>
        <w:right w:val="none" w:sz="0" w:space="0" w:color="auto"/>
      </w:divBdr>
    </w:div>
    <w:div w:id="1352759440">
      <w:marLeft w:val="0"/>
      <w:marRight w:val="0"/>
      <w:marTop w:val="0"/>
      <w:marBottom w:val="120"/>
      <w:divBdr>
        <w:top w:val="none" w:sz="0" w:space="0" w:color="auto"/>
        <w:left w:val="none" w:sz="0" w:space="0" w:color="auto"/>
        <w:bottom w:val="none" w:sz="0" w:space="0" w:color="auto"/>
        <w:right w:val="none" w:sz="0" w:space="0" w:color="auto"/>
      </w:divBdr>
    </w:div>
    <w:div w:id="1358043557">
      <w:marLeft w:val="0"/>
      <w:marRight w:val="0"/>
      <w:marTop w:val="0"/>
      <w:marBottom w:val="120"/>
      <w:divBdr>
        <w:top w:val="none" w:sz="0" w:space="0" w:color="auto"/>
        <w:left w:val="none" w:sz="0" w:space="0" w:color="auto"/>
        <w:bottom w:val="none" w:sz="0" w:space="0" w:color="auto"/>
        <w:right w:val="none" w:sz="0" w:space="0" w:color="auto"/>
      </w:divBdr>
    </w:div>
    <w:div w:id="1358777668">
      <w:marLeft w:val="0"/>
      <w:marRight w:val="0"/>
      <w:marTop w:val="0"/>
      <w:marBottom w:val="240"/>
      <w:divBdr>
        <w:top w:val="none" w:sz="0" w:space="0" w:color="auto"/>
        <w:left w:val="none" w:sz="0" w:space="0" w:color="auto"/>
        <w:bottom w:val="none" w:sz="0" w:space="0" w:color="auto"/>
        <w:right w:val="none" w:sz="0" w:space="0" w:color="auto"/>
      </w:divBdr>
    </w:div>
    <w:div w:id="1363288732">
      <w:marLeft w:val="0"/>
      <w:marRight w:val="0"/>
      <w:marTop w:val="0"/>
      <w:marBottom w:val="120"/>
      <w:divBdr>
        <w:top w:val="none" w:sz="0" w:space="0" w:color="auto"/>
        <w:left w:val="none" w:sz="0" w:space="0" w:color="auto"/>
        <w:bottom w:val="none" w:sz="0" w:space="0" w:color="auto"/>
        <w:right w:val="none" w:sz="0" w:space="0" w:color="auto"/>
      </w:divBdr>
    </w:div>
    <w:div w:id="1368066755">
      <w:marLeft w:val="0"/>
      <w:marRight w:val="0"/>
      <w:marTop w:val="0"/>
      <w:marBottom w:val="120"/>
      <w:divBdr>
        <w:top w:val="none" w:sz="0" w:space="0" w:color="auto"/>
        <w:left w:val="none" w:sz="0" w:space="0" w:color="auto"/>
        <w:bottom w:val="none" w:sz="0" w:space="0" w:color="auto"/>
        <w:right w:val="none" w:sz="0" w:space="0" w:color="auto"/>
      </w:divBdr>
    </w:div>
    <w:div w:id="1371613780">
      <w:marLeft w:val="0"/>
      <w:marRight w:val="0"/>
      <w:marTop w:val="0"/>
      <w:marBottom w:val="120"/>
      <w:divBdr>
        <w:top w:val="none" w:sz="0" w:space="0" w:color="auto"/>
        <w:left w:val="none" w:sz="0" w:space="0" w:color="auto"/>
        <w:bottom w:val="none" w:sz="0" w:space="0" w:color="auto"/>
        <w:right w:val="none" w:sz="0" w:space="0" w:color="auto"/>
      </w:divBdr>
    </w:div>
    <w:div w:id="1372727232">
      <w:marLeft w:val="0"/>
      <w:marRight w:val="0"/>
      <w:marTop w:val="0"/>
      <w:marBottom w:val="0"/>
      <w:divBdr>
        <w:top w:val="none" w:sz="0" w:space="0" w:color="auto"/>
        <w:left w:val="none" w:sz="0" w:space="0" w:color="auto"/>
        <w:bottom w:val="none" w:sz="0" w:space="0" w:color="auto"/>
        <w:right w:val="none" w:sz="0" w:space="0" w:color="auto"/>
      </w:divBdr>
      <w:divsChild>
        <w:div w:id="1789659989">
          <w:marLeft w:val="0"/>
          <w:marRight w:val="0"/>
          <w:marTop w:val="0"/>
          <w:marBottom w:val="0"/>
          <w:divBdr>
            <w:top w:val="none" w:sz="0" w:space="0" w:color="auto"/>
            <w:left w:val="none" w:sz="0" w:space="0" w:color="auto"/>
            <w:bottom w:val="none" w:sz="0" w:space="0" w:color="auto"/>
            <w:right w:val="none" w:sz="0" w:space="0" w:color="auto"/>
          </w:divBdr>
        </w:div>
      </w:divsChild>
    </w:div>
    <w:div w:id="1372923454">
      <w:marLeft w:val="0"/>
      <w:marRight w:val="0"/>
      <w:marTop w:val="0"/>
      <w:marBottom w:val="120"/>
      <w:divBdr>
        <w:top w:val="none" w:sz="0" w:space="0" w:color="auto"/>
        <w:left w:val="none" w:sz="0" w:space="0" w:color="auto"/>
        <w:bottom w:val="none" w:sz="0" w:space="0" w:color="auto"/>
        <w:right w:val="none" w:sz="0" w:space="0" w:color="auto"/>
      </w:divBdr>
    </w:div>
    <w:div w:id="1381516625">
      <w:marLeft w:val="0"/>
      <w:marRight w:val="0"/>
      <w:marTop w:val="0"/>
      <w:marBottom w:val="0"/>
      <w:divBdr>
        <w:top w:val="none" w:sz="0" w:space="0" w:color="auto"/>
        <w:left w:val="none" w:sz="0" w:space="0" w:color="auto"/>
        <w:bottom w:val="none" w:sz="0" w:space="0" w:color="auto"/>
        <w:right w:val="none" w:sz="0" w:space="0" w:color="auto"/>
      </w:divBdr>
    </w:div>
    <w:div w:id="1386180975">
      <w:marLeft w:val="0"/>
      <w:marRight w:val="0"/>
      <w:marTop w:val="0"/>
      <w:marBottom w:val="120"/>
      <w:divBdr>
        <w:top w:val="none" w:sz="0" w:space="0" w:color="auto"/>
        <w:left w:val="none" w:sz="0" w:space="0" w:color="auto"/>
        <w:bottom w:val="none" w:sz="0" w:space="0" w:color="auto"/>
        <w:right w:val="none" w:sz="0" w:space="0" w:color="auto"/>
      </w:divBdr>
    </w:div>
    <w:div w:id="1391803119">
      <w:marLeft w:val="0"/>
      <w:marRight w:val="0"/>
      <w:marTop w:val="0"/>
      <w:marBottom w:val="0"/>
      <w:divBdr>
        <w:top w:val="none" w:sz="0" w:space="0" w:color="auto"/>
        <w:left w:val="none" w:sz="0" w:space="0" w:color="auto"/>
        <w:bottom w:val="none" w:sz="0" w:space="0" w:color="auto"/>
        <w:right w:val="none" w:sz="0" w:space="0" w:color="auto"/>
      </w:divBdr>
    </w:div>
    <w:div w:id="1397775260">
      <w:marLeft w:val="0"/>
      <w:marRight w:val="0"/>
      <w:marTop w:val="0"/>
      <w:marBottom w:val="120"/>
      <w:divBdr>
        <w:top w:val="none" w:sz="0" w:space="0" w:color="auto"/>
        <w:left w:val="none" w:sz="0" w:space="0" w:color="auto"/>
        <w:bottom w:val="none" w:sz="0" w:space="0" w:color="auto"/>
        <w:right w:val="none" w:sz="0" w:space="0" w:color="auto"/>
      </w:divBdr>
    </w:div>
    <w:div w:id="1400707735">
      <w:marLeft w:val="0"/>
      <w:marRight w:val="0"/>
      <w:marTop w:val="100"/>
      <w:marBottom w:val="0"/>
      <w:divBdr>
        <w:top w:val="none" w:sz="0" w:space="0" w:color="auto"/>
        <w:left w:val="none" w:sz="0" w:space="0" w:color="auto"/>
        <w:bottom w:val="none" w:sz="0" w:space="0" w:color="auto"/>
        <w:right w:val="none" w:sz="0" w:space="0" w:color="auto"/>
      </w:divBdr>
    </w:div>
    <w:div w:id="1406606428">
      <w:marLeft w:val="0"/>
      <w:marRight w:val="0"/>
      <w:marTop w:val="0"/>
      <w:marBottom w:val="120"/>
      <w:divBdr>
        <w:top w:val="none" w:sz="0" w:space="0" w:color="auto"/>
        <w:left w:val="none" w:sz="0" w:space="0" w:color="auto"/>
        <w:bottom w:val="none" w:sz="0" w:space="0" w:color="auto"/>
        <w:right w:val="none" w:sz="0" w:space="0" w:color="auto"/>
      </w:divBdr>
    </w:div>
    <w:div w:id="1416124914">
      <w:marLeft w:val="0"/>
      <w:marRight w:val="0"/>
      <w:marTop w:val="0"/>
      <w:marBottom w:val="120"/>
      <w:divBdr>
        <w:top w:val="none" w:sz="0" w:space="0" w:color="auto"/>
        <w:left w:val="none" w:sz="0" w:space="0" w:color="auto"/>
        <w:bottom w:val="none" w:sz="0" w:space="0" w:color="auto"/>
        <w:right w:val="none" w:sz="0" w:space="0" w:color="auto"/>
      </w:divBdr>
    </w:div>
    <w:div w:id="1416129274">
      <w:marLeft w:val="0"/>
      <w:marRight w:val="0"/>
      <w:marTop w:val="0"/>
      <w:marBottom w:val="120"/>
      <w:divBdr>
        <w:top w:val="none" w:sz="0" w:space="0" w:color="auto"/>
        <w:left w:val="none" w:sz="0" w:space="0" w:color="auto"/>
        <w:bottom w:val="none" w:sz="0" w:space="0" w:color="auto"/>
        <w:right w:val="none" w:sz="0" w:space="0" w:color="auto"/>
      </w:divBdr>
    </w:div>
    <w:div w:id="1422332035">
      <w:marLeft w:val="0"/>
      <w:marRight w:val="0"/>
      <w:marTop w:val="0"/>
      <w:marBottom w:val="120"/>
      <w:divBdr>
        <w:top w:val="none" w:sz="0" w:space="0" w:color="auto"/>
        <w:left w:val="none" w:sz="0" w:space="0" w:color="auto"/>
        <w:bottom w:val="none" w:sz="0" w:space="0" w:color="auto"/>
        <w:right w:val="none" w:sz="0" w:space="0" w:color="auto"/>
      </w:divBdr>
    </w:div>
    <w:div w:id="1423602584">
      <w:marLeft w:val="0"/>
      <w:marRight w:val="0"/>
      <w:marTop w:val="0"/>
      <w:marBottom w:val="120"/>
      <w:divBdr>
        <w:top w:val="none" w:sz="0" w:space="0" w:color="auto"/>
        <w:left w:val="none" w:sz="0" w:space="0" w:color="auto"/>
        <w:bottom w:val="none" w:sz="0" w:space="0" w:color="auto"/>
        <w:right w:val="none" w:sz="0" w:space="0" w:color="auto"/>
      </w:divBdr>
    </w:div>
    <w:div w:id="1426923015">
      <w:marLeft w:val="0"/>
      <w:marRight w:val="0"/>
      <w:marTop w:val="0"/>
      <w:marBottom w:val="0"/>
      <w:divBdr>
        <w:top w:val="none" w:sz="0" w:space="0" w:color="auto"/>
        <w:left w:val="none" w:sz="0" w:space="0" w:color="auto"/>
        <w:bottom w:val="none" w:sz="0" w:space="0" w:color="auto"/>
        <w:right w:val="none" w:sz="0" w:space="0" w:color="auto"/>
      </w:divBdr>
      <w:divsChild>
        <w:div w:id="2091152317">
          <w:marLeft w:val="0"/>
          <w:marRight w:val="0"/>
          <w:marTop w:val="0"/>
          <w:marBottom w:val="0"/>
          <w:divBdr>
            <w:top w:val="none" w:sz="0" w:space="0" w:color="auto"/>
            <w:left w:val="none" w:sz="0" w:space="0" w:color="auto"/>
            <w:bottom w:val="none" w:sz="0" w:space="0" w:color="auto"/>
            <w:right w:val="none" w:sz="0" w:space="0" w:color="auto"/>
          </w:divBdr>
        </w:div>
      </w:divsChild>
    </w:div>
    <w:div w:id="1427384511">
      <w:marLeft w:val="0"/>
      <w:marRight w:val="0"/>
      <w:marTop w:val="0"/>
      <w:marBottom w:val="120"/>
      <w:divBdr>
        <w:top w:val="none" w:sz="0" w:space="0" w:color="auto"/>
        <w:left w:val="none" w:sz="0" w:space="0" w:color="auto"/>
        <w:bottom w:val="none" w:sz="0" w:space="0" w:color="auto"/>
        <w:right w:val="none" w:sz="0" w:space="0" w:color="auto"/>
      </w:divBdr>
    </w:div>
    <w:div w:id="1430663472">
      <w:marLeft w:val="0"/>
      <w:marRight w:val="0"/>
      <w:marTop w:val="0"/>
      <w:marBottom w:val="120"/>
      <w:divBdr>
        <w:top w:val="none" w:sz="0" w:space="0" w:color="auto"/>
        <w:left w:val="none" w:sz="0" w:space="0" w:color="auto"/>
        <w:bottom w:val="none" w:sz="0" w:space="0" w:color="auto"/>
        <w:right w:val="none" w:sz="0" w:space="0" w:color="auto"/>
      </w:divBdr>
    </w:div>
    <w:div w:id="1438715763">
      <w:marLeft w:val="0"/>
      <w:marRight w:val="0"/>
      <w:marTop w:val="0"/>
      <w:marBottom w:val="120"/>
      <w:divBdr>
        <w:top w:val="none" w:sz="0" w:space="0" w:color="auto"/>
        <w:left w:val="none" w:sz="0" w:space="0" w:color="auto"/>
        <w:bottom w:val="none" w:sz="0" w:space="0" w:color="auto"/>
        <w:right w:val="none" w:sz="0" w:space="0" w:color="auto"/>
      </w:divBdr>
    </w:div>
    <w:div w:id="1445537971">
      <w:marLeft w:val="0"/>
      <w:marRight w:val="0"/>
      <w:marTop w:val="0"/>
      <w:marBottom w:val="120"/>
      <w:divBdr>
        <w:top w:val="none" w:sz="0" w:space="0" w:color="auto"/>
        <w:left w:val="none" w:sz="0" w:space="0" w:color="auto"/>
        <w:bottom w:val="none" w:sz="0" w:space="0" w:color="auto"/>
        <w:right w:val="none" w:sz="0" w:space="0" w:color="auto"/>
      </w:divBdr>
    </w:div>
    <w:div w:id="1447508537">
      <w:marLeft w:val="0"/>
      <w:marRight w:val="0"/>
      <w:marTop w:val="0"/>
      <w:marBottom w:val="0"/>
      <w:divBdr>
        <w:top w:val="none" w:sz="0" w:space="0" w:color="auto"/>
        <w:left w:val="none" w:sz="0" w:space="0" w:color="auto"/>
        <w:bottom w:val="none" w:sz="0" w:space="0" w:color="auto"/>
        <w:right w:val="none" w:sz="0" w:space="0" w:color="auto"/>
      </w:divBdr>
      <w:divsChild>
        <w:div w:id="1564751881">
          <w:marLeft w:val="0"/>
          <w:marRight w:val="0"/>
          <w:marTop w:val="0"/>
          <w:marBottom w:val="0"/>
          <w:divBdr>
            <w:top w:val="none" w:sz="0" w:space="0" w:color="auto"/>
            <w:left w:val="none" w:sz="0" w:space="0" w:color="auto"/>
            <w:bottom w:val="none" w:sz="0" w:space="0" w:color="auto"/>
            <w:right w:val="none" w:sz="0" w:space="0" w:color="auto"/>
          </w:divBdr>
        </w:div>
      </w:divsChild>
    </w:div>
    <w:div w:id="1450587407">
      <w:marLeft w:val="0"/>
      <w:marRight w:val="0"/>
      <w:marTop w:val="0"/>
      <w:marBottom w:val="100"/>
      <w:divBdr>
        <w:top w:val="none" w:sz="0" w:space="0" w:color="auto"/>
        <w:left w:val="none" w:sz="0" w:space="0" w:color="auto"/>
        <w:bottom w:val="none" w:sz="0" w:space="0" w:color="auto"/>
        <w:right w:val="none" w:sz="0" w:space="0" w:color="auto"/>
      </w:divBdr>
    </w:div>
    <w:div w:id="1457140579">
      <w:marLeft w:val="0"/>
      <w:marRight w:val="0"/>
      <w:marTop w:val="0"/>
      <w:marBottom w:val="120"/>
      <w:divBdr>
        <w:top w:val="none" w:sz="0" w:space="0" w:color="auto"/>
        <w:left w:val="none" w:sz="0" w:space="0" w:color="auto"/>
        <w:bottom w:val="none" w:sz="0" w:space="0" w:color="auto"/>
        <w:right w:val="none" w:sz="0" w:space="0" w:color="auto"/>
      </w:divBdr>
    </w:div>
    <w:div w:id="1457914996">
      <w:marLeft w:val="0"/>
      <w:marRight w:val="0"/>
      <w:marTop w:val="0"/>
      <w:marBottom w:val="120"/>
      <w:divBdr>
        <w:top w:val="none" w:sz="0" w:space="0" w:color="auto"/>
        <w:left w:val="none" w:sz="0" w:space="0" w:color="auto"/>
        <w:bottom w:val="none" w:sz="0" w:space="0" w:color="auto"/>
        <w:right w:val="none" w:sz="0" w:space="0" w:color="auto"/>
      </w:divBdr>
    </w:div>
    <w:div w:id="1467118422">
      <w:marLeft w:val="0"/>
      <w:marRight w:val="0"/>
      <w:marTop w:val="0"/>
      <w:marBottom w:val="120"/>
      <w:divBdr>
        <w:top w:val="none" w:sz="0" w:space="0" w:color="auto"/>
        <w:left w:val="none" w:sz="0" w:space="0" w:color="auto"/>
        <w:bottom w:val="none" w:sz="0" w:space="0" w:color="auto"/>
        <w:right w:val="none" w:sz="0" w:space="0" w:color="auto"/>
      </w:divBdr>
    </w:div>
    <w:div w:id="1475172548">
      <w:marLeft w:val="0"/>
      <w:marRight w:val="0"/>
      <w:marTop w:val="0"/>
      <w:marBottom w:val="120"/>
      <w:divBdr>
        <w:top w:val="none" w:sz="0" w:space="0" w:color="auto"/>
        <w:left w:val="none" w:sz="0" w:space="0" w:color="auto"/>
        <w:bottom w:val="none" w:sz="0" w:space="0" w:color="auto"/>
        <w:right w:val="none" w:sz="0" w:space="0" w:color="auto"/>
      </w:divBdr>
    </w:div>
    <w:div w:id="1475292717">
      <w:marLeft w:val="0"/>
      <w:marRight w:val="0"/>
      <w:marTop w:val="0"/>
      <w:marBottom w:val="120"/>
      <w:divBdr>
        <w:top w:val="none" w:sz="0" w:space="0" w:color="auto"/>
        <w:left w:val="none" w:sz="0" w:space="0" w:color="auto"/>
        <w:bottom w:val="none" w:sz="0" w:space="0" w:color="auto"/>
        <w:right w:val="none" w:sz="0" w:space="0" w:color="auto"/>
      </w:divBdr>
    </w:div>
    <w:div w:id="1483034839">
      <w:marLeft w:val="0"/>
      <w:marRight w:val="0"/>
      <w:marTop w:val="0"/>
      <w:marBottom w:val="120"/>
      <w:divBdr>
        <w:top w:val="none" w:sz="0" w:space="0" w:color="auto"/>
        <w:left w:val="none" w:sz="0" w:space="0" w:color="auto"/>
        <w:bottom w:val="none" w:sz="0" w:space="0" w:color="auto"/>
        <w:right w:val="none" w:sz="0" w:space="0" w:color="auto"/>
      </w:divBdr>
    </w:div>
    <w:div w:id="1488209532">
      <w:marLeft w:val="0"/>
      <w:marRight w:val="0"/>
      <w:marTop w:val="0"/>
      <w:marBottom w:val="0"/>
      <w:divBdr>
        <w:top w:val="none" w:sz="0" w:space="0" w:color="auto"/>
        <w:left w:val="none" w:sz="0" w:space="0" w:color="auto"/>
        <w:bottom w:val="none" w:sz="0" w:space="0" w:color="auto"/>
        <w:right w:val="none" w:sz="0" w:space="0" w:color="auto"/>
      </w:divBdr>
      <w:divsChild>
        <w:div w:id="429084443">
          <w:marLeft w:val="0"/>
          <w:marRight w:val="0"/>
          <w:marTop w:val="0"/>
          <w:marBottom w:val="0"/>
          <w:divBdr>
            <w:top w:val="none" w:sz="0" w:space="0" w:color="auto"/>
            <w:left w:val="none" w:sz="0" w:space="0" w:color="auto"/>
            <w:bottom w:val="none" w:sz="0" w:space="0" w:color="auto"/>
            <w:right w:val="none" w:sz="0" w:space="0" w:color="auto"/>
          </w:divBdr>
        </w:div>
      </w:divsChild>
    </w:div>
    <w:div w:id="1490293376">
      <w:marLeft w:val="0"/>
      <w:marRight w:val="0"/>
      <w:marTop w:val="0"/>
      <w:marBottom w:val="120"/>
      <w:divBdr>
        <w:top w:val="none" w:sz="0" w:space="0" w:color="auto"/>
        <w:left w:val="none" w:sz="0" w:space="0" w:color="auto"/>
        <w:bottom w:val="none" w:sz="0" w:space="0" w:color="auto"/>
        <w:right w:val="none" w:sz="0" w:space="0" w:color="auto"/>
      </w:divBdr>
    </w:div>
    <w:div w:id="1507480435">
      <w:marLeft w:val="0"/>
      <w:marRight w:val="0"/>
      <w:marTop w:val="0"/>
      <w:marBottom w:val="120"/>
      <w:divBdr>
        <w:top w:val="none" w:sz="0" w:space="0" w:color="auto"/>
        <w:left w:val="none" w:sz="0" w:space="0" w:color="auto"/>
        <w:bottom w:val="none" w:sz="0" w:space="0" w:color="auto"/>
        <w:right w:val="none" w:sz="0" w:space="0" w:color="auto"/>
      </w:divBdr>
    </w:div>
    <w:div w:id="1507984242">
      <w:marLeft w:val="0"/>
      <w:marRight w:val="0"/>
      <w:marTop w:val="0"/>
      <w:marBottom w:val="20"/>
      <w:divBdr>
        <w:top w:val="none" w:sz="0" w:space="0" w:color="auto"/>
        <w:left w:val="none" w:sz="0" w:space="0" w:color="auto"/>
        <w:bottom w:val="none" w:sz="0" w:space="0" w:color="auto"/>
        <w:right w:val="none" w:sz="0" w:space="0" w:color="auto"/>
      </w:divBdr>
    </w:div>
    <w:div w:id="1509908497">
      <w:marLeft w:val="0"/>
      <w:marRight w:val="0"/>
      <w:marTop w:val="0"/>
      <w:marBottom w:val="120"/>
      <w:divBdr>
        <w:top w:val="none" w:sz="0" w:space="0" w:color="auto"/>
        <w:left w:val="none" w:sz="0" w:space="0" w:color="auto"/>
        <w:bottom w:val="none" w:sz="0" w:space="0" w:color="auto"/>
        <w:right w:val="none" w:sz="0" w:space="0" w:color="auto"/>
      </w:divBdr>
    </w:div>
    <w:div w:id="1511723895">
      <w:marLeft w:val="0"/>
      <w:marRight w:val="0"/>
      <w:marTop w:val="0"/>
      <w:marBottom w:val="120"/>
      <w:divBdr>
        <w:top w:val="none" w:sz="0" w:space="0" w:color="auto"/>
        <w:left w:val="none" w:sz="0" w:space="0" w:color="auto"/>
        <w:bottom w:val="none" w:sz="0" w:space="0" w:color="auto"/>
        <w:right w:val="none" w:sz="0" w:space="0" w:color="auto"/>
      </w:divBdr>
    </w:div>
    <w:div w:id="1521158650">
      <w:marLeft w:val="0"/>
      <w:marRight w:val="0"/>
      <w:marTop w:val="0"/>
      <w:marBottom w:val="120"/>
      <w:divBdr>
        <w:top w:val="none" w:sz="0" w:space="0" w:color="auto"/>
        <w:left w:val="none" w:sz="0" w:space="0" w:color="auto"/>
        <w:bottom w:val="none" w:sz="0" w:space="0" w:color="auto"/>
        <w:right w:val="none" w:sz="0" w:space="0" w:color="auto"/>
      </w:divBdr>
    </w:div>
    <w:div w:id="1524827707">
      <w:marLeft w:val="0"/>
      <w:marRight w:val="0"/>
      <w:marTop w:val="0"/>
      <w:marBottom w:val="120"/>
      <w:divBdr>
        <w:top w:val="none" w:sz="0" w:space="0" w:color="auto"/>
        <w:left w:val="none" w:sz="0" w:space="0" w:color="auto"/>
        <w:bottom w:val="none" w:sz="0" w:space="0" w:color="auto"/>
        <w:right w:val="none" w:sz="0" w:space="0" w:color="auto"/>
      </w:divBdr>
    </w:div>
    <w:div w:id="1525248346">
      <w:marLeft w:val="0"/>
      <w:marRight w:val="0"/>
      <w:marTop w:val="0"/>
      <w:marBottom w:val="20"/>
      <w:divBdr>
        <w:top w:val="none" w:sz="0" w:space="0" w:color="auto"/>
        <w:left w:val="none" w:sz="0" w:space="0" w:color="auto"/>
        <w:bottom w:val="none" w:sz="0" w:space="0" w:color="auto"/>
        <w:right w:val="none" w:sz="0" w:space="0" w:color="auto"/>
      </w:divBdr>
      <w:divsChild>
        <w:div w:id="95099516">
          <w:marLeft w:val="0"/>
          <w:marRight w:val="0"/>
          <w:marTop w:val="0"/>
          <w:marBottom w:val="0"/>
          <w:divBdr>
            <w:top w:val="none" w:sz="0" w:space="0" w:color="auto"/>
            <w:left w:val="none" w:sz="0" w:space="0" w:color="auto"/>
            <w:bottom w:val="none" w:sz="0" w:space="0" w:color="auto"/>
            <w:right w:val="none" w:sz="0" w:space="0" w:color="auto"/>
          </w:divBdr>
        </w:div>
      </w:divsChild>
    </w:div>
    <w:div w:id="1530292731">
      <w:marLeft w:val="0"/>
      <w:marRight w:val="0"/>
      <w:marTop w:val="0"/>
      <w:marBottom w:val="120"/>
      <w:divBdr>
        <w:top w:val="none" w:sz="0" w:space="0" w:color="auto"/>
        <w:left w:val="none" w:sz="0" w:space="0" w:color="auto"/>
        <w:bottom w:val="none" w:sz="0" w:space="0" w:color="auto"/>
        <w:right w:val="none" w:sz="0" w:space="0" w:color="auto"/>
      </w:divBdr>
    </w:div>
    <w:div w:id="1532457899">
      <w:marLeft w:val="0"/>
      <w:marRight w:val="0"/>
      <w:marTop w:val="0"/>
      <w:marBottom w:val="120"/>
      <w:divBdr>
        <w:top w:val="none" w:sz="0" w:space="0" w:color="auto"/>
        <w:left w:val="none" w:sz="0" w:space="0" w:color="auto"/>
        <w:bottom w:val="none" w:sz="0" w:space="0" w:color="auto"/>
        <w:right w:val="none" w:sz="0" w:space="0" w:color="auto"/>
      </w:divBdr>
    </w:div>
    <w:div w:id="1536429078">
      <w:marLeft w:val="0"/>
      <w:marRight w:val="0"/>
      <w:marTop w:val="100"/>
      <w:marBottom w:val="0"/>
      <w:divBdr>
        <w:top w:val="none" w:sz="0" w:space="0" w:color="auto"/>
        <w:left w:val="none" w:sz="0" w:space="0" w:color="auto"/>
        <w:bottom w:val="none" w:sz="0" w:space="0" w:color="auto"/>
        <w:right w:val="none" w:sz="0" w:space="0" w:color="auto"/>
      </w:divBdr>
    </w:div>
    <w:div w:id="1540894885">
      <w:marLeft w:val="0"/>
      <w:marRight w:val="0"/>
      <w:marTop w:val="0"/>
      <w:marBottom w:val="120"/>
      <w:divBdr>
        <w:top w:val="none" w:sz="0" w:space="0" w:color="auto"/>
        <w:left w:val="none" w:sz="0" w:space="0" w:color="auto"/>
        <w:bottom w:val="none" w:sz="0" w:space="0" w:color="auto"/>
        <w:right w:val="none" w:sz="0" w:space="0" w:color="auto"/>
      </w:divBdr>
    </w:div>
    <w:div w:id="1542938778">
      <w:marLeft w:val="0"/>
      <w:marRight w:val="0"/>
      <w:marTop w:val="0"/>
      <w:marBottom w:val="120"/>
      <w:divBdr>
        <w:top w:val="none" w:sz="0" w:space="0" w:color="auto"/>
        <w:left w:val="none" w:sz="0" w:space="0" w:color="auto"/>
        <w:bottom w:val="none" w:sz="0" w:space="0" w:color="auto"/>
        <w:right w:val="none" w:sz="0" w:space="0" w:color="auto"/>
      </w:divBdr>
    </w:div>
    <w:div w:id="1543134133">
      <w:marLeft w:val="0"/>
      <w:marRight w:val="0"/>
      <w:marTop w:val="0"/>
      <w:marBottom w:val="120"/>
      <w:divBdr>
        <w:top w:val="none" w:sz="0" w:space="0" w:color="auto"/>
        <w:left w:val="none" w:sz="0" w:space="0" w:color="auto"/>
        <w:bottom w:val="none" w:sz="0" w:space="0" w:color="auto"/>
        <w:right w:val="none" w:sz="0" w:space="0" w:color="auto"/>
      </w:divBdr>
    </w:div>
    <w:div w:id="1555388327">
      <w:marLeft w:val="0"/>
      <w:marRight w:val="0"/>
      <w:marTop w:val="0"/>
      <w:marBottom w:val="120"/>
      <w:divBdr>
        <w:top w:val="none" w:sz="0" w:space="0" w:color="auto"/>
        <w:left w:val="none" w:sz="0" w:space="0" w:color="auto"/>
        <w:bottom w:val="none" w:sz="0" w:space="0" w:color="auto"/>
        <w:right w:val="none" w:sz="0" w:space="0" w:color="auto"/>
      </w:divBdr>
    </w:div>
    <w:div w:id="1559323379">
      <w:marLeft w:val="0"/>
      <w:marRight w:val="0"/>
      <w:marTop w:val="0"/>
      <w:marBottom w:val="120"/>
      <w:divBdr>
        <w:top w:val="none" w:sz="0" w:space="0" w:color="auto"/>
        <w:left w:val="none" w:sz="0" w:space="0" w:color="auto"/>
        <w:bottom w:val="none" w:sz="0" w:space="0" w:color="auto"/>
        <w:right w:val="none" w:sz="0" w:space="0" w:color="auto"/>
      </w:divBdr>
    </w:div>
    <w:div w:id="1561671680">
      <w:marLeft w:val="0"/>
      <w:marRight w:val="0"/>
      <w:marTop w:val="0"/>
      <w:marBottom w:val="20"/>
      <w:divBdr>
        <w:top w:val="none" w:sz="0" w:space="0" w:color="auto"/>
        <w:left w:val="none" w:sz="0" w:space="0" w:color="auto"/>
        <w:bottom w:val="none" w:sz="0" w:space="0" w:color="auto"/>
        <w:right w:val="none" w:sz="0" w:space="0" w:color="auto"/>
      </w:divBdr>
    </w:div>
    <w:div w:id="1566067751">
      <w:marLeft w:val="0"/>
      <w:marRight w:val="0"/>
      <w:marTop w:val="0"/>
      <w:marBottom w:val="0"/>
      <w:divBdr>
        <w:top w:val="none" w:sz="0" w:space="0" w:color="auto"/>
        <w:left w:val="none" w:sz="0" w:space="0" w:color="auto"/>
        <w:bottom w:val="none" w:sz="0" w:space="0" w:color="auto"/>
        <w:right w:val="none" w:sz="0" w:space="0" w:color="auto"/>
      </w:divBdr>
      <w:divsChild>
        <w:div w:id="1247570463">
          <w:marLeft w:val="0"/>
          <w:marRight w:val="0"/>
          <w:marTop w:val="0"/>
          <w:marBottom w:val="0"/>
          <w:divBdr>
            <w:top w:val="none" w:sz="0" w:space="0" w:color="auto"/>
            <w:left w:val="none" w:sz="0" w:space="0" w:color="auto"/>
            <w:bottom w:val="none" w:sz="0" w:space="0" w:color="auto"/>
            <w:right w:val="none" w:sz="0" w:space="0" w:color="auto"/>
          </w:divBdr>
        </w:div>
      </w:divsChild>
    </w:div>
    <w:div w:id="1566722846">
      <w:marLeft w:val="0"/>
      <w:marRight w:val="0"/>
      <w:marTop w:val="100"/>
      <w:marBottom w:val="120"/>
      <w:divBdr>
        <w:top w:val="none" w:sz="0" w:space="0" w:color="auto"/>
        <w:left w:val="none" w:sz="0" w:space="0" w:color="auto"/>
        <w:bottom w:val="none" w:sz="0" w:space="0" w:color="auto"/>
        <w:right w:val="none" w:sz="0" w:space="0" w:color="auto"/>
      </w:divBdr>
    </w:div>
    <w:div w:id="1575431260">
      <w:marLeft w:val="0"/>
      <w:marRight w:val="0"/>
      <w:marTop w:val="0"/>
      <w:marBottom w:val="120"/>
      <w:divBdr>
        <w:top w:val="none" w:sz="0" w:space="0" w:color="auto"/>
        <w:left w:val="none" w:sz="0" w:space="0" w:color="auto"/>
        <w:bottom w:val="none" w:sz="0" w:space="0" w:color="auto"/>
        <w:right w:val="none" w:sz="0" w:space="0" w:color="auto"/>
      </w:divBdr>
    </w:div>
    <w:div w:id="1576890767">
      <w:marLeft w:val="0"/>
      <w:marRight w:val="0"/>
      <w:marTop w:val="0"/>
      <w:marBottom w:val="60"/>
      <w:divBdr>
        <w:top w:val="none" w:sz="0" w:space="0" w:color="auto"/>
        <w:left w:val="none" w:sz="0" w:space="0" w:color="auto"/>
        <w:bottom w:val="none" w:sz="0" w:space="0" w:color="auto"/>
        <w:right w:val="none" w:sz="0" w:space="0" w:color="auto"/>
      </w:divBdr>
    </w:div>
    <w:div w:id="1579098849">
      <w:marLeft w:val="0"/>
      <w:marRight w:val="0"/>
      <w:marTop w:val="0"/>
      <w:marBottom w:val="120"/>
      <w:divBdr>
        <w:top w:val="none" w:sz="0" w:space="0" w:color="auto"/>
        <w:left w:val="none" w:sz="0" w:space="0" w:color="auto"/>
        <w:bottom w:val="none" w:sz="0" w:space="0" w:color="auto"/>
        <w:right w:val="none" w:sz="0" w:space="0" w:color="auto"/>
      </w:divBdr>
    </w:div>
    <w:div w:id="1579289428">
      <w:marLeft w:val="0"/>
      <w:marRight w:val="0"/>
      <w:marTop w:val="0"/>
      <w:marBottom w:val="120"/>
      <w:divBdr>
        <w:top w:val="none" w:sz="0" w:space="0" w:color="auto"/>
        <w:left w:val="none" w:sz="0" w:space="0" w:color="auto"/>
        <w:bottom w:val="none" w:sz="0" w:space="0" w:color="auto"/>
        <w:right w:val="none" w:sz="0" w:space="0" w:color="auto"/>
      </w:divBdr>
    </w:div>
    <w:div w:id="1579316993">
      <w:marLeft w:val="0"/>
      <w:marRight w:val="0"/>
      <w:marTop w:val="0"/>
      <w:marBottom w:val="0"/>
      <w:divBdr>
        <w:top w:val="none" w:sz="0" w:space="0" w:color="auto"/>
        <w:left w:val="none" w:sz="0" w:space="0" w:color="auto"/>
        <w:bottom w:val="none" w:sz="0" w:space="0" w:color="auto"/>
        <w:right w:val="none" w:sz="0" w:space="0" w:color="auto"/>
      </w:divBdr>
      <w:divsChild>
        <w:div w:id="2041123949">
          <w:marLeft w:val="0"/>
          <w:marRight w:val="0"/>
          <w:marTop w:val="120"/>
          <w:marBottom w:val="0"/>
          <w:divBdr>
            <w:top w:val="none" w:sz="0" w:space="0" w:color="auto"/>
            <w:left w:val="none" w:sz="0" w:space="0" w:color="auto"/>
            <w:bottom w:val="none" w:sz="0" w:space="0" w:color="auto"/>
            <w:right w:val="none" w:sz="0" w:space="0" w:color="auto"/>
          </w:divBdr>
        </w:div>
        <w:div w:id="665668973">
          <w:marLeft w:val="0"/>
          <w:marRight w:val="0"/>
          <w:marTop w:val="0"/>
          <w:marBottom w:val="0"/>
          <w:divBdr>
            <w:top w:val="none" w:sz="0" w:space="0" w:color="auto"/>
            <w:left w:val="none" w:sz="0" w:space="0" w:color="auto"/>
            <w:bottom w:val="none" w:sz="0" w:space="0" w:color="auto"/>
            <w:right w:val="none" w:sz="0" w:space="0" w:color="auto"/>
          </w:divBdr>
        </w:div>
      </w:divsChild>
    </w:div>
    <w:div w:id="1594782872">
      <w:marLeft w:val="0"/>
      <w:marRight w:val="0"/>
      <w:marTop w:val="0"/>
      <w:marBottom w:val="120"/>
      <w:divBdr>
        <w:top w:val="none" w:sz="0" w:space="0" w:color="auto"/>
        <w:left w:val="none" w:sz="0" w:space="0" w:color="auto"/>
        <w:bottom w:val="none" w:sz="0" w:space="0" w:color="auto"/>
        <w:right w:val="none" w:sz="0" w:space="0" w:color="auto"/>
      </w:divBdr>
    </w:div>
    <w:div w:id="1605183471">
      <w:marLeft w:val="0"/>
      <w:marRight w:val="0"/>
      <w:marTop w:val="80"/>
      <w:marBottom w:val="0"/>
      <w:divBdr>
        <w:top w:val="none" w:sz="0" w:space="0" w:color="auto"/>
        <w:left w:val="none" w:sz="0" w:space="0" w:color="auto"/>
        <w:bottom w:val="none" w:sz="0" w:space="0" w:color="auto"/>
        <w:right w:val="none" w:sz="0" w:space="0" w:color="auto"/>
      </w:divBdr>
    </w:div>
    <w:div w:id="1608198581">
      <w:marLeft w:val="0"/>
      <w:marRight w:val="0"/>
      <w:marTop w:val="0"/>
      <w:marBottom w:val="120"/>
      <w:divBdr>
        <w:top w:val="none" w:sz="0" w:space="0" w:color="auto"/>
        <w:left w:val="none" w:sz="0" w:space="0" w:color="auto"/>
        <w:bottom w:val="none" w:sz="0" w:space="0" w:color="auto"/>
        <w:right w:val="none" w:sz="0" w:space="0" w:color="auto"/>
      </w:divBdr>
    </w:div>
    <w:div w:id="1608855260">
      <w:marLeft w:val="0"/>
      <w:marRight w:val="0"/>
      <w:marTop w:val="0"/>
      <w:marBottom w:val="120"/>
      <w:divBdr>
        <w:top w:val="none" w:sz="0" w:space="0" w:color="auto"/>
        <w:left w:val="none" w:sz="0" w:space="0" w:color="auto"/>
        <w:bottom w:val="none" w:sz="0" w:space="0" w:color="auto"/>
        <w:right w:val="none" w:sz="0" w:space="0" w:color="auto"/>
      </w:divBdr>
    </w:div>
    <w:div w:id="1623073750">
      <w:marLeft w:val="0"/>
      <w:marRight w:val="0"/>
      <w:marTop w:val="0"/>
      <w:marBottom w:val="120"/>
      <w:divBdr>
        <w:top w:val="none" w:sz="0" w:space="0" w:color="auto"/>
        <w:left w:val="none" w:sz="0" w:space="0" w:color="auto"/>
        <w:bottom w:val="none" w:sz="0" w:space="0" w:color="auto"/>
        <w:right w:val="none" w:sz="0" w:space="0" w:color="auto"/>
      </w:divBdr>
    </w:div>
    <w:div w:id="1628196138">
      <w:marLeft w:val="0"/>
      <w:marRight w:val="0"/>
      <w:marTop w:val="0"/>
      <w:marBottom w:val="120"/>
      <w:divBdr>
        <w:top w:val="none" w:sz="0" w:space="0" w:color="auto"/>
        <w:left w:val="none" w:sz="0" w:space="0" w:color="auto"/>
        <w:bottom w:val="none" w:sz="0" w:space="0" w:color="auto"/>
        <w:right w:val="none" w:sz="0" w:space="0" w:color="auto"/>
      </w:divBdr>
    </w:div>
    <w:div w:id="1632974534">
      <w:marLeft w:val="0"/>
      <w:marRight w:val="0"/>
      <w:marTop w:val="100"/>
      <w:marBottom w:val="20"/>
      <w:divBdr>
        <w:top w:val="none" w:sz="0" w:space="0" w:color="auto"/>
        <w:left w:val="none" w:sz="0" w:space="0" w:color="auto"/>
        <w:bottom w:val="none" w:sz="0" w:space="0" w:color="auto"/>
        <w:right w:val="none" w:sz="0" w:space="0" w:color="auto"/>
      </w:divBdr>
    </w:div>
    <w:div w:id="1633900378">
      <w:marLeft w:val="0"/>
      <w:marRight w:val="0"/>
      <w:marTop w:val="0"/>
      <w:marBottom w:val="120"/>
      <w:divBdr>
        <w:top w:val="none" w:sz="0" w:space="0" w:color="auto"/>
        <w:left w:val="none" w:sz="0" w:space="0" w:color="auto"/>
        <w:bottom w:val="none" w:sz="0" w:space="0" w:color="auto"/>
        <w:right w:val="none" w:sz="0" w:space="0" w:color="auto"/>
      </w:divBdr>
    </w:div>
    <w:div w:id="1642543166">
      <w:marLeft w:val="0"/>
      <w:marRight w:val="0"/>
      <w:marTop w:val="0"/>
      <w:marBottom w:val="120"/>
      <w:divBdr>
        <w:top w:val="none" w:sz="0" w:space="0" w:color="auto"/>
        <w:left w:val="none" w:sz="0" w:space="0" w:color="auto"/>
        <w:bottom w:val="none" w:sz="0" w:space="0" w:color="auto"/>
        <w:right w:val="none" w:sz="0" w:space="0" w:color="auto"/>
      </w:divBdr>
    </w:div>
    <w:div w:id="1642690144">
      <w:marLeft w:val="0"/>
      <w:marRight w:val="0"/>
      <w:marTop w:val="0"/>
      <w:marBottom w:val="100"/>
      <w:divBdr>
        <w:top w:val="none" w:sz="0" w:space="0" w:color="auto"/>
        <w:left w:val="none" w:sz="0" w:space="0" w:color="auto"/>
        <w:bottom w:val="none" w:sz="0" w:space="0" w:color="auto"/>
        <w:right w:val="none" w:sz="0" w:space="0" w:color="auto"/>
      </w:divBdr>
    </w:div>
    <w:div w:id="1651443477">
      <w:marLeft w:val="0"/>
      <w:marRight w:val="0"/>
      <w:marTop w:val="0"/>
      <w:marBottom w:val="0"/>
      <w:divBdr>
        <w:top w:val="none" w:sz="0" w:space="0" w:color="auto"/>
        <w:left w:val="none" w:sz="0" w:space="0" w:color="auto"/>
        <w:bottom w:val="none" w:sz="0" w:space="0" w:color="auto"/>
        <w:right w:val="none" w:sz="0" w:space="0" w:color="auto"/>
      </w:divBdr>
      <w:divsChild>
        <w:div w:id="2123762007">
          <w:marLeft w:val="0"/>
          <w:marRight w:val="0"/>
          <w:marTop w:val="0"/>
          <w:marBottom w:val="0"/>
          <w:divBdr>
            <w:top w:val="none" w:sz="0" w:space="0" w:color="auto"/>
            <w:left w:val="none" w:sz="0" w:space="0" w:color="auto"/>
            <w:bottom w:val="none" w:sz="0" w:space="0" w:color="auto"/>
            <w:right w:val="none" w:sz="0" w:space="0" w:color="auto"/>
          </w:divBdr>
        </w:div>
      </w:divsChild>
    </w:div>
    <w:div w:id="1659262360">
      <w:marLeft w:val="0"/>
      <w:marRight w:val="0"/>
      <w:marTop w:val="0"/>
      <w:marBottom w:val="120"/>
      <w:divBdr>
        <w:top w:val="none" w:sz="0" w:space="0" w:color="auto"/>
        <w:left w:val="none" w:sz="0" w:space="0" w:color="auto"/>
        <w:bottom w:val="none" w:sz="0" w:space="0" w:color="auto"/>
        <w:right w:val="none" w:sz="0" w:space="0" w:color="auto"/>
      </w:divBdr>
    </w:div>
    <w:div w:id="1661737268">
      <w:marLeft w:val="0"/>
      <w:marRight w:val="0"/>
      <w:marTop w:val="0"/>
      <w:marBottom w:val="120"/>
      <w:divBdr>
        <w:top w:val="none" w:sz="0" w:space="0" w:color="auto"/>
        <w:left w:val="none" w:sz="0" w:space="0" w:color="auto"/>
        <w:bottom w:val="none" w:sz="0" w:space="0" w:color="auto"/>
        <w:right w:val="none" w:sz="0" w:space="0" w:color="auto"/>
      </w:divBdr>
    </w:div>
    <w:div w:id="1669559079">
      <w:marLeft w:val="0"/>
      <w:marRight w:val="0"/>
      <w:marTop w:val="0"/>
      <w:marBottom w:val="120"/>
      <w:divBdr>
        <w:top w:val="none" w:sz="0" w:space="0" w:color="auto"/>
        <w:left w:val="none" w:sz="0" w:space="0" w:color="auto"/>
        <w:bottom w:val="none" w:sz="0" w:space="0" w:color="auto"/>
        <w:right w:val="none" w:sz="0" w:space="0" w:color="auto"/>
      </w:divBdr>
    </w:div>
    <w:div w:id="1674844943">
      <w:marLeft w:val="0"/>
      <w:marRight w:val="0"/>
      <w:marTop w:val="0"/>
      <w:marBottom w:val="240"/>
      <w:divBdr>
        <w:top w:val="none" w:sz="0" w:space="0" w:color="auto"/>
        <w:left w:val="none" w:sz="0" w:space="0" w:color="auto"/>
        <w:bottom w:val="none" w:sz="0" w:space="0" w:color="auto"/>
        <w:right w:val="none" w:sz="0" w:space="0" w:color="auto"/>
      </w:divBdr>
    </w:div>
    <w:div w:id="1684629178">
      <w:marLeft w:val="0"/>
      <w:marRight w:val="0"/>
      <w:marTop w:val="0"/>
      <w:marBottom w:val="0"/>
      <w:divBdr>
        <w:top w:val="none" w:sz="0" w:space="0" w:color="auto"/>
        <w:left w:val="none" w:sz="0" w:space="0" w:color="auto"/>
        <w:bottom w:val="none" w:sz="0" w:space="0" w:color="auto"/>
        <w:right w:val="none" w:sz="0" w:space="0" w:color="auto"/>
      </w:divBdr>
    </w:div>
    <w:div w:id="1686978696">
      <w:marLeft w:val="0"/>
      <w:marRight w:val="0"/>
      <w:marTop w:val="0"/>
      <w:marBottom w:val="120"/>
      <w:divBdr>
        <w:top w:val="none" w:sz="0" w:space="0" w:color="auto"/>
        <w:left w:val="none" w:sz="0" w:space="0" w:color="auto"/>
        <w:bottom w:val="none" w:sz="0" w:space="0" w:color="auto"/>
        <w:right w:val="none" w:sz="0" w:space="0" w:color="auto"/>
      </w:divBdr>
    </w:div>
    <w:div w:id="1692564287">
      <w:marLeft w:val="0"/>
      <w:marRight w:val="0"/>
      <w:marTop w:val="0"/>
      <w:marBottom w:val="120"/>
      <w:divBdr>
        <w:top w:val="none" w:sz="0" w:space="0" w:color="auto"/>
        <w:left w:val="none" w:sz="0" w:space="0" w:color="auto"/>
        <w:bottom w:val="none" w:sz="0" w:space="0" w:color="auto"/>
        <w:right w:val="none" w:sz="0" w:space="0" w:color="auto"/>
      </w:divBdr>
    </w:div>
    <w:div w:id="1694576165">
      <w:marLeft w:val="0"/>
      <w:marRight w:val="0"/>
      <w:marTop w:val="0"/>
      <w:marBottom w:val="0"/>
      <w:divBdr>
        <w:top w:val="none" w:sz="0" w:space="0" w:color="auto"/>
        <w:left w:val="none" w:sz="0" w:space="0" w:color="auto"/>
        <w:bottom w:val="none" w:sz="0" w:space="0" w:color="auto"/>
        <w:right w:val="none" w:sz="0" w:space="0" w:color="auto"/>
      </w:divBdr>
      <w:divsChild>
        <w:div w:id="671299257">
          <w:marLeft w:val="0"/>
          <w:marRight w:val="0"/>
          <w:marTop w:val="0"/>
          <w:marBottom w:val="0"/>
          <w:divBdr>
            <w:top w:val="none" w:sz="0" w:space="0" w:color="auto"/>
            <w:left w:val="none" w:sz="0" w:space="0" w:color="auto"/>
            <w:bottom w:val="none" w:sz="0" w:space="0" w:color="auto"/>
            <w:right w:val="none" w:sz="0" w:space="0" w:color="auto"/>
          </w:divBdr>
        </w:div>
      </w:divsChild>
    </w:div>
    <w:div w:id="1695839014">
      <w:marLeft w:val="0"/>
      <w:marRight w:val="0"/>
      <w:marTop w:val="0"/>
      <w:marBottom w:val="120"/>
      <w:divBdr>
        <w:top w:val="none" w:sz="0" w:space="0" w:color="auto"/>
        <w:left w:val="none" w:sz="0" w:space="0" w:color="auto"/>
        <w:bottom w:val="none" w:sz="0" w:space="0" w:color="auto"/>
        <w:right w:val="none" w:sz="0" w:space="0" w:color="auto"/>
      </w:divBdr>
    </w:div>
    <w:div w:id="1698388713">
      <w:marLeft w:val="0"/>
      <w:marRight w:val="0"/>
      <w:marTop w:val="0"/>
      <w:marBottom w:val="120"/>
      <w:divBdr>
        <w:top w:val="none" w:sz="0" w:space="0" w:color="auto"/>
        <w:left w:val="none" w:sz="0" w:space="0" w:color="auto"/>
        <w:bottom w:val="none" w:sz="0" w:space="0" w:color="auto"/>
        <w:right w:val="none" w:sz="0" w:space="0" w:color="auto"/>
      </w:divBdr>
    </w:div>
    <w:div w:id="1702512161">
      <w:marLeft w:val="0"/>
      <w:marRight w:val="0"/>
      <w:marTop w:val="0"/>
      <w:marBottom w:val="120"/>
      <w:divBdr>
        <w:top w:val="none" w:sz="0" w:space="0" w:color="auto"/>
        <w:left w:val="none" w:sz="0" w:space="0" w:color="auto"/>
        <w:bottom w:val="none" w:sz="0" w:space="0" w:color="auto"/>
        <w:right w:val="none" w:sz="0" w:space="0" w:color="auto"/>
      </w:divBdr>
    </w:div>
    <w:div w:id="1708603927">
      <w:marLeft w:val="0"/>
      <w:marRight w:val="0"/>
      <w:marTop w:val="0"/>
      <w:marBottom w:val="120"/>
      <w:divBdr>
        <w:top w:val="none" w:sz="0" w:space="0" w:color="auto"/>
        <w:left w:val="none" w:sz="0" w:space="0" w:color="auto"/>
        <w:bottom w:val="none" w:sz="0" w:space="0" w:color="auto"/>
        <w:right w:val="none" w:sz="0" w:space="0" w:color="auto"/>
      </w:divBdr>
    </w:div>
    <w:div w:id="1709452220">
      <w:marLeft w:val="0"/>
      <w:marRight w:val="0"/>
      <w:marTop w:val="0"/>
      <w:marBottom w:val="120"/>
      <w:divBdr>
        <w:top w:val="none" w:sz="0" w:space="0" w:color="auto"/>
        <w:left w:val="none" w:sz="0" w:space="0" w:color="auto"/>
        <w:bottom w:val="none" w:sz="0" w:space="0" w:color="auto"/>
        <w:right w:val="none" w:sz="0" w:space="0" w:color="auto"/>
      </w:divBdr>
    </w:div>
    <w:div w:id="1722288768">
      <w:marLeft w:val="0"/>
      <w:marRight w:val="0"/>
      <w:marTop w:val="0"/>
      <w:marBottom w:val="120"/>
      <w:divBdr>
        <w:top w:val="none" w:sz="0" w:space="0" w:color="auto"/>
        <w:left w:val="none" w:sz="0" w:space="0" w:color="auto"/>
        <w:bottom w:val="none" w:sz="0" w:space="0" w:color="auto"/>
        <w:right w:val="none" w:sz="0" w:space="0" w:color="auto"/>
      </w:divBdr>
    </w:div>
    <w:div w:id="1727797898">
      <w:marLeft w:val="0"/>
      <w:marRight w:val="0"/>
      <w:marTop w:val="0"/>
      <w:marBottom w:val="0"/>
      <w:divBdr>
        <w:top w:val="none" w:sz="0" w:space="0" w:color="auto"/>
        <w:left w:val="none" w:sz="0" w:space="0" w:color="auto"/>
        <w:bottom w:val="none" w:sz="0" w:space="0" w:color="auto"/>
        <w:right w:val="none" w:sz="0" w:space="0" w:color="auto"/>
      </w:divBdr>
      <w:divsChild>
        <w:div w:id="914971981">
          <w:marLeft w:val="0"/>
          <w:marRight w:val="0"/>
          <w:marTop w:val="0"/>
          <w:marBottom w:val="0"/>
          <w:divBdr>
            <w:top w:val="none" w:sz="0" w:space="0" w:color="auto"/>
            <w:left w:val="none" w:sz="0" w:space="0" w:color="auto"/>
            <w:bottom w:val="none" w:sz="0" w:space="0" w:color="auto"/>
            <w:right w:val="none" w:sz="0" w:space="0" w:color="auto"/>
          </w:divBdr>
        </w:div>
      </w:divsChild>
    </w:div>
    <w:div w:id="1732268641">
      <w:marLeft w:val="0"/>
      <w:marRight w:val="0"/>
      <w:marTop w:val="0"/>
      <w:marBottom w:val="0"/>
      <w:divBdr>
        <w:top w:val="none" w:sz="0" w:space="0" w:color="auto"/>
        <w:left w:val="none" w:sz="0" w:space="0" w:color="auto"/>
        <w:bottom w:val="none" w:sz="0" w:space="0" w:color="auto"/>
        <w:right w:val="none" w:sz="0" w:space="0" w:color="auto"/>
      </w:divBdr>
      <w:divsChild>
        <w:div w:id="274361965">
          <w:marLeft w:val="0"/>
          <w:marRight w:val="0"/>
          <w:marTop w:val="0"/>
          <w:marBottom w:val="0"/>
          <w:divBdr>
            <w:top w:val="none" w:sz="0" w:space="0" w:color="auto"/>
            <w:left w:val="none" w:sz="0" w:space="0" w:color="auto"/>
            <w:bottom w:val="none" w:sz="0" w:space="0" w:color="auto"/>
            <w:right w:val="none" w:sz="0" w:space="0" w:color="auto"/>
          </w:divBdr>
        </w:div>
      </w:divsChild>
    </w:div>
    <w:div w:id="1732532704">
      <w:marLeft w:val="0"/>
      <w:marRight w:val="0"/>
      <w:marTop w:val="0"/>
      <w:marBottom w:val="20"/>
      <w:divBdr>
        <w:top w:val="none" w:sz="0" w:space="0" w:color="auto"/>
        <w:left w:val="none" w:sz="0" w:space="0" w:color="auto"/>
        <w:bottom w:val="none" w:sz="0" w:space="0" w:color="auto"/>
        <w:right w:val="none" w:sz="0" w:space="0" w:color="auto"/>
      </w:divBdr>
    </w:div>
    <w:div w:id="1740203941">
      <w:marLeft w:val="0"/>
      <w:marRight w:val="0"/>
      <w:marTop w:val="0"/>
      <w:marBottom w:val="120"/>
      <w:divBdr>
        <w:top w:val="none" w:sz="0" w:space="0" w:color="auto"/>
        <w:left w:val="none" w:sz="0" w:space="0" w:color="auto"/>
        <w:bottom w:val="none" w:sz="0" w:space="0" w:color="auto"/>
        <w:right w:val="none" w:sz="0" w:space="0" w:color="auto"/>
      </w:divBdr>
    </w:div>
    <w:div w:id="1742868495">
      <w:marLeft w:val="0"/>
      <w:marRight w:val="0"/>
      <w:marTop w:val="0"/>
      <w:marBottom w:val="0"/>
      <w:divBdr>
        <w:top w:val="none" w:sz="0" w:space="0" w:color="auto"/>
        <w:left w:val="none" w:sz="0" w:space="0" w:color="auto"/>
        <w:bottom w:val="none" w:sz="0" w:space="0" w:color="auto"/>
        <w:right w:val="none" w:sz="0" w:space="0" w:color="auto"/>
      </w:divBdr>
      <w:divsChild>
        <w:div w:id="930436144">
          <w:marLeft w:val="0"/>
          <w:marRight w:val="0"/>
          <w:marTop w:val="0"/>
          <w:marBottom w:val="0"/>
          <w:divBdr>
            <w:top w:val="none" w:sz="0" w:space="0" w:color="auto"/>
            <w:left w:val="none" w:sz="0" w:space="0" w:color="auto"/>
            <w:bottom w:val="none" w:sz="0" w:space="0" w:color="auto"/>
            <w:right w:val="none" w:sz="0" w:space="0" w:color="auto"/>
          </w:divBdr>
        </w:div>
      </w:divsChild>
    </w:div>
    <w:div w:id="1743484411">
      <w:marLeft w:val="0"/>
      <w:marRight w:val="0"/>
      <w:marTop w:val="0"/>
      <w:marBottom w:val="120"/>
      <w:divBdr>
        <w:top w:val="none" w:sz="0" w:space="0" w:color="auto"/>
        <w:left w:val="none" w:sz="0" w:space="0" w:color="auto"/>
        <w:bottom w:val="none" w:sz="0" w:space="0" w:color="auto"/>
        <w:right w:val="none" w:sz="0" w:space="0" w:color="auto"/>
      </w:divBdr>
    </w:div>
    <w:div w:id="1759254550">
      <w:marLeft w:val="0"/>
      <w:marRight w:val="0"/>
      <w:marTop w:val="0"/>
      <w:marBottom w:val="120"/>
      <w:divBdr>
        <w:top w:val="none" w:sz="0" w:space="0" w:color="auto"/>
        <w:left w:val="none" w:sz="0" w:space="0" w:color="auto"/>
        <w:bottom w:val="none" w:sz="0" w:space="0" w:color="auto"/>
        <w:right w:val="none" w:sz="0" w:space="0" w:color="auto"/>
      </w:divBdr>
    </w:div>
    <w:div w:id="1761901071">
      <w:marLeft w:val="0"/>
      <w:marRight w:val="0"/>
      <w:marTop w:val="0"/>
      <w:marBottom w:val="0"/>
      <w:divBdr>
        <w:top w:val="none" w:sz="0" w:space="0" w:color="auto"/>
        <w:left w:val="none" w:sz="0" w:space="0" w:color="auto"/>
        <w:bottom w:val="none" w:sz="0" w:space="0" w:color="auto"/>
        <w:right w:val="none" w:sz="0" w:space="0" w:color="auto"/>
      </w:divBdr>
      <w:divsChild>
        <w:div w:id="2055932474">
          <w:marLeft w:val="0"/>
          <w:marRight w:val="0"/>
          <w:marTop w:val="0"/>
          <w:marBottom w:val="0"/>
          <w:divBdr>
            <w:top w:val="none" w:sz="0" w:space="0" w:color="auto"/>
            <w:left w:val="none" w:sz="0" w:space="0" w:color="auto"/>
            <w:bottom w:val="none" w:sz="0" w:space="0" w:color="auto"/>
            <w:right w:val="none" w:sz="0" w:space="0" w:color="auto"/>
          </w:divBdr>
        </w:div>
      </w:divsChild>
    </w:div>
    <w:div w:id="1767731968">
      <w:marLeft w:val="0"/>
      <w:marRight w:val="0"/>
      <w:marTop w:val="0"/>
      <w:marBottom w:val="0"/>
      <w:divBdr>
        <w:top w:val="none" w:sz="0" w:space="0" w:color="auto"/>
        <w:left w:val="none" w:sz="0" w:space="0" w:color="auto"/>
        <w:bottom w:val="none" w:sz="0" w:space="0" w:color="auto"/>
        <w:right w:val="none" w:sz="0" w:space="0" w:color="auto"/>
      </w:divBdr>
      <w:divsChild>
        <w:div w:id="1776361524">
          <w:marLeft w:val="0"/>
          <w:marRight w:val="0"/>
          <w:marTop w:val="0"/>
          <w:marBottom w:val="0"/>
          <w:divBdr>
            <w:top w:val="none" w:sz="0" w:space="0" w:color="auto"/>
            <w:left w:val="none" w:sz="0" w:space="0" w:color="auto"/>
            <w:bottom w:val="none" w:sz="0" w:space="0" w:color="auto"/>
            <w:right w:val="none" w:sz="0" w:space="0" w:color="auto"/>
          </w:divBdr>
        </w:div>
      </w:divsChild>
    </w:div>
    <w:div w:id="1774323563">
      <w:marLeft w:val="0"/>
      <w:marRight w:val="0"/>
      <w:marTop w:val="100"/>
      <w:marBottom w:val="120"/>
      <w:divBdr>
        <w:top w:val="none" w:sz="0" w:space="0" w:color="auto"/>
        <w:left w:val="none" w:sz="0" w:space="0" w:color="auto"/>
        <w:bottom w:val="none" w:sz="0" w:space="0" w:color="auto"/>
        <w:right w:val="none" w:sz="0" w:space="0" w:color="auto"/>
      </w:divBdr>
      <w:divsChild>
        <w:div w:id="1684437756">
          <w:marLeft w:val="0"/>
          <w:marRight w:val="0"/>
          <w:marTop w:val="0"/>
          <w:marBottom w:val="0"/>
          <w:divBdr>
            <w:top w:val="none" w:sz="0" w:space="0" w:color="auto"/>
            <w:left w:val="none" w:sz="0" w:space="0" w:color="auto"/>
            <w:bottom w:val="none" w:sz="0" w:space="0" w:color="auto"/>
            <w:right w:val="none" w:sz="0" w:space="0" w:color="auto"/>
          </w:divBdr>
        </w:div>
        <w:div w:id="995382501">
          <w:marLeft w:val="0"/>
          <w:marRight w:val="0"/>
          <w:marTop w:val="0"/>
          <w:marBottom w:val="0"/>
          <w:divBdr>
            <w:top w:val="none" w:sz="0" w:space="0" w:color="auto"/>
            <w:left w:val="none" w:sz="0" w:space="0" w:color="auto"/>
            <w:bottom w:val="none" w:sz="0" w:space="0" w:color="auto"/>
            <w:right w:val="none" w:sz="0" w:space="0" w:color="auto"/>
          </w:divBdr>
        </w:div>
        <w:div w:id="105662215">
          <w:marLeft w:val="0"/>
          <w:marRight w:val="0"/>
          <w:marTop w:val="0"/>
          <w:marBottom w:val="0"/>
          <w:divBdr>
            <w:top w:val="none" w:sz="0" w:space="0" w:color="auto"/>
            <w:left w:val="none" w:sz="0" w:space="0" w:color="auto"/>
            <w:bottom w:val="none" w:sz="0" w:space="0" w:color="auto"/>
            <w:right w:val="none" w:sz="0" w:space="0" w:color="auto"/>
          </w:divBdr>
        </w:div>
        <w:div w:id="1653558734">
          <w:marLeft w:val="0"/>
          <w:marRight w:val="0"/>
          <w:marTop w:val="0"/>
          <w:marBottom w:val="0"/>
          <w:divBdr>
            <w:top w:val="none" w:sz="0" w:space="0" w:color="auto"/>
            <w:left w:val="none" w:sz="0" w:space="0" w:color="auto"/>
            <w:bottom w:val="none" w:sz="0" w:space="0" w:color="auto"/>
            <w:right w:val="none" w:sz="0" w:space="0" w:color="auto"/>
          </w:divBdr>
        </w:div>
        <w:div w:id="1781221905">
          <w:marLeft w:val="0"/>
          <w:marRight w:val="0"/>
          <w:marTop w:val="0"/>
          <w:marBottom w:val="0"/>
          <w:divBdr>
            <w:top w:val="none" w:sz="0" w:space="0" w:color="auto"/>
            <w:left w:val="none" w:sz="0" w:space="0" w:color="auto"/>
            <w:bottom w:val="none" w:sz="0" w:space="0" w:color="auto"/>
            <w:right w:val="none" w:sz="0" w:space="0" w:color="auto"/>
          </w:divBdr>
        </w:div>
        <w:div w:id="146556766">
          <w:marLeft w:val="0"/>
          <w:marRight w:val="0"/>
          <w:marTop w:val="0"/>
          <w:marBottom w:val="0"/>
          <w:divBdr>
            <w:top w:val="none" w:sz="0" w:space="0" w:color="auto"/>
            <w:left w:val="none" w:sz="0" w:space="0" w:color="auto"/>
            <w:bottom w:val="none" w:sz="0" w:space="0" w:color="auto"/>
            <w:right w:val="none" w:sz="0" w:space="0" w:color="auto"/>
          </w:divBdr>
        </w:div>
      </w:divsChild>
    </w:div>
    <w:div w:id="1789006510">
      <w:marLeft w:val="0"/>
      <w:marRight w:val="0"/>
      <w:marTop w:val="0"/>
      <w:marBottom w:val="120"/>
      <w:divBdr>
        <w:top w:val="none" w:sz="0" w:space="0" w:color="auto"/>
        <w:left w:val="none" w:sz="0" w:space="0" w:color="auto"/>
        <w:bottom w:val="none" w:sz="0" w:space="0" w:color="auto"/>
        <w:right w:val="none" w:sz="0" w:space="0" w:color="auto"/>
      </w:divBdr>
    </w:div>
    <w:div w:id="1794901385">
      <w:marLeft w:val="0"/>
      <w:marRight w:val="0"/>
      <w:marTop w:val="0"/>
      <w:marBottom w:val="120"/>
      <w:divBdr>
        <w:top w:val="none" w:sz="0" w:space="0" w:color="auto"/>
        <w:left w:val="none" w:sz="0" w:space="0" w:color="auto"/>
        <w:bottom w:val="none" w:sz="0" w:space="0" w:color="auto"/>
        <w:right w:val="none" w:sz="0" w:space="0" w:color="auto"/>
      </w:divBdr>
    </w:div>
    <w:div w:id="1796943036">
      <w:marLeft w:val="0"/>
      <w:marRight w:val="0"/>
      <w:marTop w:val="0"/>
      <w:marBottom w:val="120"/>
      <w:divBdr>
        <w:top w:val="none" w:sz="0" w:space="0" w:color="auto"/>
        <w:left w:val="none" w:sz="0" w:space="0" w:color="auto"/>
        <w:bottom w:val="none" w:sz="0" w:space="0" w:color="auto"/>
        <w:right w:val="none" w:sz="0" w:space="0" w:color="auto"/>
      </w:divBdr>
    </w:div>
    <w:div w:id="1797332594">
      <w:marLeft w:val="0"/>
      <w:marRight w:val="0"/>
      <w:marTop w:val="0"/>
      <w:marBottom w:val="0"/>
      <w:divBdr>
        <w:top w:val="none" w:sz="0" w:space="0" w:color="auto"/>
        <w:left w:val="none" w:sz="0" w:space="0" w:color="auto"/>
        <w:bottom w:val="none" w:sz="0" w:space="0" w:color="auto"/>
        <w:right w:val="none" w:sz="0" w:space="0" w:color="auto"/>
      </w:divBdr>
      <w:divsChild>
        <w:div w:id="803695846">
          <w:marLeft w:val="0"/>
          <w:marRight w:val="0"/>
          <w:marTop w:val="0"/>
          <w:marBottom w:val="0"/>
          <w:divBdr>
            <w:top w:val="none" w:sz="0" w:space="0" w:color="auto"/>
            <w:left w:val="none" w:sz="0" w:space="0" w:color="auto"/>
            <w:bottom w:val="none" w:sz="0" w:space="0" w:color="auto"/>
            <w:right w:val="none" w:sz="0" w:space="0" w:color="auto"/>
          </w:divBdr>
        </w:div>
      </w:divsChild>
    </w:div>
    <w:div w:id="1800605256">
      <w:marLeft w:val="0"/>
      <w:marRight w:val="0"/>
      <w:marTop w:val="0"/>
      <w:marBottom w:val="120"/>
      <w:divBdr>
        <w:top w:val="none" w:sz="0" w:space="0" w:color="auto"/>
        <w:left w:val="none" w:sz="0" w:space="0" w:color="auto"/>
        <w:bottom w:val="none" w:sz="0" w:space="0" w:color="auto"/>
        <w:right w:val="none" w:sz="0" w:space="0" w:color="auto"/>
      </w:divBdr>
    </w:div>
    <w:div w:id="1814785714">
      <w:marLeft w:val="0"/>
      <w:marRight w:val="0"/>
      <w:marTop w:val="0"/>
      <w:marBottom w:val="120"/>
      <w:divBdr>
        <w:top w:val="none" w:sz="0" w:space="0" w:color="auto"/>
        <w:left w:val="none" w:sz="0" w:space="0" w:color="auto"/>
        <w:bottom w:val="none" w:sz="0" w:space="0" w:color="auto"/>
        <w:right w:val="none" w:sz="0" w:space="0" w:color="auto"/>
      </w:divBdr>
    </w:div>
    <w:div w:id="1816874986">
      <w:marLeft w:val="0"/>
      <w:marRight w:val="0"/>
      <w:marTop w:val="0"/>
      <w:marBottom w:val="120"/>
      <w:divBdr>
        <w:top w:val="none" w:sz="0" w:space="0" w:color="auto"/>
        <w:left w:val="none" w:sz="0" w:space="0" w:color="auto"/>
        <w:bottom w:val="none" w:sz="0" w:space="0" w:color="auto"/>
        <w:right w:val="none" w:sz="0" w:space="0" w:color="auto"/>
      </w:divBdr>
    </w:div>
    <w:div w:id="1821993961">
      <w:marLeft w:val="0"/>
      <w:marRight w:val="0"/>
      <w:marTop w:val="0"/>
      <w:marBottom w:val="120"/>
      <w:divBdr>
        <w:top w:val="none" w:sz="0" w:space="0" w:color="auto"/>
        <w:left w:val="none" w:sz="0" w:space="0" w:color="auto"/>
        <w:bottom w:val="none" w:sz="0" w:space="0" w:color="auto"/>
        <w:right w:val="none" w:sz="0" w:space="0" w:color="auto"/>
      </w:divBdr>
    </w:div>
    <w:div w:id="1823423087">
      <w:marLeft w:val="0"/>
      <w:marRight w:val="0"/>
      <w:marTop w:val="0"/>
      <w:marBottom w:val="120"/>
      <w:divBdr>
        <w:top w:val="none" w:sz="0" w:space="0" w:color="auto"/>
        <w:left w:val="none" w:sz="0" w:space="0" w:color="auto"/>
        <w:bottom w:val="none" w:sz="0" w:space="0" w:color="auto"/>
        <w:right w:val="none" w:sz="0" w:space="0" w:color="auto"/>
      </w:divBdr>
    </w:div>
    <w:div w:id="1828593948">
      <w:marLeft w:val="0"/>
      <w:marRight w:val="0"/>
      <w:marTop w:val="0"/>
      <w:marBottom w:val="120"/>
      <w:divBdr>
        <w:top w:val="none" w:sz="0" w:space="0" w:color="auto"/>
        <w:left w:val="none" w:sz="0" w:space="0" w:color="auto"/>
        <w:bottom w:val="none" w:sz="0" w:space="0" w:color="auto"/>
        <w:right w:val="none" w:sz="0" w:space="0" w:color="auto"/>
      </w:divBdr>
    </w:div>
    <w:div w:id="1835098663">
      <w:marLeft w:val="0"/>
      <w:marRight w:val="0"/>
      <w:marTop w:val="0"/>
      <w:marBottom w:val="0"/>
      <w:divBdr>
        <w:top w:val="none" w:sz="0" w:space="0" w:color="auto"/>
        <w:left w:val="none" w:sz="0" w:space="0" w:color="auto"/>
        <w:bottom w:val="none" w:sz="0" w:space="0" w:color="auto"/>
        <w:right w:val="none" w:sz="0" w:space="0" w:color="auto"/>
      </w:divBdr>
    </w:div>
    <w:div w:id="1837379744">
      <w:marLeft w:val="0"/>
      <w:marRight w:val="0"/>
      <w:marTop w:val="0"/>
      <w:marBottom w:val="0"/>
      <w:divBdr>
        <w:top w:val="none" w:sz="0" w:space="0" w:color="auto"/>
        <w:left w:val="none" w:sz="0" w:space="0" w:color="auto"/>
        <w:bottom w:val="none" w:sz="0" w:space="0" w:color="auto"/>
        <w:right w:val="none" w:sz="0" w:space="0" w:color="auto"/>
      </w:divBdr>
      <w:divsChild>
        <w:div w:id="1114442562">
          <w:marLeft w:val="0"/>
          <w:marRight w:val="0"/>
          <w:marTop w:val="0"/>
          <w:marBottom w:val="0"/>
          <w:divBdr>
            <w:top w:val="none" w:sz="0" w:space="0" w:color="auto"/>
            <w:left w:val="none" w:sz="0" w:space="0" w:color="auto"/>
            <w:bottom w:val="none" w:sz="0" w:space="0" w:color="auto"/>
            <w:right w:val="none" w:sz="0" w:space="0" w:color="auto"/>
          </w:divBdr>
        </w:div>
      </w:divsChild>
    </w:div>
    <w:div w:id="1850560897">
      <w:marLeft w:val="0"/>
      <w:marRight w:val="0"/>
      <w:marTop w:val="0"/>
      <w:marBottom w:val="0"/>
      <w:divBdr>
        <w:top w:val="none" w:sz="0" w:space="0" w:color="auto"/>
        <w:left w:val="none" w:sz="0" w:space="0" w:color="auto"/>
        <w:bottom w:val="none" w:sz="0" w:space="0" w:color="auto"/>
        <w:right w:val="none" w:sz="0" w:space="0" w:color="auto"/>
      </w:divBdr>
      <w:divsChild>
        <w:div w:id="410809802">
          <w:marLeft w:val="0"/>
          <w:marRight w:val="0"/>
          <w:marTop w:val="0"/>
          <w:marBottom w:val="0"/>
          <w:divBdr>
            <w:top w:val="none" w:sz="0" w:space="0" w:color="auto"/>
            <w:left w:val="none" w:sz="0" w:space="0" w:color="auto"/>
            <w:bottom w:val="none" w:sz="0" w:space="0" w:color="auto"/>
            <w:right w:val="none" w:sz="0" w:space="0" w:color="auto"/>
          </w:divBdr>
        </w:div>
      </w:divsChild>
    </w:div>
    <w:div w:id="1855220212">
      <w:marLeft w:val="0"/>
      <w:marRight w:val="0"/>
      <w:marTop w:val="0"/>
      <w:marBottom w:val="120"/>
      <w:divBdr>
        <w:top w:val="none" w:sz="0" w:space="0" w:color="auto"/>
        <w:left w:val="none" w:sz="0" w:space="0" w:color="auto"/>
        <w:bottom w:val="none" w:sz="0" w:space="0" w:color="auto"/>
        <w:right w:val="none" w:sz="0" w:space="0" w:color="auto"/>
      </w:divBdr>
    </w:div>
    <w:div w:id="1871988829">
      <w:marLeft w:val="0"/>
      <w:marRight w:val="0"/>
      <w:marTop w:val="0"/>
      <w:marBottom w:val="120"/>
      <w:divBdr>
        <w:top w:val="none" w:sz="0" w:space="0" w:color="auto"/>
        <w:left w:val="none" w:sz="0" w:space="0" w:color="auto"/>
        <w:bottom w:val="none" w:sz="0" w:space="0" w:color="auto"/>
        <w:right w:val="none" w:sz="0" w:space="0" w:color="auto"/>
      </w:divBdr>
    </w:div>
    <w:div w:id="1879391491">
      <w:marLeft w:val="0"/>
      <w:marRight w:val="0"/>
      <w:marTop w:val="120"/>
      <w:marBottom w:val="120"/>
      <w:divBdr>
        <w:top w:val="none" w:sz="0" w:space="0" w:color="auto"/>
        <w:left w:val="none" w:sz="0" w:space="0" w:color="auto"/>
        <w:bottom w:val="none" w:sz="0" w:space="0" w:color="auto"/>
        <w:right w:val="none" w:sz="0" w:space="0" w:color="auto"/>
      </w:divBdr>
    </w:div>
    <w:div w:id="1881163645">
      <w:marLeft w:val="0"/>
      <w:marRight w:val="0"/>
      <w:marTop w:val="0"/>
      <w:marBottom w:val="120"/>
      <w:divBdr>
        <w:top w:val="none" w:sz="0" w:space="0" w:color="auto"/>
        <w:left w:val="none" w:sz="0" w:space="0" w:color="auto"/>
        <w:bottom w:val="none" w:sz="0" w:space="0" w:color="auto"/>
        <w:right w:val="none" w:sz="0" w:space="0" w:color="auto"/>
      </w:divBdr>
    </w:div>
    <w:div w:id="1887137598">
      <w:marLeft w:val="0"/>
      <w:marRight w:val="0"/>
      <w:marTop w:val="0"/>
      <w:marBottom w:val="60"/>
      <w:divBdr>
        <w:top w:val="none" w:sz="0" w:space="0" w:color="auto"/>
        <w:left w:val="none" w:sz="0" w:space="0" w:color="auto"/>
        <w:bottom w:val="none" w:sz="0" w:space="0" w:color="auto"/>
        <w:right w:val="none" w:sz="0" w:space="0" w:color="auto"/>
      </w:divBdr>
    </w:div>
    <w:div w:id="1890876180">
      <w:marLeft w:val="0"/>
      <w:marRight w:val="0"/>
      <w:marTop w:val="100"/>
      <w:marBottom w:val="120"/>
      <w:divBdr>
        <w:top w:val="none" w:sz="0" w:space="0" w:color="auto"/>
        <w:left w:val="none" w:sz="0" w:space="0" w:color="auto"/>
        <w:bottom w:val="none" w:sz="0" w:space="0" w:color="auto"/>
        <w:right w:val="none" w:sz="0" w:space="0" w:color="auto"/>
      </w:divBdr>
    </w:div>
    <w:div w:id="1898202223">
      <w:marLeft w:val="0"/>
      <w:marRight w:val="0"/>
      <w:marTop w:val="0"/>
      <w:marBottom w:val="0"/>
      <w:divBdr>
        <w:top w:val="none" w:sz="0" w:space="0" w:color="auto"/>
        <w:left w:val="none" w:sz="0" w:space="0" w:color="auto"/>
        <w:bottom w:val="none" w:sz="0" w:space="0" w:color="auto"/>
        <w:right w:val="none" w:sz="0" w:space="0" w:color="auto"/>
      </w:divBdr>
      <w:divsChild>
        <w:div w:id="1606306457">
          <w:marLeft w:val="0"/>
          <w:marRight w:val="0"/>
          <w:marTop w:val="0"/>
          <w:marBottom w:val="0"/>
          <w:divBdr>
            <w:top w:val="none" w:sz="0" w:space="0" w:color="auto"/>
            <w:left w:val="none" w:sz="0" w:space="0" w:color="auto"/>
            <w:bottom w:val="none" w:sz="0" w:space="0" w:color="auto"/>
            <w:right w:val="none" w:sz="0" w:space="0" w:color="auto"/>
          </w:divBdr>
        </w:div>
      </w:divsChild>
    </w:div>
    <w:div w:id="1904103944">
      <w:marLeft w:val="0"/>
      <w:marRight w:val="0"/>
      <w:marTop w:val="0"/>
      <w:marBottom w:val="120"/>
      <w:divBdr>
        <w:top w:val="none" w:sz="0" w:space="0" w:color="auto"/>
        <w:left w:val="none" w:sz="0" w:space="0" w:color="auto"/>
        <w:bottom w:val="none" w:sz="0" w:space="0" w:color="auto"/>
        <w:right w:val="none" w:sz="0" w:space="0" w:color="auto"/>
      </w:divBdr>
    </w:div>
    <w:div w:id="1906643128">
      <w:marLeft w:val="0"/>
      <w:marRight w:val="0"/>
      <w:marTop w:val="0"/>
      <w:marBottom w:val="120"/>
      <w:divBdr>
        <w:top w:val="none" w:sz="0" w:space="0" w:color="auto"/>
        <w:left w:val="none" w:sz="0" w:space="0" w:color="auto"/>
        <w:bottom w:val="none" w:sz="0" w:space="0" w:color="auto"/>
        <w:right w:val="none" w:sz="0" w:space="0" w:color="auto"/>
      </w:divBdr>
    </w:div>
    <w:div w:id="1907717883">
      <w:marLeft w:val="0"/>
      <w:marRight w:val="0"/>
      <w:marTop w:val="0"/>
      <w:marBottom w:val="0"/>
      <w:divBdr>
        <w:top w:val="none" w:sz="0" w:space="0" w:color="auto"/>
        <w:left w:val="none" w:sz="0" w:space="0" w:color="auto"/>
        <w:bottom w:val="none" w:sz="0" w:space="0" w:color="auto"/>
        <w:right w:val="none" w:sz="0" w:space="0" w:color="auto"/>
      </w:divBdr>
      <w:divsChild>
        <w:div w:id="1711681072">
          <w:marLeft w:val="0"/>
          <w:marRight w:val="0"/>
          <w:marTop w:val="0"/>
          <w:marBottom w:val="0"/>
          <w:divBdr>
            <w:top w:val="none" w:sz="0" w:space="0" w:color="auto"/>
            <w:left w:val="none" w:sz="0" w:space="0" w:color="auto"/>
            <w:bottom w:val="none" w:sz="0" w:space="0" w:color="auto"/>
            <w:right w:val="none" w:sz="0" w:space="0" w:color="auto"/>
          </w:divBdr>
        </w:div>
      </w:divsChild>
    </w:div>
    <w:div w:id="1911501581">
      <w:marLeft w:val="0"/>
      <w:marRight w:val="0"/>
      <w:marTop w:val="0"/>
      <w:marBottom w:val="120"/>
      <w:divBdr>
        <w:top w:val="none" w:sz="0" w:space="0" w:color="auto"/>
        <w:left w:val="none" w:sz="0" w:space="0" w:color="auto"/>
        <w:bottom w:val="none" w:sz="0" w:space="0" w:color="auto"/>
        <w:right w:val="none" w:sz="0" w:space="0" w:color="auto"/>
      </w:divBdr>
    </w:div>
    <w:div w:id="1912815256">
      <w:marLeft w:val="0"/>
      <w:marRight w:val="0"/>
      <w:marTop w:val="0"/>
      <w:marBottom w:val="0"/>
      <w:divBdr>
        <w:top w:val="none" w:sz="0" w:space="0" w:color="auto"/>
        <w:left w:val="none" w:sz="0" w:space="0" w:color="auto"/>
        <w:bottom w:val="none" w:sz="0" w:space="0" w:color="auto"/>
        <w:right w:val="none" w:sz="0" w:space="0" w:color="auto"/>
      </w:divBdr>
      <w:divsChild>
        <w:div w:id="649285684">
          <w:marLeft w:val="0"/>
          <w:marRight w:val="0"/>
          <w:marTop w:val="0"/>
          <w:marBottom w:val="0"/>
          <w:divBdr>
            <w:top w:val="none" w:sz="0" w:space="0" w:color="auto"/>
            <w:left w:val="none" w:sz="0" w:space="0" w:color="auto"/>
            <w:bottom w:val="none" w:sz="0" w:space="0" w:color="auto"/>
            <w:right w:val="none" w:sz="0" w:space="0" w:color="auto"/>
          </w:divBdr>
        </w:div>
      </w:divsChild>
    </w:div>
    <w:div w:id="1913658697">
      <w:marLeft w:val="0"/>
      <w:marRight w:val="0"/>
      <w:marTop w:val="0"/>
      <w:marBottom w:val="120"/>
      <w:divBdr>
        <w:top w:val="none" w:sz="0" w:space="0" w:color="auto"/>
        <w:left w:val="none" w:sz="0" w:space="0" w:color="auto"/>
        <w:bottom w:val="none" w:sz="0" w:space="0" w:color="auto"/>
        <w:right w:val="none" w:sz="0" w:space="0" w:color="auto"/>
      </w:divBdr>
    </w:div>
    <w:div w:id="1920282892">
      <w:marLeft w:val="0"/>
      <w:marRight w:val="0"/>
      <w:marTop w:val="0"/>
      <w:marBottom w:val="120"/>
      <w:divBdr>
        <w:top w:val="none" w:sz="0" w:space="0" w:color="auto"/>
        <w:left w:val="none" w:sz="0" w:space="0" w:color="auto"/>
        <w:bottom w:val="none" w:sz="0" w:space="0" w:color="auto"/>
        <w:right w:val="none" w:sz="0" w:space="0" w:color="auto"/>
      </w:divBdr>
    </w:div>
    <w:div w:id="1921720891">
      <w:marLeft w:val="0"/>
      <w:marRight w:val="0"/>
      <w:marTop w:val="100"/>
      <w:marBottom w:val="0"/>
      <w:divBdr>
        <w:top w:val="none" w:sz="0" w:space="0" w:color="auto"/>
        <w:left w:val="none" w:sz="0" w:space="0" w:color="auto"/>
        <w:bottom w:val="none" w:sz="0" w:space="0" w:color="auto"/>
        <w:right w:val="none" w:sz="0" w:space="0" w:color="auto"/>
      </w:divBdr>
    </w:div>
    <w:div w:id="1935166453">
      <w:marLeft w:val="0"/>
      <w:marRight w:val="0"/>
      <w:marTop w:val="0"/>
      <w:marBottom w:val="0"/>
      <w:divBdr>
        <w:top w:val="none" w:sz="0" w:space="0" w:color="auto"/>
        <w:left w:val="none" w:sz="0" w:space="0" w:color="auto"/>
        <w:bottom w:val="none" w:sz="0" w:space="0" w:color="auto"/>
        <w:right w:val="none" w:sz="0" w:space="0" w:color="auto"/>
      </w:divBdr>
      <w:divsChild>
        <w:div w:id="432239010">
          <w:marLeft w:val="0"/>
          <w:marRight w:val="0"/>
          <w:marTop w:val="0"/>
          <w:marBottom w:val="0"/>
          <w:divBdr>
            <w:top w:val="none" w:sz="0" w:space="0" w:color="auto"/>
            <w:left w:val="none" w:sz="0" w:space="0" w:color="auto"/>
            <w:bottom w:val="none" w:sz="0" w:space="0" w:color="auto"/>
            <w:right w:val="none" w:sz="0" w:space="0" w:color="auto"/>
          </w:divBdr>
        </w:div>
      </w:divsChild>
    </w:div>
    <w:div w:id="1946229680">
      <w:marLeft w:val="0"/>
      <w:marRight w:val="0"/>
      <w:marTop w:val="0"/>
      <w:marBottom w:val="20"/>
      <w:divBdr>
        <w:top w:val="none" w:sz="0" w:space="0" w:color="auto"/>
        <w:left w:val="none" w:sz="0" w:space="0" w:color="auto"/>
        <w:bottom w:val="none" w:sz="0" w:space="0" w:color="auto"/>
        <w:right w:val="none" w:sz="0" w:space="0" w:color="auto"/>
      </w:divBdr>
    </w:div>
    <w:div w:id="1947082725">
      <w:marLeft w:val="0"/>
      <w:marRight w:val="0"/>
      <w:marTop w:val="0"/>
      <w:marBottom w:val="120"/>
      <w:divBdr>
        <w:top w:val="none" w:sz="0" w:space="0" w:color="auto"/>
        <w:left w:val="none" w:sz="0" w:space="0" w:color="auto"/>
        <w:bottom w:val="none" w:sz="0" w:space="0" w:color="auto"/>
        <w:right w:val="none" w:sz="0" w:space="0" w:color="auto"/>
      </w:divBdr>
    </w:div>
    <w:div w:id="1947151177">
      <w:marLeft w:val="0"/>
      <w:marRight w:val="0"/>
      <w:marTop w:val="0"/>
      <w:marBottom w:val="0"/>
      <w:divBdr>
        <w:top w:val="none" w:sz="0" w:space="0" w:color="auto"/>
        <w:left w:val="none" w:sz="0" w:space="0" w:color="auto"/>
        <w:bottom w:val="none" w:sz="0" w:space="0" w:color="auto"/>
        <w:right w:val="none" w:sz="0" w:space="0" w:color="auto"/>
      </w:divBdr>
      <w:divsChild>
        <w:div w:id="1291132619">
          <w:marLeft w:val="0"/>
          <w:marRight w:val="0"/>
          <w:marTop w:val="0"/>
          <w:marBottom w:val="0"/>
          <w:divBdr>
            <w:top w:val="none" w:sz="0" w:space="0" w:color="auto"/>
            <w:left w:val="none" w:sz="0" w:space="0" w:color="auto"/>
            <w:bottom w:val="none" w:sz="0" w:space="0" w:color="auto"/>
            <w:right w:val="none" w:sz="0" w:space="0" w:color="auto"/>
          </w:divBdr>
        </w:div>
      </w:divsChild>
    </w:div>
    <w:div w:id="1951162774">
      <w:marLeft w:val="0"/>
      <w:marRight w:val="0"/>
      <w:marTop w:val="0"/>
      <w:marBottom w:val="0"/>
      <w:divBdr>
        <w:top w:val="none" w:sz="0" w:space="0" w:color="auto"/>
        <w:left w:val="none" w:sz="0" w:space="0" w:color="auto"/>
        <w:bottom w:val="none" w:sz="0" w:space="0" w:color="auto"/>
        <w:right w:val="none" w:sz="0" w:space="0" w:color="auto"/>
      </w:divBdr>
      <w:divsChild>
        <w:div w:id="1574586850">
          <w:marLeft w:val="0"/>
          <w:marRight w:val="0"/>
          <w:marTop w:val="0"/>
          <w:marBottom w:val="0"/>
          <w:divBdr>
            <w:top w:val="none" w:sz="0" w:space="0" w:color="auto"/>
            <w:left w:val="none" w:sz="0" w:space="0" w:color="auto"/>
            <w:bottom w:val="none" w:sz="0" w:space="0" w:color="auto"/>
            <w:right w:val="none" w:sz="0" w:space="0" w:color="auto"/>
          </w:divBdr>
        </w:div>
      </w:divsChild>
    </w:div>
    <w:div w:id="1951356810">
      <w:marLeft w:val="0"/>
      <w:marRight w:val="0"/>
      <w:marTop w:val="0"/>
      <w:marBottom w:val="120"/>
      <w:divBdr>
        <w:top w:val="none" w:sz="0" w:space="0" w:color="auto"/>
        <w:left w:val="none" w:sz="0" w:space="0" w:color="auto"/>
        <w:bottom w:val="none" w:sz="0" w:space="0" w:color="auto"/>
        <w:right w:val="none" w:sz="0" w:space="0" w:color="auto"/>
      </w:divBdr>
    </w:div>
    <w:div w:id="1954825360">
      <w:marLeft w:val="0"/>
      <w:marRight w:val="0"/>
      <w:marTop w:val="0"/>
      <w:marBottom w:val="0"/>
      <w:divBdr>
        <w:top w:val="none" w:sz="0" w:space="0" w:color="auto"/>
        <w:left w:val="none" w:sz="0" w:space="0" w:color="auto"/>
        <w:bottom w:val="none" w:sz="0" w:space="0" w:color="auto"/>
        <w:right w:val="none" w:sz="0" w:space="0" w:color="auto"/>
      </w:divBdr>
      <w:divsChild>
        <w:div w:id="1079447246">
          <w:marLeft w:val="0"/>
          <w:marRight w:val="0"/>
          <w:marTop w:val="0"/>
          <w:marBottom w:val="0"/>
          <w:divBdr>
            <w:top w:val="none" w:sz="0" w:space="0" w:color="auto"/>
            <w:left w:val="none" w:sz="0" w:space="0" w:color="auto"/>
            <w:bottom w:val="none" w:sz="0" w:space="0" w:color="auto"/>
            <w:right w:val="none" w:sz="0" w:space="0" w:color="auto"/>
          </w:divBdr>
        </w:div>
      </w:divsChild>
    </w:div>
    <w:div w:id="1956788090">
      <w:marLeft w:val="0"/>
      <w:marRight w:val="0"/>
      <w:marTop w:val="0"/>
      <w:marBottom w:val="100"/>
      <w:divBdr>
        <w:top w:val="none" w:sz="0" w:space="0" w:color="auto"/>
        <w:left w:val="none" w:sz="0" w:space="0" w:color="auto"/>
        <w:bottom w:val="none" w:sz="0" w:space="0" w:color="auto"/>
        <w:right w:val="none" w:sz="0" w:space="0" w:color="auto"/>
      </w:divBdr>
    </w:div>
    <w:div w:id="1963732737">
      <w:marLeft w:val="0"/>
      <w:marRight w:val="0"/>
      <w:marTop w:val="0"/>
      <w:marBottom w:val="120"/>
      <w:divBdr>
        <w:top w:val="none" w:sz="0" w:space="0" w:color="auto"/>
        <w:left w:val="none" w:sz="0" w:space="0" w:color="auto"/>
        <w:bottom w:val="none" w:sz="0" w:space="0" w:color="auto"/>
        <w:right w:val="none" w:sz="0" w:space="0" w:color="auto"/>
      </w:divBdr>
    </w:div>
    <w:div w:id="1964188293">
      <w:marLeft w:val="0"/>
      <w:marRight w:val="0"/>
      <w:marTop w:val="0"/>
      <w:marBottom w:val="120"/>
      <w:divBdr>
        <w:top w:val="none" w:sz="0" w:space="0" w:color="auto"/>
        <w:left w:val="none" w:sz="0" w:space="0" w:color="auto"/>
        <w:bottom w:val="none" w:sz="0" w:space="0" w:color="auto"/>
        <w:right w:val="none" w:sz="0" w:space="0" w:color="auto"/>
      </w:divBdr>
    </w:div>
    <w:div w:id="1971202525">
      <w:marLeft w:val="0"/>
      <w:marRight w:val="0"/>
      <w:marTop w:val="0"/>
      <w:marBottom w:val="120"/>
      <w:divBdr>
        <w:top w:val="none" w:sz="0" w:space="0" w:color="auto"/>
        <w:left w:val="none" w:sz="0" w:space="0" w:color="auto"/>
        <w:bottom w:val="none" w:sz="0" w:space="0" w:color="auto"/>
        <w:right w:val="none" w:sz="0" w:space="0" w:color="auto"/>
      </w:divBdr>
    </w:div>
    <w:div w:id="1977566618">
      <w:marLeft w:val="0"/>
      <w:marRight w:val="0"/>
      <w:marTop w:val="0"/>
      <w:marBottom w:val="120"/>
      <w:divBdr>
        <w:top w:val="none" w:sz="0" w:space="0" w:color="auto"/>
        <w:left w:val="none" w:sz="0" w:space="0" w:color="auto"/>
        <w:bottom w:val="none" w:sz="0" w:space="0" w:color="auto"/>
        <w:right w:val="none" w:sz="0" w:space="0" w:color="auto"/>
      </w:divBdr>
    </w:div>
    <w:div w:id="1978879816">
      <w:marLeft w:val="0"/>
      <w:marRight w:val="0"/>
      <w:marTop w:val="80"/>
      <w:marBottom w:val="0"/>
      <w:divBdr>
        <w:top w:val="none" w:sz="0" w:space="0" w:color="auto"/>
        <w:left w:val="none" w:sz="0" w:space="0" w:color="auto"/>
        <w:bottom w:val="none" w:sz="0" w:space="0" w:color="auto"/>
        <w:right w:val="none" w:sz="0" w:space="0" w:color="auto"/>
      </w:divBdr>
    </w:div>
    <w:div w:id="1980189948">
      <w:marLeft w:val="0"/>
      <w:marRight w:val="0"/>
      <w:marTop w:val="0"/>
      <w:marBottom w:val="120"/>
      <w:divBdr>
        <w:top w:val="none" w:sz="0" w:space="0" w:color="auto"/>
        <w:left w:val="none" w:sz="0" w:space="0" w:color="auto"/>
        <w:bottom w:val="none" w:sz="0" w:space="0" w:color="auto"/>
        <w:right w:val="none" w:sz="0" w:space="0" w:color="auto"/>
      </w:divBdr>
    </w:div>
    <w:div w:id="1996108640">
      <w:marLeft w:val="0"/>
      <w:marRight w:val="0"/>
      <w:marTop w:val="0"/>
      <w:marBottom w:val="120"/>
      <w:divBdr>
        <w:top w:val="none" w:sz="0" w:space="0" w:color="auto"/>
        <w:left w:val="none" w:sz="0" w:space="0" w:color="auto"/>
        <w:bottom w:val="none" w:sz="0" w:space="0" w:color="auto"/>
        <w:right w:val="none" w:sz="0" w:space="0" w:color="auto"/>
      </w:divBdr>
    </w:div>
    <w:div w:id="2001813034">
      <w:marLeft w:val="0"/>
      <w:marRight w:val="0"/>
      <w:marTop w:val="0"/>
      <w:marBottom w:val="120"/>
      <w:divBdr>
        <w:top w:val="none" w:sz="0" w:space="0" w:color="auto"/>
        <w:left w:val="none" w:sz="0" w:space="0" w:color="auto"/>
        <w:bottom w:val="none" w:sz="0" w:space="0" w:color="auto"/>
        <w:right w:val="none" w:sz="0" w:space="0" w:color="auto"/>
      </w:divBdr>
    </w:div>
    <w:div w:id="2003389368">
      <w:marLeft w:val="0"/>
      <w:marRight w:val="0"/>
      <w:marTop w:val="0"/>
      <w:marBottom w:val="120"/>
      <w:divBdr>
        <w:top w:val="none" w:sz="0" w:space="0" w:color="auto"/>
        <w:left w:val="none" w:sz="0" w:space="0" w:color="auto"/>
        <w:bottom w:val="none" w:sz="0" w:space="0" w:color="auto"/>
        <w:right w:val="none" w:sz="0" w:space="0" w:color="auto"/>
      </w:divBdr>
    </w:div>
    <w:div w:id="2003585014">
      <w:marLeft w:val="0"/>
      <w:marRight w:val="0"/>
      <w:marTop w:val="0"/>
      <w:marBottom w:val="0"/>
      <w:divBdr>
        <w:top w:val="none" w:sz="0" w:space="0" w:color="auto"/>
        <w:left w:val="none" w:sz="0" w:space="0" w:color="auto"/>
        <w:bottom w:val="none" w:sz="0" w:space="0" w:color="auto"/>
        <w:right w:val="none" w:sz="0" w:space="0" w:color="auto"/>
      </w:divBdr>
      <w:divsChild>
        <w:div w:id="1680236477">
          <w:marLeft w:val="0"/>
          <w:marRight w:val="0"/>
          <w:marTop w:val="0"/>
          <w:marBottom w:val="0"/>
          <w:divBdr>
            <w:top w:val="none" w:sz="0" w:space="0" w:color="auto"/>
            <w:left w:val="none" w:sz="0" w:space="0" w:color="auto"/>
            <w:bottom w:val="none" w:sz="0" w:space="0" w:color="auto"/>
            <w:right w:val="none" w:sz="0" w:space="0" w:color="auto"/>
          </w:divBdr>
        </w:div>
      </w:divsChild>
    </w:div>
    <w:div w:id="2005741184">
      <w:marLeft w:val="0"/>
      <w:marRight w:val="0"/>
      <w:marTop w:val="0"/>
      <w:marBottom w:val="120"/>
      <w:divBdr>
        <w:top w:val="none" w:sz="0" w:space="0" w:color="auto"/>
        <w:left w:val="none" w:sz="0" w:space="0" w:color="auto"/>
        <w:bottom w:val="none" w:sz="0" w:space="0" w:color="auto"/>
        <w:right w:val="none" w:sz="0" w:space="0" w:color="auto"/>
      </w:divBdr>
    </w:div>
    <w:div w:id="2017075236">
      <w:marLeft w:val="0"/>
      <w:marRight w:val="0"/>
      <w:marTop w:val="0"/>
      <w:marBottom w:val="120"/>
      <w:divBdr>
        <w:top w:val="none" w:sz="0" w:space="0" w:color="auto"/>
        <w:left w:val="none" w:sz="0" w:space="0" w:color="auto"/>
        <w:bottom w:val="none" w:sz="0" w:space="0" w:color="auto"/>
        <w:right w:val="none" w:sz="0" w:space="0" w:color="auto"/>
      </w:divBdr>
    </w:div>
    <w:div w:id="2020236619">
      <w:marLeft w:val="0"/>
      <w:marRight w:val="0"/>
      <w:marTop w:val="0"/>
      <w:marBottom w:val="120"/>
      <w:divBdr>
        <w:top w:val="none" w:sz="0" w:space="0" w:color="auto"/>
        <w:left w:val="none" w:sz="0" w:space="0" w:color="auto"/>
        <w:bottom w:val="none" w:sz="0" w:space="0" w:color="auto"/>
        <w:right w:val="none" w:sz="0" w:space="0" w:color="auto"/>
      </w:divBdr>
    </w:div>
    <w:div w:id="2026471169">
      <w:marLeft w:val="0"/>
      <w:marRight w:val="0"/>
      <w:marTop w:val="0"/>
      <w:marBottom w:val="0"/>
      <w:divBdr>
        <w:top w:val="none" w:sz="0" w:space="0" w:color="auto"/>
        <w:left w:val="none" w:sz="0" w:space="0" w:color="auto"/>
        <w:bottom w:val="none" w:sz="0" w:space="0" w:color="auto"/>
        <w:right w:val="none" w:sz="0" w:space="0" w:color="auto"/>
      </w:divBdr>
    </w:div>
    <w:div w:id="2029676035">
      <w:marLeft w:val="0"/>
      <w:marRight w:val="0"/>
      <w:marTop w:val="0"/>
      <w:marBottom w:val="120"/>
      <w:divBdr>
        <w:top w:val="none" w:sz="0" w:space="0" w:color="auto"/>
        <w:left w:val="none" w:sz="0" w:space="0" w:color="auto"/>
        <w:bottom w:val="none" w:sz="0" w:space="0" w:color="auto"/>
        <w:right w:val="none" w:sz="0" w:space="0" w:color="auto"/>
      </w:divBdr>
    </w:div>
    <w:div w:id="2032998589">
      <w:marLeft w:val="0"/>
      <w:marRight w:val="0"/>
      <w:marTop w:val="100"/>
      <w:marBottom w:val="120"/>
      <w:divBdr>
        <w:top w:val="none" w:sz="0" w:space="0" w:color="auto"/>
        <w:left w:val="none" w:sz="0" w:space="0" w:color="auto"/>
        <w:bottom w:val="none" w:sz="0" w:space="0" w:color="auto"/>
        <w:right w:val="none" w:sz="0" w:space="0" w:color="auto"/>
      </w:divBdr>
    </w:div>
    <w:div w:id="2033140046">
      <w:marLeft w:val="0"/>
      <w:marRight w:val="0"/>
      <w:marTop w:val="0"/>
      <w:marBottom w:val="120"/>
      <w:divBdr>
        <w:top w:val="none" w:sz="0" w:space="0" w:color="auto"/>
        <w:left w:val="none" w:sz="0" w:space="0" w:color="auto"/>
        <w:bottom w:val="none" w:sz="0" w:space="0" w:color="auto"/>
        <w:right w:val="none" w:sz="0" w:space="0" w:color="auto"/>
      </w:divBdr>
    </w:div>
    <w:div w:id="2036081630">
      <w:marLeft w:val="0"/>
      <w:marRight w:val="0"/>
      <w:marTop w:val="0"/>
      <w:marBottom w:val="120"/>
      <w:divBdr>
        <w:top w:val="none" w:sz="0" w:space="0" w:color="auto"/>
        <w:left w:val="none" w:sz="0" w:space="0" w:color="auto"/>
        <w:bottom w:val="none" w:sz="0" w:space="0" w:color="auto"/>
        <w:right w:val="none" w:sz="0" w:space="0" w:color="auto"/>
      </w:divBdr>
    </w:div>
    <w:div w:id="2038582499">
      <w:marLeft w:val="0"/>
      <w:marRight w:val="0"/>
      <w:marTop w:val="0"/>
      <w:marBottom w:val="0"/>
      <w:divBdr>
        <w:top w:val="none" w:sz="0" w:space="0" w:color="auto"/>
        <w:left w:val="none" w:sz="0" w:space="0" w:color="auto"/>
        <w:bottom w:val="none" w:sz="0" w:space="0" w:color="auto"/>
        <w:right w:val="none" w:sz="0" w:space="0" w:color="auto"/>
      </w:divBdr>
      <w:divsChild>
        <w:div w:id="1457990842">
          <w:marLeft w:val="0"/>
          <w:marRight w:val="0"/>
          <w:marTop w:val="0"/>
          <w:marBottom w:val="0"/>
          <w:divBdr>
            <w:top w:val="none" w:sz="0" w:space="0" w:color="auto"/>
            <w:left w:val="none" w:sz="0" w:space="0" w:color="auto"/>
            <w:bottom w:val="none" w:sz="0" w:space="0" w:color="auto"/>
            <w:right w:val="none" w:sz="0" w:space="0" w:color="auto"/>
          </w:divBdr>
        </w:div>
      </w:divsChild>
    </w:div>
    <w:div w:id="2055036548">
      <w:marLeft w:val="0"/>
      <w:marRight w:val="0"/>
      <w:marTop w:val="0"/>
      <w:marBottom w:val="120"/>
      <w:divBdr>
        <w:top w:val="none" w:sz="0" w:space="0" w:color="auto"/>
        <w:left w:val="none" w:sz="0" w:space="0" w:color="auto"/>
        <w:bottom w:val="none" w:sz="0" w:space="0" w:color="auto"/>
        <w:right w:val="none" w:sz="0" w:space="0" w:color="auto"/>
      </w:divBdr>
    </w:div>
    <w:div w:id="2058821603">
      <w:marLeft w:val="0"/>
      <w:marRight w:val="0"/>
      <w:marTop w:val="0"/>
      <w:marBottom w:val="120"/>
      <w:divBdr>
        <w:top w:val="none" w:sz="0" w:space="0" w:color="auto"/>
        <w:left w:val="none" w:sz="0" w:space="0" w:color="auto"/>
        <w:bottom w:val="none" w:sz="0" w:space="0" w:color="auto"/>
        <w:right w:val="none" w:sz="0" w:space="0" w:color="auto"/>
      </w:divBdr>
    </w:div>
    <w:div w:id="2081633775">
      <w:marLeft w:val="0"/>
      <w:marRight w:val="0"/>
      <w:marTop w:val="80"/>
      <w:marBottom w:val="0"/>
      <w:divBdr>
        <w:top w:val="none" w:sz="0" w:space="0" w:color="auto"/>
        <w:left w:val="none" w:sz="0" w:space="0" w:color="auto"/>
        <w:bottom w:val="none" w:sz="0" w:space="0" w:color="auto"/>
        <w:right w:val="none" w:sz="0" w:space="0" w:color="auto"/>
      </w:divBdr>
    </w:div>
    <w:div w:id="2086298781">
      <w:marLeft w:val="0"/>
      <w:marRight w:val="0"/>
      <w:marTop w:val="0"/>
      <w:marBottom w:val="0"/>
      <w:divBdr>
        <w:top w:val="none" w:sz="0" w:space="0" w:color="auto"/>
        <w:left w:val="none" w:sz="0" w:space="0" w:color="auto"/>
        <w:bottom w:val="none" w:sz="0" w:space="0" w:color="auto"/>
        <w:right w:val="none" w:sz="0" w:space="0" w:color="auto"/>
      </w:divBdr>
      <w:divsChild>
        <w:div w:id="69890569">
          <w:marLeft w:val="0"/>
          <w:marRight w:val="0"/>
          <w:marTop w:val="0"/>
          <w:marBottom w:val="0"/>
          <w:divBdr>
            <w:top w:val="none" w:sz="0" w:space="0" w:color="auto"/>
            <w:left w:val="none" w:sz="0" w:space="0" w:color="auto"/>
            <w:bottom w:val="none" w:sz="0" w:space="0" w:color="auto"/>
            <w:right w:val="none" w:sz="0" w:space="0" w:color="auto"/>
          </w:divBdr>
        </w:div>
      </w:divsChild>
    </w:div>
    <w:div w:id="2088113918">
      <w:marLeft w:val="0"/>
      <w:marRight w:val="0"/>
      <w:marTop w:val="0"/>
      <w:marBottom w:val="120"/>
      <w:divBdr>
        <w:top w:val="none" w:sz="0" w:space="0" w:color="auto"/>
        <w:left w:val="none" w:sz="0" w:space="0" w:color="auto"/>
        <w:bottom w:val="none" w:sz="0" w:space="0" w:color="auto"/>
        <w:right w:val="none" w:sz="0" w:space="0" w:color="auto"/>
      </w:divBdr>
    </w:div>
    <w:div w:id="2092391487">
      <w:marLeft w:val="0"/>
      <w:marRight w:val="0"/>
      <w:marTop w:val="0"/>
      <w:marBottom w:val="0"/>
      <w:divBdr>
        <w:top w:val="none" w:sz="0" w:space="0" w:color="auto"/>
        <w:left w:val="none" w:sz="0" w:space="0" w:color="auto"/>
        <w:bottom w:val="none" w:sz="0" w:space="0" w:color="auto"/>
        <w:right w:val="none" w:sz="0" w:space="0" w:color="auto"/>
      </w:divBdr>
    </w:div>
    <w:div w:id="2092582422">
      <w:marLeft w:val="0"/>
      <w:marRight w:val="0"/>
      <w:marTop w:val="0"/>
      <w:marBottom w:val="120"/>
      <w:divBdr>
        <w:top w:val="none" w:sz="0" w:space="0" w:color="auto"/>
        <w:left w:val="none" w:sz="0" w:space="0" w:color="auto"/>
        <w:bottom w:val="none" w:sz="0" w:space="0" w:color="auto"/>
        <w:right w:val="none" w:sz="0" w:space="0" w:color="auto"/>
      </w:divBdr>
    </w:div>
    <w:div w:id="2095394074">
      <w:marLeft w:val="0"/>
      <w:marRight w:val="0"/>
      <w:marTop w:val="0"/>
      <w:marBottom w:val="0"/>
      <w:divBdr>
        <w:top w:val="none" w:sz="0" w:space="0" w:color="auto"/>
        <w:left w:val="none" w:sz="0" w:space="0" w:color="auto"/>
        <w:bottom w:val="none" w:sz="0" w:space="0" w:color="auto"/>
        <w:right w:val="none" w:sz="0" w:space="0" w:color="auto"/>
      </w:divBdr>
      <w:divsChild>
        <w:div w:id="1235505541">
          <w:marLeft w:val="0"/>
          <w:marRight w:val="0"/>
          <w:marTop w:val="0"/>
          <w:marBottom w:val="0"/>
          <w:divBdr>
            <w:top w:val="none" w:sz="0" w:space="0" w:color="auto"/>
            <w:left w:val="none" w:sz="0" w:space="0" w:color="auto"/>
            <w:bottom w:val="none" w:sz="0" w:space="0" w:color="auto"/>
            <w:right w:val="none" w:sz="0" w:space="0" w:color="auto"/>
          </w:divBdr>
        </w:div>
      </w:divsChild>
    </w:div>
    <w:div w:id="2103330343">
      <w:marLeft w:val="0"/>
      <w:marRight w:val="0"/>
      <w:marTop w:val="0"/>
      <w:marBottom w:val="120"/>
      <w:divBdr>
        <w:top w:val="none" w:sz="0" w:space="0" w:color="auto"/>
        <w:left w:val="none" w:sz="0" w:space="0" w:color="auto"/>
        <w:bottom w:val="none" w:sz="0" w:space="0" w:color="auto"/>
        <w:right w:val="none" w:sz="0" w:space="0" w:color="auto"/>
      </w:divBdr>
    </w:div>
    <w:div w:id="2111314198">
      <w:marLeft w:val="0"/>
      <w:marRight w:val="0"/>
      <w:marTop w:val="0"/>
      <w:marBottom w:val="120"/>
      <w:divBdr>
        <w:top w:val="none" w:sz="0" w:space="0" w:color="auto"/>
        <w:left w:val="none" w:sz="0" w:space="0" w:color="auto"/>
        <w:bottom w:val="none" w:sz="0" w:space="0" w:color="auto"/>
        <w:right w:val="none" w:sz="0" w:space="0" w:color="auto"/>
      </w:divBdr>
    </w:div>
    <w:div w:id="2112316763">
      <w:marLeft w:val="0"/>
      <w:marRight w:val="0"/>
      <w:marTop w:val="0"/>
      <w:marBottom w:val="120"/>
      <w:divBdr>
        <w:top w:val="none" w:sz="0" w:space="0" w:color="auto"/>
        <w:left w:val="none" w:sz="0" w:space="0" w:color="auto"/>
        <w:bottom w:val="none" w:sz="0" w:space="0" w:color="auto"/>
        <w:right w:val="none" w:sz="0" w:space="0" w:color="auto"/>
      </w:divBdr>
    </w:div>
    <w:div w:id="2115855357">
      <w:marLeft w:val="0"/>
      <w:marRight w:val="0"/>
      <w:marTop w:val="0"/>
      <w:marBottom w:val="0"/>
      <w:divBdr>
        <w:top w:val="none" w:sz="0" w:space="0" w:color="auto"/>
        <w:left w:val="none" w:sz="0" w:space="0" w:color="auto"/>
        <w:bottom w:val="none" w:sz="0" w:space="0" w:color="auto"/>
        <w:right w:val="none" w:sz="0" w:space="0" w:color="auto"/>
      </w:divBdr>
      <w:divsChild>
        <w:div w:id="712534586">
          <w:marLeft w:val="0"/>
          <w:marRight w:val="0"/>
          <w:marTop w:val="0"/>
          <w:marBottom w:val="0"/>
          <w:divBdr>
            <w:top w:val="none" w:sz="0" w:space="0" w:color="auto"/>
            <w:left w:val="none" w:sz="0" w:space="0" w:color="auto"/>
            <w:bottom w:val="none" w:sz="0" w:space="0" w:color="auto"/>
            <w:right w:val="none" w:sz="0" w:space="0" w:color="auto"/>
          </w:divBdr>
        </w:div>
        <w:div w:id="1541630344">
          <w:marLeft w:val="0"/>
          <w:marRight w:val="0"/>
          <w:marTop w:val="0"/>
          <w:marBottom w:val="0"/>
          <w:divBdr>
            <w:top w:val="none" w:sz="0" w:space="0" w:color="auto"/>
            <w:left w:val="none" w:sz="0" w:space="0" w:color="auto"/>
            <w:bottom w:val="none" w:sz="0" w:space="0" w:color="auto"/>
            <w:right w:val="none" w:sz="0" w:space="0" w:color="auto"/>
          </w:divBdr>
        </w:div>
        <w:div w:id="834952202">
          <w:marLeft w:val="0"/>
          <w:marRight w:val="0"/>
          <w:marTop w:val="0"/>
          <w:marBottom w:val="0"/>
          <w:divBdr>
            <w:top w:val="none" w:sz="0" w:space="0" w:color="auto"/>
            <w:left w:val="none" w:sz="0" w:space="0" w:color="auto"/>
            <w:bottom w:val="none" w:sz="0" w:space="0" w:color="auto"/>
            <w:right w:val="none" w:sz="0" w:space="0" w:color="auto"/>
          </w:divBdr>
        </w:div>
      </w:divsChild>
    </w:div>
    <w:div w:id="2121022086">
      <w:marLeft w:val="0"/>
      <w:marRight w:val="0"/>
      <w:marTop w:val="0"/>
      <w:marBottom w:val="120"/>
      <w:divBdr>
        <w:top w:val="none" w:sz="0" w:space="0" w:color="auto"/>
        <w:left w:val="none" w:sz="0" w:space="0" w:color="auto"/>
        <w:bottom w:val="none" w:sz="0" w:space="0" w:color="auto"/>
        <w:right w:val="none" w:sz="0" w:space="0" w:color="auto"/>
      </w:divBdr>
    </w:div>
    <w:div w:id="2126458646">
      <w:marLeft w:val="0"/>
      <w:marRight w:val="0"/>
      <w:marTop w:val="0"/>
      <w:marBottom w:val="120"/>
      <w:divBdr>
        <w:top w:val="none" w:sz="0" w:space="0" w:color="auto"/>
        <w:left w:val="none" w:sz="0" w:space="0" w:color="auto"/>
        <w:bottom w:val="none" w:sz="0" w:space="0" w:color="auto"/>
        <w:right w:val="none" w:sz="0" w:space="0" w:color="auto"/>
      </w:divBdr>
    </w:div>
    <w:div w:id="2129545156">
      <w:marLeft w:val="0"/>
      <w:marRight w:val="0"/>
      <w:marTop w:val="0"/>
      <w:marBottom w:val="120"/>
      <w:divBdr>
        <w:top w:val="none" w:sz="0" w:space="0" w:color="auto"/>
        <w:left w:val="none" w:sz="0" w:space="0" w:color="auto"/>
        <w:bottom w:val="none" w:sz="0" w:space="0" w:color="auto"/>
        <w:right w:val="none" w:sz="0" w:space="0" w:color="auto"/>
      </w:divBdr>
    </w:div>
    <w:div w:id="2129886786">
      <w:marLeft w:val="0"/>
      <w:marRight w:val="0"/>
      <w:marTop w:val="0"/>
      <w:marBottom w:val="0"/>
      <w:divBdr>
        <w:top w:val="none" w:sz="0" w:space="0" w:color="auto"/>
        <w:left w:val="none" w:sz="0" w:space="0" w:color="auto"/>
        <w:bottom w:val="none" w:sz="0" w:space="0" w:color="auto"/>
        <w:right w:val="none" w:sz="0" w:space="0" w:color="auto"/>
      </w:divBdr>
      <w:divsChild>
        <w:div w:id="56125877">
          <w:marLeft w:val="0"/>
          <w:marRight w:val="0"/>
          <w:marTop w:val="0"/>
          <w:marBottom w:val="0"/>
          <w:divBdr>
            <w:top w:val="none" w:sz="0" w:space="0" w:color="auto"/>
            <w:left w:val="none" w:sz="0" w:space="0" w:color="auto"/>
            <w:bottom w:val="none" w:sz="0" w:space="0" w:color="auto"/>
            <w:right w:val="none" w:sz="0" w:space="0" w:color="auto"/>
          </w:divBdr>
        </w:div>
      </w:divsChild>
    </w:div>
    <w:div w:id="2130005037">
      <w:marLeft w:val="0"/>
      <w:marRight w:val="0"/>
      <w:marTop w:val="0"/>
      <w:marBottom w:val="0"/>
      <w:divBdr>
        <w:top w:val="none" w:sz="0" w:space="0" w:color="auto"/>
        <w:left w:val="none" w:sz="0" w:space="0" w:color="auto"/>
        <w:bottom w:val="none" w:sz="0" w:space="0" w:color="auto"/>
        <w:right w:val="none" w:sz="0" w:space="0" w:color="auto"/>
      </w:divBdr>
      <w:divsChild>
        <w:div w:id="1375692610">
          <w:marLeft w:val="0"/>
          <w:marRight w:val="0"/>
          <w:marTop w:val="0"/>
          <w:marBottom w:val="0"/>
          <w:divBdr>
            <w:top w:val="none" w:sz="0" w:space="0" w:color="auto"/>
            <w:left w:val="none" w:sz="0" w:space="0" w:color="auto"/>
            <w:bottom w:val="none" w:sz="0" w:space="0" w:color="auto"/>
            <w:right w:val="none" w:sz="0" w:space="0" w:color="auto"/>
          </w:divBdr>
          <w:divsChild>
            <w:div w:id="53577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4988">
      <w:marLeft w:val="0"/>
      <w:marRight w:val="0"/>
      <w:marTop w:val="0"/>
      <w:marBottom w:val="120"/>
      <w:divBdr>
        <w:top w:val="none" w:sz="0" w:space="0" w:color="auto"/>
        <w:left w:val="none" w:sz="0" w:space="0" w:color="auto"/>
        <w:bottom w:val="none" w:sz="0" w:space="0" w:color="auto"/>
        <w:right w:val="none" w:sz="0" w:space="0" w:color="auto"/>
      </w:divBdr>
    </w:div>
    <w:div w:id="2133818843">
      <w:marLeft w:val="0"/>
      <w:marRight w:val="0"/>
      <w:marTop w:val="0"/>
      <w:marBottom w:val="120"/>
      <w:divBdr>
        <w:top w:val="none" w:sz="0" w:space="0" w:color="auto"/>
        <w:left w:val="none" w:sz="0" w:space="0" w:color="auto"/>
        <w:bottom w:val="none" w:sz="0" w:space="0" w:color="auto"/>
        <w:right w:val="none" w:sz="0" w:space="0" w:color="auto"/>
      </w:divBdr>
    </w:div>
    <w:div w:id="2134665767">
      <w:marLeft w:val="0"/>
      <w:marRight w:val="0"/>
      <w:marTop w:val="0"/>
      <w:marBottom w:val="0"/>
      <w:divBdr>
        <w:top w:val="none" w:sz="0" w:space="0" w:color="auto"/>
        <w:left w:val="none" w:sz="0" w:space="0" w:color="auto"/>
        <w:bottom w:val="none" w:sz="0" w:space="0" w:color="auto"/>
        <w:right w:val="none" w:sz="0" w:space="0" w:color="auto"/>
      </w:divBdr>
      <w:divsChild>
        <w:div w:id="948510368">
          <w:marLeft w:val="0"/>
          <w:marRight w:val="0"/>
          <w:marTop w:val="0"/>
          <w:marBottom w:val="0"/>
          <w:divBdr>
            <w:top w:val="none" w:sz="0" w:space="0" w:color="auto"/>
            <w:left w:val="none" w:sz="0" w:space="0" w:color="auto"/>
            <w:bottom w:val="none" w:sz="0" w:space="0" w:color="auto"/>
            <w:right w:val="none" w:sz="0" w:space="0" w:color="auto"/>
          </w:divBdr>
        </w:div>
      </w:divsChild>
    </w:div>
    <w:div w:id="2140146210">
      <w:marLeft w:val="0"/>
      <w:marRight w:val="0"/>
      <w:marTop w:val="0"/>
      <w:marBottom w:val="120"/>
      <w:divBdr>
        <w:top w:val="none" w:sz="0" w:space="0" w:color="auto"/>
        <w:left w:val="none" w:sz="0" w:space="0" w:color="auto"/>
        <w:bottom w:val="none" w:sz="0" w:space="0" w:color="auto"/>
        <w:right w:val="none" w:sz="0" w:space="0" w:color="auto"/>
      </w:divBdr>
    </w:div>
    <w:div w:id="2141141692">
      <w:marLeft w:val="0"/>
      <w:marRight w:val="0"/>
      <w:marTop w:val="0"/>
      <w:marBottom w:val="120"/>
      <w:divBdr>
        <w:top w:val="none" w:sz="0" w:space="0" w:color="auto"/>
        <w:left w:val="none" w:sz="0" w:space="0" w:color="auto"/>
        <w:bottom w:val="none" w:sz="0" w:space="0" w:color="auto"/>
        <w:right w:val="none" w:sz="0" w:space="0" w:color="auto"/>
      </w:divBdr>
    </w:div>
    <w:div w:id="2143763767">
      <w:marLeft w:val="0"/>
      <w:marRight w:val="0"/>
      <w:marTop w:val="0"/>
      <w:marBottom w:val="0"/>
      <w:divBdr>
        <w:top w:val="none" w:sz="0" w:space="0" w:color="auto"/>
        <w:left w:val="none" w:sz="0" w:space="0" w:color="auto"/>
        <w:bottom w:val="none" w:sz="0" w:space="0" w:color="auto"/>
        <w:right w:val="none" w:sz="0" w:space="0" w:color="auto"/>
      </w:divBdr>
    </w:div>
    <w:div w:id="2144156423">
      <w:marLeft w:val="0"/>
      <w:marRight w:val="0"/>
      <w:marTop w:val="0"/>
      <w:marBottom w:val="2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321-nvhisoxcerts321xq32022.htm" TargetMode="External"/><Relationship Id="rId3" Type="http://schemas.openxmlformats.org/officeDocument/2006/relationships/webSettings" Target="webSettings.xml"/><Relationship Id="rId7" Type="http://schemas.openxmlformats.org/officeDocument/2006/relationships/hyperlink" Target="a312-nvhisoxcerts312xq32022.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a311-nvhisoxcerts311xq32022.htm" TargetMode="External"/><Relationship Id="rId11" Type="http://schemas.openxmlformats.org/officeDocument/2006/relationships/theme" Target="theme/theme1.xml"/><Relationship Id="rId5" Type="http://schemas.openxmlformats.org/officeDocument/2006/relationships/hyperlink" Target="https://www.sec.gov/Archives/edgar/data/0001710155/000171015521000036/nationalvisionholdingsinct.htm" TargetMode="External"/><Relationship Id="rId10" Type="http://schemas.openxmlformats.org/officeDocument/2006/relationships/fontTable" Target="fontTable.xml"/><Relationship Id="rId4" Type="http://schemas.openxmlformats.org/officeDocument/2006/relationships/hyperlink" Target="https://www.sec.gov/Archives/edgar/data/1710155/000171015521000036/nationalvision-thirdamende.htm" TargetMode="External"/><Relationship Id="rId9" Type="http://schemas.openxmlformats.org/officeDocument/2006/relationships/hyperlink" Target="a322-nvhisoxcerts322xq32022.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24816</Words>
  <Characters>141455</Characters>
  <Application>Microsoft Office Word</Application>
  <DocSecurity>0</DocSecurity>
  <Lines>1178</Lines>
  <Paragraphs>331</Paragraphs>
  <ScaleCrop>false</ScaleCrop>
  <Company/>
  <LinksUpToDate>false</LinksUpToDate>
  <CharactersWithSpaces>165940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eye-20221001</dc:title>
  <dc:subject/>
  <dc:creator>Chongjian.Yue</dc:creator>
  <cp:keywords/>
  <dc:description/>
  <cp:lastModifiedBy>Yue Chongjian</cp:lastModifiedBy>
  <cp:revision>1</cp:revision>
  <dcterms:created xsi:type="dcterms:W3CDTF">2024-01-04T15:54:00Z</dcterms:created>
  <dcterms:modified xsi:type="dcterms:W3CDTF">2024-01-04T15:54:00Z</dcterms:modified>
</cp:coreProperties>
</file>