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8717" w14:textId="77777777" w:rsidR="00000000" w:rsidRDefault="00087966">
      <w:pPr>
        <w:divId w:val="39940534"/>
        <w:rPr>
          <w:rFonts w:eastAsia="Times New Roman"/>
          <w:sz w:val="2"/>
          <w:szCs w:val="2"/>
        </w:rPr>
      </w:pPr>
      <w:r>
        <w:rPr>
          <w:rFonts w:eastAsia="Times New Roman"/>
          <w:sz w:val="2"/>
          <w:szCs w:val="2"/>
        </w:rPr>
        <w:t> </w:t>
      </w:r>
    </w:p>
    <w:p w14:paraId="0B744A9C" w14:textId="77777777" w:rsidR="00000000" w:rsidRDefault="00087966">
      <w:pPr>
        <w:pStyle w:val="a3"/>
        <w:spacing w:before="0" w:beforeAutospacing="0" w:after="0" w:afterAutospacing="0"/>
        <w:jc w:val="both"/>
        <w:divId w:val="1595479706"/>
        <w:rPr>
          <w:sz w:val="20"/>
          <w:szCs w:val="20"/>
        </w:rPr>
      </w:pPr>
      <w:r>
        <w:rPr>
          <w:sz w:val="20"/>
          <w:szCs w:val="20"/>
        </w:rPr>
        <w:t> </w:t>
      </w:r>
    </w:p>
    <w:p w14:paraId="075F0091" w14:textId="77777777" w:rsidR="00000000" w:rsidRDefault="00087966">
      <w:pPr>
        <w:pStyle w:val="a3"/>
        <w:spacing w:before="0" w:beforeAutospacing="0" w:after="0" w:afterAutospacing="0"/>
        <w:jc w:val="center"/>
        <w:divId w:val="1595479706"/>
        <w:rPr>
          <w:sz w:val="20"/>
          <w:szCs w:val="20"/>
        </w:rPr>
      </w:pPr>
      <w:r>
        <w:rPr>
          <w:b/>
          <w:bCs/>
          <w:sz w:val="20"/>
          <w:szCs w:val="20"/>
        </w:rPr>
        <w:t>UNITED STATES</w:t>
      </w:r>
    </w:p>
    <w:p w14:paraId="62A56F80" w14:textId="77777777" w:rsidR="00000000" w:rsidRDefault="00087966">
      <w:pPr>
        <w:pStyle w:val="a3"/>
        <w:spacing w:before="0" w:beforeAutospacing="0" w:after="0" w:afterAutospacing="0"/>
        <w:jc w:val="center"/>
        <w:divId w:val="1595479706"/>
        <w:rPr>
          <w:sz w:val="20"/>
          <w:szCs w:val="20"/>
        </w:rPr>
      </w:pPr>
      <w:r>
        <w:rPr>
          <w:b/>
          <w:bCs/>
          <w:sz w:val="20"/>
          <w:szCs w:val="20"/>
        </w:rPr>
        <w:t>SECURITIES AND EXCHANGE COMMISSION</w:t>
      </w:r>
    </w:p>
    <w:p w14:paraId="7FB35D82" w14:textId="77777777" w:rsidR="00000000" w:rsidRDefault="00087966">
      <w:pPr>
        <w:pStyle w:val="a3"/>
        <w:spacing w:before="0" w:beforeAutospacing="0" w:after="0" w:afterAutospacing="0"/>
        <w:jc w:val="center"/>
        <w:divId w:val="1595479706"/>
        <w:rPr>
          <w:sz w:val="20"/>
          <w:szCs w:val="20"/>
        </w:rPr>
      </w:pPr>
      <w:r>
        <w:rPr>
          <w:b/>
          <w:bCs/>
          <w:sz w:val="20"/>
          <w:szCs w:val="20"/>
        </w:rPr>
        <w:t>Washington, D.C. 20549</w:t>
      </w:r>
    </w:p>
    <w:p w14:paraId="1F174687" w14:textId="77777777" w:rsidR="00000000" w:rsidRDefault="00087966">
      <w:pPr>
        <w:pStyle w:val="a3"/>
        <w:spacing w:before="0" w:beforeAutospacing="0" w:after="0" w:afterAutospacing="0"/>
        <w:jc w:val="center"/>
        <w:divId w:val="1595479706"/>
        <w:rPr>
          <w:sz w:val="20"/>
          <w:szCs w:val="20"/>
        </w:rPr>
      </w:pPr>
      <w:r>
        <w:rPr>
          <w:sz w:val="20"/>
          <w:szCs w:val="20"/>
        </w:rPr>
        <w:t> </w:t>
      </w:r>
    </w:p>
    <w:p w14:paraId="5AF97E16" w14:textId="77777777" w:rsidR="00000000" w:rsidRDefault="00087966">
      <w:pPr>
        <w:pStyle w:val="a3"/>
        <w:spacing w:before="0" w:beforeAutospacing="0" w:after="0" w:afterAutospacing="0"/>
        <w:jc w:val="center"/>
        <w:divId w:val="1595479706"/>
        <w:rPr>
          <w:sz w:val="20"/>
          <w:szCs w:val="20"/>
        </w:rPr>
      </w:pPr>
      <w:r>
        <w:rPr>
          <w:b/>
          <w:bCs/>
          <w:sz w:val="20"/>
          <w:szCs w:val="20"/>
        </w:rPr>
        <w:t>FORM 10-K</w:t>
      </w:r>
    </w:p>
    <w:p w14:paraId="3066F20D" w14:textId="77777777" w:rsidR="00000000" w:rsidRDefault="00087966">
      <w:pPr>
        <w:pStyle w:val="a3"/>
        <w:spacing w:before="0" w:beforeAutospacing="0" w:after="0" w:afterAutospacing="0"/>
        <w:jc w:val="center"/>
        <w:divId w:val="1595479706"/>
        <w:rPr>
          <w:sz w:val="20"/>
          <w:szCs w:val="20"/>
        </w:rPr>
      </w:pPr>
      <w:r>
        <w:rPr>
          <w:sz w:val="20"/>
          <w:szCs w:val="20"/>
        </w:rPr>
        <w:t> </w:t>
      </w:r>
    </w:p>
    <w:p w14:paraId="7860B150" w14:textId="77777777" w:rsidR="00000000" w:rsidRDefault="00087966">
      <w:pPr>
        <w:pStyle w:val="a3"/>
        <w:spacing w:before="0" w:beforeAutospacing="0" w:after="0" w:afterAutospacing="0"/>
        <w:jc w:val="center"/>
        <w:divId w:val="1595479706"/>
        <w:rPr>
          <w:sz w:val="20"/>
          <w:szCs w:val="20"/>
        </w:rPr>
      </w:pPr>
      <w:r>
        <w:rPr>
          <w:b/>
          <w:bCs/>
          <w:sz w:val="20"/>
          <w:szCs w:val="20"/>
        </w:rPr>
        <w:t>(Mark One)</w:t>
      </w:r>
    </w:p>
    <w:p w14:paraId="307F4D0A" w14:textId="77777777" w:rsidR="00000000" w:rsidRDefault="00087966">
      <w:pPr>
        <w:pStyle w:val="a3"/>
        <w:spacing w:before="0" w:beforeAutospacing="0" w:after="0" w:afterAutospacing="0"/>
        <w:jc w:val="center"/>
        <w:divId w:val="1595479706"/>
        <w:rPr>
          <w:sz w:val="20"/>
          <w:szCs w:val="20"/>
        </w:rPr>
      </w:pPr>
      <w:r>
        <w:rPr>
          <w:rFonts w:ascii="Segoe UI Symbol" w:hAnsi="Segoe UI Symbol" w:cs="Segoe UI Symbol"/>
          <w:sz w:val="20"/>
          <w:szCs w:val="20"/>
        </w:rPr>
        <w:t>☒</w:t>
      </w:r>
      <w:r>
        <w:rPr>
          <w:sz w:val="20"/>
          <w:szCs w:val="20"/>
        </w:rPr>
        <w:t xml:space="preserve"> </w:t>
      </w:r>
      <w:r>
        <w:rPr>
          <w:b/>
          <w:bCs/>
          <w:sz w:val="20"/>
          <w:szCs w:val="20"/>
        </w:rPr>
        <w:t>ANNUAL REPORT PURSUANT TO SECTION 13 OR 15(D) OF THE SECURITIES EXCHANGE ACT OF 1934</w:t>
      </w:r>
    </w:p>
    <w:p w14:paraId="1EBB3F98" w14:textId="77777777" w:rsidR="00000000" w:rsidRDefault="00087966">
      <w:pPr>
        <w:pStyle w:val="a3"/>
        <w:spacing w:before="0" w:beforeAutospacing="0" w:after="0" w:afterAutospacing="0"/>
        <w:jc w:val="center"/>
        <w:divId w:val="1595479706"/>
        <w:rPr>
          <w:sz w:val="20"/>
          <w:szCs w:val="20"/>
        </w:rPr>
      </w:pPr>
      <w:r>
        <w:rPr>
          <w:sz w:val="20"/>
          <w:szCs w:val="20"/>
        </w:rPr>
        <w:t> </w:t>
      </w:r>
    </w:p>
    <w:p w14:paraId="10835E39" w14:textId="77777777" w:rsidR="00000000" w:rsidRDefault="00087966">
      <w:pPr>
        <w:pStyle w:val="a3"/>
        <w:spacing w:before="0" w:beforeAutospacing="0" w:after="0" w:afterAutospacing="0"/>
        <w:jc w:val="center"/>
        <w:divId w:val="1595479706"/>
        <w:rPr>
          <w:sz w:val="20"/>
          <w:szCs w:val="20"/>
        </w:rPr>
      </w:pPr>
      <w:r>
        <w:rPr>
          <w:b/>
          <w:bCs/>
          <w:sz w:val="20"/>
          <w:szCs w:val="20"/>
        </w:rPr>
        <w:t>For the fiscal year ended December 31, 2022</w:t>
      </w:r>
    </w:p>
    <w:p w14:paraId="1AC2666F" w14:textId="77777777" w:rsidR="00000000" w:rsidRDefault="00087966">
      <w:pPr>
        <w:pStyle w:val="a3"/>
        <w:spacing w:before="0" w:beforeAutospacing="0" w:after="0" w:afterAutospacing="0"/>
        <w:jc w:val="center"/>
        <w:divId w:val="1595479706"/>
        <w:rPr>
          <w:sz w:val="20"/>
          <w:szCs w:val="20"/>
        </w:rPr>
      </w:pPr>
      <w:r>
        <w:rPr>
          <w:sz w:val="20"/>
          <w:szCs w:val="20"/>
        </w:rPr>
        <w:t> </w:t>
      </w:r>
    </w:p>
    <w:p w14:paraId="2EE06CDE" w14:textId="77777777" w:rsidR="00000000" w:rsidRDefault="00087966">
      <w:pPr>
        <w:pStyle w:val="a3"/>
        <w:spacing w:before="0" w:beforeAutospacing="0" w:after="0" w:afterAutospacing="0"/>
        <w:jc w:val="center"/>
        <w:divId w:val="1595479706"/>
        <w:rPr>
          <w:sz w:val="20"/>
          <w:szCs w:val="20"/>
        </w:rPr>
      </w:pPr>
      <w:r>
        <w:rPr>
          <w:sz w:val="20"/>
          <w:szCs w:val="20"/>
        </w:rPr>
        <w:t>or</w:t>
      </w:r>
    </w:p>
    <w:p w14:paraId="72BD517E" w14:textId="77777777" w:rsidR="00000000" w:rsidRDefault="00087966">
      <w:pPr>
        <w:pStyle w:val="a3"/>
        <w:spacing w:before="0" w:beforeAutospacing="0" w:after="0" w:afterAutospacing="0"/>
        <w:jc w:val="center"/>
        <w:divId w:val="1595479706"/>
        <w:rPr>
          <w:sz w:val="20"/>
          <w:szCs w:val="20"/>
        </w:rPr>
      </w:pPr>
      <w:r>
        <w:rPr>
          <w:sz w:val="20"/>
          <w:szCs w:val="20"/>
        </w:rPr>
        <w:t> </w:t>
      </w:r>
    </w:p>
    <w:p w14:paraId="63EC4E99" w14:textId="77777777" w:rsidR="00000000" w:rsidRDefault="00087966">
      <w:pPr>
        <w:pStyle w:val="a3"/>
        <w:spacing w:before="0" w:beforeAutospacing="0" w:after="0" w:afterAutospacing="0"/>
        <w:jc w:val="center"/>
        <w:divId w:val="1595479706"/>
        <w:rPr>
          <w:sz w:val="20"/>
          <w:szCs w:val="20"/>
        </w:rPr>
      </w:pPr>
      <w:r>
        <w:rPr>
          <w:rFonts w:ascii="Segoe UI Symbol" w:hAnsi="Segoe UI Symbol" w:cs="Segoe UI Symbol"/>
          <w:sz w:val="20"/>
          <w:szCs w:val="20"/>
        </w:rPr>
        <w:t>☐</w:t>
      </w:r>
      <w:r>
        <w:rPr>
          <w:sz w:val="20"/>
          <w:szCs w:val="20"/>
        </w:rPr>
        <w:t xml:space="preserve"> </w:t>
      </w:r>
      <w:r>
        <w:rPr>
          <w:b/>
          <w:bCs/>
          <w:sz w:val="20"/>
          <w:szCs w:val="20"/>
        </w:rPr>
        <w:t>TRANSITION REPORT PURSUANT TO SECTION 13 OR 15(D) OF THE SECURITIES EXCHANGE ACT OF 1934</w:t>
      </w:r>
    </w:p>
    <w:p w14:paraId="7B903F49" w14:textId="77777777" w:rsidR="00000000" w:rsidRDefault="00087966">
      <w:pPr>
        <w:pStyle w:val="a3"/>
        <w:spacing w:before="0" w:beforeAutospacing="0" w:after="0" w:afterAutospacing="0"/>
        <w:jc w:val="center"/>
        <w:divId w:val="1595479706"/>
        <w:rPr>
          <w:sz w:val="20"/>
          <w:szCs w:val="20"/>
        </w:rPr>
      </w:pPr>
      <w:r>
        <w:rPr>
          <w:sz w:val="20"/>
          <w:szCs w:val="20"/>
        </w:rPr>
        <w:t> </w:t>
      </w:r>
    </w:p>
    <w:p w14:paraId="67D8CF73" w14:textId="77777777" w:rsidR="00000000" w:rsidRDefault="00087966">
      <w:pPr>
        <w:pStyle w:val="a3"/>
        <w:spacing w:before="0" w:beforeAutospacing="0" w:after="0" w:afterAutospacing="0"/>
        <w:jc w:val="center"/>
        <w:divId w:val="1595479706"/>
        <w:rPr>
          <w:sz w:val="20"/>
          <w:szCs w:val="20"/>
        </w:rPr>
      </w:pPr>
      <w:r>
        <w:rPr>
          <w:b/>
          <w:bCs/>
          <w:sz w:val="20"/>
          <w:szCs w:val="20"/>
        </w:rPr>
        <w:t xml:space="preserve">For the transition period from </w:t>
      </w:r>
      <w:r>
        <w:rPr>
          <w:b/>
          <w:bCs/>
          <w:sz w:val="20"/>
          <w:szCs w:val="20"/>
          <w:u w:val="single"/>
        </w:rPr>
        <w:t>                    </w:t>
      </w:r>
      <w:r>
        <w:rPr>
          <w:b/>
          <w:bCs/>
          <w:sz w:val="20"/>
          <w:szCs w:val="20"/>
        </w:rPr>
        <w:t xml:space="preserve"> to </w:t>
      </w:r>
      <w:r>
        <w:rPr>
          <w:b/>
          <w:bCs/>
          <w:sz w:val="20"/>
          <w:szCs w:val="20"/>
          <w:u w:val="single"/>
        </w:rPr>
        <w:t>                    </w:t>
      </w:r>
    </w:p>
    <w:p w14:paraId="039B5968" w14:textId="77777777" w:rsidR="00000000" w:rsidRDefault="00087966">
      <w:pPr>
        <w:pStyle w:val="a3"/>
        <w:spacing w:before="0" w:beforeAutospacing="0" w:after="0" w:afterAutospacing="0"/>
        <w:jc w:val="center"/>
        <w:divId w:val="1595479706"/>
        <w:rPr>
          <w:sz w:val="20"/>
          <w:szCs w:val="20"/>
        </w:rPr>
      </w:pPr>
      <w:r>
        <w:rPr>
          <w:sz w:val="20"/>
          <w:szCs w:val="20"/>
        </w:rPr>
        <w:t> </w:t>
      </w:r>
    </w:p>
    <w:p w14:paraId="79C18A19" w14:textId="77777777" w:rsidR="00000000" w:rsidRDefault="00087966">
      <w:pPr>
        <w:pStyle w:val="a3"/>
        <w:spacing w:before="0" w:beforeAutospacing="0" w:after="0" w:afterAutospacing="0"/>
        <w:jc w:val="center"/>
        <w:divId w:val="1595479706"/>
        <w:rPr>
          <w:sz w:val="20"/>
          <w:szCs w:val="20"/>
        </w:rPr>
      </w:pPr>
      <w:r>
        <w:rPr>
          <w:b/>
          <w:bCs/>
          <w:sz w:val="20"/>
          <w:szCs w:val="20"/>
        </w:rPr>
        <w:t>Commission file number: 001-39843</w:t>
      </w:r>
    </w:p>
    <w:p w14:paraId="10DBDE71" w14:textId="77777777" w:rsidR="00000000" w:rsidRDefault="00087966">
      <w:pPr>
        <w:pStyle w:val="a3"/>
        <w:spacing w:before="0" w:beforeAutospacing="0" w:after="0" w:afterAutospacing="0"/>
        <w:jc w:val="center"/>
        <w:divId w:val="1595479706"/>
        <w:rPr>
          <w:sz w:val="20"/>
          <w:szCs w:val="20"/>
        </w:rPr>
      </w:pPr>
      <w:r>
        <w:rPr>
          <w:b/>
          <w:bCs/>
          <w:sz w:val="20"/>
          <w:szCs w:val="20"/>
        </w:rPr>
        <w:t> </w:t>
      </w:r>
    </w:p>
    <w:p w14:paraId="5DF1442E"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0BD17C38" w14:textId="77777777" w:rsidR="00000000" w:rsidRDefault="00087966">
      <w:pPr>
        <w:pStyle w:val="a3"/>
        <w:spacing w:before="0" w:beforeAutospacing="0" w:after="0" w:afterAutospacing="0"/>
        <w:jc w:val="center"/>
        <w:divId w:val="1595479706"/>
        <w:rPr>
          <w:sz w:val="20"/>
          <w:szCs w:val="20"/>
        </w:rPr>
      </w:pPr>
      <w:r>
        <w:rPr>
          <w:b/>
          <w:bCs/>
          <w:sz w:val="20"/>
          <w:szCs w:val="20"/>
        </w:rPr>
        <w:t>(Exact name of registra</w:t>
      </w:r>
      <w:r>
        <w:rPr>
          <w:b/>
          <w:bCs/>
          <w:sz w:val="20"/>
          <w:szCs w:val="20"/>
        </w:rPr>
        <w:t>nt as specified in its charter)</w:t>
      </w:r>
    </w:p>
    <w:p w14:paraId="7E972C35" w14:textId="77777777" w:rsidR="00000000" w:rsidRDefault="00087966">
      <w:pPr>
        <w:pStyle w:val="a3"/>
        <w:spacing w:before="0" w:beforeAutospacing="0" w:after="0" w:afterAutospacing="0"/>
        <w:jc w:val="center"/>
        <w:divId w:val="1595479706"/>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1F4D1841" w14:textId="77777777">
        <w:trPr>
          <w:divId w:val="1595479706"/>
        </w:trPr>
        <w:tc>
          <w:tcPr>
            <w:tcW w:w="2450" w:type="pct"/>
            <w:tcBorders>
              <w:bottom w:val="single" w:sz="12" w:space="0" w:color="000000"/>
            </w:tcBorders>
            <w:hideMark/>
          </w:tcPr>
          <w:p w14:paraId="0887F27B" w14:textId="77777777" w:rsidR="00000000" w:rsidRDefault="00087966">
            <w:pPr>
              <w:jc w:val="center"/>
              <w:rPr>
                <w:rFonts w:eastAsia="Times New Roman"/>
                <w:sz w:val="20"/>
                <w:szCs w:val="20"/>
              </w:rPr>
            </w:pPr>
            <w:r>
              <w:rPr>
                <w:rFonts w:eastAsia="Times New Roman"/>
                <w:b/>
                <w:bCs/>
                <w:sz w:val="20"/>
                <w:szCs w:val="20"/>
              </w:rPr>
              <w:t>Delaware</w:t>
            </w:r>
          </w:p>
        </w:tc>
        <w:tc>
          <w:tcPr>
            <w:tcW w:w="100" w:type="pct"/>
            <w:vAlign w:val="bottom"/>
            <w:hideMark/>
          </w:tcPr>
          <w:p w14:paraId="626E0AA9" w14:textId="77777777" w:rsidR="00000000" w:rsidRDefault="00087966">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14:paraId="329BD527" w14:textId="77777777" w:rsidR="00000000" w:rsidRDefault="00087966">
            <w:pPr>
              <w:jc w:val="center"/>
              <w:rPr>
                <w:rFonts w:eastAsia="Times New Roman"/>
                <w:sz w:val="20"/>
                <w:szCs w:val="20"/>
              </w:rPr>
            </w:pPr>
            <w:r>
              <w:rPr>
                <w:rFonts w:eastAsia="Times New Roman"/>
                <w:b/>
                <w:bCs/>
                <w:sz w:val="20"/>
                <w:szCs w:val="20"/>
              </w:rPr>
              <w:t>85-3187857</w:t>
            </w:r>
          </w:p>
        </w:tc>
      </w:tr>
      <w:tr w:rsidR="00000000" w14:paraId="1944BB33" w14:textId="77777777">
        <w:trPr>
          <w:divId w:val="1595479706"/>
        </w:trPr>
        <w:tc>
          <w:tcPr>
            <w:tcW w:w="0" w:type="auto"/>
            <w:hideMark/>
          </w:tcPr>
          <w:p w14:paraId="6BA83C58" w14:textId="77777777" w:rsidR="00000000" w:rsidRDefault="00087966">
            <w:pPr>
              <w:jc w:val="center"/>
              <w:rPr>
                <w:rFonts w:eastAsia="Times New Roman"/>
                <w:sz w:val="20"/>
                <w:szCs w:val="20"/>
              </w:rPr>
            </w:pPr>
            <w:r>
              <w:rPr>
                <w:rFonts w:eastAsia="Times New Roman"/>
                <w:b/>
                <w:bCs/>
                <w:sz w:val="20"/>
                <w:szCs w:val="20"/>
              </w:rPr>
              <w:t>(State or other jurisdiction of</w:t>
            </w:r>
            <w:r>
              <w:rPr>
                <w:rFonts w:eastAsia="Times New Roman"/>
                <w:b/>
                <w:bCs/>
                <w:sz w:val="20"/>
                <w:szCs w:val="20"/>
              </w:rPr>
              <w:br/>
              <w:t>incorporation or organization)</w:t>
            </w:r>
          </w:p>
        </w:tc>
        <w:tc>
          <w:tcPr>
            <w:tcW w:w="0" w:type="auto"/>
            <w:vAlign w:val="bottom"/>
            <w:hideMark/>
          </w:tcPr>
          <w:p w14:paraId="301FE7CB" w14:textId="77777777" w:rsidR="00000000" w:rsidRDefault="00087966">
            <w:pPr>
              <w:jc w:val="center"/>
              <w:rPr>
                <w:rFonts w:eastAsia="Times New Roman"/>
                <w:sz w:val="20"/>
                <w:szCs w:val="20"/>
              </w:rPr>
            </w:pPr>
            <w:r>
              <w:rPr>
                <w:rFonts w:eastAsia="Times New Roman"/>
                <w:sz w:val="20"/>
                <w:szCs w:val="20"/>
              </w:rPr>
              <w:t> </w:t>
            </w:r>
          </w:p>
        </w:tc>
        <w:tc>
          <w:tcPr>
            <w:tcW w:w="0" w:type="auto"/>
            <w:hideMark/>
          </w:tcPr>
          <w:p w14:paraId="530C18E8" w14:textId="77777777" w:rsidR="00000000" w:rsidRDefault="00087966">
            <w:pPr>
              <w:pStyle w:val="a3"/>
              <w:spacing w:before="0" w:beforeAutospacing="0" w:after="0" w:afterAutospacing="0"/>
              <w:ind w:left="204" w:right="16"/>
              <w:jc w:val="center"/>
              <w:rPr>
                <w:sz w:val="20"/>
                <w:szCs w:val="20"/>
              </w:rPr>
            </w:pPr>
            <w:r>
              <w:rPr>
                <w:b/>
                <w:bCs/>
                <w:sz w:val="20"/>
                <w:szCs w:val="20"/>
              </w:rPr>
              <w:t>(I.R.S. Employer</w:t>
            </w:r>
          </w:p>
          <w:p w14:paraId="12246509" w14:textId="77777777" w:rsidR="00000000" w:rsidRDefault="00087966">
            <w:pPr>
              <w:pStyle w:val="a3"/>
              <w:spacing w:before="0" w:beforeAutospacing="0" w:after="0" w:afterAutospacing="0"/>
              <w:ind w:left="204" w:right="16"/>
              <w:jc w:val="center"/>
              <w:rPr>
                <w:sz w:val="20"/>
                <w:szCs w:val="20"/>
              </w:rPr>
            </w:pPr>
            <w:r>
              <w:rPr>
                <w:b/>
                <w:bCs/>
                <w:sz w:val="20"/>
                <w:szCs w:val="20"/>
              </w:rPr>
              <w:t>Identification No.)</w:t>
            </w:r>
          </w:p>
        </w:tc>
      </w:tr>
    </w:tbl>
    <w:p w14:paraId="7CCE5E74" w14:textId="77777777" w:rsidR="00000000" w:rsidRDefault="00087966">
      <w:pPr>
        <w:pStyle w:val="a3"/>
        <w:spacing w:before="0" w:beforeAutospacing="0" w:after="0" w:afterAutospacing="0"/>
        <w:jc w:val="center"/>
        <w:divId w:val="1595479706"/>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70804A96" w14:textId="77777777">
        <w:trPr>
          <w:divId w:val="1595479706"/>
        </w:trPr>
        <w:tc>
          <w:tcPr>
            <w:tcW w:w="2450" w:type="pct"/>
            <w:tcBorders>
              <w:bottom w:val="single" w:sz="12" w:space="0" w:color="000000"/>
            </w:tcBorders>
            <w:hideMark/>
          </w:tcPr>
          <w:p w14:paraId="140A7A8F" w14:textId="77777777" w:rsidR="00000000" w:rsidRDefault="00087966">
            <w:pPr>
              <w:pStyle w:val="a3"/>
              <w:spacing w:before="0" w:beforeAutospacing="0" w:after="0" w:afterAutospacing="0"/>
              <w:jc w:val="center"/>
              <w:rPr>
                <w:sz w:val="20"/>
                <w:szCs w:val="20"/>
              </w:rPr>
            </w:pPr>
            <w:r>
              <w:rPr>
                <w:b/>
                <w:bCs/>
                <w:sz w:val="20"/>
                <w:szCs w:val="20"/>
              </w:rPr>
              <w:t>1096 Keeler Avenue</w:t>
            </w:r>
          </w:p>
          <w:p w14:paraId="710C8182" w14:textId="77777777" w:rsidR="00000000" w:rsidRDefault="00087966">
            <w:pPr>
              <w:pStyle w:val="a3"/>
              <w:spacing w:before="0" w:beforeAutospacing="0" w:after="0" w:afterAutospacing="0"/>
              <w:jc w:val="center"/>
              <w:rPr>
                <w:sz w:val="20"/>
                <w:szCs w:val="20"/>
              </w:rPr>
            </w:pPr>
            <w:r>
              <w:rPr>
                <w:b/>
                <w:bCs/>
                <w:sz w:val="20"/>
                <w:szCs w:val="20"/>
              </w:rPr>
              <w:t>Berkeley, CA</w:t>
            </w:r>
          </w:p>
        </w:tc>
        <w:tc>
          <w:tcPr>
            <w:tcW w:w="100" w:type="pct"/>
            <w:vAlign w:val="bottom"/>
            <w:hideMark/>
          </w:tcPr>
          <w:p w14:paraId="07D155F6" w14:textId="77777777" w:rsidR="00000000" w:rsidRDefault="00087966">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14:paraId="04DB6A0E" w14:textId="77777777" w:rsidR="00000000" w:rsidRDefault="00087966">
            <w:pPr>
              <w:jc w:val="center"/>
              <w:rPr>
                <w:rFonts w:eastAsia="Times New Roman"/>
                <w:sz w:val="20"/>
                <w:szCs w:val="20"/>
              </w:rPr>
            </w:pPr>
            <w:r>
              <w:rPr>
                <w:rFonts w:eastAsia="Times New Roman"/>
                <w:b/>
                <w:bCs/>
                <w:sz w:val="20"/>
                <w:szCs w:val="20"/>
              </w:rPr>
              <w:t>94708</w:t>
            </w:r>
          </w:p>
        </w:tc>
      </w:tr>
      <w:tr w:rsidR="00000000" w14:paraId="41AA3598" w14:textId="77777777">
        <w:trPr>
          <w:divId w:val="1595479706"/>
        </w:trPr>
        <w:tc>
          <w:tcPr>
            <w:tcW w:w="0" w:type="auto"/>
            <w:hideMark/>
          </w:tcPr>
          <w:p w14:paraId="04BA62D8" w14:textId="77777777" w:rsidR="00000000" w:rsidRDefault="00087966">
            <w:pPr>
              <w:jc w:val="center"/>
              <w:rPr>
                <w:rFonts w:eastAsia="Times New Roman"/>
                <w:sz w:val="20"/>
                <w:szCs w:val="20"/>
              </w:rPr>
            </w:pPr>
            <w:r>
              <w:rPr>
                <w:rFonts w:eastAsia="Times New Roman"/>
                <w:b/>
                <w:bCs/>
                <w:sz w:val="20"/>
                <w:szCs w:val="20"/>
              </w:rPr>
              <w:t>(Address of principal executive offices)</w:t>
            </w:r>
          </w:p>
        </w:tc>
        <w:tc>
          <w:tcPr>
            <w:tcW w:w="0" w:type="auto"/>
            <w:vAlign w:val="bottom"/>
            <w:hideMark/>
          </w:tcPr>
          <w:p w14:paraId="7D6E9FCD" w14:textId="77777777" w:rsidR="00000000" w:rsidRDefault="00087966">
            <w:pPr>
              <w:jc w:val="center"/>
              <w:rPr>
                <w:rFonts w:eastAsia="Times New Roman"/>
                <w:sz w:val="20"/>
                <w:szCs w:val="20"/>
              </w:rPr>
            </w:pPr>
            <w:r>
              <w:rPr>
                <w:rFonts w:eastAsia="Times New Roman"/>
                <w:sz w:val="20"/>
                <w:szCs w:val="20"/>
              </w:rPr>
              <w:t> </w:t>
            </w:r>
          </w:p>
        </w:tc>
        <w:tc>
          <w:tcPr>
            <w:tcW w:w="0" w:type="auto"/>
            <w:hideMark/>
          </w:tcPr>
          <w:p w14:paraId="17F5898A" w14:textId="77777777" w:rsidR="00000000" w:rsidRDefault="00087966">
            <w:pPr>
              <w:jc w:val="center"/>
              <w:rPr>
                <w:rFonts w:eastAsia="Times New Roman"/>
                <w:sz w:val="20"/>
                <w:szCs w:val="20"/>
              </w:rPr>
            </w:pPr>
            <w:r>
              <w:rPr>
                <w:rFonts w:eastAsia="Times New Roman"/>
                <w:b/>
                <w:bCs/>
                <w:sz w:val="20"/>
                <w:szCs w:val="20"/>
              </w:rPr>
              <w:t>(Zip </w:t>
            </w:r>
            <w:r>
              <w:rPr>
                <w:rFonts w:eastAsia="Times New Roman"/>
                <w:b/>
                <w:bCs/>
                <w:sz w:val="20"/>
                <w:szCs w:val="20"/>
              </w:rPr>
              <w:t>Code)</w:t>
            </w:r>
          </w:p>
        </w:tc>
      </w:tr>
    </w:tbl>
    <w:p w14:paraId="39D6E67B" w14:textId="77777777" w:rsidR="00000000" w:rsidRDefault="00087966">
      <w:pPr>
        <w:pStyle w:val="a3"/>
        <w:spacing w:before="0" w:beforeAutospacing="0" w:after="0" w:afterAutospacing="0"/>
        <w:jc w:val="center"/>
        <w:divId w:val="1595479706"/>
        <w:rPr>
          <w:sz w:val="20"/>
          <w:szCs w:val="20"/>
        </w:rPr>
      </w:pPr>
      <w:r>
        <w:rPr>
          <w:b/>
          <w:bCs/>
          <w:sz w:val="20"/>
          <w:szCs w:val="20"/>
        </w:rPr>
        <w:t> </w:t>
      </w:r>
    </w:p>
    <w:p w14:paraId="0454C37F" w14:textId="77777777" w:rsidR="00000000" w:rsidRDefault="00087966">
      <w:pPr>
        <w:pStyle w:val="a3"/>
        <w:spacing w:before="0" w:beforeAutospacing="0" w:after="0" w:afterAutospacing="0"/>
        <w:jc w:val="center"/>
        <w:divId w:val="1595479706"/>
        <w:rPr>
          <w:sz w:val="20"/>
          <w:szCs w:val="20"/>
        </w:rPr>
      </w:pPr>
      <w:r>
        <w:rPr>
          <w:b/>
          <w:bCs/>
          <w:sz w:val="20"/>
          <w:szCs w:val="20"/>
        </w:rPr>
        <w:t>Registrant’s telephone number, including area code: (650) 246-9907</w:t>
      </w:r>
    </w:p>
    <w:p w14:paraId="42DC8533" w14:textId="77777777" w:rsidR="00000000" w:rsidRDefault="00087966">
      <w:pPr>
        <w:pStyle w:val="a3"/>
        <w:spacing w:before="0" w:beforeAutospacing="0" w:after="0" w:afterAutospacing="0"/>
        <w:jc w:val="center"/>
        <w:divId w:val="1595479706"/>
        <w:rPr>
          <w:sz w:val="20"/>
          <w:szCs w:val="20"/>
        </w:rPr>
      </w:pPr>
      <w:r>
        <w:rPr>
          <w:sz w:val="20"/>
          <w:szCs w:val="20"/>
        </w:rPr>
        <w:t> </w:t>
      </w:r>
    </w:p>
    <w:p w14:paraId="20EED9DC" w14:textId="77777777" w:rsidR="00000000" w:rsidRDefault="00087966">
      <w:pPr>
        <w:pStyle w:val="a3"/>
        <w:spacing w:before="0" w:beforeAutospacing="0" w:after="0" w:afterAutospacing="0"/>
        <w:jc w:val="center"/>
        <w:divId w:val="1595479706"/>
        <w:rPr>
          <w:sz w:val="20"/>
          <w:szCs w:val="20"/>
        </w:rPr>
      </w:pPr>
      <w:r>
        <w:rPr>
          <w:b/>
          <w:bCs/>
          <w:sz w:val="20"/>
          <w:szCs w:val="20"/>
        </w:rPr>
        <w:t>Securities registered pursuant to Section 12(b) of the Act:</w:t>
      </w:r>
    </w:p>
    <w:p w14:paraId="062888B8" w14:textId="77777777" w:rsidR="00000000" w:rsidRDefault="00087966">
      <w:pPr>
        <w:pStyle w:val="a3"/>
        <w:spacing w:before="0" w:beforeAutospacing="0" w:after="0" w:afterAutospacing="0"/>
        <w:jc w:val="both"/>
        <w:divId w:val="1595479706"/>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658"/>
        <w:gridCol w:w="166"/>
        <w:gridCol w:w="2658"/>
        <w:gridCol w:w="166"/>
        <w:gridCol w:w="2658"/>
      </w:tblGrid>
      <w:tr w:rsidR="00000000" w14:paraId="0917C35B" w14:textId="77777777">
        <w:trPr>
          <w:divId w:val="1595479706"/>
        </w:trPr>
        <w:tc>
          <w:tcPr>
            <w:tcW w:w="1600" w:type="pct"/>
            <w:tcBorders>
              <w:bottom w:val="single" w:sz="12" w:space="0" w:color="000000"/>
            </w:tcBorders>
            <w:vAlign w:val="bottom"/>
            <w:hideMark/>
          </w:tcPr>
          <w:p w14:paraId="5C11AC5F" w14:textId="77777777" w:rsidR="00000000" w:rsidRDefault="00087966">
            <w:pPr>
              <w:jc w:val="center"/>
              <w:rPr>
                <w:rFonts w:eastAsia="Times New Roman"/>
                <w:sz w:val="20"/>
                <w:szCs w:val="20"/>
              </w:rPr>
            </w:pPr>
            <w:r>
              <w:rPr>
                <w:rFonts w:eastAsia="Times New Roman"/>
                <w:b/>
                <w:bCs/>
                <w:sz w:val="20"/>
                <w:szCs w:val="20"/>
              </w:rPr>
              <w:t>Title of each class</w:t>
            </w:r>
          </w:p>
        </w:tc>
        <w:tc>
          <w:tcPr>
            <w:tcW w:w="100" w:type="pct"/>
            <w:vAlign w:val="bottom"/>
            <w:hideMark/>
          </w:tcPr>
          <w:p w14:paraId="2D0E94D3" w14:textId="77777777" w:rsidR="00000000" w:rsidRDefault="00087966">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14:paraId="2370341A" w14:textId="77777777" w:rsidR="00000000" w:rsidRDefault="00087966">
            <w:pPr>
              <w:jc w:val="center"/>
              <w:rPr>
                <w:rFonts w:eastAsia="Times New Roman"/>
                <w:sz w:val="20"/>
                <w:szCs w:val="20"/>
              </w:rPr>
            </w:pPr>
            <w:r>
              <w:rPr>
                <w:rFonts w:eastAsia="Times New Roman"/>
                <w:b/>
                <w:bCs/>
                <w:sz w:val="20"/>
                <w:szCs w:val="20"/>
              </w:rPr>
              <w:t>Trading Symbol(s)</w:t>
            </w:r>
          </w:p>
        </w:tc>
        <w:tc>
          <w:tcPr>
            <w:tcW w:w="100" w:type="pct"/>
            <w:vAlign w:val="bottom"/>
            <w:hideMark/>
          </w:tcPr>
          <w:p w14:paraId="228B8DEF" w14:textId="77777777" w:rsidR="00000000" w:rsidRDefault="00087966">
            <w:pPr>
              <w:jc w:val="center"/>
              <w:rPr>
                <w:rFonts w:eastAsia="Times New Roman"/>
                <w:sz w:val="20"/>
                <w:szCs w:val="20"/>
              </w:rPr>
            </w:pPr>
            <w:r>
              <w:rPr>
                <w:rFonts w:eastAsia="Times New Roman"/>
                <w:sz w:val="20"/>
                <w:szCs w:val="20"/>
              </w:rPr>
              <w:t> </w:t>
            </w:r>
          </w:p>
        </w:tc>
        <w:tc>
          <w:tcPr>
            <w:tcW w:w="1600" w:type="pct"/>
            <w:tcBorders>
              <w:bottom w:val="single" w:sz="12" w:space="0" w:color="000000"/>
            </w:tcBorders>
            <w:vAlign w:val="bottom"/>
            <w:hideMark/>
          </w:tcPr>
          <w:p w14:paraId="5ED0BE0C" w14:textId="77777777" w:rsidR="00000000" w:rsidRDefault="00087966">
            <w:pPr>
              <w:jc w:val="center"/>
              <w:rPr>
                <w:rFonts w:eastAsia="Times New Roman"/>
                <w:sz w:val="20"/>
                <w:szCs w:val="20"/>
              </w:rPr>
            </w:pPr>
            <w:r>
              <w:rPr>
                <w:rFonts w:eastAsia="Times New Roman"/>
                <w:b/>
                <w:bCs/>
                <w:sz w:val="20"/>
                <w:szCs w:val="20"/>
              </w:rPr>
              <w:t>Name of each exchange on</w:t>
            </w:r>
            <w:r>
              <w:rPr>
                <w:rFonts w:eastAsia="Times New Roman"/>
                <w:b/>
                <w:bCs/>
                <w:sz w:val="20"/>
                <w:szCs w:val="20"/>
              </w:rPr>
              <w:br/>
              <w:t>which registered</w:t>
            </w:r>
          </w:p>
        </w:tc>
      </w:tr>
      <w:tr w:rsidR="00000000" w14:paraId="7C2FD96E" w14:textId="77777777">
        <w:trPr>
          <w:divId w:val="1595479706"/>
        </w:trPr>
        <w:tc>
          <w:tcPr>
            <w:tcW w:w="0" w:type="auto"/>
            <w:shd w:val="clear" w:color="auto" w:fill="CCEEFF"/>
            <w:hideMark/>
          </w:tcPr>
          <w:p w14:paraId="6FAE2A3C" w14:textId="77777777" w:rsidR="00000000" w:rsidRDefault="00087966">
            <w:pPr>
              <w:jc w:val="center"/>
              <w:rPr>
                <w:rFonts w:eastAsia="Times New Roman"/>
                <w:sz w:val="20"/>
                <w:szCs w:val="20"/>
              </w:rPr>
            </w:pPr>
            <w:r>
              <w:rPr>
                <w:rFonts w:eastAsia="Times New Roman"/>
                <w:sz w:val="20"/>
                <w:szCs w:val="20"/>
              </w:rPr>
              <w:t>Units, each consisting of one s</w:t>
            </w:r>
            <w:r>
              <w:rPr>
                <w:rFonts w:eastAsia="Times New Roman"/>
                <w:sz w:val="20"/>
                <w:szCs w:val="20"/>
              </w:rPr>
              <w:t>hare of Class A Common Stock and one-half of one redeemable Warrant</w:t>
            </w:r>
          </w:p>
        </w:tc>
        <w:tc>
          <w:tcPr>
            <w:tcW w:w="0" w:type="auto"/>
            <w:shd w:val="clear" w:color="auto" w:fill="CCEEFF"/>
            <w:hideMark/>
          </w:tcPr>
          <w:p w14:paraId="0797382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hideMark/>
          </w:tcPr>
          <w:p w14:paraId="4F513F66" w14:textId="77777777" w:rsidR="00000000" w:rsidRDefault="00087966">
            <w:pPr>
              <w:jc w:val="center"/>
              <w:rPr>
                <w:rFonts w:eastAsia="Times New Roman"/>
                <w:sz w:val="20"/>
                <w:szCs w:val="20"/>
              </w:rPr>
            </w:pPr>
            <w:r>
              <w:rPr>
                <w:rFonts w:eastAsia="Times New Roman"/>
                <w:sz w:val="20"/>
                <w:szCs w:val="20"/>
              </w:rPr>
              <w:t>INKAU</w:t>
            </w:r>
          </w:p>
        </w:tc>
        <w:tc>
          <w:tcPr>
            <w:tcW w:w="0" w:type="auto"/>
            <w:shd w:val="clear" w:color="auto" w:fill="CCEEFF"/>
            <w:hideMark/>
          </w:tcPr>
          <w:p w14:paraId="7AFA1E1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hideMark/>
          </w:tcPr>
          <w:p w14:paraId="68616A17" w14:textId="77777777" w:rsidR="00000000" w:rsidRDefault="00087966">
            <w:pPr>
              <w:jc w:val="center"/>
              <w:rPr>
                <w:rFonts w:eastAsia="Times New Roman"/>
                <w:sz w:val="20"/>
                <w:szCs w:val="20"/>
              </w:rPr>
            </w:pPr>
            <w:r>
              <w:rPr>
                <w:rFonts w:eastAsia="Times New Roman"/>
                <w:sz w:val="20"/>
                <w:szCs w:val="20"/>
              </w:rPr>
              <w:t>The Nasdaq Stock Market LLC</w:t>
            </w:r>
          </w:p>
        </w:tc>
      </w:tr>
      <w:tr w:rsidR="00000000" w14:paraId="3A29624C" w14:textId="77777777">
        <w:trPr>
          <w:divId w:val="1595479706"/>
        </w:trPr>
        <w:tc>
          <w:tcPr>
            <w:tcW w:w="0" w:type="auto"/>
            <w:hideMark/>
          </w:tcPr>
          <w:p w14:paraId="52B55270" w14:textId="77777777" w:rsidR="00000000" w:rsidRDefault="00087966">
            <w:pPr>
              <w:jc w:val="center"/>
              <w:rPr>
                <w:rFonts w:eastAsia="Times New Roman"/>
                <w:sz w:val="20"/>
                <w:szCs w:val="20"/>
              </w:rPr>
            </w:pPr>
            <w:r>
              <w:rPr>
                <w:rFonts w:eastAsia="Times New Roman"/>
                <w:sz w:val="20"/>
                <w:szCs w:val="20"/>
              </w:rPr>
              <w:t> </w:t>
            </w:r>
          </w:p>
        </w:tc>
        <w:tc>
          <w:tcPr>
            <w:tcW w:w="0" w:type="auto"/>
            <w:hideMark/>
          </w:tcPr>
          <w:p w14:paraId="112867BC" w14:textId="77777777" w:rsidR="00000000" w:rsidRDefault="00087966">
            <w:pPr>
              <w:rPr>
                <w:rFonts w:eastAsia="Times New Roman"/>
                <w:sz w:val="20"/>
                <w:szCs w:val="20"/>
              </w:rPr>
            </w:pPr>
            <w:r>
              <w:rPr>
                <w:rFonts w:eastAsia="Times New Roman"/>
                <w:sz w:val="20"/>
                <w:szCs w:val="20"/>
              </w:rPr>
              <w:t> </w:t>
            </w:r>
          </w:p>
        </w:tc>
        <w:tc>
          <w:tcPr>
            <w:tcW w:w="0" w:type="auto"/>
            <w:hideMark/>
          </w:tcPr>
          <w:p w14:paraId="562050FE" w14:textId="77777777" w:rsidR="00000000" w:rsidRDefault="00087966">
            <w:pPr>
              <w:jc w:val="center"/>
              <w:rPr>
                <w:rFonts w:eastAsia="Times New Roman"/>
                <w:sz w:val="20"/>
                <w:szCs w:val="20"/>
              </w:rPr>
            </w:pPr>
            <w:r>
              <w:rPr>
                <w:rFonts w:eastAsia="Times New Roman"/>
                <w:sz w:val="20"/>
                <w:szCs w:val="20"/>
              </w:rPr>
              <w:t> </w:t>
            </w:r>
          </w:p>
        </w:tc>
        <w:tc>
          <w:tcPr>
            <w:tcW w:w="0" w:type="auto"/>
            <w:hideMark/>
          </w:tcPr>
          <w:p w14:paraId="30CFF4DE" w14:textId="77777777" w:rsidR="00000000" w:rsidRDefault="00087966">
            <w:pPr>
              <w:rPr>
                <w:rFonts w:eastAsia="Times New Roman"/>
                <w:sz w:val="20"/>
                <w:szCs w:val="20"/>
              </w:rPr>
            </w:pPr>
            <w:r>
              <w:rPr>
                <w:rFonts w:eastAsia="Times New Roman"/>
                <w:sz w:val="20"/>
                <w:szCs w:val="20"/>
              </w:rPr>
              <w:t> </w:t>
            </w:r>
          </w:p>
        </w:tc>
        <w:tc>
          <w:tcPr>
            <w:tcW w:w="0" w:type="auto"/>
            <w:hideMark/>
          </w:tcPr>
          <w:p w14:paraId="34F1C543" w14:textId="77777777" w:rsidR="00000000" w:rsidRDefault="00087966">
            <w:pPr>
              <w:jc w:val="center"/>
              <w:rPr>
                <w:rFonts w:eastAsia="Times New Roman"/>
                <w:sz w:val="20"/>
                <w:szCs w:val="20"/>
              </w:rPr>
            </w:pPr>
            <w:r>
              <w:rPr>
                <w:rFonts w:eastAsia="Times New Roman"/>
                <w:sz w:val="20"/>
                <w:szCs w:val="20"/>
              </w:rPr>
              <w:t> </w:t>
            </w:r>
          </w:p>
        </w:tc>
      </w:tr>
      <w:tr w:rsidR="00000000" w14:paraId="698DB2D0" w14:textId="77777777">
        <w:trPr>
          <w:divId w:val="1595479706"/>
        </w:trPr>
        <w:tc>
          <w:tcPr>
            <w:tcW w:w="0" w:type="auto"/>
            <w:shd w:val="clear" w:color="auto" w:fill="CCEEFF"/>
            <w:hideMark/>
          </w:tcPr>
          <w:p w14:paraId="60ACD7F9" w14:textId="77777777" w:rsidR="00000000" w:rsidRDefault="00087966">
            <w:pPr>
              <w:jc w:val="center"/>
              <w:rPr>
                <w:rFonts w:eastAsia="Times New Roman"/>
                <w:sz w:val="20"/>
                <w:szCs w:val="20"/>
              </w:rPr>
            </w:pPr>
            <w:r>
              <w:rPr>
                <w:rFonts w:eastAsia="Times New Roman"/>
                <w:sz w:val="20"/>
                <w:szCs w:val="20"/>
              </w:rPr>
              <w:t>Class A Common Stock, par value $0.0001 per share</w:t>
            </w:r>
          </w:p>
        </w:tc>
        <w:tc>
          <w:tcPr>
            <w:tcW w:w="0" w:type="auto"/>
            <w:shd w:val="clear" w:color="auto" w:fill="CCEEFF"/>
            <w:hideMark/>
          </w:tcPr>
          <w:p w14:paraId="61E6478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hideMark/>
          </w:tcPr>
          <w:p w14:paraId="5A538266" w14:textId="77777777" w:rsidR="00000000" w:rsidRDefault="00087966">
            <w:pPr>
              <w:jc w:val="center"/>
              <w:rPr>
                <w:rFonts w:eastAsia="Times New Roman"/>
                <w:sz w:val="20"/>
                <w:szCs w:val="20"/>
              </w:rPr>
            </w:pPr>
            <w:r>
              <w:rPr>
                <w:rFonts w:eastAsia="Times New Roman"/>
                <w:sz w:val="20"/>
                <w:szCs w:val="20"/>
              </w:rPr>
              <w:t>INKA</w:t>
            </w:r>
          </w:p>
        </w:tc>
        <w:tc>
          <w:tcPr>
            <w:tcW w:w="0" w:type="auto"/>
            <w:shd w:val="clear" w:color="auto" w:fill="CCEEFF"/>
            <w:hideMark/>
          </w:tcPr>
          <w:p w14:paraId="50BE7A4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hideMark/>
          </w:tcPr>
          <w:p w14:paraId="36655C2B" w14:textId="77777777" w:rsidR="00000000" w:rsidRDefault="00087966">
            <w:pPr>
              <w:jc w:val="center"/>
              <w:rPr>
                <w:rFonts w:eastAsia="Times New Roman"/>
                <w:sz w:val="20"/>
                <w:szCs w:val="20"/>
              </w:rPr>
            </w:pPr>
            <w:r>
              <w:rPr>
                <w:rFonts w:eastAsia="Times New Roman"/>
                <w:sz w:val="20"/>
                <w:szCs w:val="20"/>
              </w:rPr>
              <w:t>The Nasdaq Stock Market LLC</w:t>
            </w:r>
          </w:p>
        </w:tc>
      </w:tr>
      <w:tr w:rsidR="00000000" w14:paraId="2C4D9979" w14:textId="77777777">
        <w:trPr>
          <w:divId w:val="1595479706"/>
        </w:trPr>
        <w:tc>
          <w:tcPr>
            <w:tcW w:w="0" w:type="auto"/>
            <w:hideMark/>
          </w:tcPr>
          <w:p w14:paraId="7C11C38E" w14:textId="77777777" w:rsidR="00000000" w:rsidRDefault="00087966">
            <w:pPr>
              <w:jc w:val="center"/>
              <w:rPr>
                <w:rFonts w:eastAsia="Times New Roman"/>
                <w:sz w:val="20"/>
                <w:szCs w:val="20"/>
              </w:rPr>
            </w:pPr>
            <w:r>
              <w:rPr>
                <w:rFonts w:eastAsia="Times New Roman"/>
                <w:sz w:val="20"/>
                <w:szCs w:val="20"/>
              </w:rPr>
              <w:t> </w:t>
            </w:r>
          </w:p>
        </w:tc>
        <w:tc>
          <w:tcPr>
            <w:tcW w:w="0" w:type="auto"/>
            <w:hideMark/>
          </w:tcPr>
          <w:p w14:paraId="5088114D" w14:textId="77777777" w:rsidR="00000000" w:rsidRDefault="00087966">
            <w:pPr>
              <w:rPr>
                <w:rFonts w:eastAsia="Times New Roman"/>
                <w:sz w:val="20"/>
                <w:szCs w:val="20"/>
              </w:rPr>
            </w:pPr>
            <w:r>
              <w:rPr>
                <w:rFonts w:eastAsia="Times New Roman"/>
                <w:sz w:val="20"/>
                <w:szCs w:val="20"/>
              </w:rPr>
              <w:t> </w:t>
            </w:r>
          </w:p>
        </w:tc>
        <w:tc>
          <w:tcPr>
            <w:tcW w:w="0" w:type="auto"/>
            <w:hideMark/>
          </w:tcPr>
          <w:p w14:paraId="0F0C9469" w14:textId="77777777" w:rsidR="00000000" w:rsidRDefault="00087966">
            <w:pPr>
              <w:jc w:val="center"/>
              <w:rPr>
                <w:rFonts w:eastAsia="Times New Roman"/>
                <w:sz w:val="20"/>
                <w:szCs w:val="20"/>
              </w:rPr>
            </w:pPr>
            <w:r>
              <w:rPr>
                <w:rFonts w:eastAsia="Times New Roman"/>
                <w:sz w:val="20"/>
                <w:szCs w:val="20"/>
              </w:rPr>
              <w:t> </w:t>
            </w:r>
          </w:p>
        </w:tc>
        <w:tc>
          <w:tcPr>
            <w:tcW w:w="0" w:type="auto"/>
            <w:hideMark/>
          </w:tcPr>
          <w:p w14:paraId="70A64706" w14:textId="77777777" w:rsidR="00000000" w:rsidRDefault="00087966">
            <w:pPr>
              <w:rPr>
                <w:rFonts w:eastAsia="Times New Roman"/>
                <w:sz w:val="20"/>
                <w:szCs w:val="20"/>
              </w:rPr>
            </w:pPr>
            <w:r>
              <w:rPr>
                <w:rFonts w:eastAsia="Times New Roman"/>
                <w:sz w:val="20"/>
                <w:szCs w:val="20"/>
              </w:rPr>
              <w:t> </w:t>
            </w:r>
          </w:p>
        </w:tc>
        <w:tc>
          <w:tcPr>
            <w:tcW w:w="0" w:type="auto"/>
            <w:hideMark/>
          </w:tcPr>
          <w:p w14:paraId="35FFAAF0" w14:textId="77777777" w:rsidR="00000000" w:rsidRDefault="00087966">
            <w:pPr>
              <w:jc w:val="center"/>
              <w:rPr>
                <w:rFonts w:eastAsia="Times New Roman"/>
                <w:sz w:val="20"/>
                <w:szCs w:val="20"/>
              </w:rPr>
            </w:pPr>
            <w:r>
              <w:rPr>
                <w:rFonts w:eastAsia="Times New Roman"/>
                <w:sz w:val="20"/>
                <w:szCs w:val="20"/>
              </w:rPr>
              <w:t> </w:t>
            </w:r>
          </w:p>
        </w:tc>
      </w:tr>
      <w:tr w:rsidR="00000000" w14:paraId="34B6E742" w14:textId="77777777">
        <w:trPr>
          <w:divId w:val="1595479706"/>
        </w:trPr>
        <w:tc>
          <w:tcPr>
            <w:tcW w:w="0" w:type="auto"/>
            <w:shd w:val="clear" w:color="auto" w:fill="CCEEFF"/>
            <w:hideMark/>
          </w:tcPr>
          <w:p w14:paraId="38057A18" w14:textId="77777777" w:rsidR="00000000" w:rsidRDefault="00087966">
            <w:pPr>
              <w:pStyle w:val="a3"/>
              <w:spacing w:before="0" w:beforeAutospacing="0" w:after="0" w:afterAutospacing="0"/>
              <w:jc w:val="center"/>
              <w:rPr>
                <w:sz w:val="20"/>
                <w:szCs w:val="20"/>
              </w:rPr>
            </w:pPr>
            <w:r>
              <w:rPr>
                <w:sz w:val="20"/>
                <w:szCs w:val="20"/>
              </w:rPr>
              <w:t>Warrants, each exercisable for one</w:t>
            </w:r>
          </w:p>
          <w:p w14:paraId="4529BAF8" w14:textId="77777777" w:rsidR="00000000" w:rsidRDefault="00087966">
            <w:pPr>
              <w:pStyle w:val="a3"/>
              <w:spacing w:before="0" w:beforeAutospacing="0" w:after="0" w:afterAutospacing="0"/>
              <w:jc w:val="center"/>
              <w:rPr>
                <w:sz w:val="20"/>
                <w:szCs w:val="20"/>
              </w:rPr>
            </w:pPr>
            <w:r>
              <w:rPr>
                <w:sz w:val="20"/>
                <w:szCs w:val="20"/>
              </w:rPr>
              <w:t>share of Class A Common Stock for $11.50 per share, subject to adjustment</w:t>
            </w:r>
          </w:p>
        </w:tc>
        <w:tc>
          <w:tcPr>
            <w:tcW w:w="0" w:type="auto"/>
            <w:shd w:val="clear" w:color="auto" w:fill="CCEEFF"/>
            <w:hideMark/>
          </w:tcPr>
          <w:p w14:paraId="6CF6842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hideMark/>
          </w:tcPr>
          <w:p w14:paraId="48398225" w14:textId="77777777" w:rsidR="00000000" w:rsidRDefault="00087966">
            <w:pPr>
              <w:jc w:val="center"/>
              <w:rPr>
                <w:rFonts w:eastAsia="Times New Roman"/>
                <w:sz w:val="20"/>
                <w:szCs w:val="20"/>
              </w:rPr>
            </w:pPr>
            <w:r>
              <w:rPr>
                <w:rFonts w:eastAsia="Times New Roman"/>
                <w:sz w:val="20"/>
                <w:szCs w:val="20"/>
              </w:rPr>
              <w:t>INKAW</w:t>
            </w:r>
          </w:p>
        </w:tc>
        <w:tc>
          <w:tcPr>
            <w:tcW w:w="0" w:type="auto"/>
            <w:shd w:val="clear" w:color="auto" w:fill="CCEEFF"/>
            <w:hideMark/>
          </w:tcPr>
          <w:p w14:paraId="6142B08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hideMark/>
          </w:tcPr>
          <w:p w14:paraId="567A8115" w14:textId="77777777" w:rsidR="00000000" w:rsidRDefault="00087966">
            <w:pPr>
              <w:jc w:val="center"/>
              <w:rPr>
                <w:rFonts w:eastAsia="Times New Roman"/>
                <w:sz w:val="20"/>
                <w:szCs w:val="20"/>
              </w:rPr>
            </w:pPr>
            <w:r>
              <w:rPr>
                <w:rFonts w:eastAsia="Times New Roman"/>
                <w:sz w:val="20"/>
                <w:szCs w:val="20"/>
              </w:rPr>
              <w:t>The Nasdaq Stock Market LLC</w:t>
            </w:r>
          </w:p>
        </w:tc>
      </w:tr>
    </w:tbl>
    <w:p w14:paraId="67D2A6A4"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174FCF5A" w14:textId="77777777" w:rsidR="00000000" w:rsidRDefault="00087966">
      <w:pPr>
        <w:pStyle w:val="a3"/>
        <w:spacing w:before="0" w:beforeAutospacing="0" w:after="0" w:afterAutospacing="0"/>
        <w:jc w:val="center"/>
        <w:divId w:val="1595479706"/>
        <w:rPr>
          <w:sz w:val="20"/>
          <w:szCs w:val="20"/>
        </w:rPr>
      </w:pPr>
      <w:r>
        <w:rPr>
          <w:b/>
          <w:bCs/>
          <w:sz w:val="20"/>
          <w:szCs w:val="20"/>
        </w:rPr>
        <w:t>Securities registered pursuant to Section 12(g) of the Act: None</w:t>
      </w:r>
    </w:p>
    <w:p w14:paraId="6BD26724" w14:textId="77777777" w:rsidR="00000000" w:rsidRDefault="00087966">
      <w:pPr>
        <w:pStyle w:val="a3"/>
        <w:spacing w:before="0" w:beforeAutospacing="0" w:after="0" w:afterAutospacing="0"/>
        <w:jc w:val="both"/>
        <w:divId w:val="1595479706"/>
        <w:rPr>
          <w:sz w:val="20"/>
          <w:szCs w:val="20"/>
        </w:rPr>
      </w:pPr>
      <w:r>
        <w:rPr>
          <w:sz w:val="20"/>
          <w:szCs w:val="20"/>
        </w:rPr>
        <w:t> </w:t>
      </w:r>
    </w:p>
    <w:p w14:paraId="01CBB9CE" w14:textId="77777777" w:rsidR="00000000" w:rsidRDefault="00087966">
      <w:pPr>
        <w:pStyle w:val="a3"/>
        <w:spacing w:before="0" w:beforeAutospacing="0" w:after="0" w:afterAutospacing="0"/>
        <w:jc w:val="both"/>
        <w:divId w:val="1595479706"/>
        <w:rPr>
          <w:sz w:val="20"/>
          <w:szCs w:val="20"/>
        </w:rPr>
      </w:pPr>
      <w:r>
        <w:rPr>
          <w:sz w:val="20"/>
          <w:szCs w:val="20"/>
        </w:rPr>
        <w:t xml:space="preserve">Indicate 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r>
        <w:rPr>
          <w:sz w:val="20"/>
          <w:szCs w:val="20"/>
        </w:rPr>
        <w:t xml:space="preserve"> </w:t>
      </w:r>
    </w:p>
    <w:p w14:paraId="7FA3D2B2" w14:textId="77777777" w:rsidR="00000000" w:rsidRDefault="00087966">
      <w:pPr>
        <w:pStyle w:val="a3"/>
        <w:spacing w:before="0" w:beforeAutospacing="0" w:after="0" w:afterAutospacing="0"/>
        <w:jc w:val="both"/>
        <w:divId w:val="1595479706"/>
        <w:rPr>
          <w:sz w:val="20"/>
          <w:szCs w:val="20"/>
        </w:rPr>
      </w:pPr>
      <w:r>
        <w:rPr>
          <w:sz w:val="20"/>
          <w:szCs w:val="20"/>
        </w:rPr>
        <w:t> </w:t>
      </w:r>
    </w:p>
    <w:p w14:paraId="4AD70614" w14:textId="77777777" w:rsidR="00000000" w:rsidRDefault="00087966">
      <w:pPr>
        <w:pStyle w:val="a3"/>
        <w:spacing w:before="0" w:beforeAutospacing="0" w:after="0" w:afterAutospacing="0"/>
        <w:jc w:val="both"/>
        <w:divId w:val="1595479706"/>
        <w:rPr>
          <w:sz w:val="20"/>
          <w:szCs w:val="20"/>
        </w:rPr>
      </w:pPr>
      <w:r>
        <w:rPr>
          <w:sz w:val="20"/>
          <w:szCs w:val="20"/>
        </w:rPr>
        <w:lastRenderedPageBreak/>
        <w:t>Indicate by check mark if the registrant is not required to file reports pursuant to Section 13 or Section 15(d) of the</w:t>
      </w:r>
      <w:r>
        <w:rPr>
          <w:sz w:val="20"/>
          <w:szCs w:val="20"/>
        </w:rPr>
        <w:t xml:space="preserv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36111125" w14:textId="77777777" w:rsidR="00000000" w:rsidRDefault="00087966">
      <w:pPr>
        <w:pStyle w:val="a3"/>
        <w:spacing w:before="0" w:beforeAutospacing="0" w:after="0" w:afterAutospacing="0"/>
        <w:jc w:val="both"/>
        <w:divId w:val="1595479706"/>
        <w:rPr>
          <w:sz w:val="20"/>
          <w:szCs w:val="20"/>
        </w:rPr>
      </w:pPr>
      <w:r>
        <w:rPr>
          <w:sz w:val="20"/>
          <w:szCs w:val="20"/>
        </w:rPr>
        <w:t> </w:t>
      </w:r>
    </w:p>
    <w:p w14:paraId="47CB9727" w14:textId="77777777" w:rsidR="00000000" w:rsidRDefault="00087966">
      <w:pPr>
        <w:pStyle w:val="a3"/>
        <w:spacing w:before="0" w:beforeAutospacing="0" w:after="0" w:afterAutospacing="0"/>
        <w:jc w:val="both"/>
        <w:divId w:val="1595479706"/>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w:t>
      </w:r>
      <w:r>
        <w:rPr>
          <w:sz w:val="20"/>
          <w:szCs w:val="20"/>
        </w:rPr>
        <w:t>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68727D6B" w14:textId="77777777" w:rsidR="00000000" w:rsidRDefault="00087966">
      <w:pPr>
        <w:pStyle w:val="a3"/>
        <w:spacing w:before="0" w:beforeAutospacing="0" w:after="0" w:afterAutospacing="0"/>
        <w:jc w:val="both"/>
        <w:divId w:val="1595479706"/>
        <w:rPr>
          <w:sz w:val="20"/>
          <w:szCs w:val="20"/>
        </w:rPr>
      </w:pPr>
      <w:r>
        <w:rPr>
          <w:sz w:val="20"/>
          <w:szCs w:val="20"/>
        </w:rPr>
        <w:t> </w:t>
      </w:r>
    </w:p>
    <w:p w14:paraId="0B42724D" w14:textId="77777777" w:rsidR="00000000" w:rsidRDefault="00087966">
      <w:pPr>
        <w:pStyle w:val="a3"/>
        <w:spacing w:before="0" w:beforeAutospacing="0" w:after="0" w:afterAutospacing="0"/>
        <w:jc w:val="both"/>
        <w:divId w:val="1595479706"/>
        <w:rPr>
          <w:sz w:val="20"/>
          <w:szCs w:val="20"/>
        </w:rPr>
      </w:pPr>
      <w:r>
        <w:rPr>
          <w:sz w:val="20"/>
          <w:szCs w:val="20"/>
        </w:rPr>
        <w:t>Indicate by check mark whether the registrant has submitted electronically every Interactive Data File required to be subm</w:t>
      </w:r>
      <w:r>
        <w:rPr>
          <w:sz w:val="20"/>
          <w:szCs w:val="20"/>
        </w:rPr>
        <w:t>itted pursuant to Rule 405 of Regulation S-T (§ 232.405 of this chapter) during the preceding 12 months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0F27B431" w14:textId="77777777" w:rsidR="00000000" w:rsidRDefault="00087966">
      <w:pPr>
        <w:pStyle w:val="a3"/>
        <w:spacing w:before="0" w:beforeAutospacing="0" w:after="0" w:afterAutospacing="0"/>
        <w:jc w:val="both"/>
        <w:divId w:val="1595479706"/>
        <w:rPr>
          <w:sz w:val="20"/>
          <w:szCs w:val="20"/>
        </w:rPr>
      </w:pPr>
      <w:r>
        <w:rPr>
          <w:sz w:val="20"/>
          <w:szCs w:val="20"/>
        </w:rPr>
        <w:t> </w:t>
      </w:r>
    </w:p>
    <w:p w14:paraId="01386278" w14:textId="77777777" w:rsidR="00000000" w:rsidRDefault="00087966">
      <w:pPr>
        <w:pStyle w:val="a3"/>
        <w:spacing w:before="0" w:beforeAutospacing="0" w:after="0" w:afterAutospacing="0"/>
        <w:jc w:val="both"/>
        <w:divId w:val="1595479706"/>
        <w:rPr>
          <w:sz w:val="20"/>
          <w:szCs w:val="20"/>
        </w:rPr>
      </w:pPr>
      <w:r>
        <w:rPr>
          <w:sz w:val="20"/>
          <w:szCs w:val="20"/>
        </w:rPr>
        <w:t>Indicate by check mark whether the registrant is a la</w:t>
      </w:r>
      <w:r>
        <w:rPr>
          <w:sz w:val="20"/>
          <w:szCs w:val="20"/>
        </w:rPr>
        <w:t>rge accelerated filer, an accelerated filer, a non-accelerated filer, a smaller reporting company or an emerging growth company. See the definitions of “large accelerated filer,” “accelerated filer, “smaller reporting company” and “emerging growth company”</w:t>
      </w:r>
      <w:r>
        <w:rPr>
          <w:sz w:val="20"/>
          <w:szCs w:val="20"/>
        </w:rPr>
        <w:t xml:space="preserve"> in Rule 12b-2 of the Exchange Act.</w:t>
      </w:r>
    </w:p>
    <w:p w14:paraId="6B263E94"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492"/>
        <w:gridCol w:w="1661"/>
        <w:gridCol w:w="2492"/>
        <w:gridCol w:w="1661"/>
      </w:tblGrid>
      <w:tr w:rsidR="00000000" w14:paraId="4DAE7AFE" w14:textId="77777777">
        <w:trPr>
          <w:divId w:val="1595479706"/>
        </w:trPr>
        <w:tc>
          <w:tcPr>
            <w:tcW w:w="1500" w:type="pct"/>
            <w:vAlign w:val="bottom"/>
            <w:hideMark/>
          </w:tcPr>
          <w:p w14:paraId="353B9B52" w14:textId="77777777" w:rsidR="00000000" w:rsidRDefault="00087966">
            <w:pPr>
              <w:jc w:val="both"/>
              <w:rPr>
                <w:rFonts w:eastAsia="Times New Roman"/>
                <w:sz w:val="20"/>
                <w:szCs w:val="20"/>
              </w:rPr>
            </w:pPr>
            <w:r>
              <w:rPr>
                <w:rFonts w:eastAsia="Times New Roman"/>
                <w:sz w:val="20"/>
                <w:szCs w:val="20"/>
              </w:rPr>
              <w:t>Large accelerated filer</w:t>
            </w:r>
          </w:p>
        </w:tc>
        <w:tc>
          <w:tcPr>
            <w:tcW w:w="1000" w:type="pct"/>
            <w:vAlign w:val="bottom"/>
            <w:hideMark/>
          </w:tcPr>
          <w:p w14:paraId="4AC258DA" w14:textId="77777777" w:rsidR="00000000" w:rsidRDefault="00087966">
            <w:pPr>
              <w:jc w:val="both"/>
              <w:rPr>
                <w:rFonts w:eastAsia="Times New Roman"/>
                <w:sz w:val="20"/>
                <w:szCs w:val="20"/>
              </w:rPr>
            </w:pPr>
            <w:r>
              <w:rPr>
                <w:rFonts w:ascii="Segoe UI Symbol" w:eastAsia="Times New Roman" w:hAnsi="Segoe UI Symbol" w:cs="Segoe UI Symbol"/>
                <w:sz w:val="20"/>
                <w:szCs w:val="20"/>
              </w:rPr>
              <w:t>☐</w:t>
            </w:r>
          </w:p>
        </w:tc>
        <w:tc>
          <w:tcPr>
            <w:tcW w:w="1500" w:type="pct"/>
            <w:vAlign w:val="bottom"/>
            <w:hideMark/>
          </w:tcPr>
          <w:p w14:paraId="1CD788A7" w14:textId="77777777" w:rsidR="00000000" w:rsidRDefault="00087966">
            <w:pPr>
              <w:jc w:val="both"/>
              <w:rPr>
                <w:rFonts w:eastAsia="Times New Roman"/>
                <w:sz w:val="20"/>
                <w:szCs w:val="20"/>
              </w:rPr>
            </w:pPr>
            <w:r>
              <w:rPr>
                <w:rFonts w:eastAsia="Times New Roman"/>
                <w:sz w:val="20"/>
                <w:szCs w:val="20"/>
              </w:rPr>
              <w:t>Accelerated filer</w:t>
            </w:r>
          </w:p>
        </w:tc>
        <w:tc>
          <w:tcPr>
            <w:tcW w:w="1000" w:type="pct"/>
            <w:vAlign w:val="bottom"/>
            <w:hideMark/>
          </w:tcPr>
          <w:p w14:paraId="13A21FE6" w14:textId="77777777" w:rsidR="00000000" w:rsidRDefault="00087966">
            <w:pPr>
              <w:jc w:val="both"/>
              <w:rPr>
                <w:rFonts w:eastAsia="Times New Roman"/>
                <w:sz w:val="20"/>
                <w:szCs w:val="20"/>
              </w:rPr>
            </w:pPr>
            <w:r>
              <w:rPr>
                <w:rFonts w:ascii="Segoe UI Symbol" w:eastAsia="Times New Roman" w:hAnsi="Segoe UI Symbol" w:cs="Segoe UI Symbol"/>
                <w:sz w:val="20"/>
                <w:szCs w:val="20"/>
              </w:rPr>
              <w:t>☐</w:t>
            </w:r>
          </w:p>
        </w:tc>
      </w:tr>
      <w:tr w:rsidR="00000000" w14:paraId="1F30E93A" w14:textId="77777777">
        <w:trPr>
          <w:divId w:val="1595479706"/>
        </w:trPr>
        <w:tc>
          <w:tcPr>
            <w:tcW w:w="0" w:type="auto"/>
            <w:vAlign w:val="bottom"/>
            <w:hideMark/>
          </w:tcPr>
          <w:p w14:paraId="39B14435" w14:textId="77777777" w:rsidR="00000000" w:rsidRDefault="00087966">
            <w:pPr>
              <w:jc w:val="both"/>
              <w:rPr>
                <w:rFonts w:eastAsia="Times New Roman"/>
                <w:sz w:val="20"/>
                <w:szCs w:val="20"/>
              </w:rPr>
            </w:pPr>
            <w:r>
              <w:rPr>
                <w:rFonts w:eastAsia="Times New Roman"/>
                <w:sz w:val="20"/>
                <w:szCs w:val="20"/>
              </w:rPr>
              <w:t>Non-accelerated filer</w:t>
            </w:r>
          </w:p>
        </w:tc>
        <w:tc>
          <w:tcPr>
            <w:tcW w:w="0" w:type="auto"/>
            <w:vAlign w:val="bottom"/>
            <w:hideMark/>
          </w:tcPr>
          <w:p w14:paraId="6092683D" w14:textId="77777777" w:rsidR="00000000" w:rsidRDefault="00087966">
            <w:pPr>
              <w:jc w:val="both"/>
              <w:rPr>
                <w:rFonts w:eastAsia="Times New Roman"/>
                <w:sz w:val="20"/>
                <w:szCs w:val="20"/>
              </w:rPr>
            </w:pPr>
            <w:r>
              <w:rPr>
                <w:rFonts w:ascii="Segoe UI Symbol" w:eastAsia="Times New Roman" w:hAnsi="Segoe UI Symbol" w:cs="Segoe UI Symbol"/>
                <w:sz w:val="20"/>
                <w:szCs w:val="20"/>
              </w:rPr>
              <w:t>☒</w:t>
            </w:r>
            <w:r>
              <w:rPr>
                <w:rFonts w:eastAsia="Times New Roman"/>
                <w:sz w:val="20"/>
                <w:szCs w:val="20"/>
              </w:rPr>
              <w:t xml:space="preserve"> </w:t>
            </w:r>
          </w:p>
        </w:tc>
        <w:tc>
          <w:tcPr>
            <w:tcW w:w="0" w:type="auto"/>
            <w:vAlign w:val="bottom"/>
            <w:hideMark/>
          </w:tcPr>
          <w:p w14:paraId="6BB5D4D5" w14:textId="77777777" w:rsidR="00000000" w:rsidRDefault="00087966">
            <w:pPr>
              <w:jc w:val="both"/>
              <w:rPr>
                <w:rFonts w:eastAsia="Times New Roman"/>
                <w:sz w:val="20"/>
                <w:szCs w:val="20"/>
              </w:rPr>
            </w:pPr>
            <w:r>
              <w:rPr>
                <w:rFonts w:eastAsia="Times New Roman"/>
                <w:sz w:val="20"/>
                <w:szCs w:val="20"/>
              </w:rPr>
              <w:t>Smaller reporting company</w:t>
            </w:r>
          </w:p>
        </w:tc>
        <w:tc>
          <w:tcPr>
            <w:tcW w:w="0" w:type="auto"/>
            <w:vAlign w:val="bottom"/>
            <w:hideMark/>
          </w:tcPr>
          <w:p w14:paraId="39B2E611" w14:textId="77777777" w:rsidR="00000000" w:rsidRDefault="00087966">
            <w:pPr>
              <w:jc w:val="both"/>
              <w:rPr>
                <w:rFonts w:eastAsia="Times New Roman"/>
                <w:sz w:val="20"/>
                <w:szCs w:val="20"/>
              </w:rPr>
            </w:pPr>
            <w:r>
              <w:rPr>
                <w:rFonts w:ascii="Segoe UI Symbol" w:eastAsia="Times New Roman" w:hAnsi="Segoe UI Symbol" w:cs="Segoe UI Symbol"/>
                <w:sz w:val="20"/>
                <w:szCs w:val="20"/>
              </w:rPr>
              <w:t>☒</w:t>
            </w:r>
            <w:r>
              <w:rPr>
                <w:rFonts w:eastAsia="Times New Roman"/>
                <w:sz w:val="20"/>
                <w:szCs w:val="20"/>
              </w:rPr>
              <w:t xml:space="preserve"> </w:t>
            </w:r>
          </w:p>
        </w:tc>
      </w:tr>
      <w:tr w:rsidR="00000000" w14:paraId="56132A2E" w14:textId="77777777">
        <w:trPr>
          <w:divId w:val="1595479706"/>
        </w:trPr>
        <w:tc>
          <w:tcPr>
            <w:tcW w:w="0" w:type="auto"/>
            <w:vAlign w:val="bottom"/>
            <w:hideMark/>
          </w:tcPr>
          <w:p w14:paraId="327021C0" w14:textId="77777777" w:rsidR="00000000" w:rsidRDefault="00087966">
            <w:pPr>
              <w:jc w:val="both"/>
              <w:rPr>
                <w:rFonts w:eastAsia="Times New Roman"/>
                <w:sz w:val="20"/>
                <w:szCs w:val="20"/>
              </w:rPr>
            </w:pPr>
            <w:r>
              <w:rPr>
                <w:rFonts w:eastAsia="Times New Roman"/>
                <w:sz w:val="20"/>
                <w:szCs w:val="20"/>
              </w:rPr>
              <w:t>Emerging growth company </w:t>
            </w:r>
          </w:p>
        </w:tc>
        <w:tc>
          <w:tcPr>
            <w:tcW w:w="0" w:type="auto"/>
            <w:vAlign w:val="bottom"/>
            <w:hideMark/>
          </w:tcPr>
          <w:p w14:paraId="12CB87C3" w14:textId="77777777" w:rsidR="00000000" w:rsidRDefault="00087966">
            <w:pPr>
              <w:jc w:val="both"/>
              <w:rPr>
                <w:rFonts w:eastAsia="Times New Roman"/>
                <w:sz w:val="20"/>
                <w:szCs w:val="20"/>
              </w:rPr>
            </w:pPr>
            <w:r>
              <w:rPr>
                <w:rFonts w:ascii="Segoe UI Symbol" w:eastAsia="Times New Roman" w:hAnsi="Segoe UI Symbol" w:cs="Segoe UI Symbol"/>
                <w:sz w:val="20"/>
                <w:szCs w:val="20"/>
              </w:rPr>
              <w:t>☒</w:t>
            </w:r>
            <w:r>
              <w:rPr>
                <w:rFonts w:eastAsia="Times New Roman"/>
                <w:sz w:val="20"/>
                <w:szCs w:val="20"/>
              </w:rPr>
              <w:t xml:space="preserve"> </w:t>
            </w:r>
          </w:p>
        </w:tc>
        <w:tc>
          <w:tcPr>
            <w:tcW w:w="0" w:type="auto"/>
            <w:vAlign w:val="bottom"/>
            <w:hideMark/>
          </w:tcPr>
          <w:p w14:paraId="2524027B" w14:textId="77777777" w:rsidR="00000000" w:rsidRDefault="00087966">
            <w:pPr>
              <w:jc w:val="both"/>
              <w:rPr>
                <w:rFonts w:eastAsia="Times New Roman"/>
                <w:sz w:val="20"/>
                <w:szCs w:val="20"/>
              </w:rPr>
            </w:pPr>
            <w:r>
              <w:rPr>
                <w:rFonts w:eastAsia="Times New Roman"/>
                <w:sz w:val="20"/>
                <w:szCs w:val="20"/>
              </w:rPr>
              <w:t> </w:t>
            </w:r>
          </w:p>
        </w:tc>
        <w:tc>
          <w:tcPr>
            <w:tcW w:w="0" w:type="auto"/>
            <w:vAlign w:val="bottom"/>
            <w:hideMark/>
          </w:tcPr>
          <w:p w14:paraId="717FFCD3" w14:textId="77777777" w:rsidR="00000000" w:rsidRDefault="00087966">
            <w:pPr>
              <w:jc w:val="both"/>
              <w:rPr>
                <w:rFonts w:eastAsia="Times New Roman"/>
                <w:sz w:val="20"/>
                <w:szCs w:val="20"/>
              </w:rPr>
            </w:pPr>
            <w:r>
              <w:rPr>
                <w:rFonts w:eastAsia="Times New Roman"/>
                <w:sz w:val="20"/>
                <w:szCs w:val="20"/>
              </w:rPr>
              <w:t> </w:t>
            </w:r>
          </w:p>
        </w:tc>
      </w:tr>
    </w:tbl>
    <w:p w14:paraId="3846068C" w14:textId="77777777" w:rsidR="00000000" w:rsidRDefault="00087966">
      <w:pPr>
        <w:pStyle w:val="a3"/>
        <w:spacing w:before="0" w:beforeAutospacing="0" w:after="0" w:afterAutospacing="0"/>
        <w:jc w:val="both"/>
        <w:divId w:val="1595479706"/>
        <w:rPr>
          <w:sz w:val="20"/>
          <w:szCs w:val="20"/>
        </w:rPr>
      </w:pPr>
      <w:r>
        <w:rPr>
          <w:sz w:val="20"/>
          <w:szCs w:val="20"/>
        </w:rPr>
        <w:t> </w:t>
      </w:r>
    </w:p>
    <w:p w14:paraId="7175E88C" w14:textId="77777777" w:rsidR="00000000" w:rsidRDefault="00087966">
      <w:pPr>
        <w:pStyle w:val="a3"/>
        <w:spacing w:before="0" w:beforeAutospacing="0" w:after="0" w:afterAutospacing="0"/>
        <w:jc w:val="both"/>
        <w:divId w:val="1595479706"/>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14:paraId="53672BD5" w14:textId="77777777" w:rsidR="00000000" w:rsidRDefault="00087966">
      <w:pPr>
        <w:pStyle w:val="a3"/>
        <w:spacing w:before="0" w:beforeAutospacing="0" w:after="0" w:afterAutospacing="0"/>
        <w:jc w:val="both"/>
        <w:divId w:val="1595479706"/>
        <w:rPr>
          <w:sz w:val="20"/>
          <w:szCs w:val="20"/>
        </w:rPr>
      </w:pPr>
      <w:r>
        <w:rPr>
          <w:sz w:val="20"/>
          <w:szCs w:val="20"/>
        </w:rPr>
        <w:t> </w:t>
      </w:r>
    </w:p>
    <w:p w14:paraId="380976A7" w14:textId="77777777" w:rsidR="00000000" w:rsidRDefault="00087966">
      <w:pPr>
        <w:pStyle w:val="a3"/>
        <w:spacing w:before="0" w:beforeAutospacing="0" w:after="0" w:afterAutospacing="0"/>
        <w:jc w:val="both"/>
        <w:divId w:val="1595479706"/>
        <w:rPr>
          <w:sz w:val="20"/>
          <w:szCs w:val="20"/>
        </w:rPr>
      </w:pPr>
      <w:r>
        <w:rPr>
          <w:sz w:val="20"/>
          <w:szCs w:val="20"/>
        </w:rPr>
        <w:t>I</w:t>
      </w:r>
      <w:r>
        <w:rPr>
          <w:sz w:val="20"/>
          <w:szCs w:val="20"/>
        </w:rPr>
        <w:t>ndicate by check mark whether the registrant has filed a report on and attestation to its management’s assessment of the effectiveness of its internal control over financial reporting under Section 404(b) of the Sarbanes-Oxley Act (15 U.S.C. 7262(b)) by th</w:t>
      </w:r>
      <w:r>
        <w:rPr>
          <w:sz w:val="20"/>
          <w:szCs w:val="20"/>
        </w:rPr>
        <w:t xml:space="preserve">e registered public accounting firm that prepared or issued its audit report. </w:t>
      </w:r>
      <w:r>
        <w:rPr>
          <w:rFonts w:ascii="Segoe UI Symbol" w:hAnsi="Segoe UI Symbol" w:cs="Segoe UI Symbol"/>
          <w:sz w:val="20"/>
          <w:szCs w:val="20"/>
        </w:rPr>
        <w:t>☐</w:t>
      </w:r>
    </w:p>
    <w:p w14:paraId="5E19AA33" w14:textId="77777777" w:rsidR="00000000" w:rsidRDefault="00087966">
      <w:pPr>
        <w:pStyle w:val="a3"/>
        <w:spacing w:before="0" w:beforeAutospacing="0" w:after="0" w:afterAutospacing="0"/>
        <w:jc w:val="both"/>
        <w:divId w:val="1595479706"/>
        <w:rPr>
          <w:sz w:val="20"/>
          <w:szCs w:val="20"/>
        </w:rPr>
      </w:pPr>
      <w:r>
        <w:rPr>
          <w:sz w:val="20"/>
          <w:szCs w:val="20"/>
        </w:rPr>
        <w:t> </w:t>
      </w:r>
    </w:p>
    <w:p w14:paraId="19A355F3" w14:textId="77777777" w:rsidR="00000000" w:rsidRDefault="00087966">
      <w:pPr>
        <w:pStyle w:val="a3"/>
        <w:spacing w:before="0" w:beforeAutospacing="0" w:after="0" w:afterAutospacing="0"/>
        <w:jc w:val="both"/>
        <w:divId w:val="1595479706"/>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14:paraId="2A250293" w14:textId="77777777" w:rsidR="00000000" w:rsidRDefault="00087966">
      <w:pPr>
        <w:pStyle w:val="a3"/>
        <w:spacing w:before="0" w:beforeAutospacing="0" w:after="0" w:afterAutospacing="0"/>
        <w:jc w:val="both"/>
        <w:divId w:val="1595479706"/>
        <w:rPr>
          <w:sz w:val="20"/>
          <w:szCs w:val="20"/>
        </w:rPr>
      </w:pPr>
      <w:r>
        <w:rPr>
          <w:sz w:val="20"/>
          <w:szCs w:val="20"/>
        </w:rPr>
        <w:t> </w:t>
      </w:r>
    </w:p>
    <w:p w14:paraId="68E09D30" w14:textId="77777777" w:rsidR="00000000" w:rsidRDefault="00087966">
      <w:pPr>
        <w:pStyle w:val="a3"/>
        <w:spacing w:before="0" w:beforeAutospacing="0" w:after="0" w:afterAutospacing="0"/>
        <w:jc w:val="both"/>
        <w:divId w:val="1595479706"/>
        <w:rPr>
          <w:sz w:val="20"/>
          <w:szCs w:val="20"/>
        </w:rPr>
      </w:pPr>
      <w:r>
        <w:rPr>
          <w:sz w:val="20"/>
          <w:szCs w:val="20"/>
        </w:rPr>
        <w:t>If securities are registered pursuant to Sect</w:t>
      </w:r>
      <w:r>
        <w:rPr>
          <w:sz w:val="20"/>
          <w:szCs w:val="20"/>
        </w:rPr>
        <w:t>ion 12(b) of the Act, indicate by check mark whether the financial statements of the registrant included in the filing reflect the correction of an error to previously issued financial statements. </w:t>
      </w:r>
      <w:r>
        <w:rPr>
          <w:rFonts w:ascii="Segoe UI Symbol" w:hAnsi="Segoe UI Symbol" w:cs="Segoe UI Symbol"/>
          <w:sz w:val="20"/>
          <w:szCs w:val="20"/>
        </w:rPr>
        <w:t>☐</w:t>
      </w:r>
    </w:p>
    <w:p w14:paraId="0BFB27D6" w14:textId="77777777" w:rsidR="00000000" w:rsidRDefault="00087966">
      <w:pPr>
        <w:pStyle w:val="a3"/>
        <w:spacing w:before="0" w:beforeAutospacing="0" w:after="0" w:afterAutospacing="0"/>
        <w:divId w:val="1595479706"/>
        <w:rPr>
          <w:sz w:val="20"/>
          <w:szCs w:val="20"/>
        </w:rPr>
      </w:pPr>
      <w:r>
        <w:rPr>
          <w:sz w:val="20"/>
          <w:szCs w:val="20"/>
        </w:rPr>
        <w:t> </w:t>
      </w:r>
    </w:p>
    <w:p w14:paraId="3D33F7B6" w14:textId="77777777" w:rsidR="00000000" w:rsidRDefault="00087966">
      <w:pPr>
        <w:pStyle w:val="a3"/>
        <w:spacing w:before="0" w:beforeAutospacing="0" w:after="0" w:afterAutospacing="0"/>
        <w:jc w:val="both"/>
        <w:divId w:val="1595479706"/>
        <w:rPr>
          <w:sz w:val="20"/>
          <w:szCs w:val="20"/>
        </w:rPr>
      </w:pPr>
      <w:r>
        <w:rPr>
          <w:sz w:val="20"/>
          <w:szCs w:val="20"/>
        </w:rPr>
        <w:t>Indicate by check mark whether any of those error corrections are restatements that required a recovery analysis of incentive-based compensation received by any of the registrant’s executive officers during the relevant recovery period pursuant to §240.10D</w:t>
      </w:r>
      <w:r>
        <w:rPr>
          <w:sz w:val="20"/>
          <w:szCs w:val="20"/>
        </w:rPr>
        <w:t xml:space="preserve">-1(b) . </w:t>
      </w:r>
      <w:r>
        <w:rPr>
          <w:rFonts w:ascii="Segoe UI Symbol" w:hAnsi="Segoe UI Symbol" w:cs="Segoe UI Symbol"/>
          <w:sz w:val="20"/>
          <w:szCs w:val="20"/>
        </w:rPr>
        <w:t>☐</w:t>
      </w:r>
    </w:p>
    <w:p w14:paraId="0DB2D916" w14:textId="77777777" w:rsidR="00000000" w:rsidRDefault="00087966">
      <w:pPr>
        <w:pStyle w:val="a3"/>
        <w:spacing w:before="0" w:beforeAutospacing="0" w:after="0" w:afterAutospacing="0"/>
        <w:jc w:val="both"/>
        <w:divId w:val="1595479706"/>
        <w:rPr>
          <w:sz w:val="20"/>
          <w:szCs w:val="20"/>
        </w:rPr>
      </w:pPr>
      <w:r>
        <w:rPr>
          <w:sz w:val="20"/>
          <w:szCs w:val="20"/>
        </w:rPr>
        <w:t> </w:t>
      </w:r>
    </w:p>
    <w:p w14:paraId="213EDDE9" w14:textId="77777777" w:rsidR="00000000" w:rsidRDefault="00087966">
      <w:pPr>
        <w:pStyle w:val="a3"/>
        <w:spacing w:before="0" w:beforeAutospacing="0" w:after="0" w:afterAutospacing="0"/>
        <w:jc w:val="both"/>
        <w:divId w:val="1595479706"/>
        <w:rPr>
          <w:sz w:val="20"/>
          <w:szCs w:val="20"/>
        </w:rPr>
      </w:pPr>
      <w:r>
        <w:rPr>
          <w:sz w:val="20"/>
          <w:szCs w:val="20"/>
        </w:rPr>
        <w:t>The aggregate market value of the outstanding shares of the registrant’s Class A common stock, other than shares held by persons who may be deemed affiliates of the registrant, computed by reference to the 17,250,000 shares of Class A common st</w:t>
      </w:r>
      <w:r>
        <w:rPr>
          <w:sz w:val="20"/>
          <w:szCs w:val="20"/>
        </w:rPr>
        <w:t>ock then outstanding, and the closing price for the Class A common stock as reported on the Nasdaq Capital Market, on June 30, 2022 was $172,327,500.</w:t>
      </w:r>
    </w:p>
    <w:p w14:paraId="03D400F9" w14:textId="77777777" w:rsidR="00000000" w:rsidRDefault="00087966">
      <w:pPr>
        <w:pStyle w:val="a3"/>
        <w:spacing w:before="0" w:beforeAutospacing="0" w:after="0" w:afterAutospacing="0"/>
        <w:jc w:val="both"/>
        <w:divId w:val="1595479706"/>
        <w:rPr>
          <w:sz w:val="20"/>
          <w:szCs w:val="20"/>
        </w:rPr>
      </w:pPr>
      <w:r>
        <w:rPr>
          <w:sz w:val="20"/>
          <w:szCs w:val="20"/>
        </w:rPr>
        <w:t> </w:t>
      </w:r>
    </w:p>
    <w:p w14:paraId="77361550" w14:textId="77777777" w:rsidR="00000000" w:rsidRDefault="00087966">
      <w:pPr>
        <w:pStyle w:val="a3"/>
        <w:spacing w:before="0" w:beforeAutospacing="0" w:after="0" w:afterAutospacing="0"/>
        <w:jc w:val="both"/>
        <w:divId w:val="1595479706"/>
        <w:rPr>
          <w:sz w:val="20"/>
          <w:szCs w:val="20"/>
        </w:rPr>
      </w:pPr>
      <w:r>
        <w:rPr>
          <w:sz w:val="20"/>
          <w:szCs w:val="20"/>
        </w:rPr>
        <w:t>As of March 17, 2023 there were 617,864 shares of Class A common stock, par value $0.0001 per share, and</w:t>
      </w:r>
      <w:r>
        <w:rPr>
          <w:sz w:val="20"/>
          <w:szCs w:val="20"/>
        </w:rPr>
        <w:t xml:space="preserve"> 4,312,500 shares of Class B common stock, par value $0.0001 per share, of the registrant issued and outstanding.</w:t>
      </w:r>
    </w:p>
    <w:p w14:paraId="70DC9B7D" w14:textId="77777777" w:rsidR="00000000" w:rsidRDefault="00087966">
      <w:pPr>
        <w:pStyle w:val="a3"/>
        <w:spacing w:before="0" w:beforeAutospacing="0" w:after="0" w:afterAutospacing="0"/>
        <w:divId w:val="1595479706"/>
        <w:rPr>
          <w:sz w:val="20"/>
          <w:szCs w:val="20"/>
        </w:rPr>
      </w:pPr>
      <w:r>
        <w:rPr>
          <w:sz w:val="20"/>
          <w:szCs w:val="20"/>
        </w:rPr>
        <w:t> </w:t>
      </w:r>
    </w:p>
    <w:p w14:paraId="5A460D4F" w14:textId="77777777" w:rsidR="00000000" w:rsidRDefault="00087966">
      <w:pPr>
        <w:divId w:val="1924756889"/>
        <w:rPr>
          <w:rFonts w:eastAsia="Times New Roman"/>
          <w:sz w:val="2"/>
          <w:szCs w:val="2"/>
        </w:rPr>
      </w:pPr>
      <w:r>
        <w:rPr>
          <w:rFonts w:eastAsia="Times New Roman"/>
          <w:sz w:val="2"/>
          <w:szCs w:val="2"/>
        </w:rPr>
        <w:t> </w:t>
      </w:r>
    </w:p>
    <w:p w14:paraId="4C797620" w14:textId="77777777" w:rsidR="00000000" w:rsidRDefault="00087966">
      <w:pPr>
        <w:pStyle w:val="a3"/>
        <w:spacing w:before="0" w:beforeAutospacing="0" w:after="0" w:afterAutospacing="0"/>
        <w:divId w:val="1595479706"/>
        <w:rPr>
          <w:sz w:val="20"/>
          <w:szCs w:val="20"/>
        </w:rPr>
      </w:pPr>
      <w:r>
        <w:rPr>
          <w:sz w:val="20"/>
          <w:szCs w:val="20"/>
        </w:rPr>
        <w:t> </w:t>
      </w:r>
    </w:p>
    <w:p w14:paraId="6AB58F13" w14:textId="77777777" w:rsidR="00000000" w:rsidRDefault="00087966">
      <w:pPr>
        <w:pStyle w:val="a3"/>
        <w:spacing w:before="0" w:beforeAutospacing="0" w:after="0" w:afterAutospacing="0"/>
        <w:divId w:val="1317800270"/>
        <w:rPr>
          <w:sz w:val="20"/>
          <w:szCs w:val="20"/>
        </w:rPr>
      </w:pPr>
      <w:r>
        <w:rPr>
          <w:sz w:val="20"/>
          <w:szCs w:val="20"/>
        </w:rPr>
        <w:t> </w:t>
      </w:r>
    </w:p>
    <w:p w14:paraId="523EC9DB" w14:textId="77777777" w:rsidR="00000000" w:rsidRDefault="00087966">
      <w:pPr>
        <w:pStyle w:val="a3"/>
        <w:spacing w:before="0" w:beforeAutospacing="0" w:after="0" w:afterAutospacing="0"/>
        <w:jc w:val="center"/>
        <w:divId w:val="1595479706"/>
        <w:rPr>
          <w:sz w:val="20"/>
          <w:szCs w:val="20"/>
        </w:rPr>
      </w:pPr>
      <w:r>
        <w:rPr>
          <w:sz w:val="20"/>
          <w:szCs w:val="20"/>
        </w:rPr>
        <w:t> </w:t>
      </w:r>
    </w:p>
    <w:p w14:paraId="4DD2BD5C" w14:textId="77777777" w:rsidR="00000000" w:rsidRDefault="00087966">
      <w:pPr>
        <w:pStyle w:val="a3"/>
        <w:spacing w:before="0" w:beforeAutospacing="0" w:after="0" w:afterAutospacing="0"/>
        <w:jc w:val="center"/>
        <w:divId w:val="1595479706"/>
        <w:rPr>
          <w:sz w:val="20"/>
          <w:szCs w:val="20"/>
        </w:rPr>
      </w:pPr>
      <w:r>
        <w:rPr>
          <w:b/>
          <w:bCs/>
          <w:sz w:val="20"/>
          <w:szCs w:val="20"/>
          <w:u w:val="single"/>
        </w:rPr>
        <w:t>TABLE OF CONTENTS</w:t>
      </w:r>
    </w:p>
    <w:p w14:paraId="28B7545B"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8"/>
        <w:gridCol w:w="83"/>
        <w:gridCol w:w="6811"/>
        <w:gridCol w:w="664"/>
      </w:tblGrid>
      <w:tr w:rsidR="00000000" w14:paraId="38C0E6CF" w14:textId="77777777">
        <w:trPr>
          <w:divId w:val="1595479706"/>
        </w:trPr>
        <w:tc>
          <w:tcPr>
            <w:tcW w:w="0" w:type="auto"/>
            <w:gridSpan w:val="3"/>
            <w:vAlign w:val="bottom"/>
            <w:hideMark/>
          </w:tcPr>
          <w:p w14:paraId="1C2BEA0C" w14:textId="77777777" w:rsidR="00000000" w:rsidRDefault="00087966">
            <w:pPr>
              <w:jc w:val="both"/>
              <w:rPr>
                <w:rFonts w:eastAsia="Times New Roman"/>
                <w:sz w:val="20"/>
                <w:szCs w:val="20"/>
              </w:rPr>
            </w:pPr>
            <w:r>
              <w:rPr>
                <w:rFonts w:eastAsia="Times New Roman"/>
                <w:sz w:val="20"/>
                <w:szCs w:val="20"/>
              </w:rPr>
              <w:lastRenderedPageBreak/>
              <w:t> </w:t>
            </w:r>
          </w:p>
        </w:tc>
        <w:tc>
          <w:tcPr>
            <w:tcW w:w="0" w:type="auto"/>
            <w:tcBorders>
              <w:bottom w:val="single" w:sz="12" w:space="0" w:color="000000"/>
            </w:tcBorders>
            <w:vAlign w:val="bottom"/>
            <w:hideMark/>
          </w:tcPr>
          <w:p w14:paraId="5BBE90AB" w14:textId="77777777" w:rsidR="00000000" w:rsidRDefault="00087966">
            <w:pPr>
              <w:jc w:val="center"/>
              <w:rPr>
                <w:rFonts w:eastAsia="Times New Roman"/>
                <w:sz w:val="20"/>
                <w:szCs w:val="20"/>
              </w:rPr>
            </w:pPr>
            <w:r>
              <w:rPr>
                <w:rFonts w:eastAsia="Times New Roman"/>
                <w:b/>
                <w:bCs/>
                <w:sz w:val="20"/>
                <w:szCs w:val="20"/>
              </w:rPr>
              <w:t>PAGE</w:t>
            </w:r>
          </w:p>
        </w:tc>
      </w:tr>
      <w:tr w:rsidR="00000000" w14:paraId="033FFB79" w14:textId="77777777">
        <w:trPr>
          <w:divId w:val="1595479706"/>
        </w:trPr>
        <w:tc>
          <w:tcPr>
            <w:tcW w:w="0" w:type="auto"/>
            <w:gridSpan w:val="3"/>
            <w:shd w:val="clear" w:color="auto" w:fill="CCEEFF"/>
            <w:vAlign w:val="bottom"/>
            <w:hideMark/>
          </w:tcPr>
          <w:p w14:paraId="5B63623F" w14:textId="77777777" w:rsidR="00000000" w:rsidRDefault="00087966">
            <w:pPr>
              <w:jc w:val="both"/>
              <w:rPr>
                <w:rFonts w:eastAsia="Times New Roman"/>
                <w:sz w:val="20"/>
                <w:szCs w:val="20"/>
              </w:rPr>
            </w:pPr>
            <w:hyperlink w:anchor="a_001" w:history="1">
              <w:r>
                <w:rPr>
                  <w:rStyle w:val="a4"/>
                  <w:rFonts w:eastAsia="Times New Roman"/>
                  <w:sz w:val="20"/>
                  <w:szCs w:val="20"/>
                </w:rPr>
                <w:t>PART I</w:t>
              </w:r>
            </w:hyperlink>
          </w:p>
        </w:tc>
        <w:tc>
          <w:tcPr>
            <w:tcW w:w="0" w:type="auto"/>
            <w:shd w:val="clear" w:color="auto" w:fill="CCEEFF"/>
            <w:vAlign w:val="bottom"/>
            <w:hideMark/>
          </w:tcPr>
          <w:p w14:paraId="0EBCFCEE" w14:textId="77777777" w:rsidR="00000000" w:rsidRDefault="00087966">
            <w:pPr>
              <w:jc w:val="center"/>
              <w:rPr>
                <w:rFonts w:eastAsia="Times New Roman"/>
                <w:sz w:val="20"/>
                <w:szCs w:val="20"/>
              </w:rPr>
            </w:pPr>
            <w:r>
              <w:rPr>
                <w:rFonts w:eastAsia="Times New Roman"/>
                <w:sz w:val="20"/>
                <w:szCs w:val="20"/>
              </w:rPr>
              <w:t>1</w:t>
            </w:r>
          </w:p>
        </w:tc>
      </w:tr>
      <w:tr w:rsidR="00000000" w14:paraId="2C5DECBC" w14:textId="77777777">
        <w:trPr>
          <w:divId w:val="1595479706"/>
        </w:trPr>
        <w:tc>
          <w:tcPr>
            <w:tcW w:w="450" w:type="pct"/>
            <w:vAlign w:val="bottom"/>
            <w:hideMark/>
          </w:tcPr>
          <w:p w14:paraId="489F0F99" w14:textId="77777777" w:rsidR="00000000" w:rsidRDefault="00087966">
            <w:pPr>
              <w:jc w:val="both"/>
              <w:rPr>
                <w:rFonts w:eastAsia="Times New Roman"/>
                <w:sz w:val="20"/>
                <w:szCs w:val="20"/>
              </w:rPr>
            </w:pPr>
            <w:r>
              <w:rPr>
                <w:rFonts w:eastAsia="Times New Roman"/>
                <w:sz w:val="20"/>
                <w:szCs w:val="20"/>
              </w:rPr>
              <w:t>Item 1.</w:t>
            </w:r>
          </w:p>
        </w:tc>
        <w:tc>
          <w:tcPr>
            <w:tcW w:w="50" w:type="pct"/>
            <w:vAlign w:val="bottom"/>
            <w:hideMark/>
          </w:tcPr>
          <w:p w14:paraId="192634BB" w14:textId="77777777" w:rsidR="00000000" w:rsidRDefault="00087966">
            <w:pPr>
              <w:rPr>
                <w:rFonts w:eastAsia="Times New Roman"/>
                <w:sz w:val="20"/>
                <w:szCs w:val="20"/>
              </w:rPr>
            </w:pPr>
            <w:r>
              <w:rPr>
                <w:rFonts w:eastAsia="Times New Roman"/>
                <w:sz w:val="20"/>
                <w:szCs w:val="20"/>
              </w:rPr>
              <w:t> </w:t>
            </w:r>
          </w:p>
        </w:tc>
        <w:tc>
          <w:tcPr>
            <w:tcW w:w="4100" w:type="pct"/>
            <w:vAlign w:val="bottom"/>
            <w:hideMark/>
          </w:tcPr>
          <w:p w14:paraId="69C1B3BC" w14:textId="77777777" w:rsidR="00000000" w:rsidRDefault="00087966">
            <w:pPr>
              <w:jc w:val="both"/>
              <w:rPr>
                <w:rFonts w:eastAsia="Times New Roman"/>
                <w:sz w:val="20"/>
                <w:szCs w:val="20"/>
              </w:rPr>
            </w:pPr>
            <w:hyperlink w:anchor="a_002" w:history="1">
              <w:r>
                <w:rPr>
                  <w:rStyle w:val="a4"/>
                  <w:rFonts w:eastAsia="Times New Roman"/>
                  <w:sz w:val="20"/>
                  <w:szCs w:val="20"/>
                </w:rPr>
                <w:t>Business.</w:t>
              </w:r>
            </w:hyperlink>
          </w:p>
        </w:tc>
        <w:tc>
          <w:tcPr>
            <w:tcW w:w="400" w:type="pct"/>
            <w:vAlign w:val="bottom"/>
            <w:hideMark/>
          </w:tcPr>
          <w:p w14:paraId="47193047" w14:textId="77777777" w:rsidR="00000000" w:rsidRDefault="00087966">
            <w:pPr>
              <w:jc w:val="center"/>
              <w:rPr>
                <w:rFonts w:eastAsia="Times New Roman"/>
                <w:sz w:val="20"/>
                <w:szCs w:val="20"/>
              </w:rPr>
            </w:pPr>
            <w:r>
              <w:rPr>
                <w:rFonts w:eastAsia="Times New Roman"/>
                <w:sz w:val="20"/>
                <w:szCs w:val="20"/>
              </w:rPr>
              <w:t>1</w:t>
            </w:r>
          </w:p>
        </w:tc>
      </w:tr>
      <w:tr w:rsidR="00000000" w14:paraId="2C24C91B" w14:textId="77777777">
        <w:trPr>
          <w:divId w:val="1595479706"/>
        </w:trPr>
        <w:tc>
          <w:tcPr>
            <w:tcW w:w="0" w:type="auto"/>
            <w:shd w:val="clear" w:color="auto" w:fill="CCEEFF"/>
            <w:vAlign w:val="bottom"/>
            <w:hideMark/>
          </w:tcPr>
          <w:p w14:paraId="2A4FB314" w14:textId="77777777" w:rsidR="00000000" w:rsidRDefault="00087966">
            <w:pPr>
              <w:jc w:val="both"/>
              <w:rPr>
                <w:rFonts w:eastAsia="Times New Roman"/>
                <w:sz w:val="20"/>
                <w:szCs w:val="20"/>
              </w:rPr>
            </w:pPr>
            <w:r>
              <w:rPr>
                <w:rFonts w:eastAsia="Times New Roman"/>
                <w:sz w:val="20"/>
                <w:szCs w:val="20"/>
              </w:rPr>
              <w:t>Item 1A.</w:t>
            </w:r>
          </w:p>
        </w:tc>
        <w:tc>
          <w:tcPr>
            <w:tcW w:w="0" w:type="auto"/>
            <w:shd w:val="clear" w:color="auto" w:fill="CCEEFF"/>
            <w:vAlign w:val="bottom"/>
            <w:hideMark/>
          </w:tcPr>
          <w:p w14:paraId="4E95C46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9BAD54" w14:textId="77777777" w:rsidR="00000000" w:rsidRDefault="00087966">
            <w:pPr>
              <w:jc w:val="both"/>
              <w:rPr>
                <w:rFonts w:eastAsia="Times New Roman"/>
                <w:sz w:val="20"/>
                <w:szCs w:val="20"/>
              </w:rPr>
            </w:pPr>
            <w:hyperlink w:anchor="a_003" w:history="1">
              <w:r>
                <w:rPr>
                  <w:rStyle w:val="a4"/>
                  <w:rFonts w:eastAsia="Times New Roman"/>
                  <w:sz w:val="20"/>
                  <w:szCs w:val="20"/>
                </w:rPr>
                <w:t>Risk Factors.</w:t>
              </w:r>
            </w:hyperlink>
          </w:p>
        </w:tc>
        <w:tc>
          <w:tcPr>
            <w:tcW w:w="0" w:type="auto"/>
            <w:shd w:val="clear" w:color="auto" w:fill="CCEEFF"/>
            <w:vAlign w:val="bottom"/>
            <w:hideMark/>
          </w:tcPr>
          <w:p w14:paraId="09556588" w14:textId="77777777" w:rsidR="00000000" w:rsidRDefault="00087966">
            <w:pPr>
              <w:jc w:val="center"/>
              <w:rPr>
                <w:rFonts w:eastAsia="Times New Roman"/>
                <w:sz w:val="20"/>
                <w:szCs w:val="20"/>
              </w:rPr>
            </w:pPr>
            <w:r>
              <w:rPr>
                <w:rFonts w:eastAsia="Times New Roman"/>
                <w:sz w:val="20"/>
                <w:szCs w:val="20"/>
              </w:rPr>
              <w:t>31</w:t>
            </w:r>
          </w:p>
        </w:tc>
      </w:tr>
      <w:tr w:rsidR="00000000" w14:paraId="47825C35" w14:textId="77777777">
        <w:trPr>
          <w:divId w:val="1595479706"/>
        </w:trPr>
        <w:tc>
          <w:tcPr>
            <w:tcW w:w="0" w:type="auto"/>
            <w:vAlign w:val="bottom"/>
            <w:hideMark/>
          </w:tcPr>
          <w:p w14:paraId="1A43DB37" w14:textId="77777777" w:rsidR="00000000" w:rsidRDefault="00087966">
            <w:pPr>
              <w:jc w:val="both"/>
              <w:rPr>
                <w:rFonts w:eastAsia="Times New Roman"/>
                <w:sz w:val="20"/>
                <w:szCs w:val="20"/>
              </w:rPr>
            </w:pPr>
            <w:r>
              <w:rPr>
                <w:rFonts w:eastAsia="Times New Roman"/>
                <w:sz w:val="20"/>
                <w:szCs w:val="20"/>
              </w:rPr>
              <w:t>Item 1B.</w:t>
            </w:r>
          </w:p>
        </w:tc>
        <w:tc>
          <w:tcPr>
            <w:tcW w:w="0" w:type="auto"/>
            <w:vAlign w:val="bottom"/>
            <w:hideMark/>
          </w:tcPr>
          <w:p w14:paraId="383D8E9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C9521BC" w14:textId="77777777" w:rsidR="00000000" w:rsidRDefault="00087966">
            <w:pPr>
              <w:jc w:val="both"/>
              <w:rPr>
                <w:rFonts w:eastAsia="Times New Roman"/>
                <w:sz w:val="20"/>
                <w:szCs w:val="20"/>
              </w:rPr>
            </w:pPr>
            <w:hyperlink w:anchor="a_004" w:history="1">
              <w:r>
                <w:rPr>
                  <w:rStyle w:val="a4"/>
                  <w:rFonts w:eastAsia="Times New Roman"/>
                  <w:sz w:val="20"/>
                  <w:szCs w:val="20"/>
                </w:rPr>
                <w:t>Unresolved Staff Comments.</w:t>
              </w:r>
            </w:hyperlink>
          </w:p>
        </w:tc>
        <w:tc>
          <w:tcPr>
            <w:tcW w:w="0" w:type="auto"/>
            <w:vAlign w:val="bottom"/>
            <w:hideMark/>
          </w:tcPr>
          <w:p w14:paraId="703BF712" w14:textId="77777777" w:rsidR="00000000" w:rsidRDefault="00087966">
            <w:pPr>
              <w:jc w:val="center"/>
              <w:rPr>
                <w:rFonts w:eastAsia="Times New Roman"/>
                <w:sz w:val="20"/>
                <w:szCs w:val="20"/>
              </w:rPr>
            </w:pPr>
            <w:r>
              <w:rPr>
                <w:rFonts w:eastAsia="Times New Roman"/>
                <w:sz w:val="20"/>
                <w:szCs w:val="20"/>
              </w:rPr>
              <w:t>33</w:t>
            </w:r>
          </w:p>
        </w:tc>
      </w:tr>
      <w:tr w:rsidR="00000000" w14:paraId="07FEC52B" w14:textId="77777777">
        <w:trPr>
          <w:divId w:val="1595479706"/>
        </w:trPr>
        <w:tc>
          <w:tcPr>
            <w:tcW w:w="0" w:type="auto"/>
            <w:shd w:val="clear" w:color="auto" w:fill="CCEEFF"/>
            <w:vAlign w:val="bottom"/>
            <w:hideMark/>
          </w:tcPr>
          <w:p w14:paraId="6F184208" w14:textId="77777777" w:rsidR="00000000" w:rsidRDefault="00087966">
            <w:pPr>
              <w:jc w:val="both"/>
              <w:rPr>
                <w:rFonts w:eastAsia="Times New Roman"/>
                <w:sz w:val="20"/>
                <w:szCs w:val="20"/>
              </w:rPr>
            </w:pPr>
            <w:r>
              <w:rPr>
                <w:rFonts w:eastAsia="Times New Roman"/>
                <w:sz w:val="20"/>
                <w:szCs w:val="20"/>
              </w:rPr>
              <w:t>Item 2.</w:t>
            </w:r>
          </w:p>
        </w:tc>
        <w:tc>
          <w:tcPr>
            <w:tcW w:w="0" w:type="auto"/>
            <w:shd w:val="clear" w:color="auto" w:fill="CCEEFF"/>
            <w:vAlign w:val="bottom"/>
            <w:hideMark/>
          </w:tcPr>
          <w:p w14:paraId="10AA128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94EAC1" w14:textId="77777777" w:rsidR="00000000" w:rsidRDefault="00087966">
            <w:pPr>
              <w:jc w:val="both"/>
              <w:rPr>
                <w:rFonts w:eastAsia="Times New Roman"/>
                <w:sz w:val="20"/>
                <w:szCs w:val="20"/>
              </w:rPr>
            </w:pPr>
            <w:hyperlink w:anchor="a_005" w:history="1">
              <w:r>
                <w:rPr>
                  <w:rStyle w:val="a4"/>
                  <w:rFonts w:eastAsia="Times New Roman"/>
                  <w:sz w:val="20"/>
                  <w:szCs w:val="20"/>
                </w:rPr>
                <w:t>Properties.</w:t>
              </w:r>
            </w:hyperlink>
          </w:p>
        </w:tc>
        <w:tc>
          <w:tcPr>
            <w:tcW w:w="0" w:type="auto"/>
            <w:shd w:val="clear" w:color="auto" w:fill="CCEEFF"/>
            <w:vAlign w:val="bottom"/>
            <w:hideMark/>
          </w:tcPr>
          <w:p w14:paraId="56FECCAC" w14:textId="77777777" w:rsidR="00000000" w:rsidRDefault="00087966">
            <w:pPr>
              <w:jc w:val="center"/>
              <w:rPr>
                <w:rFonts w:eastAsia="Times New Roman"/>
                <w:sz w:val="20"/>
                <w:szCs w:val="20"/>
              </w:rPr>
            </w:pPr>
            <w:r>
              <w:rPr>
                <w:rFonts w:eastAsia="Times New Roman"/>
                <w:sz w:val="20"/>
                <w:szCs w:val="20"/>
              </w:rPr>
              <w:t>33</w:t>
            </w:r>
          </w:p>
        </w:tc>
      </w:tr>
      <w:tr w:rsidR="00000000" w14:paraId="490A18CE" w14:textId="77777777">
        <w:trPr>
          <w:divId w:val="1595479706"/>
        </w:trPr>
        <w:tc>
          <w:tcPr>
            <w:tcW w:w="0" w:type="auto"/>
            <w:vAlign w:val="bottom"/>
            <w:hideMark/>
          </w:tcPr>
          <w:p w14:paraId="53DEBE90" w14:textId="77777777" w:rsidR="00000000" w:rsidRDefault="00087966">
            <w:pPr>
              <w:jc w:val="both"/>
              <w:rPr>
                <w:rFonts w:eastAsia="Times New Roman"/>
                <w:sz w:val="20"/>
                <w:szCs w:val="20"/>
              </w:rPr>
            </w:pPr>
            <w:r>
              <w:rPr>
                <w:rFonts w:eastAsia="Times New Roman"/>
                <w:sz w:val="20"/>
                <w:szCs w:val="20"/>
              </w:rPr>
              <w:t>Item 3.</w:t>
            </w:r>
          </w:p>
        </w:tc>
        <w:tc>
          <w:tcPr>
            <w:tcW w:w="0" w:type="auto"/>
            <w:vAlign w:val="bottom"/>
            <w:hideMark/>
          </w:tcPr>
          <w:p w14:paraId="2341802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2DDB926" w14:textId="77777777" w:rsidR="00000000" w:rsidRDefault="00087966">
            <w:pPr>
              <w:jc w:val="both"/>
              <w:rPr>
                <w:rFonts w:eastAsia="Times New Roman"/>
                <w:sz w:val="20"/>
                <w:szCs w:val="20"/>
              </w:rPr>
            </w:pPr>
            <w:hyperlink w:anchor="a_006" w:history="1">
              <w:r>
                <w:rPr>
                  <w:rStyle w:val="a4"/>
                  <w:rFonts w:eastAsia="Times New Roman"/>
                  <w:sz w:val="20"/>
                  <w:szCs w:val="20"/>
                </w:rPr>
                <w:t>Legal Proceedings.</w:t>
              </w:r>
            </w:hyperlink>
          </w:p>
        </w:tc>
        <w:tc>
          <w:tcPr>
            <w:tcW w:w="0" w:type="auto"/>
            <w:vAlign w:val="bottom"/>
            <w:hideMark/>
          </w:tcPr>
          <w:p w14:paraId="2F14B901" w14:textId="77777777" w:rsidR="00000000" w:rsidRDefault="00087966">
            <w:pPr>
              <w:jc w:val="center"/>
              <w:rPr>
                <w:rFonts w:eastAsia="Times New Roman"/>
                <w:sz w:val="20"/>
                <w:szCs w:val="20"/>
              </w:rPr>
            </w:pPr>
            <w:r>
              <w:rPr>
                <w:rFonts w:eastAsia="Times New Roman"/>
                <w:sz w:val="20"/>
                <w:szCs w:val="20"/>
              </w:rPr>
              <w:t>33</w:t>
            </w:r>
          </w:p>
        </w:tc>
      </w:tr>
      <w:tr w:rsidR="00000000" w14:paraId="28D4589B" w14:textId="77777777">
        <w:trPr>
          <w:divId w:val="1595479706"/>
        </w:trPr>
        <w:tc>
          <w:tcPr>
            <w:tcW w:w="0" w:type="auto"/>
            <w:shd w:val="clear" w:color="auto" w:fill="CCEEFF"/>
            <w:vAlign w:val="bottom"/>
            <w:hideMark/>
          </w:tcPr>
          <w:p w14:paraId="23666E94" w14:textId="77777777" w:rsidR="00000000" w:rsidRDefault="00087966">
            <w:pPr>
              <w:jc w:val="both"/>
              <w:rPr>
                <w:rFonts w:eastAsia="Times New Roman"/>
                <w:sz w:val="20"/>
                <w:szCs w:val="20"/>
              </w:rPr>
            </w:pPr>
            <w:r>
              <w:rPr>
                <w:rFonts w:eastAsia="Times New Roman"/>
                <w:sz w:val="20"/>
                <w:szCs w:val="20"/>
              </w:rPr>
              <w:t>Item 4.</w:t>
            </w:r>
          </w:p>
        </w:tc>
        <w:tc>
          <w:tcPr>
            <w:tcW w:w="0" w:type="auto"/>
            <w:shd w:val="clear" w:color="auto" w:fill="CCEEFF"/>
            <w:vAlign w:val="bottom"/>
            <w:hideMark/>
          </w:tcPr>
          <w:p w14:paraId="2BACF22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D228C5" w14:textId="77777777" w:rsidR="00000000" w:rsidRDefault="00087966">
            <w:pPr>
              <w:jc w:val="both"/>
              <w:rPr>
                <w:rFonts w:eastAsia="Times New Roman"/>
                <w:sz w:val="20"/>
                <w:szCs w:val="20"/>
              </w:rPr>
            </w:pPr>
            <w:hyperlink w:anchor="a_007" w:history="1">
              <w:r>
                <w:rPr>
                  <w:rStyle w:val="a4"/>
                  <w:rFonts w:eastAsia="Times New Roman"/>
                  <w:sz w:val="20"/>
                  <w:szCs w:val="20"/>
                </w:rPr>
                <w:t>Mine Safety Disclosures.</w:t>
              </w:r>
            </w:hyperlink>
          </w:p>
        </w:tc>
        <w:tc>
          <w:tcPr>
            <w:tcW w:w="0" w:type="auto"/>
            <w:shd w:val="clear" w:color="auto" w:fill="CCEEFF"/>
            <w:vAlign w:val="bottom"/>
            <w:hideMark/>
          </w:tcPr>
          <w:p w14:paraId="2D72D14E" w14:textId="77777777" w:rsidR="00000000" w:rsidRDefault="00087966">
            <w:pPr>
              <w:jc w:val="center"/>
              <w:rPr>
                <w:rFonts w:eastAsia="Times New Roman"/>
                <w:sz w:val="20"/>
                <w:szCs w:val="20"/>
              </w:rPr>
            </w:pPr>
            <w:r>
              <w:rPr>
                <w:rFonts w:eastAsia="Times New Roman"/>
                <w:sz w:val="20"/>
                <w:szCs w:val="20"/>
              </w:rPr>
              <w:t>33</w:t>
            </w:r>
          </w:p>
        </w:tc>
      </w:tr>
      <w:tr w:rsidR="00000000" w14:paraId="33E5E4D4" w14:textId="77777777">
        <w:trPr>
          <w:divId w:val="1595479706"/>
        </w:trPr>
        <w:tc>
          <w:tcPr>
            <w:tcW w:w="0" w:type="auto"/>
            <w:gridSpan w:val="3"/>
            <w:vAlign w:val="center"/>
            <w:hideMark/>
          </w:tcPr>
          <w:p w14:paraId="7557FFC8" w14:textId="77777777" w:rsidR="00000000" w:rsidRDefault="00087966">
            <w:pPr>
              <w:jc w:val="both"/>
              <w:rPr>
                <w:rFonts w:eastAsia="Times New Roman"/>
                <w:sz w:val="20"/>
                <w:szCs w:val="20"/>
              </w:rPr>
            </w:pPr>
            <w:r>
              <w:rPr>
                <w:rFonts w:eastAsia="Times New Roman"/>
                <w:sz w:val="20"/>
                <w:szCs w:val="20"/>
              </w:rPr>
              <w:t> </w:t>
            </w:r>
          </w:p>
        </w:tc>
        <w:tc>
          <w:tcPr>
            <w:tcW w:w="0" w:type="auto"/>
            <w:vAlign w:val="center"/>
            <w:hideMark/>
          </w:tcPr>
          <w:p w14:paraId="4BFC94D1" w14:textId="77777777" w:rsidR="00000000" w:rsidRDefault="00087966">
            <w:pPr>
              <w:jc w:val="both"/>
              <w:rPr>
                <w:rFonts w:eastAsia="Times New Roman"/>
                <w:sz w:val="20"/>
                <w:szCs w:val="20"/>
              </w:rPr>
            </w:pPr>
          </w:p>
        </w:tc>
      </w:tr>
      <w:tr w:rsidR="00000000" w14:paraId="6A024CD2" w14:textId="77777777">
        <w:trPr>
          <w:divId w:val="1595479706"/>
        </w:trPr>
        <w:tc>
          <w:tcPr>
            <w:tcW w:w="0" w:type="auto"/>
            <w:gridSpan w:val="3"/>
            <w:shd w:val="clear" w:color="auto" w:fill="CCEEFF"/>
            <w:vAlign w:val="bottom"/>
            <w:hideMark/>
          </w:tcPr>
          <w:p w14:paraId="158856C2" w14:textId="77777777" w:rsidR="00000000" w:rsidRDefault="00087966">
            <w:pPr>
              <w:jc w:val="both"/>
              <w:rPr>
                <w:rFonts w:eastAsia="Times New Roman"/>
                <w:sz w:val="20"/>
                <w:szCs w:val="20"/>
              </w:rPr>
            </w:pPr>
            <w:hyperlink w:anchor="a_008" w:history="1">
              <w:r>
                <w:rPr>
                  <w:rStyle w:val="a4"/>
                  <w:rFonts w:eastAsia="Times New Roman"/>
                  <w:sz w:val="20"/>
                  <w:szCs w:val="20"/>
                </w:rPr>
                <w:t>PART II</w:t>
              </w:r>
            </w:hyperlink>
          </w:p>
        </w:tc>
        <w:tc>
          <w:tcPr>
            <w:tcW w:w="0" w:type="auto"/>
            <w:shd w:val="clear" w:color="auto" w:fill="CCEEFF"/>
            <w:vAlign w:val="bottom"/>
            <w:hideMark/>
          </w:tcPr>
          <w:p w14:paraId="2A751DBB" w14:textId="77777777" w:rsidR="00000000" w:rsidRDefault="00087966">
            <w:pPr>
              <w:jc w:val="center"/>
              <w:rPr>
                <w:rFonts w:eastAsia="Times New Roman"/>
                <w:sz w:val="20"/>
                <w:szCs w:val="20"/>
              </w:rPr>
            </w:pPr>
            <w:r>
              <w:rPr>
                <w:rFonts w:eastAsia="Times New Roman"/>
                <w:sz w:val="20"/>
                <w:szCs w:val="20"/>
              </w:rPr>
              <w:t>34</w:t>
            </w:r>
          </w:p>
        </w:tc>
      </w:tr>
      <w:tr w:rsidR="00000000" w14:paraId="461CE035" w14:textId="77777777">
        <w:trPr>
          <w:divId w:val="1595479706"/>
        </w:trPr>
        <w:tc>
          <w:tcPr>
            <w:tcW w:w="0" w:type="auto"/>
            <w:hideMark/>
          </w:tcPr>
          <w:p w14:paraId="754A15D6" w14:textId="77777777" w:rsidR="00000000" w:rsidRDefault="00087966">
            <w:pPr>
              <w:jc w:val="both"/>
              <w:rPr>
                <w:rFonts w:eastAsia="Times New Roman"/>
                <w:sz w:val="20"/>
                <w:szCs w:val="20"/>
              </w:rPr>
            </w:pPr>
            <w:r>
              <w:rPr>
                <w:rFonts w:eastAsia="Times New Roman"/>
                <w:sz w:val="20"/>
                <w:szCs w:val="20"/>
              </w:rPr>
              <w:t>Item 5.</w:t>
            </w:r>
          </w:p>
        </w:tc>
        <w:tc>
          <w:tcPr>
            <w:tcW w:w="0" w:type="auto"/>
            <w:vAlign w:val="center"/>
            <w:hideMark/>
          </w:tcPr>
          <w:p w14:paraId="3634B51E"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180" w:type="dxa"/>
              <w:bottom w:w="0" w:type="dxa"/>
              <w:right w:w="0" w:type="dxa"/>
            </w:tcMar>
            <w:vAlign w:val="bottom"/>
            <w:hideMark/>
          </w:tcPr>
          <w:p w14:paraId="1F151BD6" w14:textId="77777777" w:rsidR="00000000" w:rsidRDefault="00087966">
            <w:pPr>
              <w:ind w:hanging="180"/>
              <w:jc w:val="both"/>
              <w:rPr>
                <w:rFonts w:eastAsia="Times New Roman"/>
                <w:sz w:val="20"/>
                <w:szCs w:val="20"/>
              </w:rPr>
            </w:pPr>
            <w:hyperlink w:anchor="a_009" w:history="1">
              <w:r>
                <w:rPr>
                  <w:rStyle w:val="a4"/>
                  <w:rFonts w:eastAsia="Times New Roman"/>
                  <w:sz w:val="20"/>
                  <w:szCs w:val="20"/>
                </w:rPr>
                <w:t>Market for Registrant’s Common Equity, Related Stockholder Matters and Issuer Purchases of Equity Securities.</w:t>
              </w:r>
            </w:hyperlink>
          </w:p>
        </w:tc>
        <w:tc>
          <w:tcPr>
            <w:tcW w:w="0" w:type="auto"/>
            <w:hideMark/>
          </w:tcPr>
          <w:p w14:paraId="07D9B5B7" w14:textId="77777777" w:rsidR="00000000" w:rsidRDefault="00087966">
            <w:pPr>
              <w:jc w:val="center"/>
              <w:rPr>
                <w:rFonts w:eastAsia="Times New Roman"/>
                <w:sz w:val="20"/>
                <w:szCs w:val="20"/>
              </w:rPr>
            </w:pPr>
            <w:r>
              <w:rPr>
                <w:rFonts w:eastAsia="Times New Roman"/>
                <w:sz w:val="20"/>
                <w:szCs w:val="20"/>
              </w:rPr>
              <w:t>34</w:t>
            </w:r>
          </w:p>
        </w:tc>
      </w:tr>
      <w:tr w:rsidR="00000000" w14:paraId="42D386C2" w14:textId="77777777">
        <w:trPr>
          <w:divId w:val="1595479706"/>
        </w:trPr>
        <w:tc>
          <w:tcPr>
            <w:tcW w:w="0" w:type="auto"/>
            <w:shd w:val="clear" w:color="auto" w:fill="CCEEFF"/>
            <w:vAlign w:val="bottom"/>
            <w:hideMark/>
          </w:tcPr>
          <w:p w14:paraId="5CD229F8" w14:textId="77777777" w:rsidR="00000000" w:rsidRDefault="00087966">
            <w:pPr>
              <w:jc w:val="both"/>
              <w:rPr>
                <w:rFonts w:eastAsia="Times New Roman"/>
                <w:sz w:val="20"/>
                <w:szCs w:val="20"/>
              </w:rPr>
            </w:pPr>
            <w:r>
              <w:rPr>
                <w:rFonts w:eastAsia="Times New Roman"/>
                <w:sz w:val="20"/>
                <w:szCs w:val="20"/>
              </w:rPr>
              <w:t>Item 6.</w:t>
            </w:r>
          </w:p>
        </w:tc>
        <w:tc>
          <w:tcPr>
            <w:tcW w:w="0" w:type="auto"/>
            <w:shd w:val="clear" w:color="auto" w:fill="CCEEFF"/>
            <w:vAlign w:val="bottom"/>
            <w:hideMark/>
          </w:tcPr>
          <w:p w14:paraId="05A0EB5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70E65C" w14:textId="77777777" w:rsidR="00000000" w:rsidRDefault="00087966">
            <w:pPr>
              <w:jc w:val="both"/>
              <w:rPr>
                <w:rFonts w:eastAsia="Times New Roman"/>
                <w:sz w:val="20"/>
                <w:szCs w:val="20"/>
              </w:rPr>
            </w:pPr>
            <w:hyperlink w:anchor="a_010" w:history="1">
              <w:r>
                <w:rPr>
                  <w:rStyle w:val="a4"/>
                  <w:rFonts w:eastAsia="Times New Roman"/>
                  <w:sz w:val="20"/>
                  <w:szCs w:val="20"/>
                </w:rPr>
                <w:t>[Reserved]</w:t>
              </w:r>
            </w:hyperlink>
          </w:p>
        </w:tc>
        <w:tc>
          <w:tcPr>
            <w:tcW w:w="0" w:type="auto"/>
            <w:shd w:val="clear" w:color="auto" w:fill="CCEEFF"/>
            <w:vAlign w:val="bottom"/>
            <w:hideMark/>
          </w:tcPr>
          <w:p w14:paraId="4B422007" w14:textId="77777777" w:rsidR="00000000" w:rsidRDefault="00087966">
            <w:pPr>
              <w:jc w:val="center"/>
              <w:rPr>
                <w:rFonts w:eastAsia="Times New Roman"/>
                <w:sz w:val="20"/>
                <w:szCs w:val="20"/>
              </w:rPr>
            </w:pPr>
            <w:r>
              <w:rPr>
                <w:rFonts w:eastAsia="Times New Roman"/>
                <w:sz w:val="20"/>
                <w:szCs w:val="20"/>
              </w:rPr>
              <w:t>35</w:t>
            </w:r>
          </w:p>
        </w:tc>
      </w:tr>
      <w:tr w:rsidR="00000000" w14:paraId="347AA444" w14:textId="77777777">
        <w:trPr>
          <w:divId w:val="1595479706"/>
        </w:trPr>
        <w:tc>
          <w:tcPr>
            <w:tcW w:w="0" w:type="auto"/>
            <w:vAlign w:val="bottom"/>
            <w:hideMark/>
          </w:tcPr>
          <w:p w14:paraId="47E58EA0" w14:textId="77777777" w:rsidR="00000000" w:rsidRDefault="00087966">
            <w:pPr>
              <w:jc w:val="both"/>
              <w:rPr>
                <w:rFonts w:eastAsia="Times New Roman"/>
                <w:sz w:val="20"/>
                <w:szCs w:val="20"/>
              </w:rPr>
            </w:pPr>
            <w:r>
              <w:rPr>
                <w:rFonts w:eastAsia="Times New Roman"/>
                <w:sz w:val="20"/>
                <w:szCs w:val="20"/>
              </w:rPr>
              <w:t>Item 7.</w:t>
            </w:r>
          </w:p>
        </w:tc>
        <w:tc>
          <w:tcPr>
            <w:tcW w:w="0" w:type="auto"/>
            <w:vAlign w:val="bottom"/>
            <w:hideMark/>
          </w:tcPr>
          <w:p w14:paraId="4C9D7B4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08EFC87" w14:textId="77777777" w:rsidR="00000000" w:rsidRDefault="00087966">
            <w:pPr>
              <w:jc w:val="both"/>
              <w:rPr>
                <w:rFonts w:eastAsia="Times New Roman"/>
                <w:sz w:val="20"/>
                <w:szCs w:val="20"/>
              </w:rPr>
            </w:pPr>
            <w:hyperlink w:anchor="a_011" w:history="1">
              <w:r>
                <w:rPr>
                  <w:rStyle w:val="a4"/>
                  <w:rFonts w:eastAsia="Times New Roman"/>
                  <w:sz w:val="20"/>
                  <w:szCs w:val="20"/>
                </w:rPr>
                <w:t>Management’s Discussion and Analysis of Financial Condition and Results of Operations.</w:t>
              </w:r>
            </w:hyperlink>
          </w:p>
        </w:tc>
        <w:tc>
          <w:tcPr>
            <w:tcW w:w="0" w:type="auto"/>
            <w:vAlign w:val="bottom"/>
            <w:hideMark/>
          </w:tcPr>
          <w:p w14:paraId="187AA78E" w14:textId="77777777" w:rsidR="00000000" w:rsidRDefault="00087966">
            <w:pPr>
              <w:jc w:val="center"/>
              <w:rPr>
                <w:rFonts w:eastAsia="Times New Roman"/>
                <w:sz w:val="20"/>
                <w:szCs w:val="20"/>
              </w:rPr>
            </w:pPr>
            <w:r>
              <w:rPr>
                <w:rFonts w:eastAsia="Times New Roman"/>
                <w:sz w:val="20"/>
                <w:szCs w:val="20"/>
              </w:rPr>
              <w:t>35</w:t>
            </w:r>
          </w:p>
        </w:tc>
      </w:tr>
      <w:tr w:rsidR="00000000" w14:paraId="2A252C24" w14:textId="77777777">
        <w:trPr>
          <w:divId w:val="1595479706"/>
        </w:trPr>
        <w:tc>
          <w:tcPr>
            <w:tcW w:w="0" w:type="auto"/>
            <w:shd w:val="clear" w:color="auto" w:fill="CCEEFF"/>
            <w:vAlign w:val="bottom"/>
            <w:hideMark/>
          </w:tcPr>
          <w:p w14:paraId="5FFC8896" w14:textId="77777777" w:rsidR="00000000" w:rsidRDefault="00087966">
            <w:pPr>
              <w:jc w:val="both"/>
              <w:rPr>
                <w:rFonts w:eastAsia="Times New Roman"/>
                <w:sz w:val="20"/>
                <w:szCs w:val="20"/>
              </w:rPr>
            </w:pPr>
            <w:r>
              <w:rPr>
                <w:rFonts w:eastAsia="Times New Roman"/>
                <w:sz w:val="20"/>
                <w:szCs w:val="20"/>
              </w:rPr>
              <w:t>Item 7A.</w:t>
            </w:r>
          </w:p>
        </w:tc>
        <w:tc>
          <w:tcPr>
            <w:tcW w:w="0" w:type="auto"/>
            <w:shd w:val="clear" w:color="auto" w:fill="CCEEFF"/>
            <w:vAlign w:val="bottom"/>
            <w:hideMark/>
          </w:tcPr>
          <w:p w14:paraId="7610D20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57750B" w14:textId="77777777" w:rsidR="00000000" w:rsidRDefault="00087966">
            <w:pPr>
              <w:jc w:val="both"/>
              <w:rPr>
                <w:rFonts w:eastAsia="Times New Roman"/>
                <w:sz w:val="20"/>
                <w:szCs w:val="20"/>
              </w:rPr>
            </w:pPr>
            <w:hyperlink w:anchor="a_012" w:history="1">
              <w:r>
                <w:rPr>
                  <w:rStyle w:val="a4"/>
                  <w:rFonts w:eastAsia="Times New Roman"/>
                  <w:sz w:val="20"/>
                  <w:szCs w:val="20"/>
                </w:rPr>
                <w:t>Quantitative and Qualitative Discl</w:t>
              </w:r>
              <w:r>
                <w:rPr>
                  <w:rStyle w:val="a4"/>
                  <w:rFonts w:eastAsia="Times New Roman"/>
                  <w:sz w:val="20"/>
                  <w:szCs w:val="20"/>
                </w:rPr>
                <w:t>osures About Market Risk.</w:t>
              </w:r>
            </w:hyperlink>
          </w:p>
        </w:tc>
        <w:tc>
          <w:tcPr>
            <w:tcW w:w="0" w:type="auto"/>
            <w:shd w:val="clear" w:color="auto" w:fill="CCEEFF"/>
            <w:vAlign w:val="bottom"/>
            <w:hideMark/>
          </w:tcPr>
          <w:p w14:paraId="7C3220E7" w14:textId="77777777" w:rsidR="00000000" w:rsidRDefault="00087966">
            <w:pPr>
              <w:jc w:val="center"/>
              <w:rPr>
                <w:rFonts w:eastAsia="Times New Roman"/>
                <w:sz w:val="20"/>
                <w:szCs w:val="20"/>
              </w:rPr>
            </w:pPr>
            <w:r>
              <w:rPr>
                <w:rFonts w:eastAsia="Times New Roman"/>
                <w:sz w:val="20"/>
                <w:szCs w:val="20"/>
              </w:rPr>
              <w:t>40</w:t>
            </w:r>
          </w:p>
        </w:tc>
      </w:tr>
      <w:tr w:rsidR="00000000" w14:paraId="56D90D2E" w14:textId="77777777">
        <w:trPr>
          <w:divId w:val="1595479706"/>
        </w:trPr>
        <w:tc>
          <w:tcPr>
            <w:tcW w:w="0" w:type="auto"/>
            <w:vAlign w:val="bottom"/>
            <w:hideMark/>
          </w:tcPr>
          <w:p w14:paraId="6F1B1C0B" w14:textId="77777777" w:rsidR="00000000" w:rsidRDefault="00087966">
            <w:pPr>
              <w:jc w:val="both"/>
              <w:rPr>
                <w:rFonts w:eastAsia="Times New Roman"/>
                <w:sz w:val="20"/>
                <w:szCs w:val="20"/>
              </w:rPr>
            </w:pPr>
            <w:r>
              <w:rPr>
                <w:rFonts w:eastAsia="Times New Roman"/>
                <w:sz w:val="20"/>
                <w:szCs w:val="20"/>
              </w:rPr>
              <w:t>Item 8.</w:t>
            </w:r>
          </w:p>
        </w:tc>
        <w:tc>
          <w:tcPr>
            <w:tcW w:w="0" w:type="auto"/>
            <w:vAlign w:val="bottom"/>
            <w:hideMark/>
          </w:tcPr>
          <w:p w14:paraId="7E0FD05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FB7E395" w14:textId="77777777" w:rsidR="00000000" w:rsidRDefault="00087966">
            <w:pPr>
              <w:jc w:val="both"/>
              <w:rPr>
                <w:rFonts w:eastAsia="Times New Roman"/>
                <w:sz w:val="20"/>
                <w:szCs w:val="20"/>
              </w:rPr>
            </w:pPr>
            <w:hyperlink w:anchor="a_013" w:history="1">
              <w:r>
                <w:rPr>
                  <w:rStyle w:val="a4"/>
                  <w:rFonts w:eastAsia="Times New Roman"/>
                  <w:sz w:val="20"/>
                  <w:szCs w:val="20"/>
                </w:rPr>
                <w:t>Financial Statements and Supplementary Data.</w:t>
              </w:r>
            </w:hyperlink>
          </w:p>
        </w:tc>
        <w:tc>
          <w:tcPr>
            <w:tcW w:w="0" w:type="auto"/>
            <w:vAlign w:val="bottom"/>
            <w:hideMark/>
          </w:tcPr>
          <w:p w14:paraId="0CA2A678" w14:textId="77777777" w:rsidR="00000000" w:rsidRDefault="00087966">
            <w:pPr>
              <w:jc w:val="center"/>
              <w:rPr>
                <w:rFonts w:eastAsia="Times New Roman"/>
                <w:sz w:val="20"/>
                <w:szCs w:val="20"/>
              </w:rPr>
            </w:pPr>
            <w:r>
              <w:rPr>
                <w:rFonts w:eastAsia="Times New Roman"/>
                <w:sz w:val="20"/>
                <w:szCs w:val="20"/>
              </w:rPr>
              <w:t>40</w:t>
            </w:r>
          </w:p>
        </w:tc>
      </w:tr>
      <w:tr w:rsidR="00000000" w14:paraId="0035B306" w14:textId="77777777">
        <w:trPr>
          <w:divId w:val="1595479706"/>
        </w:trPr>
        <w:tc>
          <w:tcPr>
            <w:tcW w:w="0" w:type="auto"/>
            <w:shd w:val="clear" w:color="auto" w:fill="CCEEFF"/>
            <w:vAlign w:val="bottom"/>
            <w:hideMark/>
          </w:tcPr>
          <w:p w14:paraId="5FDB7167" w14:textId="77777777" w:rsidR="00000000" w:rsidRDefault="00087966">
            <w:pPr>
              <w:jc w:val="both"/>
              <w:rPr>
                <w:rFonts w:eastAsia="Times New Roman"/>
                <w:sz w:val="20"/>
                <w:szCs w:val="20"/>
              </w:rPr>
            </w:pPr>
            <w:r>
              <w:rPr>
                <w:rFonts w:eastAsia="Times New Roman"/>
                <w:sz w:val="20"/>
                <w:szCs w:val="20"/>
              </w:rPr>
              <w:t>Item 9.</w:t>
            </w:r>
          </w:p>
        </w:tc>
        <w:tc>
          <w:tcPr>
            <w:tcW w:w="0" w:type="auto"/>
            <w:shd w:val="clear" w:color="auto" w:fill="CCEEFF"/>
            <w:vAlign w:val="bottom"/>
            <w:hideMark/>
          </w:tcPr>
          <w:p w14:paraId="009A788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0D988C" w14:textId="77777777" w:rsidR="00000000" w:rsidRDefault="00087966">
            <w:pPr>
              <w:jc w:val="both"/>
              <w:rPr>
                <w:rFonts w:eastAsia="Times New Roman"/>
                <w:sz w:val="20"/>
                <w:szCs w:val="20"/>
              </w:rPr>
            </w:pPr>
            <w:hyperlink w:anchor="a_014" w:history="1">
              <w:r>
                <w:rPr>
                  <w:rStyle w:val="a4"/>
                  <w:rFonts w:eastAsia="Times New Roman"/>
                  <w:sz w:val="20"/>
                  <w:szCs w:val="20"/>
                </w:rPr>
                <w:t>Changes in and Disagreements With Accountants on Accounting and Financial Disclosure.</w:t>
              </w:r>
            </w:hyperlink>
          </w:p>
        </w:tc>
        <w:tc>
          <w:tcPr>
            <w:tcW w:w="0" w:type="auto"/>
            <w:shd w:val="clear" w:color="auto" w:fill="CCEEFF"/>
            <w:vAlign w:val="bottom"/>
            <w:hideMark/>
          </w:tcPr>
          <w:p w14:paraId="41A208BB" w14:textId="77777777" w:rsidR="00000000" w:rsidRDefault="00087966">
            <w:pPr>
              <w:jc w:val="center"/>
              <w:rPr>
                <w:rFonts w:eastAsia="Times New Roman"/>
                <w:sz w:val="20"/>
                <w:szCs w:val="20"/>
              </w:rPr>
            </w:pPr>
            <w:r>
              <w:rPr>
                <w:rFonts w:eastAsia="Times New Roman"/>
                <w:sz w:val="20"/>
                <w:szCs w:val="20"/>
              </w:rPr>
              <w:t>40</w:t>
            </w:r>
          </w:p>
        </w:tc>
      </w:tr>
      <w:tr w:rsidR="00000000" w14:paraId="7A98553B" w14:textId="77777777">
        <w:trPr>
          <w:divId w:val="1595479706"/>
        </w:trPr>
        <w:tc>
          <w:tcPr>
            <w:tcW w:w="0" w:type="auto"/>
            <w:vAlign w:val="bottom"/>
            <w:hideMark/>
          </w:tcPr>
          <w:p w14:paraId="27218C6D" w14:textId="77777777" w:rsidR="00000000" w:rsidRDefault="00087966">
            <w:pPr>
              <w:jc w:val="both"/>
              <w:rPr>
                <w:rFonts w:eastAsia="Times New Roman"/>
                <w:sz w:val="20"/>
                <w:szCs w:val="20"/>
              </w:rPr>
            </w:pPr>
            <w:r>
              <w:rPr>
                <w:rFonts w:eastAsia="Times New Roman"/>
                <w:sz w:val="20"/>
                <w:szCs w:val="20"/>
              </w:rPr>
              <w:t>Item 9A.</w:t>
            </w:r>
          </w:p>
        </w:tc>
        <w:tc>
          <w:tcPr>
            <w:tcW w:w="0" w:type="auto"/>
            <w:vAlign w:val="bottom"/>
            <w:hideMark/>
          </w:tcPr>
          <w:p w14:paraId="4D15019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9EC18B0" w14:textId="77777777" w:rsidR="00000000" w:rsidRDefault="00087966">
            <w:pPr>
              <w:jc w:val="both"/>
              <w:rPr>
                <w:rFonts w:eastAsia="Times New Roman"/>
                <w:sz w:val="20"/>
                <w:szCs w:val="20"/>
              </w:rPr>
            </w:pPr>
            <w:hyperlink w:anchor="a_015" w:history="1">
              <w:r>
                <w:rPr>
                  <w:rStyle w:val="a4"/>
                  <w:rFonts w:eastAsia="Times New Roman"/>
                  <w:sz w:val="20"/>
                  <w:szCs w:val="20"/>
                </w:rPr>
                <w:t>Controls and Procedures.</w:t>
              </w:r>
            </w:hyperlink>
          </w:p>
        </w:tc>
        <w:tc>
          <w:tcPr>
            <w:tcW w:w="0" w:type="auto"/>
            <w:vAlign w:val="bottom"/>
            <w:hideMark/>
          </w:tcPr>
          <w:p w14:paraId="317BEF4E" w14:textId="77777777" w:rsidR="00000000" w:rsidRDefault="00087966">
            <w:pPr>
              <w:jc w:val="center"/>
              <w:rPr>
                <w:rFonts w:eastAsia="Times New Roman"/>
                <w:sz w:val="20"/>
                <w:szCs w:val="20"/>
              </w:rPr>
            </w:pPr>
            <w:r>
              <w:rPr>
                <w:rFonts w:eastAsia="Times New Roman"/>
                <w:sz w:val="20"/>
                <w:szCs w:val="20"/>
              </w:rPr>
              <w:t>40</w:t>
            </w:r>
          </w:p>
        </w:tc>
      </w:tr>
      <w:tr w:rsidR="00000000" w14:paraId="08158F96" w14:textId="77777777">
        <w:trPr>
          <w:divId w:val="1595479706"/>
        </w:trPr>
        <w:tc>
          <w:tcPr>
            <w:tcW w:w="0" w:type="auto"/>
            <w:shd w:val="clear" w:color="auto" w:fill="CCEEFF"/>
            <w:vAlign w:val="bottom"/>
            <w:hideMark/>
          </w:tcPr>
          <w:p w14:paraId="410AA6BA" w14:textId="77777777" w:rsidR="00000000" w:rsidRDefault="00087966">
            <w:pPr>
              <w:jc w:val="both"/>
              <w:rPr>
                <w:rFonts w:eastAsia="Times New Roman"/>
                <w:sz w:val="20"/>
                <w:szCs w:val="20"/>
              </w:rPr>
            </w:pPr>
            <w:r>
              <w:rPr>
                <w:rFonts w:eastAsia="Times New Roman"/>
                <w:sz w:val="20"/>
                <w:szCs w:val="20"/>
              </w:rPr>
              <w:t>Item 9B.</w:t>
            </w:r>
          </w:p>
        </w:tc>
        <w:tc>
          <w:tcPr>
            <w:tcW w:w="0" w:type="auto"/>
            <w:shd w:val="clear" w:color="auto" w:fill="CCEEFF"/>
            <w:vAlign w:val="bottom"/>
            <w:hideMark/>
          </w:tcPr>
          <w:p w14:paraId="50AB15C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6FFFFC" w14:textId="77777777" w:rsidR="00000000" w:rsidRDefault="00087966">
            <w:pPr>
              <w:jc w:val="both"/>
              <w:rPr>
                <w:rFonts w:eastAsia="Times New Roman"/>
                <w:sz w:val="20"/>
                <w:szCs w:val="20"/>
              </w:rPr>
            </w:pPr>
            <w:hyperlink w:anchor="a_016" w:history="1">
              <w:r>
                <w:rPr>
                  <w:rStyle w:val="a4"/>
                  <w:rFonts w:eastAsia="Times New Roman"/>
                  <w:sz w:val="20"/>
                  <w:szCs w:val="20"/>
                </w:rPr>
                <w:t>Other Information.</w:t>
              </w:r>
            </w:hyperlink>
          </w:p>
        </w:tc>
        <w:tc>
          <w:tcPr>
            <w:tcW w:w="0" w:type="auto"/>
            <w:shd w:val="clear" w:color="auto" w:fill="CCEEFF"/>
            <w:vAlign w:val="bottom"/>
            <w:hideMark/>
          </w:tcPr>
          <w:p w14:paraId="39BC4E53" w14:textId="77777777" w:rsidR="00000000" w:rsidRDefault="00087966">
            <w:pPr>
              <w:jc w:val="center"/>
              <w:rPr>
                <w:rFonts w:eastAsia="Times New Roman"/>
                <w:sz w:val="20"/>
                <w:szCs w:val="20"/>
              </w:rPr>
            </w:pPr>
            <w:r>
              <w:rPr>
                <w:rFonts w:eastAsia="Times New Roman"/>
                <w:sz w:val="20"/>
                <w:szCs w:val="20"/>
              </w:rPr>
              <w:t>41</w:t>
            </w:r>
          </w:p>
        </w:tc>
      </w:tr>
      <w:tr w:rsidR="00000000" w14:paraId="08085EA5" w14:textId="77777777">
        <w:trPr>
          <w:divId w:val="1595479706"/>
        </w:trPr>
        <w:tc>
          <w:tcPr>
            <w:tcW w:w="0" w:type="auto"/>
            <w:vAlign w:val="bottom"/>
            <w:hideMark/>
          </w:tcPr>
          <w:p w14:paraId="3E322145" w14:textId="77777777" w:rsidR="00000000" w:rsidRDefault="00087966">
            <w:pPr>
              <w:jc w:val="both"/>
              <w:rPr>
                <w:rFonts w:eastAsia="Times New Roman"/>
                <w:sz w:val="20"/>
                <w:szCs w:val="20"/>
              </w:rPr>
            </w:pPr>
            <w:r>
              <w:rPr>
                <w:rFonts w:eastAsia="Times New Roman"/>
                <w:sz w:val="20"/>
                <w:szCs w:val="20"/>
              </w:rPr>
              <w:t>Item 9C.</w:t>
            </w:r>
          </w:p>
        </w:tc>
        <w:tc>
          <w:tcPr>
            <w:tcW w:w="0" w:type="auto"/>
            <w:vAlign w:val="bottom"/>
            <w:hideMark/>
          </w:tcPr>
          <w:p w14:paraId="24331B4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7A92F27" w14:textId="77777777" w:rsidR="00000000" w:rsidRDefault="00087966">
            <w:pPr>
              <w:jc w:val="both"/>
              <w:rPr>
                <w:rFonts w:eastAsia="Times New Roman"/>
                <w:sz w:val="20"/>
                <w:szCs w:val="20"/>
              </w:rPr>
            </w:pPr>
            <w:hyperlink w:anchor="a_017" w:history="1">
              <w:r>
                <w:rPr>
                  <w:rStyle w:val="a4"/>
                  <w:rFonts w:eastAsia="Times New Roman"/>
                  <w:sz w:val="20"/>
                  <w:szCs w:val="20"/>
                </w:rPr>
                <w:t>Disclosure Regarding Foreign Jurisdictions that Prevent Inspections.</w:t>
              </w:r>
            </w:hyperlink>
          </w:p>
        </w:tc>
        <w:tc>
          <w:tcPr>
            <w:tcW w:w="0" w:type="auto"/>
            <w:vAlign w:val="bottom"/>
            <w:hideMark/>
          </w:tcPr>
          <w:p w14:paraId="1082E142" w14:textId="77777777" w:rsidR="00000000" w:rsidRDefault="00087966">
            <w:pPr>
              <w:jc w:val="center"/>
              <w:rPr>
                <w:rFonts w:eastAsia="Times New Roman"/>
                <w:sz w:val="20"/>
                <w:szCs w:val="20"/>
              </w:rPr>
            </w:pPr>
            <w:r>
              <w:rPr>
                <w:rFonts w:eastAsia="Times New Roman"/>
                <w:sz w:val="20"/>
                <w:szCs w:val="20"/>
              </w:rPr>
              <w:t>41</w:t>
            </w:r>
          </w:p>
        </w:tc>
      </w:tr>
      <w:tr w:rsidR="00000000" w14:paraId="4C781D71" w14:textId="77777777">
        <w:trPr>
          <w:divId w:val="1595479706"/>
        </w:trPr>
        <w:tc>
          <w:tcPr>
            <w:tcW w:w="0" w:type="auto"/>
            <w:gridSpan w:val="3"/>
            <w:shd w:val="clear" w:color="auto" w:fill="CCEEFF"/>
            <w:vAlign w:val="center"/>
            <w:hideMark/>
          </w:tcPr>
          <w:p w14:paraId="4423A639"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vAlign w:val="center"/>
            <w:hideMark/>
          </w:tcPr>
          <w:p w14:paraId="26ACC116" w14:textId="77777777" w:rsidR="00000000" w:rsidRDefault="00087966">
            <w:pPr>
              <w:jc w:val="center"/>
              <w:rPr>
                <w:rFonts w:eastAsia="Times New Roman"/>
                <w:sz w:val="20"/>
                <w:szCs w:val="20"/>
              </w:rPr>
            </w:pPr>
            <w:r>
              <w:rPr>
                <w:rFonts w:eastAsia="Times New Roman"/>
                <w:sz w:val="20"/>
                <w:szCs w:val="20"/>
              </w:rPr>
              <w:t> </w:t>
            </w:r>
          </w:p>
        </w:tc>
      </w:tr>
      <w:tr w:rsidR="00000000" w14:paraId="6C8B9C94" w14:textId="77777777">
        <w:trPr>
          <w:divId w:val="1595479706"/>
        </w:trPr>
        <w:tc>
          <w:tcPr>
            <w:tcW w:w="0" w:type="auto"/>
            <w:gridSpan w:val="3"/>
            <w:vAlign w:val="bottom"/>
            <w:hideMark/>
          </w:tcPr>
          <w:p w14:paraId="370E5796" w14:textId="77777777" w:rsidR="00000000" w:rsidRDefault="00087966">
            <w:pPr>
              <w:jc w:val="both"/>
              <w:rPr>
                <w:rFonts w:eastAsia="Times New Roman"/>
                <w:sz w:val="20"/>
                <w:szCs w:val="20"/>
              </w:rPr>
            </w:pPr>
            <w:hyperlink w:anchor="a_018" w:history="1">
              <w:r>
                <w:rPr>
                  <w:rStyle w:val="a4"/>
                  <w:rFonts w:eastAsia="Times New Roman"/>
                  <w:sz w:val="20"/>
                  <w:szCs w:val="20"/>
                </w:rPr>
                <w:t>PART III</w:t>
              </w:r>
            </w:hyperlink>
          </w:p>
        </w:tc>
        <w:tc>
          <w:tcPr>
            <w:tcW w:w="0" w:type="auto"/>
            <w:vAlign w:val="bottom"/>
            <w:hideMark/>
          </w:tcPr>
          <w:p w14:paraId="3C42DFAC" w14:textId="77777777" w:rsidR="00000000" w:rsidRDefault="00087966">
            <w:pPr>
              <w:jc w:val="center"/>
              <w:rPr>
                <w:rFonts w:eastAsia="Times New Roman"/>
                <w:sz w:val="20"/>
                <w:szCs w:val="20"/>
              </w:rPr>
            </w:pPr>
            <w:r>
              <w:rPr>
                <w:rFonts w:eastAsia="Times New Roman"/>
                <w:sz w:val="20"/>
                <w:szCs w:val="20"/>
              </w:rPr>
              <w:t>42</w:t>
            </w:r>
          </w:p>
        </w:tc>
      </w:tr>
      <w:tr w:rsidR="00000000" w14:paraId="08099745" w14:textId="77777777">
        <w:trPr>
          <w:divId w:val="1595479706"/>
        </w:trPr>
        <w:tc>
          <w:tcPr>
            <w:tcW w:w="0" w:type="auto"/>
            <w:shd w:val="clear" w:color="auto" w:fill="CCEEFF"/>
            <w:vAlign w:val="bottom"/>
            <w:hideMark/>
          </w:tcPr>
          <w:p w14:paraId="4302C477" w14:textId="77777777" w:rsidR="00000000" w:rsidRDefault="00087966">
            <w:pPr>
              <w:jc w:val="both"/>
              <w:rPr>
                <w:rFonts w:eastAsia="Times New Roman"/>
                <w:sz w:val="20"/>
                <w:szCs w:val="20"/>
              </w:rPr>
            </w:pPr>
            <w:r>
              <w:rPr>
                <w:rFonts w:eastAsia="Times New Roman"/>
                <w:sz w:val="20"/>
                <w:szCs w:val="20"/>
              </w:rPr>
              <w:t>Item 10.</w:t>
            </w:r>
          </w:p>
        </w:tc>
        <w:tc>
          <w:tcPr>
            <w:tcW w:w="0" w:type="auto"/>
            <w:shd w:val="clear" w:color="auto" w:fill="CCEEFF"/>
            <w:vAlign w:val="bottom"/>
            <w:hideMark/>
          </w:tcPr>
          <w:p w14:paraId="5C37D5E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1511F8" w14:textId="77777777" w:rsidR="00000000" w:rsidRDefault="00087966">
            <w:pPr>
              <w:jc w:val="both"/>
              <w:rPr>
                <w:rFonts w:eastAsia="Times New Roman"/>
                <w:sz w:val="20"/>
                <w:szCs w:val="20"/>
              </w:rPr>
            </w:pPr>
            <w:hyperlink w:anchor="a_019" w:history="1">
              <w:r>
                <w:rPr>
                  <w:rStyle w:val="a4"/>
                  <w:rFonts w:eastAsia="Times New Roman"/>
                  <w:sz w:val="20"/>
                  <w:szCs w:val="20"/>
                </w:rPr>
                <w:t>Directors, Executive Officers and Corporate Governance.</w:t>
              </w:r>
            </w:hyperlink>
          </w:p>
        </w:tc>
        <w:tc>
          <w:tcPr>
            <w:tcW w:w="0" w:type="auto"/>
            <w:shd w:val="clear" w:color="auto" w:fill="CCEEFF"/>
            <w:vAlign w:val="bottom"/>
            <w:hideMark/>
          </w:tcPr>
          <w:p w14:paraId="745F533F" w14:textId="77777777" w:rsidR="00000000" w:rsidRDefault="00087966">
            <w:pPr>
              <w:jc w:val="center"/>
              <w:rPr>
                <w:rFonts w:eastAsia="Times New Roman"/>
                <w:sz w:val="20"/>
                <w:szCs w:val="20"/>
              </w:rPr>
            </w:pPr>
            <w:r>
              <w:rPr>
                <w:rFonts w:eastAsia="Times New Roman"/>
                <w:sz w:val="20"/>
                <w:szCs w:val="20"/>
              </w:rPr>
              <w:t>42</w:t>
            </w:r>
          </w:p>
        </w:tc>
      </w:tr>
      <w:tr w:rsidR="00000000" w14:paraId="50B89A1B" w14:textId="77777777">
        <w:trPr>
          <w:divId w:val="1595479706"/>
        </w:trPr>
        <w:tc>
          <w:tcPr>
            <w:tcW w:w="0" w:type="auto"/>
            <w:vAlign w:val="bottom"/>
            <w:hideMark/>
          </w:tcPr>
          <w:p w14:paraId="72FCDD72" w14:textId="77777777" w:rsidR="00000000" w:rsidRDefault="00087966">
            <w:pPr>
              <w:jc w:val="both"/>
              <w:rPr>
                <w:rFonts w:eastAsia="Times New Roman"/>
                <w:sz w:val="20"/>
                <w:szCs w:val="20"/>
              </w:rPr>
            </w:pPr>
            <w:r>
              <w:rPr>
                <w:rFonts w:eastAsia="Times New Roman"/>
                <w:sz w:val="20"/>
                <w:szCs w:val="20"/>
              </w:rPr>
              <w:t>Item 11.</w:t>
            </w:r>
          </w:p>
        </w:tc>
        <w:tc>
          <w:tcPr>
            <w:tcW w:w="0" w:type="auto"/>
            <w:vAlign w:val="bottom"/>
            <w:hideMark/>
          </w:tcPr>
          <w:p w14:paraId="69C8652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7DCB9F8" w14:textId="77777777" w:rsidR="00000000" w:rsidRDefault="00087966">
            <w:pPr>
              <w:jc w:val="both"/>
              <w:rPr>
                <w:rFonts w:eastAsia="Times New Roman"/>
                <w:sz w:val="20"/>
                <w:szCs w:val="20"/>
              </w:rPr>
            </w:pPr>
            <w:hyperlink w:anchor="a_020" w:history="1">
              <w:r>
                <w:rPr>
                  <w:rStyle w:val="a4"/>
                  <w:rFonts w:eastAsia="Times New Roman"/>
                  <w:sz w:val="20"/>
                  <w:szCs w:val="20"/>
                </w:rPr>
                <w:t>Executive Compensation.</w:t>
              </w:r>
            </w:hyperlink>
          </w:p>
        </w:tc>
        <w:tc>
          <w:tcPr>
            <w:tcW w:w="0" w:type="auto"/>
            <w:vAlign w:val="bottom"/>
            <w:hideMark/>
          </w:tcPr>
          <w:p w14:paraId="79D73928" w14:textId="77777777" w:rsidR="00000000" w:rsidRDefault="00087966">
            <w:pPr>
              <w:jc w:val="center"/>
              <w:rPr>
                <w:rFonts w:eastAsia="Times New Roman"/>
                <w:sz w:val="20"/>
                <w:szCs w:val="20"/>
              </w:rPr>
            </w:pPr>
            <w:r>
              <w:rPr>
                <w:rFonts w:eastAsia="Times New Roman"/>
                <w:sz w:val="20"/>
                <w:szCs w:val="20"/>
              </w:rPr>
              <w:t>46</w:t>
            </w:r>
          </w:p>
        </w:tc>
      </w:tr>
      <w:tr w:rsidR="00000000" w14:paraId="7023DF6A" w14:textId="77777777">
        <w:trPr>
          <w:divId w:val="1595479706"/>
        </w:trPr>
        <w:tc>
          <w:tcPr>
            <w:tcW w:w="0" w:type="auto"/>
            <w:shd w:val="clear" w:color="auto" w:fill="CCEEFF"/>
            <w:vAlign w:val="bottom"/>
            <w:hideMark/>
          </w:tcPr>
          <w:p w14:paraId="54FCF146" w14:textId="77777777" w:rsidR="00000000" w:rsidRDefault="00087966">
            <w:pPr>
              <w:jc w:val="both"/>
              <w:rPr>
                <w:rFonts w:eastAsia="Times New Roman"/>
                <w:sz w:val="20"/>
                <w:szCs w:val="20"/>
              </w:rPr>
            </w:pPr>
            <w:r>
              <w:rPr>
                <w:rFonts w:eastAsia="Times New Roman"/>
                <w:sz w:val="20"/>
                <w:szCs w:val="20"/>
              </w:rPr>
              <w:t>Item 12.</w:t>
            </w:r>
          </w:p>
        </w:tc>
        <w:tc>
          <w:tcPr>
            <w:tcW w:w="0" w:type="auto"/>
            <w:shd w:val="clear" w:color="auto" w:fill="CCEEFF"/>
            <w:vAlign w:val="bottom"/>
            <w:hideMark/>
          </w:tcPr>
          <w:p w14:paraId="06C0E0C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7AE2D1" w14:textId="77777777" w:rsidR="00000000" w:rsidRDefault="00087966">
            <w:pPr>
              <w:jc w:val="both"/>
              <w:rPr>
                <w:rFonts w:eastAsia="Times New Roman"/>
                <w:sz w:val="20"/>
                <w:szCs w:val="20"/>
              </w:rPr>
            </w:pPr>
            <w:hyperlink w:anchor="a_021" w:history="1">
              <w:r>
                <w:rPr>
                  <w:rStyle w:val="a4"/>
                  <w:rFonts w:eastAsia="Times New Roman"/>
                  <w:sz w:val="20"/>
                  <w:szCs w:val="20"/>
                </w:rPr>
                <w:t>Security Ownership of Certain Beneficial Owners and Management and Related Stockholder Mat</w:t>
              </w:r>
              <w:r>
                <w:rPr>
                  <w:rStyle w:val="a4"/>
                  <w:rFonts w:eastAsia="Times New Roman"/>
                  <w:sz w:val="20"/>
                  <w:szCs w:val="20"/>
                </w:rPr>
                <w:t>ters.</w:t>
              </w:r>
            </w:hyperlink>
          </w:p>
        </w:tc>
        <w:tc>
          <w:tcPr>
            <w:tcW w:w="0" w:type="auto"/>
            <w:shd w:val="clear" w:color="auto" w:fill="CCEEFF"/>
            <w:vAlign w:val="bottom"/>
            <w:hideMark/>
          </w:tcPr>
          <w:p w14:paraId="755C472F" w14:textId="77777777" w:rsidR="00000000" w:rsidRDefault="00087966">
            <w:pPr>
              <w:jc w:val="center"/>
              <w:rPr>
                <w:rFonts w:eastAsia="Times New Roman"/>
                <w:sz w:val="20"/>
                <w:szCs w:val="20"/>
              </w:rPr>
            </w:pPr>
            <w:r>
              <w:rPr>
                <w:rFonts w:eastAsia="Times New Roman"/>
                <w:sz w:val="20"/>
                <w:szCs w:val="20"/>
              </w:rPr>
              <w:t>46</w:t>
            </w:r>
          </w:p>
        </w:tc>
      </w:tr>
      <w:tr w:rsidR="00000000" w14:paraId="35D082F8" w14:textId="77777777">
        <w:trPr>
          <w:divId w:val="1595479706"/>
        </w:trPr>
        <w:tc>
          <w:tcPr>
            <w:tcW w:w="0" w:type="auto"/>
            <w:vAlign w:val="bottom"/>
            <w:hideMark/>
          </w:tcPr>
          <w:p w14:paraId="2B3EE3C3" w14:textId="77777777" w:rsidR="00000000" w:rsidRDefault="00087966">
            <w:pPr>
              <w:jc w:val="both"/>
              <w:rPr>
                <w:rFonts w:eastAsia="Times New Roman"/>
                <w:sz w:val="20"/>
                <w:szCs w:val="20"/>
              </w:rPr>
            </w:pPr>
            <w:r>
              <w:rPr>
                <w:rFonts w:eastAsia="Times New Roman"/>
                <w:sz w:val="20"/>
                <w:szCs w:val="20"/>
              </w:rPr>
              <w:t>Item 13.</w:t>
            </w:r>
          </w:p>
        </w:tc>
        <w:tc>
          <w:tcPr>
            <w:tcW w:w="0" w:type="auto"/>
            <w:vAlign w:val="bottom"/>
            <w:hideMark/>
          </w:tcPr>
          <w:p w14:paraId="26B48C3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774657C" w14:textId="77777777" w:rsidR="00000000" w:rsidRDefault="00087966">
            <w:pPr>
              <w:jc w:val="both"/>
              <w:rPr>
                <w:rFonts w:eastAsia="Times New Roman"/>
                <w:sz w:val="20"/>
                <w:szCs w:val="20"/>
              </w:rPr>
            </w:pPr>
            <w:hyperlink w:anchor="a_022" w:history="1">
              <w:r>
                <w:rPr>
                  <w:rStyle w:val="a4"/>
                  <w:rFonts w:eastAsia="Times New Roman"/>
                  <w:sz w:val="20"/>
                  <w:szCs w:val="20"/>
                </w:rPr>
                <w:t>Certain Relationships and Related Transactions, and Director Independence.</w:t>
              </w:r>
            </w:hyperlink>
          </w:p>
        </w:tc>
        <w:tc>
          <w:tcPr>
            <w:tcW w:w="0" w:type="auto"/>
            <w:vAlign w:val="bottom"/>
            <w:hideMark/>
          </w:tcPr>
          <w:p w14:paraId="47662CC6" w14:textId="77777777" w:rsidR="00000000" w:rsidRDefault="00087966">
            <w:pPr>
              <w:jc w:val="center"/>
              <w:rPr>
                <w:rFonts w:eastAsia="Times New Roman"/>
                <w:sz w:val="20"/>
                <w:szCs w:val="20"/>
              </w:rPr>
            </w:pPr>
            <w:r>
              <w:rPr>
                <w:rFonts w:eastAsia="Times New Roman"/>
                <w:sz w:val="20"/>
                <w:szCs w:val="20"/>
              </w:rPr>
              <w:t>48</w:t>
            </w:r>
          </w:p>
        </w:tc>
      </w:tr>
      <w:tr w:rsidR="00000000" w14:paraId="0DFAF2E4" w14:textId="77777777">
        <w:trPr>
          <w:divId w:val="1595479706"/>
        </w:trPr>
        <w:tc>
          <w:tcPr>
            <w:tcW w:w="0" w:type="auto"/>
            <w:shd w:val="clear" w:color="auto" w:fill="CCEEFF"/>
            <w:vAlign w:val="bottom"/>
            <w:hideMark/>
          </w:tcPr>
          <w:p w14:paraId="1B3D322C" w14:textId="77777777" w:rsidR="00000000" w:rsidRDefault="00087966">
            <w:pPr>
              <w:jc w:val="both"/>
              <w:rPr>
                <w:rFonts w:eastAsia="Times New Roman"/>
                <w:sz w:val="20"/>
                <w:szCs w:val="20"/>
              </w:rPr>
            </w:pPr>
            <w:r>
              <w:rPr>
                <w:rFonts w:eastAsia="Times New Roman"/>
                <w:sz w:val="20"/>
                <w:szCs w:val="20"/>
              </w:rPr>
              <w:t>Item 14.</w:t>
            </w:r>
          </w:p>
        </w:tc>
        <w:tc>
          <w:tcPr>
            <w:tcW w:w="0" w:type="auto"/>
            <w:shd w:val="clear" w:color="auto" w:fill="CCEEFF"/>
            <w:vAlign w:val="bottom"/>
            <w:hideMark/>
          </w:tcPr>
          <w:p w14:paraId="15BA7FC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C5AFB2" w14:textId="77777777" w:rsidR="00000000" w:rsidRDefault="00087966">
            <w:pPr>
              <w:jc w:val="both"/>
              <w:rPr>
                <w:rFonts w:eastAsia="Times New Roman"/>
                <w:sz w:val="20"/>
                <w:szCs w:val="20"/>
              </w:rPr>
            </w:pPr>
            <w:hyperlink w:anchor="a_023" w:history="1">
              <w:r>
                <w:rPr>
                  <w:rStyle w:val="a4"/>
                  <w:rFonts w:eastAsia="Times New Roman"/>
                  <w:sz w:val="20"/>
                  <w:szCs w:val="20"/>
                </w:rPr>
                <w:t>Principal Accountant Fees and Services.</w:t>
              </w:r>
            </w:hyperlink>
          </w:p>
        </w:tc>
        <w:tc>
          <w:tcPr>
            <w:tcW w:w="0" w:type="auto"/>
            <w:shd w:val="clear" w:color="auto" w:fill="CCEEFF"/>
            <w:vAlign w:val="bottom"/>
            <w:hideMark/>
          </w:tcPr>
          <w:p w14:paraId="70F1F96E" w14:textId="77777777" w:rsidR="00000000" w:rsidRDefault="00087966">
            <w:pPr>
              <w:jc w:val="center"/>
              <w:rPr>
                <w:rFonts w:eastAsia="Times New Roman"/>
                <w:sz w:val="20"/>
                <w:szCs w:val="20"/>
              </w:rPr>
            </w:pPr>
            <w:r>
              <w:rPr>
                <w:rFonts w:eastAsia="Times New Roman"/>
                <w:sz w:val="20"/>
                <w:szCs w:val="20"/>
              </w:rPr>
              <w:t>51</w:t>
            </w:r>
          </w:p>
        </w:tc>
      </w:tr>
      <w:tr w:rsidR="00000000" w14:paraId="0E82CA05" w14:textId="77777777">
        <w:trPr>
          <w:divId w:val="1595479706"/>
        </w:trPr>
        <w:tc>
          <w:tcPr>
            <w:tcW w:w="0" w:type="auto"/>
            <w:gridSpan w:val="3"/>
            <w:vAlign w:val="center"/>
            <w:hideMark/>
          </w:tcPr>
          <w:p w14:paraId="6F44C71A" w14:textId="77777777" w:rsidR="00000000" w:rsidRDefault="00087966">
            <w:pPr>
              <w:jc w:val="both"/>
              <w:rPr>
                <w:rFonts w:eastAsia="Times New Roman"/>
                <w:sz w:val="20"/>
                <w:szCs w:val="20"/>
              </w:rPr>
            </w:pPr>
            <w:r>
              <w:rPr>
                <w:rFonts w:eastAsia="Times New Roman"/>
                <w:sz w:val="20"/>
                <w:szCs w:val="20"/>
              </w:rPr>
              <w:t> </w:t>
            </w:r>
          </w:p>
        </w:tc>
        <w:tc>
          <w:tcPr>
            <w:tcW w:w="0" w:type="auto"/>
            <w:vAlign w:val="center"/>
            <w:hideMark/>
          </w:tcPr>
          <w:p w14:paraId="3C972C14" w14:textId="77777777" w:rsidR="00000000" w:rsidRDefault="00087966">
            <w:pPr>
              <w:jc w:val="both"/>
              <w:rPr>
                <w:rFonts w:eastAsia="Times New Roman"/>
                <w:sz w:val="20"/>
                <w:szCs w:val="20"/>
              </w:rPr>
            </w:pPr>
          </w:p>
        </w:tc>
      </w:tr>
      <w:tr w:rsidR="00000000" w14:paraId="565B1F1E" w14:textId="77777777">
        <w:trPr>
          <w:divId w:val="1595479706"/>
        </w:trPr>
        <w:tc>
          <w:tcPr>
            <w:tcW w:w="0" w:type="auto"/>
            <w:gridSpan w:val="3"/>
            <w:shd w:val="clear" w:color="auto" w:fill="CCEEFF"/>
            <w:vAlign w:val="bottom"/>
            <w:hideMark/>
          </w:tcPr>
          <w:p w14:paraId="4A8CD19F" w14:textId="77777777" w:rsidR="00000000" w:rsidRDefault="00087966">
            <w:pPr>
              <w:jc w:val="both"/>
              <w:rPr>
                <w:rFonts w:eastAsia="Times New Roman"/>
                <w:sz w:val="20"/>
                <w:szCs w:val="20"/>
              </w:rPr>
            </w:pPr>
            <w:hyperlink w:anchor="a_024" w:history="1">
              <w:r>
                <w:rPr>
                  <w:rStyle w:val="a4"/>
                  <w:rFonts w:eastAsia="Times New Roman"/>
                  <w:sz w:val="20"/>
                  <w:szCs w:val="20"/>
                </w:rPr>
                <w:t>PART IV</w:t>
              </w:r>
            </w:hyperlink>
          </w:p>
        </w:tc>
        <w:tc>
          <w:tcPr>
            <w:tcW w:w="0" w:type="auto"/>
            <w:shd w:val="clear" w:color="auto" w:fill="CCEEFF"/>
            <w:vAlign w:val="bottom"/>
            <w:hideMark/>
          </w:tcPr>
          <w:p w14:paraId="17529642" w14:textId="77777777" w:rsidR="00000000" w:rsidRDefault="00087966">
            <w:pPr>
              <w:jc w:val="center"/>
              <w:rPr>
                <w:rFonts w:eastAsia="Times New Roman"/>
                <w:sz w:val="20"/>
                <w:szCs w:val="20"/>
              </w:rPr>
            </w:pPr>
            <w:r>
              <w:rPr>
                <w:rFonts w:eastAsia="Times New Roman"/>
                <w:sz w:val="20"/>
                <w:szCs w:val="20"/>
              </w:rPr>
              <w:t>52</w:t>
            </w:r>
          </w:p>
        </w:tc>
      </w:tr>
      <w:tr w:rsidR="00000000" w14:paraId="3987849D" w14:textId="77777777">
        <w:trPr>
          <w:divId w:val="1595479706"/>
        </w:trPr>
        <w:tc>
          <w:tcPr>
            <w:tcW w:w="0" w:type="auto"/>
            <w:vAlign w:val="bottom"/>
            <w:hideMark/>
          </w:tcPr>
          <w:p w14:paraId="00C5A422" w14:textId="77777777" w:rsidR="00000000" w:rsidRDefault="00087966">
            <w:pPr>
              <w:jc w:val="both"/>
              <w:rPr>
                <w:rFonts w:eastAsia="Times New Roman"/>
                <w:sz w:val="20"/>
                <w:szCs w:val="20"/>
              </w:rPr>
            </w:pPr>
            <w:r>
              <w:rPr>
                <w:rFonts w:eastAsia="Times New Roman"/>
                <w:sz w:val="20"/>
                <w:szCs w:val="20"/>
              </w:rPr>
              <w:t>Item 15.</w:t>
            </w:r>
          </w:p>
        </w:tc>
        <w:tc>
          <w:tcPr>
            <w:tcW w:w="0" w:type="auto"/>
            <w:vAlign w:val="bottom"/>
            <w:hideMark/>
          </w:tcPr>
          <w:p w14:paraId="393664D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6C7B105" w14:textId="77777777" w:rsidR="00000000" w:rsidRDefault="00087966">
            <w:pPr>
              <w:jc w:val="both"/>
              <w:rPr>
                <w:rFonts w:eastAsia="Times New Roman"/>
                <w:sz w:val="20"/>
                <w:szCs w:val="20"/>
              </w:rPr>
            </w:pPr>
            <w:hyperlink w:anchor="a_025" w:history="1">
              <w:r>
                <w:rPr>
                  <w:rStyle w:val="a4"/>
                  <w:rFonts w:eastAsia="Times New Roman"/>
                  <w:sz w:val="20"/>
                  <w:szCs w:val="20"/>
                </w:rPr>
                <w:t>Exhibit and Financial Statement Schedules.</w:t>
              </w:r>
            </w:hyperlink>
          </w:p>
        </w:tc>
        <w:tc>
          <w:tcPr>
            <w:tcW w:w="0" w:type="auto"/>
            <w:vAlign w:val="bottom"/>
            <w:hideMark/>
          </w:tcPr>
          <w:p w14:paraId="65DF1077" w14:textId="77777777" w:rsidR="00000000" w:rsidRDefault="00087966">
            <w:pPr>
              <w:jc w:val="center"/>
              <w:rPr>
                <w:rFonts w:eastAsia="Times New Roman"/>
                <w:sz w:val="20"/>
                <w:szCs w:val="20"/>
              </w:rPr>
            </w:pPr>
            <w:r>
              <w:rPr>
                <w:rFonts w:eastAsia="Times New Roman"/>
                <w:sz w:val="20"/>
                <w:szCs w:val="20"/>
              </w:rPr>
              <w:t>52</w:t>
            </w:r>
          </w:p>
        </w:tc>
      </w:tr>
      <w:tr w:rsidR="00000000" w14:paraId="7EE927BE" w14:textId="77777777">
        <w:trPr>
          <w:divId w:val="1595479706"/>
        </w:trPr>
        <w:tc>
          <w:tcPr>
            <w:tcW w:w="0" w:type="auto"/>
            <w:shd w:val="clear" w:color="auto" w:fill="CCEEFF"/>
            <w:vAlign w:val="bottom"/>
            <w:hideMark/>
          </w:tcPr>
          <w:p w14:paraId="1EF75DA5" w14:textId="77777777" w:rsidR="00000000" w:rsidRDefault="00087966">
            <w:pPr>
              <w:jc w:val="both"/>
              <w:rPr>
                <w:rFonts w:eastAsia="Times New Roman"/>
                <w:sz w:val="20"/>
                <w:szCs w:val="20"/>
              </w:rPr>
            </w:pPr>
            <w:r>
              <w:rPr>
                <w:rFonts w:eastAsia="Times New Roman"/>
                <w:sz w:val="20"/>
                <w:szCs w:val="20"/>
              </w:rPr>
              <w:t>Item 16.</w:t>
            </w:r>
          </w:p>
        </w:tc>
        <w:tc>
          <w:tcPr>
            <w:tcW w:w="0" w:type="auto"/>
            <w:shd w:val="clear" w:color="auto" w:fill="CCEEFF"/>
            <w:vAlign w:val="bottom"/>
            <w:hideMark/>
          </w:tcPr>
          <w:p w14:paraId="12D037E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FDF5F5" w14:textId="77777777" w:rsidR="00000000" w:rsidRDefault="00087966">
            <w:pPr>
              <w:jc w:val="both"/>
              <w:rPr>
                <w:rFonts w:eastAsia="Times New Roman"/>
                <w:sz w:val="20"/>
                <w:szCs w:val="20"/>
              </w:rPr>
            </w:pPr>
            <w:hyperlink w:anchor="a_026" w:history="1">
              <w:r>
                <w:rPr>
                  <w:rStyle w:val="a4"/>
                  <w:rFonts w:eastAsia="Times New Roman"/>
                  <w:sz w:val="20"/>
                  <w:szCs w:val="20"/>
                </w:rPr>
                <w:t>Form 10-K Summary.</w:t>
              </w:r>
            </w:hyperlink>
          </w:p>
        </w:tc>
        <w:tc>
          <w:tcPr>
            <w:tcW w:w="0" w:type="auto"/>
            <w:shd w:val="clear" w:color="auto" w:fill="CCEEFF"/>
            <w:vAlign w:val="bottom"/>
            <w:hideMark/>
          </w:tcPr>
          <w:p w14:paraId="21D18BB3" w14:textId="77777777" w:rsidR="00000000" w:rsidRDefault="00087966">
            <w:pPr>
              <w:jc w:val="center"/>
              <w:rPr>
                <w:rFonts w:eastAsia="Times New Roman"/>
                <w:sz w:val="20"/>
                <w:szCs w:val="20"/>
              </w:rPr>
            </w:pPr>
            <w:r>
              <w:rPr>
                <w:rFonts w:eastAsia="Times New Roman"/>
                <w:sz w:val="20"/>
                <w:szCs w:val="20"/>
              </w:rPr>
              <w:t>52</w:t>
            </w:r>
          </w:p>
        </w:tc>
      </w:tr>
    </w:tbl>
    <w:p w14:paraId="51A69C6F" w14:textId="77777777" w:rsidR="00000000" w:rsidRDefault="00087966">
      <w:pPr>
        <w:pStyle w:val="a3"/>
        <w:spacing w:before="0" w:beforeAutospacing="0" w:after="0" w:afterAutospacing="0"/>
        <w:jc w:val="both"/>
        <w:divId w:val="1595479706"/>
        <w:rPr>
          <w:sz w:val="20"/>
          <w:szCs w:val="20"/>
        </w:rPr>
      </w:pPr>
      <w:r>
        <w:rPr>
          <w:sz w:val="20"/>
          <w:szCs w:val="20"/>
        </w:rPr>
        <w:t> </w:t>
      </w:r>
    </w:p>
    <w:p w14:paraId="7FCC2443" w14:textId="77777777" w:rsidR="00000000" w:rsidRDefault="00087966">
      <w:pPr>
        <w:pStyle w:val="a3"/>
        <w:spacing w:before="0" w:beforeAutospacing="0" w:after="0" w:afterAutospacing="0"/>
        <w:jc w:val="center"/>
        <w:divId w:val="573705423"/>
        <w:rPr>
          <w:sz w:val="20"/>
          <w:szCs w:val="20"/>
        </w:rPr>
      </w:pPr>
      <w:r>
        <w:rPr>
          <w:sz w:val="20"/>
          <w:szCs w:val="20"/>
        </w:rPr>
        <w:t>i</w:t>
      </w:r>
    </w:p>
    <w:p w14:paraId="55982BA7" w14:textId="77777777" w:rsidR="00000000" w:rsidRDefault="00087966">
      <w:pPr>
        <w:pStyle w:val="a3"/>
        <w:spacing w:before="0" w:beforeAutospacing="0" w:after="0" w:afterAutospacing="0"/>
        <w:divId w:val="2005010955"/>
        <w:rPr>
          <w:sz w:val="20"/>
          <w:szCs w:val="20"/>
        </w:rPr>
      </w:pPr>
      <w:r>
        <w:rPr>
          <w:sz w:val="20"/>
          <w:szCs w:val="20"/>
        </w:rPr>
        <w:t> </w:t>
      </w:r>
    </w:p>
    <w:p w14:paraId="49CF95AF"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3BAE499E" w14:textId="77777777" w:rsidR="00000000" w:rsidRDefault="00087966">
      <w:pPr>
        <w:pStyle w:val="a3"/>
        <w:spacing w:before="0" w:beforeAutospacing="0" w:after="0" w:afterAutospacing="0"/>
        <w:jc w:val="center"/>
        <w:divId w:val="1595479706"/>
        <w:rPr>
          <w:sz w:val="20"/>
          <w:szCs w:val="20"/>
        </w:rPr>
      </w:pPr>
      <w:r>
        <w:rPr>
          <w:b/>
          <w:bCs/>
          <w:sz w:val="20"/>
          <w:szCs w:val="20"/>
        </w:rPr>
        <w:t>CAUTIONARY NOTE REGARDING FORWARD-LOOKING STATEMENTS</w:t>
      </w:r>
    </w:p>
    <w:p w14:paraId="284B1395" w14:textId="77777777" w:rsidR="00000000" w:rsidRDefault="00087966">
      <w:pPr>
        <w:pStyle w:val="a3"/>
        <w:spacing w:before="0" w:beforeAutospacing="0" w:after="0" w:afterAutospacing="0"/>
        <w:jc w:val="both"/>
        <w:divId w:val="1595479706"/>
        <w:rPr>
          <w:sz w:val="20"/>
          <w:szCs w:val="20"/>
        </w:rPr>
      </w:pPr>
      <w:r>
        <w:rPr>
          <w:sz w:val="20"/>
          <w:szCs w:val="20"/>
        </w:rPr>
        <w:t> </w:t>
      </w:r>
    </w:p>
    <w:p w14:paraId="633B0528" w14:textId="77777777" w:rsidR="00000000" w:rsidRDefault="00087966">
      <w:pPr>
        <w:pStyle w:val="a3"/>
        <w:spacing w:before="0" w:beforeAutospacing="0" w:after="0" w:afterAutospacing="0"/>
        <w:ind w:firstLine="720"/>
        <w:jc w:val="both"/>
        <w:divId w:val="1595479706"/>
        <w:rPr>
          <w:sz w:val="20"/>
          <w:szCs w:val="20"/>
        </w:rPr>
      </w:pPr>
      <w:r>
        <w:rPr>
          <w:sz w:val="20"/>
          <w:szCs w:val="20"/>
        </w:rPr>
        <w:t>This Report (as defined below), including, without limitation, statements under “Item 7. Management’s Discussion and Analysis of Financial Condition and Results of Operations,” includes forward-looking</w:t>
      </w:r>
      <w:r>
        <w:rPr>
          <w:sz w:val="20"/>
          <w:szCs w:val="20"/>
        </w:rPr>
        <w:t xml:space="preserve"> statements within the meaning of Section 27A of the Securities Act (as defined below) and Section 21E of the Exchange Act (as defined below). These forward-looking statements can be identified by the use of forward-looking terminology, including the words</w:t>
      </w:r>
      <w:r>
        <w:rPr>
          <w:sz w:val="20"/>
          <w:szCs w:val="20"/>
        </w:rPr>
        <w:t xml:space="preserve"> “believes,” “estimates,” “anticipates,” “expects,” “intends,” “plans,” “may,” “will,” “potential,” “projects,” “predicts,” “continue,” or “should,” or, in each case, their negative or other variations or comparable terminology. There can be no assurance t</w:t>
      </w:r>
      <w:r>
        <w:rPr>
          <w:sz w:val="20"/>
          <w:szCs w:val="20"/>
        </w:rPr>
        <w:t>hat actual results will not materially differ from expectations. Such statements include, but are not limited to, any statements relating to our ability to consummate any acquisition or other business combination and any other statements that are not state</w:t>
      </w:r>
      <w:r>
        <w:rPr>
          <w:sz w:val="20"/>
          <w:szCs w:val="20"/>
        </w:rPr>
        <w:t>ments of current or historical facts. These statements are based on management’s current expectations, but actual results may differ materially due to various factors, including, but not limited to:</w:t>
      </w:r>
    </w:p>
    <w:p w14:paraId="6A41BB0D"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2ABE3936" w14:textId="77777777">
        <w:trPr>
          <w:divId w:val="1595479706"/>
        </w:trPr>
        <w:tc>
          <w:tcPr>
            <w:tcW w:w="720" w:type="dxa"/>
            <w:hideMark/>
          </w:tcPr>
          <w:p w14:paraId="76B1D4A9"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1F3849AA"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D6EB262" w14:textId="77777777" w:rsidR="00000000" w:rsidRDefault="00087966">
            <w:pPr>
              <w:jc w:val="both"/>
              <w:rPr>
                <w:rFonts w:eastAsia="Times New Roman"/>
                <w:sz w:val="20"/>
                <w:szCs w:val="20"/>
              </w:rPr>
            </w:pPr>
            <w:r>
              <w:rPr>
                <w:rFonts w:eastAsia="Times New Roman"/>
                <w:sz w:val="20"/>
                <w:szCs w:val="20"/>
              </w:rPr>
              <w:t>our ability to complete our initial business combin</w:t>
            </w:r>
            <w:r>
              <w:rPr>
                <w:rFonts w:eastAsia="Times New Roman"/>
                <w:sz w:val="20"/>
                <w:szCs w:val="20"/>
              </w:rPr>
              <w:t>ation (as defined below), including the Near Business Combination (as defined below);</w:t>
            </w:r>
          </w:p>
        </w:tc>
      </w:tr>
    </w:tbl>
    <w:p w14:paraId="5EA59DC3"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BC8B06B" w14:textId="77777777">
        <w:trPr>
          <w:divId w:val="1595479706"/>
        </w:trPr>
        <w:tc>
          <w:tcPr>
            <w:tcW w:w="720" w:type="dxa"/>
            <w:hideMark/>
          </w:tcPr>
          <w:p w14:paraId="12A2372E" w14:textId="77777777" w:rsidR="00000000" w:rsidRDefault="00087966">
            <w:pPr>
              <w:jc w:val="both"/>
              <w:rPr>
                <w:rFonts w:eastAsia="Times New Roman"/>
                <w:sz w:val="20"/>
                <w:szCs w:val="20"/>
              </w:rPr>
            </w:pPr>
            <w:r>
              <w:rPr>
                <w:rFonts w:eastAsia="Times New Roman"/>
                <w:sz w:val="20"/>
                <w:szCs w:val="20"/>
              </w:rPr>
              <w:lastRenderedPageBreak/>
              <w:t> </w:t>
            </w:r>
          </w:p>
        </w:tc>
        <w:tc>
          <w:tcPr>
            <w:tcW w:w="360" w:type="dxa"/>
            <w:hideMark/>
          </w:tcPr>
          <w:p w14:paraId="742BA46B"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94F8C5D" w14:textId="77777777" w:rsidR="00000000" w:rsidRDefault="00087966">
            <w:pPr>
              <w:jc w:val="both"/>
              <w:rPr>
                <w:rFonts w:eastAsia="Times New Roman"/>
                <w:sz w:val="20"/>
                <w:szCs w:val="20"/>
              </w:rPr>
            </w:pPr>
            <w:r>
              <w:rPr>
                <w:rFonts w:eastAsia="Times New Roman"/>
                <w:sz w:val="20"/>
                <w:szCs w:val="20"/>
              </w:rPr>
              <w:t>our success in retaining or recruiting, or changes required in, our officers, key employees or directors following our initial business combination;</w:t>
            </w:r>
          </w:p>
        </w:tc>
      </w:tr>
    </w:tbl>
    <w:p w14:paraId="2D24AA2D"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C046CA9" w14:textId="77777777">
        <w:trPr>
          <w:divId w:val="1595479706"/>
        </w:trPr>
        <w:tc>
          <w:tcPr>
            <w:tcW w:w="720" w:type="dxa"/>
            <w:hideMark/>
          </w:tcPr>
          <w:p w14:paraId="72A147C0"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304A94ED"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8400B76" w14:textId="77777777" w:rsidR="00000000" w:rsidRDefault="00087966">
            <w:pPr>
              <w:jc w:val="both"/>
              <w:rPr>
                <w:rFonts w:eastAsia="Times New Roman"/>
                <w:sz w:val="20"/>
                <w:szCs w:val="20"/>
              </w:rPr>
            </w:pPr>
            <w:r>
              <w:rPr>
                <w:rFonts w:eastAsia="Times New Roman"/>
                <w:sz w:val="20"/>
                <w:szCs w:val="20"/>
              </w:rPr>
              <w:t>our officers and directors allocating their time to other businesses and potentially having conflicts of interest with our business or in approving our initial business combination, as a result of which they would then receive expense reimbursements;</w:t>
            </w:r>
          </w:p>
        </w:tc>
      </w:tr>
    </w:tbl>
    <w:p w14:paraId="20C94B1D"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6B082A58" w14:textId="77777777">
        <w:trPr>
          <w:divId w:val="1595479706"/>
        </w:trPr>
        <w:tc>
          <w:tcPr>
            <w:tcW w:w="720" w:type="dxa"/>
            <w:hideMark/>
          </w:tcPr>
          <w:p w14:paraId="65536875"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4BDB30F0"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2F13843" w14:textId="77777777" w:rsidR="00000000" w:rsidRDefault="00087966">
            <w:pPr>
              <w:jc w:val="both"/>
              <w:rPr>
                <w:rFonts w:eastAsia="Times New Roman"/>
                <w:sz w:val="20"/>
                <w:szCs w:val="20"/>
              </w:rPr>
            </w:pPr>
            <w:r>
              <w:rPr>
                <w:rFonts w:eastAsia="Times New Roman"/>
                <w:sz w:val="20"/>
                <w:szCs w:val="20"/>
              </w:rPr>
              <w:t>our potential ability to obtain additional financing to complete our initial business combination;</w:t>
            </w:r>
          </w:p>
        </w:tc>
      </w:tr>
    </w:tbl>
    <w:p w14:paraId="334D612A"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465F3FDC" w14:textId="77777777">
        <w:trPr>
          <w:divId w:val="1595479706"/>
        </w:trPr>
        <w:tc>
          <w:tcPr>
            <w:tcW w:w="720" w:type="dxa"/>
            <w:hideMark/>
          </w:tcPr>
          <w:p w14:paraId="3A955104"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0D51C83E"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157BB86F" w14:textId="77777777" w:rsidR="00000000" w:rsidRDefault="00087966">
            <w:pPr>
              <w:rPr>
                <w:rFonts w:eastAsia="Times New Roman"/>
                <w:sz w:val="20"/>
                <w:szCs w:val="20"/>
              </w:rPr>
            </w:pPr>
            <w:r>
              <w:rPr>
                <w:rFonts w:eastAsia="Times New Roman"/>
                <w:sz w:val="20"/>
                <w:szCs w:val="20"/>
              </w:rPr>
              <w:t>the ability of our officers and directors to generate a number of potential acquisition opportunities;</w:t>
            </w:r>
          </w:p>
        </w:tc>
      </w:tr>
      <w:tr w:rsidR="00000000" w14:paraId="7500EDFC" w14:textId="77777777">
        <w:trPr>
          <w:divId w:val="1595479706"/>
        </w:trPr>
        <w:tc>
          <w:tcPr>
            <w:tcW w:w="0" w:type="auto"/>
            <w:tcMar>
              <w:top w:w="0" w:type="dxa"/>
              <w:left w:w="0" w:type="dxa"/>
              <w:bottom w:w="0" w:type="dxa"/>
              <w:right w:w="16" w:type="dxa"/>
            </w:tcMar>
            <w:hideMark/>
          </w:tcPr>
          <w:p w14:paraId="4F21A3FA" w14:textId="77777777" w:rsidR="00000000" w:rsidRDefault="00087966">
            <w:pPr>
              <w:jc w:val="both"/>
              <w:rPr>
                <w:rFonts w:eastAsia="Times New Roman"/>
                <w:sz w:val="20"/>
                <w:szCs w:val="20"/>
              </w:rPr>
            </w:pPr>
            <w:r>
              <w:rPr>
                <w:rFonts w:eastAsia="Times New Roman"/>
                <w:sz w:val="20"/>
                <w:szCs w:val="20"/>
              </w:rPr>
              <w:t> </w:t>
            </w:r>
          </w:p>
        </w:tc>
        <w:tc>
          <w:tcPr>
            <w:tcW w:w="0" w:type="auto"/>
            <w:tcMar>
              <w:top w:w="0" w:type="dxa"/>
              <w:left w:w="0" w:type="dxa"/>
              <w:bottom w:w="0" w:type="dxa"/>
              <w:right w:w="16" w:type="dxa"/>
            </w:tcMar>
            <w:hideMark/>
          </w:tcPr>
          <w:p w14:paraId="589C8B7B" w14:textId="77777777" w:rsidR="00000000" w:rsidRDefault="00087966">
            <w:pPr>
              <w:jc w:val="both"/>
              <w:rPr>
                <w:rFonts w:eastAsia="Times New Roman"/>
                <w:sz w:val="20"/>
                <w:szCs w:val="20"/>
              </w:rPr>
            </w:pPr>
          </w:p>
        </w:tc>
        <w:tc>
          <w:tcPr>
            <w:tcW w:w="0" w:type="auto"/>
            <w:tcMar>
              <w:top w:w="0" w:type="dxa"/>
              <w:left w:w="0" w:type="dxa"/>
              <w:bottom w:w="0" w:type="dxa"/>
              <w:right w:w="16" w:type="dxa"/>
            </w:tcMar>
            <w:hideMark/>
          </w:tcPr>
          <w:p w14:paraId="089FC979" w14:textId="77777777" w:rsidR="00000000" w:rsidRDefault="00087966">
            <w:pPr>
              <w:jc w:val="both"/>
              <w:rPr>
                <w:rFonts w:eastAsia="Times New Roman"/>
                <w:sz w:val="20"/>
                <w:szCs w:val="20"/>
              </w:rPr>
            </w:pPr>
          </w:p>
        </w:tc>
      </w:tr>
      <w:tr w:rsidR="00000000" w14:paraId="1B8B4985" w14:textId="77777777">
        <w:trPr>
          <w:divId w:val="1595479706"/>
        </w:trPr>
        <w:tc>
          <w:tcPr>
            <w:tcW w:w="0" w:type="auto"/>
            <w:hideMark/>
          </w:tcPr>
          <w:p w14:paraId="3FB6E43E"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665EF690"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425DC8F" w14:textId="77777777" w:rsidR="00000000" w:rsidRDefault="00087966">
            <w:pPr>
              <w:jc w:val="both"/>
              <w:rPr>
                <w:rFonts w:eastAsia="Times New Roman"/>
                <w:sz w:val="20"/>
                <w:szCs w:val="20"/>
              </w:rPr>
            </w:pPr>
            <w:r>
              <w:rPr>
                <w:rFonts w:eastAsia="Times New Roman"/>
                <w:sz w:val="20"/>
                <w:szCs w:val="20"/>
              </w:rPr>
              <w:t>our pool of prospective target busi</w:t>
            </w:r>
            <w:r>
              <w:rPr>
                <w:rFonts w:eastAsia="Times New Roman"/>
                <w:sz w:val="20"/>
                <w:szCs w:val="20"/>
              </w:rPr>
              <w:t>nesses;</w:t>
            </w:r>
          </w:p>
        </w:tc>
      </w:tr>
    </w:tbl>
    <w:p w14:paraId="4990388D"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186709E2" w14:textId="77777777">
        <w:trPr>
          <w:divId w:val="1595479706"/>
        </w:trPr>
        <w:tc>
          <w:tcPr>
            <w:tcW w:w="720" w:type="dxa"/>
            <w:hideMark/>
          </w:tcPr>
          <w:p w14:paraId="3CD64CC5"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044BE95A"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F43D59E" w14:textId="77777777" w:rsidR="00000000" w:rsidRDefault="00087966">
            <w:pPr>
              <w:jc w:val="both"/>
              <w:rPr>
                <w:rFonts w:eastAsia="Times New Roman"/>
                <w:sz w:val="20"/>
                <w:szCs w:val="20"/>
              </w:rPr>
            </w:pPr>
            <w:r>
              <w:rPr>
                <w:rFonts w:eastAsia="Times New Roman"/>
                <w:sz w:val="20"/>
                <w:szCs w:val="20"/>
              </w:rPr>
              <w:t>the ability of our officers and directors to generate a number of potential acquisition opportunities;</w:t>
            </w:r>
          </w:p>
        </w:tc>
      </w:tr>
    </w:tbl>
    <w:p w14:paraId="43F2E3C4"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58FF1A78" w14:textId="77777777">
        <w:trPr>
          <w:divId w:val="1595479706"/>
        </w:trPr>
        <w:tc>
          <w:tcPr>
            <w:tcW w:w="720" w:type="dxa"/>
            <w:hideMark/>
          </w:tcPr>
          <w:p w14:paraId="5818A6AD"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44BF17D5"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202302D" w14:textId="77777777" w:rsidR="00000000" w:rsidRDefault="00087966">
            <w:pPr>
              <w:jc w:val="both"/>
              <w:rPr>
                <w:rFonts w:eastAsia="Times New Roman"/>
                <w:sz w:val="20"/>
                <w:szCs w:val="20"/>
              </w:rPr>
            </w:pPr>
            <w:r>
              <w:rPr>
                <w:rFonts w:eastAsia="Times New Roman"/>
                <w:sz w:val="20"/>
                <w:szCs w:val="20"/>
              </w:rPr>
              <w:t>our public securities’ potential liquidity and trading;</w:t>
            </w:r>
          </w:p>
        </w:tc>
      </w:tr>
    </w:tbl>
    <w:p w14:paraId="4DA74BA1"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543265FB" w14:textId="77777777">
        <w:trPr>
          <w:divId w:val="1595479706"/>
        </w:trPr>
        <w:tc>
          <w:tcPr>
            <w:tcW w:w="720" w:type="dxa"/>
            <w:hideMark/>
          </w:tcPr>
          <w:p w14:paraId="260D37C1"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6420BFE7"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576EE41F" w14:textId="77777777" w:rsidR="00000000" w:rsidRDefault="00087966">
            <w:pPr>
              <w:jc w:val="both"/>
              <w:rPr>
                <w:rFonts w:eastAsia="Times New Roman"/>
                <w:sz w:val="20"/>
                <w:szCs w:val="20"/>
              </w:rPr>
            </w:pPr>
            <w:r>
              <w:rPr>
                <w:rFonts w:eastAsia="Times New Roman"/>
                <w:sz w:val="20"/>
                <w:szCs w:val="20"/>
              </w:rPr>
              <w:t>the lack of a market for our securities;</w:t>
            </w:r>
          </w:p>
        </w:tc>
      </w:tr>
    </w:tbl>
    <w:p w14:paraId="2C7F3D87"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1F4FD880" w14:textId="77777777">
        <w:trPr>
          <w:divId w:val="1595479706"/>
        </w:trPr>
        <w:tc>
          <w:tcPr>
            <w:tcW w:w="720" w:type="dxa"/>
            <w:hideMark/>
          </w:tcPr>
          <w:p w14:paraId="28683ABD"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41A21E35"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36D9DEA" w14:textId="77777777" w:rsidR="00000000" w:rsidRDefault="00087966">
            <w:pPr>
              <w:jc w:val="both"/>
              <w:rPr>
                <w:rFonts w:eastAsia="Times New Roman"/>
                <w:sz w:val="20"/>
                <w:szCs w:val="20"/>
              </w:rPr>
            </w:pPr>
            <w:r>
              <w:rPr>
                <w:rFonts w:eastAsia="Times New Roman"/>
                <w:sz w:val="20"/>
                <w:szCs w:val="20"/>
              </w:rPr>
              <w:t>the use of proceeds not held in the trust account or available to us from interest income on the trust account (as defined below) balance; or</w:t>
            </w:r>
          </w:p>
        </w:tc>
      </w:tr>
    </w:tbl>
    <w:p w14:paraId="55316CB5"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2E24AC0D" w14:textId="77777777">
        <w:trPr>
          <w:divId w:val="1595479706"/>
        </w:trPr>
        <w:tc>
          <w:tcPr>
            <w:tcW w:w="720" w:type="dxa"/>
            <w:hideMark/>
          </w:tcPr>
          <w:p w14:paraId="64243D29"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5D4B2CD4"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803A02D" w14:textId="77777777" w:rsidR="00000000" w:rsidRDefault="00087966">
            <w:pPr>
              <w:jc w:val="both"/>
              <w:rPr>
                <w:rFonts w:eastAsia="Times New Roman"/>
                <w:sz w:val="20"/>
                <w:szCs w:val="20"/>
              </w:rPr>
            </w:pPr>
            <w:r>
              <w:rPr>
                <w:rFonts w:eastAsia="Times New Roman"/>
                <w:sz w:val="20"/>
                <w:szCs w:val="20"/>
              </w:rPr>
              <w:t>our financial performance.</w:t>
            </w:r>
          </w:p>
        </w:tc>
      </w:tr>
    </w:tbl>
    <w:p w14:paraId="4FE9300F" w14:textId="77777777" w:rsidR="00000000" w:rsidRDefault="00087966">
      <w:pPr>
        <w:pStyle w:val="a3"/>
        <w:spacing w:before="0" w:beforeAutospacing="0" w:after="0" w:afterAutospacing="0"/>
        <w:jc w:val="both"/>
        <w:divId w:val="1595479706"/>
        <w:rPr>
          <w:sz w:val="20"/>
          <w:szCs w:val="20"/>
        </w:rPr>
      </w:pPr>
      <w:r>
        <w:rPr>
          <w:sz w:val="20"/>
          <w:szCs w:val="20"/>
        </w:rPr>
        <w:t> </w:t>
      </w:r>
    </w:p>
    <w:p w14:paraId="3FE59846" w14:textId="77777777" w:rsidR="00000000" w:rsidRDefault="00087966">
      <w:pPr>
        <w:pStyle w:val="a3"/>
        <w:spacing w:before="0" w:beforeAutospacing="0" w:after="0" w:afterAutospacing="0"/>
        <w:jc w:val="center"/>
        <w:divId w:val="1685204699"/>
        <w:rPr>
          <w:sz w:val="20"/>
          <w:szCs w:val="20"/>
        </w:rPr>
      </w:pPr>
      <w:r>
        <w:rPr>
          <w:sz w:val="20"/>
          <w:szCs w:val="20"/>
        </w:rPr>
        <w:t>i</w:t>
      </w:r>
      <w:r>
        <w:rPr>
          <w:sz w:val="20"/>
          <w:szCs w:val="20"/>
        </w:rPr>
        <w:t>i</w:t>
      </w:r>
    </w:p>
    <w:p w14:paraId="660F93B0" w14:textId="77777777" w:rsidR="00000000" w:rsidRDefault="00087966">
      <w:pPr>
        <w:pStyle w:val="a3"/>
        <w:spacing w:before="0" w:beforeAutospacing="0" w:after="0" w:afterAutospacing="0"/>
        <w:divId w:val="728071428"/>
        <w:rPr>
          <w:sz w:val="20"/>
          <w:szCs w:val="20"/>
        </w:rPr>
      </w:pPr>
      <w:r>
        <w:rPr>
          <w:sz w:val="20"/>
          <w:szCs w:val="20"/>
        </w:rPr>
        <w:t> </w:t>
      </w:r>
    </w:p>
    <w:p w14:paraId="7EA1B41B" w14:textId="77777777" w:rsidR="00000000" w:rsidRDefault="00087966">
      <w:pPr>
        <w:pStyle w:val="a3"/>
        <w:spacing w:before="0" w:beforeAutospacing="0" w:after="0" w:afterAutospacing="0"/>
        <w:jc w:val="both"/>
        <w:divId w:val="1595479706"/>
        <w:rPr>
          <w:sz w:val="20"/>
          <w:szCs w:val="20"/>
        </w:rPr>
      </w:pPr>
      <w:r>
        <w:rPr>
          <w:sz w:val="20"/>
          <w:szCs w:val="20"/>
        </w:rPr>
        <w:t> </w:t>
      </w:r>
    </w:p>
    <w:p w14:paraId="1C87629A" w14:textId="77777777" w:rsidR="00000000" w:rsidRDefault="00087966">
      <w:pPr>
        <w:pStyle w:val="a3"/>
        <w:spacing w:before="0" w:beforeAutospacing="0" w:after="0" w:afterAutospacing="0"/>
        <w:ind w:firstLine="720"/>
        <w:jc w:val="both"/>
        <w:divId w:val="1595479706"/>
        <w:rPr>
          <w:sz w:val="20"/>
          <w:szCs w:val="20"/>
        </w:rPr>
      </w:pPr>
      <w:r>
        <w:rPr>
          <w:sz w:val="20"/>
          <w:szCs w:val="20"/>
        </w:rPr>
        <w:t>The forward-looking statements contained in this Report are based on o</w:t>
      </w:r>
      <w:r>
        <w:rPr>
          <w:sz w:val="20"/>
          <w:szCs w:val="20"/>
        </w:rPr>
        <w:t>ur current expectations and beliefs concerning future developments and their potential effects on us. Future developments affecting us may not be those that we have anticipated. These forward-looking statements involve a number of risks, uncertainties (som</w:t>
      </w:r>
      <w:r>
        <w:rPr>
          <w:sz w:val="20"/>
          <w:szCs w:val="20"/>
        </w:rPr>
        <w:t>e of which are beyond our control) or other assumptions that may cause actual results or performance to be materially different from those expressed or implied by these forward-looking statements. Should one or more of these risks or uncertainties material</w:t>
      </w:r>
      <w:r>
        <w:rPr>
          <w:sz w:val="20"/>
          <w:szCs w:val="20"/>
        </w:rPr>
        <w:t>ize, or should any of our assumptions prove incorrect, actual results may vary in material respects from those projected in these forward-looking statements. We undertake no obligation to update or revise any forward-looking statements, whether as a result</w:t>
      </w:r>
      <w:r>
        <w:rPr>
          <w:sz w:val="20"/>
          <w:szCs w:val="20"/>
        </w:rPr>
        <w:t xml:space="preserve"> of new information, future events or otherwise, except as may be required under applicable securities laws. </w:t>
      </w:r>
    </w:p>
    <w:p w14:paraId="10DE6BE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FDEABCD" w14:textId="77777777" w:rsidR="00000000" w:rsidRDefault="00087966">
      <w:pPr>
        <w:pStyle w:val="a3"/>
        <w:spacing w:before="0" w:beforeAutospacing="0" w:after="0" w:afterAutospacing="0"/>
        <w:ind w:firstLine="720"/>
        <w:jc w:val="both"/>
        <w:divId w:val="1595479706"/>
        <w:rPr>
          <w:sz w:val="20"/>
          <w:szCs w:val="20"/>
        </w:rPr>
      </w:pPr>
      <w:r>
        <w:rPr>
          <w:sz w:val="20"/>
          <w:szCs w:val="20"/>
        </w:rPr>
        <w:t>Unless otherwise stated in this Report, or the context otherwise requires, references to:</w:t>
      </w:r>
    </w:p>
    <w:p w14:paraId="5C71AF5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D27616A" w14:textId="77777777">
        <w:trPr>
          <w:divId w:val="1595479706"/>
        </w:trPr>
        <w:tc>
          <w:tcPr>
            <w:tcW w:w="720" w:type="dxa"/>
            <w:hideMark/>
          </w:tcPr>
          <w:p w14:paraId="10615F1A" w14:textId="77777777" w:rsidR="00000000" w:rsidRDefault="00087966">
            <w:pPr>
              <w:rPr>
                <w:rFonts w:eastAsia="Times New Roman"/>
                <w:sz w:val="20"/>
                <w:szCs w:val="20"/>
              </w:rPr>
            </w:pPr>
            <w:r>
              <w:rPr>
                <w:rFonts w:eastAsia="Times New Roman"/>
                <w:sz w:val="20"/>
                <w:szCs w:val="20"/>
              </w:rPr>
              <w:t> </w:t>
            </w:r>
          </w:p>
        </w:tc>
        <w:tc>
          <w:tcPr>
            <w:tcW w:w="360" w:type="dxa"/>
            <w:hideMark/>
          </w:tcPr>
          <w:p w14:paraId="028A1388"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61C0CE5" w14:textId="77777777" w:rsidR="00000000" w:rsidRDefault="00087966">
            <w:pPr>
              <w:jc w:val="both"/>
              <w:rPr>
                <w:rFonts w:eastAsia="Times New Roman"/>
                <w:sz w:val="20"/>
                <w:szCs w:val="20"/>
              </w:rPr>
            </w:pPr>
            <w:r>
              <w:rPr>
                <w:rFonts w:eastAsia="Times New Roman"/>
                <w:sz w:val="20"/>
                <w:szCs w:val="20"/>
              </w:rPr>
              <w:t>“amended and restated certificate of incorporati</w:t>
            </w:r>
            <w:r>
              <w:rPr>
                <w:rFonts w:eastAsia="Times New Roman"/>
                <w:sz w:val="20"/>
                <w:szCs w:val="20"/>
              </w:rPr>
              <w:t>on” are to our amended and restated certificate of incorporation, as filed in the office of the Secretary of State of the State of Delaware on January 6, 2021, which was amended on July 7, 2022 and further amended on January 6, 2023, and as it may be furth</w:t>
            </w:r>
            <w:r>
              <w:rPr>
                <w:rFonts w:eastAsia="Times New Roman"/>
                <w:sz w:val="20"/>
                <w:szCs w:val="20"/>
              </w:rPr>
              <w:t>er amended or supplemented from time to time;</w:t>
            </w:r>
          </w:p>
        </w:tc>
      </w:tr>
      <w:tr w:rsidR="00000000" w14:paraId="4390F758" w14:textId="77777777">
        <w:trPr>
          <w:divId w:val="1595479706"/>
        </w:trPr>
        <w:tc>
          <w:tcPr>
            <w:tcW w:w="0" w:type="auto"/>
            <w:hideMark/>
          </w:tcPr>
          <w:p w14:paraId="6AD1277E" w14:textId="77777777" w:rsidR="00000000" w:rsidRDefault="00087966">
            <w:pPr>
              <w:rPr>
                <w:rFonts w:eastAsia="Times New Roman"/>
                <w:sz w:val="20"/>
                <w:szCs w:val="20"/>
              </w:rPr>
            </w:pPr>
            <w:r>
              <w:rPr>
                <w:rFonts w:eastAsia="Times New Roman"/>
                <w:sz w:val="20"/>
                <w:szCs w:val="20"/>
              </w:rPr>
              <w:t> </w:t>
            </w:r>
          </w:p>
        </w:tc>
        <w:tc>
          <w:tcPr>
            <w:tcW w:w="0" w:type="auto"/>
            <w:hideMark/>
          </w:tcPr>
          <w:p w14:paraId="74E4F166"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0E0DD42A" w14:textId="77777777" w:rsidR="00000000" w:rsidRDefault="00087966">
            <w:pPr>
              <w:jc w:val="both"/>
              <w:rPr>
                <w:rFonts w:eastAsia="Times New Roman"/>
                <w:sz w:val="20"/>
                <w:szCs w:val="20"/>
              </w:rPr>
            </w:pPr>
            <w:r>
              <w:rPr>
                <w:rFonts w:eastAsia="Times New Roman"/>
                <w:sz w:val="20"/>
                <w:szCs w:val="20"/>
              </w:rPr>
              <w:t> </w:t>
            </w:r>
          </w:p>
        </w:tc>
      </w:tr>
      <w:tr w:rsidR="00000000" w14:paraId="07D14E19" w14:textId="77777777">
        <w:trPr>
          <w:divId w:val="1595479706"/>
        </w:trPr>
        <w:tc>
          <w:tcPr>
            <w:tcW w:w="0" w:type="auto"/>
            <w:hideMark/>
          </w:tcPr>
          <w:p w14:paraId="2B6DCBA1"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2E299F1B"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DC98A74" w14:textId="77777777" w:rsidR="00000000" w:rsidRDefault="00087966">
            <w:pPr>
              <w:jc w:val="both"/>
              <w:rPr>
                <w:rFonts w:eastAsia="Times New Roman"/>
                <w:sz w:val="20"/>
                <w:szCs w:val="20"/>
              </w:rPr>
            </w:pPr>
            <w:r>
              <w:rPr>
                <w:rFonts w:eastAsia="Times New Roman"/>
                <w:sz w:val="20"/>
                <w:szCs w:val="20"/>
              </w:rPr>
              <w:t xml:space="preserve">“anchor investor” </w:t>
            </w:r>
            <w:r>
              <w:rPr>
                <w:rFonts w:eastAsia="Times New Roman"/>
                <w:sz w:val="20"/>
                <w:szCs w:val="20"/>
              </w:rPr>
              <w:t xml:space="preserve">are to certain funds advised by Polar Asset Management Partners Inc., which purchased 9.9% of the units sold in our initial public offering (without taking into account the exercise of the over-allotment option) and became a member of our sponsor upon the </w:t>
            </w:r>
            <w:r>
              <w:rPr>
                <w:rFonts w:eastAsia="Times New Roman"/>
                <w:sz w:val="20"/>
                <w:szCs w:val="20"/>
              </w:rPr>
              <w:t xml:space="preserve">consummation of our initial public offering; </w:t>
            </w:r>
          </w:p>
        </w:tc>
      </w:tr>
      <w:tr w:rsidR="00000000" w14:paraId="06BFAB64" w14:textId="77777777">
        <w:trPr>
          <w:divId w:val="1595479706"/>
        </w:trPr>
        <w:tc>
          <w:tcPr>
            <w:tcW w:w="0" w:type="auto"/>
            <w:hideMark/>
          </w:tcPr>
          <w:p w14:paraId="03ADD347"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E8EF521"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0D5EBE85" w14:textId="77777777" w:rsidR="00000000" w:rsidRDefault="00087966">
            <w:pPr>
              <w:jc w:val="both"/>
              <w:rPr>
                <w:rFonts w:eastAsia="Times New Roman"/>
                <w:sz w:val="20"/>
                <w:szCs w:val="20"/>
              </w:rPr>
            </w:pPr>
            <w:r>
              <w:rPr>
                <w:rFonts w:eastAsia="Times New Roman"/>
                <w:sz w:val="20"/>
                <w:szCs w:val="20"/>
              </w:rPr>
              <w:t> </w:t>
            </w:r>
          </w:p>
        </w:tc>
      </w:tr>
      <w:tr w:rsidR="00000000" w14:paraId="64577137" w14:textId="77777777">
        <w:trPr>
          <w:divId w:val="1595479706"/>
        </w:trPr>
        <w:tc>
          <w:tcPr>
            <w:tcW w:w="0" w:type="auto"/>
            <w:hideMark/>
          </w:tcPr>
          <w:p w14:paraId="021EE237" w14:textId="77777777" w:rsidR="00000000" w:rsidRDefault="00087966">
            <w:pPr>
              <w:rPr>
                <w:rFonts w:eastAsia="Times New Roman"/>
                <w:sz w:val="20"/>
                <w:szCs w:val="20"/>
              </w:rPr>
            </w:pPr>
            <w:r>
              <w:rPr>
                <w:rFonts w:eastAsia="Times New Roman"/>
                <w:sz w:val="20"/>
                <w:szCs w:val="20"/>
              </w:rPr>
              <w:t> </w:t>
            </w:r>
          </w:p>
        </w:tc>
        <w:tc>
          <w:tcPr>
            <w:tcW w:w="0" w:type="auto"/>
            <w:hideMark/>
          </w:tcPr>
          <w:p w14:paraId="75D90502"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1A2244D" w14:textId="77777777" w:rsidR="00000000" w:rsidRDefault="00087966">
            <w:pPr>
              <w:jc w:val="both"/>
              <w:rPr>
                <w:rFonts w:eastAsia="Times New Roman"/>
                <w:sz w:val="20"/>
                <w:szCs w:val="20"/>
              </w:rPr>
            </w:pPr>
            <w:r>
              <w:rPr>
                <w:rFonts w:eastAsia="Times New Roman"/>
                <w:sz w:val="20"/>
                <w:szCs w:val="20"/>
              </w:rPr>
              <w:t>“ASC” are to the FASB (as defined below) Accounting Standards Codification;</w:t>
            </w:r>
          </w:p>
        </w:tc>
      </w:tr>
      <w:tr w:rsidR="00000000" w14:paraId="57A7C70A" w14:textId="77777777">
        <w:trPr>
          <w:divId w:val="1595479706"/>
        </w:trPr>
        <w:tc>
          <w:tcPr>
            <w:tcW w:w="0" w:type="auto"/>
            <w:hideMark/>
          </w:tcPr>
          <w:p w14:paraId="099F439E"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DF1C8CF"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7FB180D1" w14:textId="77777777" w:rsidR="00000000" w:rsidRDefault="00087966">
            <w:pPr>
              <w:jc w:val="both"/>
              <w:rPr>
                <w:rFonts w:eastAsia="Times New Roman"/>
                <w:sz w:val="20"/>
                <w:szCs w:val="20"/>
              </w:rPr>
            </w:pPr>
            <w:r>
              <w:rPr>
                <w:rFonts w:eastAsia="Times New Roman"/>
                <w:sz w:val="20"/>
                <w:szCs w:val="20"/>
              </w:rPr>
              <w:t> </w:t>
            </w:r>
          </w:p>
        </w:tc>
      </w:tr>
      <w:tr w:rsidR="00000000" w14:paraId="50D1F03B" w14:textId="77777777">
        <w:trPr>
          <w:divId w:val="1595479706"/>
        </w:trPr>
        <w:tc>
          <w:tcPr>
            <w:tcW w:w="0" w:type="auto"/>
            <w:hideMark/>
          </w:tcPr>
          <w:p w14:paraId="5A8BA0E0" w14:textId="77777777" w:rsidR="00000000" w:rsidRDefault="00087966">
            <w:pPr>
              <w:rPr>
                <w:rFonts w:eastAsia="Times New Roman"/>
                <w:sz w:val="20"/>
                <w:szCs w:val="20"/>
              </w:rPr>
            </w:pPr>
            <w:r>
              <w:rPr>
                <w:rFonts w:eastAsia="Times New Roman"/>
                <w:sz w:val="20"/>
                <w:szCs w:val="20"/>
              </w:rPr>
              <w:t> </w:t>
            </w:r>
          </w:p>
        </w:tc>
        <w:tc>
          <w:tcPr>
            <w:tcW w:w="0" w:type="auto"/>
            <w:hideMark/>
          </w:tcPr>
          <w:p w14:paraId="39A78DD6" w14:textId="77777777" w:rsidR="00000000" w:rsidRDefault="00087966">
            <w:pPr>
              <w:rPr>
                <w:rFonts w:eastAsia="Times New Roman"/>
                <w:sz w:val="20"/>
                <w:szCs w:val="20"/>
              </w:rPr>
            </w:pPr>
            <w:r>
              <w:rPr>
                <w:rFonts w:eastAsia="Times New Roman"/>
                <w:sz w:val="20"/>
                <w:szCs w:val="20"/>
              </w:rPr>
              <w:t>●</w:t>
            </w:r>
          </w:p>
        </w:tc>
        <w:tc>
          <w:tcPr>
            <w:tcW w:w="0" w:type="auto"/>
            <w:hideMark/>
          </w:tcPr>
          <w:p w14:paraId="6BF92A20" w14:textId="77777777" w:rsidR="00000000" w:rsidRDefault="00087966">
            <w:pPr>
              <w:rPr>
                <w:rFonts w:eastAsia="Times New Roman"/>
                <w:sz w:val="20"/>
                <w:szCs w:val="20"/>
              </w:rPr>
            </w:pPr>
            <w:r>
              <w:rPr>
                <w:rFonts w:eastAsia="Times New Roman"/>
                <w:sz w:val="20"/>
                <w:szCs w:val="20"/>
              </w:rPr>
              <w:t xml:space="preserve">“ASU” are to the FASB Accounting Standards Update; </w:t>
            </w:r>
          </w:p>
        </w:tc>
      </w:tr>
      <w:tr w:rsidR="00000000" w14:paraId="69B59605" w14:textId="77777777">
        <w:trPr>
          <w:divId w:val="1595479706"/>
        </w:trPr>
        <w:tc>
          <w:tcPr>
            <w:tcW w:w="0" w:type="auto"/>
            <w:hideMark/>
          </w:tcPr>
          <w:p w14:paraId="20F9E2C6" w14:textId="77777777" w:rsidR="00000000" w:rsidRDefault="00087966">
            <w:pPr>
              <w:rPr>
                <w:rFonts w:eastAsia="Times New Roman"/>
                <w:sz w:val="20"/>
                <w:szCs w:val="20"/>
              </w:rPr>
            </w:pPr>
            <w:r>
              <w:rPr>
                <w:rFonts w:eastAsia="Times New Roman"/>
                <w:sz w:val="20"/>
                <w:szCs w:val="20"/>
              </w:rPr>
              <w:t> </w:t>
            </w:r>
          </w:p>
        </w:tc>
        <w:tc>
          <w:tcPr>
            <w:tcW w:w="0" w:type="auto"/>
            <w:hideMark/>
          </w:tcPr>
          <w:p w14:paraId="2D7D8984" w14:textId="77777777" w:rsidR="00000000" w:rsidRDefault="00087966">
            <w:pPr>
              <w:rPr>
                <w:rFonts w:eastAsia="Times New Roman"/>
                <w:sz w:val="20"/>
                <w:szCs w:val="20"/>
              </w:rPr>
            </w:pPr>
            <w:r>
              <w:rPr>
                <w:rFonts w:eastAsia="Times New Roman"/>
                <w:sz w:val="20"/>
                <w:szCs w:val="20"/>
              </w:rPr>
              <w:t> </w:t>
            </w:r>
          </w:p>
        </w:tc>
        <w:tc>
          <w:tcPr>
            <w:tcW w:w="0" w:type="auto"/>
            <w:hideMark/>
          </w:tcPr>
          <w:p w14:paraId="441160A6" w14:textId="77777777" w:rsidR="00000000" w:rsidRDefault="00087966">
            <w:pPr>
              <w:rPr>
                <w:rFonts w:eastAsia="Times New Roman"/>
                <w:sz w:val="20"/>
                <w:szCs w:val="20"/>
              </w:rPr>
            </w:pPr>
            <w:r>
              <w:rPr>
                <w:rFonts w:eastAsia="Times New Roman"/>
                <w:sz w:val="20"/>
                <w:szCs w:val="20"/>
              </w:rPr>
              <w:t> </w:t>
            </w:r>
          </w:p>
        </w:tc>
      </w:tr>
      <w:tr w:rsidR="00000000" w14:paraId="6133846D" w14:textId="77777777">
        <w:trPr>
          <w:divId w:val="1595479706"/>
        </w:trPr>
        <w:tc>
          <w:tcPr>
            <w:tcW w:w="0" w:type="auto"/>
            <w:hideMark/>
          </w:tcPr>
          <w:p w14:paraId="76493639" w14:textId="77777777" w:rsidR="00000000" w:rsidRDefault="00087966">
            <w:pPr>
              <w:rPr>
                <w:rFonts w:eastAsia="Times New Roman"/>
                <w:sz w:val="20"/>
                <w:szCs w:val="20"/>
              </w:rPr>
            </w:pPr>
            <w:r>
              <w:rPr>
                <w:rFonts w:eastAsia="Times New Roman"/>
                <w:sz w:val="20"/>
                <w:szCs w:val="20"/>
              </w:rPr>
              <w:lastRenderedPageBreak/>
              <w:t> </w:t>
            </w:r>
          </w:p>
        </w:tc>
        <w:tc>
          <w:tcPr>
            <w:tcW w:w="0" w:type="auto"/>
            <w:hideMark/>
          </w:tcPr>
          <w:p w14:paraId="71B224EF" w14:textId="77777777" w:rsidR="00000000" w:rsidRDefault="00087966">
            <w:pPr>
              <w:rPr>
                <w:rFonts w:eastAsia="Times New Roman"/>
                <w:sz w:val="20"/>
                <w:szCs w:val="20"/>
              </w:rPr>
            </w:pPr>
            <w:r>
              <w:rPr>
                <w:rFonts w:eastAsia="Times New Roman"/>
                <w:sz w:val="20"/>
                <w:szCs w:val="20"/>
              </w:rPr>
              <w:t>●</w:t>
            </w:r>
          </w:p>
        </w:tc>
        <w:tc>
          <w:tcPr>
            <w:tcW w:w="0" w:type="auto"/>
            <w:hideMark/>
          </w:tcPr>
          <w:p w14:paraId="5A3FEB52" w14:textId="77777777" w:rsidR="00000000" w:rsidRDefault="00087966">
            <w:pPr>
              <w:rPr>
                <w:rFonts w:eastAsia="Times New Roman"/>
                <w:sz w:val="20"/>
                <w:szCs w:val="20"/>
              </w:rPr>
            </w:pPr>
            <w:r>
              <w:rPr>
                <w:rFonts w:eastAsia="Times New Roman"/>
                <w:sz w:val="20"/>
                <w:szCs w:val="20"/>
              </w:rPr>
              <w:t>“board of directors,” “board” or “</w:t>
            </w:r>
            <w:r>
              <w:rPr>
                <w:rFonts w:eastAsia="Times New Roman"/>
                <w:sz w:val="20"/>
                <w:szCs w:val="20"/>
              </w:rPr>
              <w:t>directors” are to the board of directors of the Company (as defined below);</w:t>
            </w:r>
          </w:p>
        </w:tc>
      </w:tr>
      <w:tr w:rsidR="00000000" w14:paraId="10A4EC00" w14:textId="77777777">
        <w:trPr>
          <w:divId w:val="1595479706"/>
        </w:trPr>
        <w:tc>
          <w:tcPr>
            <w:tcW w:w="0" w:type="auto"/>
            <w:hideMark/>
          </w:tcPr>
          <w:p w14:paraId="106C290F" w14:textId="77777777" w:rsidR="00000000" w:rsidRDefault="00087966">
            <w:pPr>
              <w:rPr>
                <w:rFonts w:eastAsia="Times New Roman"/>
                <w:sz w:val="20"/>
                <w:szCs w:val="20"/>
              </w:rPr>
            </w:pPr>
            <w:r>
              <w:rPr>
                <w:rFonts w:eastAsia="Times New Roman"/>
                <w:sz w:val="20"/>
                <w:szCs w:val="20"/>
              </w:rPr>
              <w:t> </w:t>
            </w:r>
          </w:p>
        </w:tc>
        <w:tc>
          <w:tcPr>
            <w:tcW w:w="0" w:type="auto"/>
            <w:hideMark/>
          </w:tcPr>
          <w:p w14:paraId="206FE7AA" w14:textId="77777777" w:rsidR="00000000" w:rsidRDefault="00087966">
            <w:pPr>
              <w:rPr>
                <w:rFonts w:eastAsia="Times New Roman"/>
                <w:sz w:val="20"/>
                <w:szCs w:val="20"/>
              </w:rPr>
            </w:pPr>
            <w:r>
              <w:rPr>
                <w:rFonts w:eastAsia="Times New Roman"/>
                <w:sz w:val="20"/>
                <w:szCs w:val="20"/>
              </w:rPr>
              <w:t> </w:t>
            </w:r>
          </w:p>
        </w:tc>
        <w:tc>
          <w:tcPr>
            <w:tcW w:w="0" w:type="auto"/>
            <w:hideMark/>
          </w:tcPr>
          <w:p w14:paraId="0017159E" w14:textId="77777777" w:rsidR="00000000" w:rsidRDefault="00087966">
            <w:pPr>
              <w:rPr>
                <w:rFonts w:eastAsia="Times New Roman"/>
                <w:sz w:val="20"/>
                <w:szCs w:val="20"/>
              </w:rPr>
            </w:pPr>
            <w:r>
              <w:rPr>
                <w:rFonts w:eastAsia="Times New Roman"/>
                <w:sz w:val="20"/>
                <w:szCs w:val="20"/>
              </w:rPr>
              <w:t> </w:t>
            </w:r>
          </w:p>
        </w:tc>
      </w:tr>
      <w:tr w:rsidR="00000000" w14:paraId="38F6796F" w14:textId="77777777">
        <w:trPr>
          <w:divId w:val="1595479706"/>
        </w:trPr>
        <w:tc>
          <w:tcPr>
            <w:tcW w:w="0" w:type="auto"/>
            <w:hideMark/>
          </w:tcPr>
          <w:p w14:paraId="21FE65D0" w14:textId="77777777" w:rsidR="00000000" w:rsidRDefault="00087966">
            <w:pPr>
              <w:rPr>
                <w:rFonts w:eastAsia="Times New Roman"/>
                <w:sz w:val="20"/>
                <w:szCs w:val="20"/>
              </w:rPr>
            </w:pPr>
            <w:r>
              <w:rPr>
                <w:rFonts w:eastAsia="Times New Roman"/>
                <w:sz w:val="20"/>
                <w:szCs w:val="20"/>
              </w:rPr>
              <w:t> </w:t>
            </w:r>
          </w:p>
        </w:tc>
        <w:tc>
          <w:tcPr>
            <w:tcW w:w="0" w:type="auto"/>
            <w:hideMark/>
          </w:tcPr>
          <w:p w14:paraId="3794AB55" w14:textId="77777777" w:rsidR="00000000" w:rsidRDefault="00087966">
            <w:pPr>
              <w:rPr>
                <w:rFonts w:eastAsia="Times New Roman"/>
                <w:sz w:val="20"/>
                <w:szCs w:val="20"/>
              </w:rPr>
            </w:pPr>
            <w:r>
              <w:rPr>
                <w:rFonts w:eastAsia="Times New Roman"/>
                <w:sz w:val="20"/>
                <w:szCs w:val="20"/>
              </w:rPr>
              <w:t>●</w:t>
            </w:r>
          </w:p>
        </w:tc>
        <w:tc>
          <w:tcPr>
            <w:tcW w:w="0" w:type="auto"/>
            <w:hideMark/>
          </w:tcPr>
          <w:p w14:paraId="5D7DAA2D" w14:textId="77777777" w:rsidR="00000000" w:rsidRDefault="00087966">
            <w:pPr>
              <w:rPr>
                <w:rFonts w:eastAsia="Times New Roman"/>
                <w:sz w:val="20"/>
                <w:szCs w:val="20"/>
              </w:rPr>
            </w:pPr>
            <w:r>
              <w:rPr>
                <w:rFonts w:eastAsia="Times New Roman"/>
                <w:sz w:val="20"/>
                <w:szCs w:val="20"/>
              </w:rPr>
              <w:t>“business combination” are to a merger, capital stock exchange, asset acquisition, stock purchase, reorganization or similar business combination with one or more busin</w:t>
            </w:r>
            <w:r>
              <w:rPr>
                <w:rFonts w:eastAsia="Times New Roman"/>
                <w:sz w:val="20"/>
                <w:szCs w:val="20"/>
              </w:rPr>
              <w:t>esses;</w:t>
            </w:r>
          </w:p>
        </w:tc>
      </w:tr>
    </w:tbl>
    <w:p w14:paraId="629D5F2E"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6EDBAF6D" w14:textId="77777777">
        <w:trPr>
          <w:divId w:val="1595479706"/>
        </w:trPr>
        <w:tc>
          <w:tcPr>
            <w:tcW w:w="720" w:type="dxa"/>
            <w:hideMark/>
          </w:tcPr>
          <w:p w14:paraId="4A5948F8" w14:textId="77777777" w:rsidR="00000000" w:rsidRDefault="00087966">
            <w:pPr>
              <w:rPr>
                <w:rFonts w:eastAsia="Times New Roman"/>
                <w:sz w:val="20"/>
                <w:szCs w:val="20"/>
              </w:rPr>
            </w:pPr>
            <w:r>
              <w:rPr>
                <w:rFonts w:eastAsia="Times New Roman"/>
                <w:sz w:val="20"/>
                <w:szCs w:val="20"/>
              </w:rPr>
              <w:t> </w:t>
            </w:r>
          </w:p>
        </w:tc>
        <w:tc>
          <w:tcPr>
            <w:tcW w:w="360" w:type="dxa"/>
            <w:hideMark/>
          </w:tcPr>
          <w:p w14:paraId="5E512317"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9BC10C1" w14:textId="77777777" w:rsidR="00000000" w:rsidRDefault="00087966">
            <w:pPr>
              <w:jc w:val="both"/>
              <w:rPr>
                <w:rFonts w:eastAsia="Times New Roman"/>
                <w:sz w:val="20"/>
                <w:szCs w:val="20"/>
              </w:rPr>
            </w:pPr>
            <w:r>
              <w:rPr>
                <w:rFonts w:eastAsia="Times New Roman"/>
                <w:sz w:val="20"/>
                <w:szCs w:val="20"/>
              </w:rPr>
              <w:t>“Class A common stock” are to the shares of Class A common stock of the Company, par value $0.0001 per share;</w:t>
            </w:r>
          </w:p>
        </w:tc>
      </w:tr>
    </w:tbl>
    <w:p w14:paraId="7CE5D757"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3D4CDE88" w14:textId="77777777">
        <w:trPr>
          <w:divId w:val="1595479706"/>
        </w:trPr>
        <w:tc>
          <w:tcPr>
            <w:tcW w:w="720" w:type="dxa"/>
            <w:hideMark/>
          </w:tcPr>
          <w:p w14:paraId="1883106E" w14:textId="77777777" w:rsidR="00000000" w:rsidRDefault="00087966">
            <w:pPr>
              <w:rPr>
                <w:rFonts w:eastAsia="Times New Roman"/>
                <w:sz w:val="20"/>
                <w:szCs w:val="20"/>
              </w:rPr>
            </w:pPr>
            <w:r>
              <w:rPr>
                <w:rFonts w:eastAsia="Times New Roman"/>
                <w:sz w:val="20"/>
                <w:szCs w:val="20"/>
              </w:rPr>
              <w:t> </w:t>
            </w:r>
          </w:p>
        </w:tc>
        <w:tc>
          <w:tcPr>
            <w:tcW w:w="360" w:type="dxa"/>
            <w:hideMark/>
          </w:tcPr>
          <w:p w14:paraId="771A0E1F"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D9CA403" w14:textId="77777777" w:rsidR="00000000" w:rsidRDefault="00087966">
            <w:pPr>
              <w:jc w:val="both"/>
              <w:rPr>
                <w:rFonts w:eastAsia="Times New Roman"/>
                <w:sz w:val="20"/>
                <w:szCs w:val="20"/>
              </w:rPr>
            </w:pPr>
            <w:r>
              <w:rPr>
                <w:rFonts w:eastAsia="Times New Roman"/>
                <w:sz w:val="20"/>
                <w:szCs w:val="20"/>
              </w:rPr>
              <w:t xml:space="preserve">“Class B common stock” </w:t>
            </w:r>
            <w:r>
              <w:rPr>
                <w:rFonts w:eastAsia="Times New Roman"/>
                <w:sz w:val="20"/>
                <w:szCs w:val="20"/>
              </w:rPr>
              <w:t>are to the shares of Class B common stock of the Company, par value $0.0001 per share;</w:t>
            </w:r>
          </w:p>
        </w:tc>
      </w:tr>
    </w:tbl>
    <w:p w14:paraId="4901E045"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55B29C55" w14:textId="77777777">
        <w:trPr>
          <w:divId w:val="1595479706"/>
        </w:trPr>
        <w:tc>
          <w:tcPr>
            <w:tcW w:w="720" w:type="dxa"/>
            <w:hideMark/>
          </w:tcPr>
          <w:p w14:paraId="6805A13D" w14:textId="77777777" w:rsidR="00000000" w:rsidRDefault="00087966">
            <w:pPr>
              <w:rPr>
                <w:rFonts w:eastAsia="Times New Roman"/>
                <w:sz w:val="20"/>
                <w:szCs w:val="20"/>
              </w:rPr>
            </w:pPr>
            <w:r>
              <w:rPr>
                <w:rFonts w:eastAsia="Times New Roman"/>
                <w:sz w:val="20"/>
                <w:szCs w:val="20"/>
              </w:rPr>
              <w:t> </w:t>
            </w:r>
          </w:p>
        </w:tc>
        <w:tc>
          <w:tcPr>
            <w:tcW w:w="360" w:type="dxa"/>
            <w:hideMark/>
          </w:tcPr>
          <w:p w14:paraId="3B0789C3"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B3CC732" w14:textId="77777777" w:rsidR="00000000" w:rsidRDefault="00087966">
            <w:pPr>
              <w:jc w:val="both"/>
              <w:rPr>
                <w:rFonts w:eastAsia="Times New Roman"/>
                <w:sz w:val="20"/>
                <w:szCs w:val="20"/>
              </w:rPr>
            </w:pPr>
            <w:r>
              <w:rPr>
                <w:rFonts w:eastAsia="Times New Roman"/>
                <w:sz w:val="20"/>
                <w:szCs w:val="20"/>
              </w:rPr>
              <w:t>“Combination Period” are to the approximately 27-month period, from the closing of the initial public offering (as defined below) to April 11, 2023, that the Comp</w:t>
            </w:r>
            <w:r>
              <w:rPr>
                <w:rFonts w:eastAsia="Times New Roman"/>
                <w:sz w:val="20"/>
                <w:szCs w:val="20"/>
              </w:rPr>
              <w:t>any has to consummate an initial business combination;</w:t>
            </w:r>
          </w:p>
        </w:tc>
      </w:tr>
    </w:tbl>
    <w:p w14:paraId="40245A8C"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43925642" w14:textId="77777777">
        <w:trPr>
          <w:divId w:val="1595479706"/>
        </w:trPr>
        <w:tc>
          <w:tcPr>
            <w:tcW w:w="720" w:type="dxa"/>
            <w:hideMark/>
          </w:tcPr>
          <w:p w14:paraId="4DB27564" w14:textId="77777777" w:rsidR="00000000" w:rsidRDefault="00087966">
            <w:pPr>
              <w:rPr>
                <w:rFonts w:eastAsia="Times New Roman"/>
                <w:sz w:val="20"/>
                <w:szCs w:val="20"/>
              </w:rPr>
            </w:pPr>
            <w:r>
              <w:rPr>
                <w:rFonts w:eastAsia="Times New Roman"/>
                <w:sz w:val="20"/>
                <w:szCs w:val="20"/>
              </w:rPr>
              <w:t> </w:t>
            </w:r>
          </w:p>
        </w:tc>
        <w:tc>
          <w:tcPr>
            <w:tcW w:w="360" w:type="dxa"/>
            <w:hideMark/>
          </w:tcPr>
          <w:p w14:paraId="524E5093" w14:textId="77777777" w:rsidR="00000000" w:rsidRDefault="00087966">
            <w:pPr>
              <w:rPr>
                <w:rFonts w:eastAsia="Times New Roman"/>
                <w:sz w:val="20"/>
                <w:szCs w:val="20"/>
              </w:rPr>
            </w:pPr>
            <w:r>
              <w:rPr>
                <w:rFonts w:eastAsia="Times New Roman"/>
                <w:sz w:val="20"/>
                <w:szCs w:val="20"/>
              </w:rPr>
              <w:t>●</w:t>
            </w:r>
          </w:p>
        </w:tc>
        <w:tc>
          <w:tcPr>
            <w:tcW w:w="0" w:type="auto"/>
            <w:hideMark/>
          </w:tcPr>
          <w:p w14:paraId="2175E9AD" w14:textId="77777777" w:rsidR="00000000" w:rsidRDefault="00087966">
            <w:pPr>
              <w:jc w:val="both"/>
              <w:rPr>
                <w:rFonts w:eastAsia="Times New Roman"/>
                <w:sz w:val="20"/>
                <w:szCs w:val="20"/>
              </w:rPr>
            </w:pPr>
            <w:r>
              <w:rPr>
                <w:rFonts w:eastAsia="Times New Roman"/>
                <w:sz w:val="20"/>
                <w:szCs w:val="20"/>
              </w:rPr>
              <w:t>“common stock” are to the Class A common stock and the Class B common stock;</w:t>
            </w:r>
          </w:p>
        </w:tc>
      </w:tr>
    </w:tbl>
    <w:p w14:paraId="6003F598"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26027B3" w14:textId="77777777">
        <w:trPr>
          <w:divId w:val="1595479706"/>
        </w:trPr>
        <w:tc>
          <w:tcPr>
            <w:tcW w:w="720" w:type="dxa"/>
            <w:hideMark/>
          </w:tcPr>
          <w:p w14:paraId="12F1BD56" w14:textId="77777777" w:rsidR="00000000" w:rsidRDefault="00087966">
            <w:pPr>
              <w:rPr>
                <w:rFonts w:eastAsia="Times New Roman"/>
                <w:sz w:val="20"/>
                <w:szCs w:val="20"/>
              </w:rPr>
            </w:pPr>
            <w:r>
              <w:rPr>
                <w:rFonts w:eastAsia="Times New Roman"/>
                <w:sz w:val="20"/>
                <w:szCs w:val="20"/>
              </w:rPr>
              <w:t> </w:t>
            </w:r>
          </w:p>
        </w:tc>
        <w:tc>
          <w:tcPr>
            <w:tcW w:w="360" w:type="dxa"/>
            <w:hideMark/>
          </w:tcPr>
          <w:p w14:paraId="5EF93C0B"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1A816DDB" w14:textId="77777777" w:rsidR="00000000" w:rsidRDefault="00087966">
            <w:pPr>
              <w:jc w:val="both"/>
              <w:rPr>
                <w:rFonts w:eastAsia="Times New Roman"/>
                <w:sz w:val="20"/>
                <w:szCs w:val="20"/>
              </w:rPr>
            </w:pPr>
            <w:r>
              <w:rPr>
                <w:rFonts w:eastAsia="Times New Roman"/>
                <w:sz w:val="20"/>
                <w:szCs w:val="20"/>
              </w:rPr>
              <w:t>“Company,” “our Company,” “we” or “us” are to KludeIn I Acquisition Corp., a Delaware corporation;</w:t>
            </w:r>
          </w:p>
        </w:tc>
      </w:tr>
    </w:tbl>
    <w:p w14:paraId="6DDFE04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69ED05C" w14:textId="77777777">
        <w:trPr>
          <w:divId w:val="1595479706"/>
        </w:trPr>
        <w:tc>
          <w:tcPr>
            <w:tcW w:w="720" w:type="dxa"/>
            <w:hideMark/>
          </w:tcPr>
          <w:p w14:paraId="40AB22E9" w14:textId="77777777" w:rsidR="00000000" w:rsidRDefault="00087966">
            <w:pPr>
              <w:rPr>
                <w:rFonts w:eastAsia="Times New Roman"/>
                <w:sz w:val="20"/>
                <w:szCs w:val="20"/>
              </w:rPr>
            </w:pPr>
            <w:r>
              <w:rPr>
                <w:rFonts w:eastAsia="Times New Roman"/>
                <w:sz w:val="20"/>
                <w:szCs w:val="20"/>
              </w:rPr>
              <w:t> </w:t>
            </w:r>
          </w:p>
        </w:tc>
        <w:tc>
          <w:tcPr>
            <w:tcW w:w="360" w:type="dxa"/>
            <w:hideMark/>
          </w:tcPr>
          <w:p w14:paraId="006723E2"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FD84369" w14:textId="77777777" w:rsidR="00000000" w:rsidRDefault="00087966">
            <w:pPr>
              <w:jc w:val="both"/>
              <w:rPr>
                <w:rFonts w:eastAsia="Times New Roman"/>
                <w:sz w:val="20"/>
                <w:szCs w:val="20"/>
              </w:rPr>
            </w:pPr>
            <w:r>
              <w:rPr>
                <w:rFonts w:eastAsia="Times New Roman"/>
                <w:sz w:val="20"/>
                <w:szCs w:val="20"/>
              </w:rPr>
              <w:t>“</w:t>
            </w:r>
            <w:r>
              <w:rPr>
                <w:rFonts w:eastAsia="Times New Roman"/>
                <w:sz w:val="20"/>
                <w:szCs w:val="20"/>
              </w:rPr>
              <w:t>Continental” are to Continental Stock Transfer &amp; Trust Company, trustee of our trust account and warrant agent of our public warrants (as defined below);</w:t>
            </w:r>
          </w:p>
        </w:tc>
      </w:tr>
    </w:tbl>
    <w:p w14:paraId="45AC50FD"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464F494D" w14:textId="77777777">
        <w:trPr>
          <w:divId w:val="1595479706"/>
        </w:trPr>
        <w:tc>
          <w:tcPr>
            <w:tcW w:w="720" w:type="dxa"/>
            <w:hideMark/>
          </w:tcPr>
          <w:p w14:paraId="7EABD7CB" w14:textId="77777777" w:rsidR="00000000" w:rsidRDefault="00087966">
            <w:pPr>
              <w:rPr>
                <w:rFonts w:eastAsia="Times New Roman"/>
                <w:sz w:val="20"/>
                <w:szCs w:val="20"/>
              </w:rPr>
            </w:pPr>
            <w:r>
              <w:rPr>
                <w:rFonts w:eastAsia="Times New Roman"/>
                <w:sz w:val="20"/>
                <w:szCs w:val="20"/>
              </w:rPr>
              <w:t> </w:t>
            </w:r>
          </w:p>
        </w:tc>
        <w:tc>
          <w:tcPr>
            <w:tcW w:w="360" w:type="dxa"/>
            <w:hideMark/>
          </w:tcPr>
          <w:p w14:paraId="21827771" w14:textId="77777777" w:rsidR="00000000" w:rsidRDefault="00087966">
            <w:pPr>
              <w:rPr>
                <w:rFonts w:eastAsia="Times New Roman"/>
                <w:sz w:val="20"/>
                <w:szCs w:val="20"/>
              </w:rPr>
            </w:pPr>
            <w:r>
              <w:rPr>
                <w:rFonts w:eastAsia="Times New Roman"/>
                <w:sz w:val="20"/>
                <w:szCs w:val="20"/>
              </w:rPr>
              <w:t>●</w:t>
            </w:r>
          </w:p>
        </w:tc>
        <w:tc>
          <w:tcPr>
            <w:tcW w:w="0" w:type="auto"/>
            <w:hideMark/>
          </w:tcPr>
          <w:p w14:paraId="252CE4B9" w14:textId="77777777" w:rsidR="00000000" w:rsidRDefault="00087966">
            <w:pPr>
              <w:rPr>
                <w:rFonts w:eastAsia="Times New Roman"/>
                <w:sz w:val="20"/>
                <w:szCs w:val="20"/>
              </w:rPr>
            </w:pPr>
            <w:r>
              <w:rPr>
                <w:rFonts w:eastAsia="Times New Roman"/>
                <w:sz w:val="20"/>
                <w:szCs w:val="20"/>
              </w:rPr>
              <w:t>“DGCL” are to the Delaware General Corporation Law;</w:t>
            </w:r>
          </w:p>
        </w:tc>
      </w:tr>
    </w:tbl>
    <w:p w14:paraId="6ABBDC5F"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141D6943" w14:textId="77777777">
        <w:trPr>
          <w:divId w:val="1595479706"/>
        </w:trPr>
        <w:tc>
          <w:tcPr>
            <w:tcW w:w="720" w:type="dxa"/>
            <w:hideMark/>
          </w:tcPr>
          <w:p w14:paraId="44021AB4" w14:textId="77777777" w:rsidR="00000000" w:rsidRDefault="00087966">
            <w:pPr>
              <w:rPr>
                <w:rFonts w:eastAsia="Times New Roman"/>
                <w:sz w:val="20"/>
                <w:szCs w:val="20"/>
              </w:rPr>
            </w:pPr>
            <w:r>
              <w:rPr>
                <w:rFonts w:eastAsia="Times New Roman"/>
                <w:sz w:val="20"/>
                <w:szCs w:val="20"/>
              </w:rPr>
              <w:t> </w:t>
            </w:r>
          </w:p>
        </w:tc>
        <w:tc>
          <w:tcPr>
            <w:tcW w:w="360" w:type="dxa"/>
            <w:hideMark/>
          </w:tcPr>
          <w:p w14:paraId="1FC73E57" w14:textId="77777777" w:rsidR="00000000" w:rsidRDefault="00087966">
            <w:pPr>
              <w:rPr>
                <w:rFonts w:eastAsia="Times New Roman"/>
                <w:sz w:val="20"/>
                <w:szCs w:val="20"/>
              </w:rPr>
            </w:pPr>
            <w:r>
              <w:rPr>
                <w:rFonts w:eastAsia="Times New Roman"/>
                <w:sz w:val="20"/>
                <w:szCs w:val="20"/>
              </w:rPr>
              <w:t>●</w:t>
            </w:r>
          </w:p>
        </w:tc>
        <w:tc>
          <w:tcPr>
            <w:tcW w:w="0" w:type="auto"/>
            <w:hideMark/>
          </w:tcPr>
          <w:p w14:paraId="39AF4601" w14:textId="77777777" w:rsidR="00000000" w:rsidRDefault="00087966">
            <w:pPr>
              <w:rPr>
                <w:rFonts w:eastAsia="Times New Roman"/>
                <w:sz w:val="20"/>
                <w:szCs w:val="20"/>
              </w:rPr>
            </w:pPr>
            <w:r>
              <w:rPr>
                <w:rFonts w:eastAsia="Times New Roman"/>
                <w:sz w:val="20"/>
                <w:szCs w:val="20"/>
              </w:rPr>
              <w:t xml:space="preserve">“DWAC System” are to the Depository </w:t>
            </w:r>
            <w:r>
              <w:rPr>
                <w:rFonts w:eastAsia="Times New Roman"/>
                <w:sz w:val="20"/>
                <w:szCs w:val="20"/>
              </w:rPr>
              <w:t>Trust Company’s Deposit/Withdrawal At Custodian System;</w:t>
            </w:r>
          </w:p>
        </w:tc>
      </w:tr>
    </w:tbl>
    <w:p w14:paraId="475BDB19"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A83EB53" w14:textId="77777777">
        <w:trPr>
          <w:divId w:val="1595479706"/>
        </w:trPr>
        <w:tc>
          <w:tcPr>
            <w:tcW w:w="720" w:type="dxa"/>
            <w:hideMark/>
          </w:tcPr>
          <w:p w14:paraId="29F12AEB" w14:textId="77777777" w:rsidR="00000000" w:rsidRDefault="00087966">
            <w:pPr>
              <w:rPr>
                <w:rFonts w:eastAsia="Times New Roman"/>
                <w:sz w:val="20"/>
                <w:szCs w:val="20"/>
              </w:rPr>
            </w:pPr>
            <w:r>
              <w:rPr>
                <w:rFonts w:eastAsia="Times New Roman"/>
                <w:sz w:val="20"/>
                <w:szCs w:val="20"/>
              </w:rPr>
              <w:t> </w:t>
            </w:r>
          </w:p>
        </w:tc>
        <w:tc>
          <w:tcPr>
            <w:tcW w:w="360" w:type="dxa"/>
            <w:hideMark/>
          </w:tcPr>
          <w:p w14:paraId="2408553C" w14:textId="77777777" w:rsidR="00000000" w:rsidRDefault="00087966">
            <w:pPr>
              <w:rPr>
                <w:rFonts w:eastAsia="Times New Roman"/>
                <w:sz w:val="20"/>
                <w:szCs w:val="20"/>
              </w:rPr>
            </w:pPr>
            <w:r>
              <w:rPr>
                <w:rFonts w:eastAsia="Times New Roman"/>
                <w:sz w:val="20"/>
                <w:szCs w:val="20"/>
              </w:rPr>
              <w:t>●</w:t>
            </w:r>
          </w:p>
        </w:tc>
        <w:tc>
          <w:tcPr>
            <w:tcW w:w="0" w:type="auto"/>
            <w:hideMark/>
          </w:tcPr>
          <w:p w14:paraId="6EBAACCB" w14:textId="77777777" w:rsidR="00000000" w:rsidRDefault="00087966">
            <w:pPr>
              <w:rPr>
                <w:rFonts w:eastAsia="Times New Roman"/>
                <w:sz w:val="20"/>
                <w:szCs w:val="20"/>
              </w:rPr>
            </w:pPr>
            <w:r>
              <w:rPr>
                <w:rFonts w:eastAsia="Times New Roman"/>
                <w:sz w:val="20"/>
                <w:szCs w:val="20"/>
              </w:rPr>
              <w:t>“Exchange Act” are to the Securities Exchange Act of 1934, as amended;</w:t>
            </w:r>
          </w:p>
        </w:tc>
      </w:tr>
    </w:tbl>
    <w:p w14:paraId="01E7812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F66600F" w14:textId="77777777">
        <w:trPr>
          <w:divId w:val="1595479706"/>
        </w:trPr>
        <w:tc>
          <w:tcPr>
            <w:tcW w:w="720" w:type="dxa"/>
            <w:hideMark/>
          </w:tcPr>
          <w:p w14:paraId="2951AEC0" w14:textId="77777777" w:rsidR="00000000" w:rsidRDefault="00087966">
            <w:pPr>
              <w:rPr>
                <w:rFonts w:eastAsia="Times New Roman"/>
                <w:sz w:val="20"/>
                <w:szCs w:val="20"/>
              </w:rPr>
            </w:pPr>
            <w:r>
              <w:rPr>
                <w:rFonts w:eastAsia="Times New Roman"/>
                <w:sz w:val="20"/>
                <w:szCs w:val="20"/>
              </w:rPr>
              <w:t> </w:t>
            </w:r>
          </w:p>
        </w:tc>
        <w:tc>
          <w:tcPr>
            <w:tcW w:w="360" w:type="dxa"/>
            <w:hideMark/>
          </w:tcPr>
          <w:p w14:paraId="3DA9B479"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27D63B2" w14:textId="77777777" w:rsidR="00000000" w:rsidRDefault="00087966">
            <w:pPr>
              <w:jc w:val="both"/>
              <w:rPr>
                <w:rFonts w:eastAsia="Times New Roman"/>
                <w:sz w:val="20"/>
                <w:szCs w:val="20"/>
              </w:rPr>
            </w:pPr>
            <w:r>
              <w:rPr>
                <w:rFonts w:eastAsia="Times New Roman"/>
                <w:sz w:val="20"/>
                <w:szCs w:val="20"/>
              </w:rPr>
              <w:t>“FASB” are to the Financial Accounting Standards Board;</w:t>
            </w:r>
          </w:p>
        </w:tc>
      </w:tr>
      <w:tr w:rsidR="00000000" w14:paraId="4B350C13" w14:textId="77777777">
        <w:trPr>
          <w:divId w:val="1595479706"/>
        </w:trPr>
        <w:tc>
          <w:tcPr>
            <w:tcW w:w="0" w:type="auto"/>
            <w:hideMark/>
          </w:tcPr>
          <w:p w14:paraId="657FE25C" w14:textId="77777777" w:rsidR="00000000" w:rsidRDefault="00087966">
            <w:pPr>
              <w:rPr>
                <w:rFonts w:eastAsia="Times New Roman"/>
                <w:sz w:val="20"/>
                <w:szCs w:val="20"/>
              </w:rPr>
            </w:pPr>
            <w:r>
              <w:rPr>
                <w:rFonts w:eastAsia="Times New Roman"/>
                <w:sz w:val="20"/>
                <w:szCs w:val="20"/>
              </w:rPr>
              <w:t> </w:t>
            </w:r>
          </w:p>
        </w:tc>
        <w:tc>
          <w:tcPr>
            <w:tcW w:w="0" w:type="auto"/>
            <w:hideMark/>
          </w:tcPr>
          <w:p w14:paraId="761BC520" w14:textId="77777777" w:rsidR="00000000" w:rsidRDefault="00087966">
            <w:pPr>
              <w:rPr>
                <w:rFonts w:eastAsia="Times New Roman"/>
                <w:sz w:val="20"/>
                <w:szCs w:val="20"/>
              </w:rPr>
            </w:pPr>
            <w:r>
              <w:rPr>
                <w:rFonts w:eastAsia="Times New Roman"/>
                <w:sz w:val="20"/>
                <w:szCs w:val="20"/>
              </w:rPr>
              <w:t> </w:t>
            </w:r>
          </w:p>
        </w:tc>
        <w:tc>
          <w:tcPr>
            <w:tcW w:w="0" w:type="auto"/>
            <w:hideMark/>
          </w:tcPr>
          <w:p w14:paraId="2266576F" w14:textId="77777777" w:rsidR="00000000" w:rsidRDefault="00087966">
            <w:pPr>
              <w:rPr>
                <w:rFonts w:eastAsia="Times New Roman"/>
                <w:sz w:val="20"/>
                <w:szCs w:val="20"/>
              </w:rPr>
            </w:pPr>
            <w:r>
              <w:rPr>
                <w:rFonts w:eastAsia="Times New Roman"/>
                <w:sz w:val="20"/>
                <w:szCs w:val="20"/>
              </w:rPr>
              <w:t> </w:t>
            </w:r>
          </w:p>
        </w:tc>
      </w:tr>
      <w:tr w:rsidR="00000000" w14:paraId="78419B5F" w14:textId="77777777">
        <w:trPr>
          <w:divId w:val="1595479706"/>
        </w:trPr>
        <w:tc>
          <w:tcPr>
            <w:tcW w:w="0" w:type="auto"/>
            <w:hideMark/>
          </w:tcPr>
          <w:p w14:paraId="4D1D0B12" w14:textId="77777777" w:rsidR="00000000" w:rsidRDefault="00087966">
            <w:pPr>
              <w:rPr>
                <w:rFonts w:eastAsia="Times New Roman"/>
                <w:sz w:val="20"/>
                <w:szCs w:val="20"/>
              </w:rPr>
            </w:pPr>
            <w:r>
              <w:rPr>
                <w:rFonts w:eastAsia="Times New Roman"/>
                <w:sz w:val="20"/>
                <w:szCs w:val="20"/>
              </w:rPr>
              <w:t> </w:t>
            </w:r>
          </w:p>
        </w:tc>
        <w:tc>
          <w:tcPr>
            <w:tcW w:w="0" w:type="auto"/>
            <w:hideMark/>
          </w:tcPr>
          <w:p w14:paraId="6E3E8708" w14:textId="77777777" w:rsidR="00000000" w:rsidRDefault="00087966">
            <w:pPr>
              <w:rPr>
                <w:rFonts w:eastAsia="Times New Roman"/>
                <w:sz w:val="20"/>
                <w:szCs w:val="20"/>
              </w:rPr>
            </w:pPr>
            <w:r>
              <w:rPr>
                <w:rFonts w:eastAsia="Times New Roman"/>
                <w:sz w:val="20"/>
                <w:szCs w:val="20"/>
              </w:rPr>
              <w:t>●</w:t>
            </w:r>
          </w:p>
        </w:tc>
        <w:tc>
          <w:tcPr>
            <w:tcW w:w="0" w:type="auto"/>
            <w:hideMark/>
          </w:tcPr>
          <w:p w14:paraId="6FCF2169" w14:textId="77777777" w:rsidR="00000000" w:rsidRDefault="00087966">
            <w:pPr>
              <w:rPr>
                <w:rFonts w:eastAsia="Times New Roman"/>
                <w:sz w:val="20"/>
                <w:szCs w:val="20"/>
              </w:rPr>
            </w:pPr>
            <w:r>
              <w:rPr>
                <w:rFonts w:eastAsia="Times New Roman"/>
                <w:sz w:val="20"/>
                <w:szCs w:val="20"/>
              </w:rPr>
              <w:t xml:space="preserve">“First Extension” </w:t>
            </w:r>
            <w:r>
              <w:rPr>
                <w:rFonts w:eastAsia="Times New Roman"/>
                <w:sz w:val="20"/>
                <w:szCs w:val="20"/>
              </w:rPr>
              <w:t>are the extension approved at a special meeting of the stockholders held on July 7, 2022, pursuant to which the deadline by which the Company had to complete its initial business combination was extended from July 11, 2022 to January 11, 2023;</w:t>
            </w:r>
          </w:p>
        </w:tc>
      </w:tr>
    </w:tbl>
    <w:p w14:paraId="07F290D0" w14:textId="77777777" w:rsidR="00000000" w:rsidRDefault="00087966">
      <w:pPr>
        <w:pStyle w:val="a3"/>
        <w:spacing w:before="0" w:beforeAutospacing="0" w:after="0" w:afterAutospacing="0"/>
        <w:jc w:val="both"/>
        <w:divId w:val="1595479706"/>
        <w:rPr>
          <w:sz w:val="20"/>
          <w:szCs w:val="20"/>
        </w:rPr>
      </w:pPr>
      <w:r>
        <w:rPr>
          <w:sz w:val="20"/>
          <w:szCs w:val="20"/>
        </w:rPr>
        <w:t> </w:t>
      </w:r>
    </w:p>
    <w:p w14:paraId="7FAA346E" w14:textId="77777777" w:rsidR="00000000" w:rsidRDefault="00087966">
      <w:pPr>
        <w:pStyle w:val="a3"/>
        <w:spacing w:before="0" w:beforeAutospacing="0" w:after="0" w:afterAutospacing="0"/>
        <w:jc w:val="center"/>
        <w:divId w:val="229006392"/>
        <w:rPr>
          <w:sz w:val="20"/>
          <w:szCs w:val="20"/>
        </w:rPr>
      </w:pPr>
      <w:r>
        <w:rPr>
          <w:sz w:val="20"/>
          <w:szCs w:val="20"/>
        </w:rPr>
        <w:t>ii</w:t>
      </w:r>
      <w:r>
        <w:rPr>
          <w:sz w:val="20"/>
          <w:szCs w:val="20"/>
        </w:rPr>
        <w:t>i</w:t>
      </w:r>
    </w:p>
    <w:p w14:paraId="3FAA5AFE" w14:textId="77777777" w:rsidR="00000000" w:rsidRDefault="00087966">
      <w:pPr>
        <w:pStyle w:val="a3"/>
        <w:spacing w:before="0" w:beforeAutospacing="0" w:after="0" w:afterAutospacing="0"/>
        <w:divId w:val="1771008663"/>
        <w:rPr>
          <w:sz w:val="20"/>
          <w:szCs w:val="20"/>
        </w:rPr>
      </w:pPr>
      <w:r>
        <w:rPr>
          <w:sz w:val="20"/>
          <w:szCs w:val="20"/>
        </w:rPr>
        <w:t> </w:t>
      </w:r>
    </w:p>
    <w:p w14:paraId="0571A60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CF659F3" w14:textId="77777777">
        <w:trPr>
          <w:divId w:val="1595479706"/>
        </w:trPr>
        <w:tc>
          <w:tcPr>
            <w:tcW w:w="720" w:type="dxa"/>
            <w:hideMark/>
          </w:tcPr>
          <w:p w14:paraId="73FA4522" w14:textId="77777777" w:rsidR="00000000" w:rsidRDefault="00087966">
            <w:pPr>
              <w:rPr>
                <w:rFonts w:eastAsia="Times New Roman"/>
                <w:sz w:val="20"/>
                <w:szCs w:val="20"/>
              </w:rPr>
            </w:pPr>
            <w:r>
              <w:rPr>
                <w:rFonts w:eastAsia="Times New Roman"/>
                <w:sz w:val="20"/>
                <w:szCs w:val="20"/>
              </w:rPr>
              <w:t> </w:t>
            </w:r>
          </w:p>
        </w:tc>
        <w:tc>
          <w:tcPr>
            <w:tcW w:w="360" w:type="dxa"/>
            <w:hideMark/>
          </w:tcPr>
          <w:p w14:paraId="633B2236"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E9C4B01" w14:textId="77777777" w:rsidR="00000000" w:rsidRDefault="00087966">
            <w:pPr>
              <w:jc w:val="both"/>
              <w:rPr>
                <w:rFonts w:eastAsia="Times New Roman"/>
                <w:sz w:val="20"/>
                <w:szCs w:val="20"/>
              </w:rPr>
            </w:pPr>
            <w:r>
              <w:rPr>
                <w:rFonts w:eastAsia="Times New Roman"/>
                <w:sz w:val="20"/>
                <w:szCs w:val="20"/>
              </w:rPr>
              <w:t xml:space="preserve">“founder shares” </w:t>
            </w:r>
            <w:r>
              <w:rPr>
                <w:rFonts w:eastAsia="Times New Roman"/>
                <w:sz w:val="20"/>
                <w:szCs w:val="20"/>
              </w:rPr>
              <w:t xml:space="preserve">are to the shares of Class B common stock initially purchased by our initial stockholders (as defined below) in the private placement (as defined below) and the shares of Class A common stock that will be issued upon the automatic conversion of the shares </w:t>
            </w:r>
            <w:r>
              <w:rPr>
                <w:rFonts w:eastAsia="Times New Roman"/>
                <w:sz w:val="20"/>
                <w:szCs w:val="20"/>
              </w:rPr>
              <w:t>of Class B common stock at the time of our business combination as described herein (for the avoidance of doubt, such Class A common stock will not be “public shares” (as defined below));</w:t>
            </w:r>
          </w:p>
        </w:tc>
      </w:tr>
    </w:tbl>
    <w:p w14:paraId="11E5B165"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6FE45F4" w14:textId="77777777">
        <w:trPr>
          <w:divId w:val="1595479706"/>
        </w:trPr>
        <w:tc>
          <w:tcPr>
            <w:tcW w:w="720" w:type="dxa"/>
            <w:hideMark/>
          </w:tcPr>
          <w:p w14:paraId="33D33BBF" w14:textId="77777777" w:rsidR="00000000" w:rsidRDefault="00087966">
            <w:pPr>
              <w:rPr>
                <w:rFonts w:eastAsia="Times New Roman"/>
                <w:sz w:val="20"/>
                <w:szCs w:val="20"/>
              </w:rPr>
            </w:pPr>
            <w:r>
              <w:rPr>
                <w:rFonts w:eastAsia="Times New Roman"/>
                <w:sz w:val="20"/>
                <w:szCs w:val="20"/>
              </w:rPr>
              <w:t> </w:t>
            </w:r>
          </w:p>
        </w:tc>
        <w:tc>
          <w:tcPr>
            <w:tcW w:w="360" w:type="dxa"/>
            <w:hideMark/>
          </w:tcPr>
          <w:p w14:paraId="49A7CFE0" w14:textId="77777777" w:rsidR="00000000" w:rsidRDefault="00087966">
            <w:pPr>
              <w:rPr>
                <w:rFonts w:eastAsia="Times New Roman"/>
                <w:sz w:val="20"/>
                <w:szCs w:val="20"/>
              </w:rPr>
            </w:pPr>
            <w:r>
              <w:rPr>
                <w:rFonts w:eastAsia="Times New Roman"/>
                <w:sz w:val="20"/>
                <w:szCs w:val="20"/>
              </w:rPr>
              <w:t>●</w:t>
            </w:r>
          </w:p>
        </w:tc>
        <w:tc>
          <w:tcPr>
            <w:tcW w:w="0" w:type="auto"/>
            <w:hideMark/>
          </w:tcPr>
          <w:p w14:paraId="45DE94C6" w14:textId="77777777" w:rsidR="00000000" w:rsidRDefault="00087966">
            <w:pPr>
              <w:rPr>
                <w:rFonts w:eastAsia="Times New Roman"/>
                <w:sz w:val="20"/>
                <w:szCs w:val="20"/>
              </w:rPr>
            </w:pPr>
            <w:r>
              <w:rPr>
                <w:rFonts w:eastAsia="Times New Roman"/>
                <w:sz w:val="20"/>
                <w:szCs w:val="20"/>
              </w:rPr>
              <w:t>“GAAP” are to the accounting principles generally accepted in</w:t>
            </w:r>
            <w:r>
              <w:rPr>
                <w:rFonts w:eastAsia="Times New Roman"/>
                <w:sz w:val="20"/>
                <w:szCs w:val="20"/>
              </w:rPr>
              <w:t xml:space="preserve"> the United States of America;</w:t>
            </w:r>
          </w:p>
        </w:tc>
      </w:tr>
    </w:tbl>
    <w:p w14:paraId="63CE42D5"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517C7806" w14:textId="77777777">
        <w:trPr>
          <w:divId w:val="1595479706"/>
        </w:trPr>
        <w:tc>
          <w:tcPr>
            <w:tcW w:w="720" w:type="dxa"/>
            <w:hideMark/>
          </w:tcPr>
          <w:p w14:paraId="7AE6D11F" w14:textId="77777777" w:rsidR="00000000" w:rsidRDefault="00087966">
            <w:pPr>
              <w:rPr>
                <w:rFonts w:eastAsia="Times New Roman"/>
                <w:sz w:val="20"/>
                <w:szCs w:val="20"/>
              </w:rPr>
            </w:pPr>
            <w:r>
              <w:rPr>
                <w:rFonts w:eastAsia="Times New Roman"/>
                <w:sz w:val="20"/>
                <w:szCs w:val="20"/>
              </w:rPr>
              <w:t> </w:t>
            </w:r>
          </w:p>
        </w:tc>
        <w:tc>
          <w:tcPr>
            <w:tcW w:w="360" w:type="dxa"/>
            <w:hideMark/>
          </w:tcPr>
          <w:p w14:paraId="03F19A1C" w14:textId="77777777" w:rsidR="00000000" w:rsidRDefault="00087966">
            <w:pPr>
              <w:rPr>
                <w:rFonts w:eastAsia="Times New Roman"/>
                <w:sz w:val="20"/>
                <w:szCs w:val="20"/>
              </w:rPr>
            </w:pPr>
            <w:r>
              <w:rPr>
                <w:rFonts w:eastAsia="Times New Roman"/>
                <w:sz w:val="20"/>
                <w:szCs w:val="20"/>
              </w:rPr>
              <w:t>●</w:t>
            </w:r>
          </w:p>
        </w:tc>
        <w:tc>
          <w:tcPr>
            <w:tcW w:w="0" w:type="auto"/>
            <w:hideMark/>
          </w:tcPr>
          <w:p w14:paraId="66B1E3C9" w14:textId="77777777" w:rsidR="00000000" w:rsidRDefault="00087966">
            <w:pPr>
              <w:rPr>
                <w:rFonts w:eastAsia="Times New Roman"/>
                <w:sz w:val="20"/>
                <w:szCs w:val="20"/>
              </w:rPr>
            </w:pPr>
            <w:r>
              <w:rPr>
                <w:rFonts w:eastAsia="Times New Roman"/>
                <w:sz w:val="20"/>
                <w:szCs w:val="20"/>
              </w:rPr>
              <w:t>“IFRS” are to the International Financial Reporting Standards, as issued by the International Accounting Standards Board;</w:t>
            </w:r>
          </w:p>
        </w:tc>
      </w:tr>
    </w:tbl>
    <w:p w14:paraId="2F156E80"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66C7907A" w14:textId="77777777">
        <w:trPr>
          <w:divId w:val="1595479706"/>
        </w:trPr>
        <w:tc>
          <w:tcPr>
            <w:tcW w:w="720" w:type="dxa"/>
            <w:hideMark/>
          </w:tcPr>
          <w:p w14:paraId="643CE2B0" w14:textId="77777777" w:rsidR="00000000" w:rsidRDefault="00087966">
            <w:pPr>
              <w:rPr>
                <w:rFonts w:eastAsia="Times New Roman"/>
                <w:sz w:val="20"/>
                <w:szCs w:val="20"/>
              </w:rPr>
            </w:pPr>
            <w:r>
              <w:rPr>
                <w:rFonts w:eastAsia="Times New Roman"/>
                <w:sz w:val="20"/>
                <w:szCs w:val="20"/>
              </w:rPr>
              <w:t> </w:t>
            </w:r>
          </w:p>
        </w:tc>
        <w:tc>
          <w:tcPr>
            <w:tcW w:w="360" w:type="dxa"/>
            <w:hideMark/>
          </w:tcPr>
          <w:p w14:paraId="0ED17100"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13E8D888" w14:textId="77777777" w:rsidR="00000000" w:rsidRDefault="00087966">
            <w:pPr>
              <w:jc w:val="both"/>
              <w:rPr>
                <w:rFonts w:eastAsia="Times New Roman"/>
                <w:sz w:val="20"/>
                <w:szCs w:val="20"/>
              </w:rPr>
            </w:pPr>
            <w:r>
              <w:rPr>
                <w:rFonts w:eastAsia="Times New Roman"/>
                <w:sz w:val="20"/>
                <w:szCs w:val="20"/>
              </w:rPr>
              <w:t>“initial public offering” or “IPO” are to the initial public offering that was consummate</w:t>
            </w:r>
            <w:r>
              <w:rPr>
                <w:rFonts w:eastAsia="Times New Roman"/>
                <w:sz w:val="20"/>
                <w:szCs w:val="20"/>
              </w:rPr>
              <w:t>d by the Company on January 11, 2021;</w:t>
            </w:r>
          </w:p>
        </w:tc>
      </w:tr>
    </w:tbl>
    <w:p w14:paraId="10FE859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4657E5BE" w14:textId="77777777">
        <w:trPr>
          <w:divId w:val="1595479706"/>
        </w:trPr>
        <w:tc>
          <w:tcPr>
            <w:tcW w:w="720" w:type="dxa"/>
            <w:hideMark/>
          </w:tcPr>
          <w:p w14:paraId="0F56DF13" w14:textId="77777777" w:rsidR="00000000" w:rsidRDefault="00087966">
            <w:pPr>
              <w:rPr>
                <w:rFonts w:eastAsia="Times New Roman"/>
                <w:sz w:val="20"/>
                <w:szCs w:val="20"/>
              </w:rPr>
            </w:pPr>
            <w:r>
              <w:rPr>
                <w:rFonts w:eastAsia="Times New Roman"/>
                <w:sz w:val="20"/>
                <w:szCs w:val="20"/>
              </w:rPr>
              <w:lastRenderedPageBreak/>
              <w:t> </w:t>
            </w:r>
          </w:p>
        </w:tc>
        <w:tc>
          <w:tcPr>
            <w:tcW w:w="360" w:type="dxa"/>
            <w:hideMark/>
          </w:tcPr>
          <w:p w14:paraId="12B895C0" w14:textId="77777777" w:rsidR="00000000" w:rsidRDefault="00087966">
            <w:pPr>
              <w:rPr>
                <w:rFonts w:eastAsia="Times New Roman"/>
                <w:sz w:val="20"/>
                <w:szCs w:val="20"/>
              </w:rPr>
            </w:pPr>
            <w:r>
              <w:rPr>
                <w:rFonts w:eastAsia="Times New Roman"/>
                <w:sz w:val="20"/>
                <w:szCs w:val="20"/>
              </w:rPr>
              <w:t>●</w:t>
            </w:r>
          </w:p>
        </w:tc>
        <w:tc>
          <w:tcPr>
            <w:tcW w:w="0" w:type="auto"/>
            <w:hideMark/>
          </w:tcPr>
          <w:p w14:paraId="4E55A2EB" w14:textId="77777777" w:rsidR="00000000" w:rsidRDefault="00087966">
            <w:pPr>
              <w:rPr>
                <w:rFonts w:eastAsia="Times New Roman"/>
                <w:sz w:val="20"/>
                <w:szCs w:val="20"/>
              </w:rPr>
            </w:pPr>
            <w:r>
              <w:rPr>
                <w:rFonts w:eastAsia="Times New Roman"/>
                <w:sz w:val="20"/>
                <w:szCs w:val="20"/>
              </w:rPr>
              <w:t>“initial stockholders” are to our sponsor and any other holders of our founder shares prior to our initial public offering;</w:t>
            </w:r>
          </w:p>
        </w:tc>
      </w:tr>
      <w:tr w:rsidR="00000000" w14:paraId="1BA0A5DA" w14:textId="77777777">
        <w:trPr>
          <w:divId w:val="1595479706"/>
        </w:trPr>
        <w:tc>
          <w:tcPr>
            <w:tcW w:w="0" w:type="auto"/>
            <w:hideMark/>
          </w:tcPr>
          <w:p w14:paraId="351571BB" w14:textId="77777777" w:rsidR="00000000" w:rsidRDefault="00087966">
            <w:pPr>
              <w:rPr>
                <w:rFonts w:eastAsia="Times New Roman"/>
                <w:sz w:val="20"/>
                <w:szCs w:val="20"/>
              </w:rPr>
            </w:pPr>
            <w:r>
              <w:rPr>
                <w:rFonts w:eastAsia="Times New Roman"/>
                <w:sz w:val="20"/>
                <w:szCs w:val="20"/>
              </w:rPr>
              <w:t> </w:t>
            </w:r>
          </w:p>
        </w:tc>
        <w:tc>
          <w:tcPr>
            <w:tcW w:w="0" w:type="auto"/>
            <w:hideMark/>
          </w:tcPr>
          <w:p w14:paraId="12B8E642" w14:textId="77777777" w:rsidR="00000000" w:rsidRDefault="00087966">
            <w:pPr>
              <w:rPr>
                <w:rFonts w:eastAsia="Times New Roman"/>
                <w:sz w:val="20"/>
                <w:szCs w:val="20"/>
              </w:rPr>
            </w:pPr>
            <w:r>
              <w:rPr>
                <w:rFonts w:eastAsia="Times New Roman"/>
                <w:sz w:val="20"/>
                <w:szCs w:val="20"/>
              </w:rPr>
              <w:t> </w:t>
            </w:r>
          </w:p>
        </w:tc>
        <w:tc>
          <w:tcPr>
            <w:tcW w:w="0" w:type="auto"/>
            <w:hideMark/>
          </w:tcPr>
          <w:p w14:paraId="5A6624DA" w14:textId="77777777" w:rsidR="00000000" w:rsidRDefault="00087966">
            <w:pPr>
              <w:rPr>
                <w:rFonts w:eastAsia="Times New Roman"/>
                <w:sz w:val="20"/>
                <w:szCs w:val="20"/>
              </w:rPr>
            </w:pPr>
            <w:r>
              <w:rPr>
                <w:rFonts w:eastAsia="Times New Roman"/>
                <w:sz w:val="20"/>
                <w:szCs w:val="20"/>
              </w:rPr>
              <w:t> </w:t>
            </w:r>
          </w:p>
        </w:tc>
      </w:tr>
      <w:tr w:rsidR="00000000" w14:paraId="3713BA25" w14:textId="77777777">
        <w:trPr>
          <w:divId w:val="1595479706"/>
        </w:trPr>
        <w:tc>
          <w:tcPr>
            <w:tcW w:w="0" w:type="auto"/>
            <w:hideMark/>
          </w:tcPr>
          <w:p w14:paraId="7D0749D3" w14:textId="77777777" w:rsidR="00000000" w:rsidRDefault="00087966">
            <w:pPr>
              <w:rPr>
                <w:rFonts w:eastAsia="Times New Roman"/>
                <w:sz w:val="20"/>
                <w:szCs w:val="20"/>
              </w:rPr>
            </w:pPr>
            <w:r>
              <w:rPr>
                <w:rFonts w:eastAsia="Times New Roman"/>
                <w:sz w:val="20"/>
                <w:szCs w:val="20"/>
              </w:rPr>
              <w:t> </w:t>
            </w:r>
          </w:p>
        </w:tc>
        <w:tc>
          <w:tcPr>
            <w:tcW w:w="0" w:type="auto"/>
            <w:hideMark/>
          </w:tcPr>
          <w:p w14:paraId="1BA8153F"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1A43D374" w14:textId="77777777" w:rsidR="00000000" w:rsidRDefault="00087966">
            <w:pPr>
              <w:jc w:val="both"/>
              <w:rPr>
                <w:rFonts w:eastAsia="Times New Roman"/>
                <w:sz w:val="20"/>
                <w:szCs w:val="20"/>
              </w:rPr>
            </w:pPr>
            <w:r>
              <w:rPr>
                <w:rFonts w:eastAsia="Times New Roman"/>
                <w:sz w:val="20"/>
                <w:szCs w:val="20"/>
              </w:rPr>
              <w:t xml:space="preserve">“Investment Company Act” </w:t>
            </w:r>
            <w:r>
              <w:rPr>
                <w:rFonts w:eastAsia="Times New Roman"/>
                <w:sz w:val="20"/>
                <w:szCs w:val="20"/>
              </w:rPr>
              <w:t>are to the Investment Company Act of 1940, as amended;</w:t>
            </w:r>
          </w:p>
        </w:tc>
      </w:tr>
      <w:tr w:rsidR="00000000" w14:paraId="60591A83" w14:textId="77777777">
        <w:trPr>
          <w:divId w:val="1595479706"/>
        </w:trPr>
        <w:tc>
          <w:tcPr>
            <w:tcW w:w="0" w:type="auto"/>
            <w:hideMark/>
          </w:tcPr>
          <w:p w14:paraId="0AD8EF57"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F62A489"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464F03FF" w14:textId="77777777" w:rsidR="00000000" w:rsidRDefault="00087966">
            <w:pPr>
              <w:jc w:val="both"/>
              <w:rPr>
                <w:rFonts w:eastAsia="Times New Roman"/>
                <w:sz w:val="20"/>
                <w:szCs w:val="20"/>
              </w:rPr>
            </w:pPr>
            <w:r>
              <w:rPr>
                <w:rFonts w:eastAsia="Times New Roman"/>
                <w:sz w:val="20"/>
                <w:szCs w:val="20"/>
              </w:rPr>
              <w:t> </w:t>
            </w:r>
          </w:p>
        </w:tc>
      </w:tr>
      <w:tr w:rsidR="00000000" w14:paraId="498E1476" w14:textId="77777777">
        <w:trPr>
          <w:divId w:val="1595479706"/>
        </w:trPr>
        <w:tc>
          <w:tcPr>
            <w:tcW w:w="0" w:type="auto"/>
            <w:hideMark/>
          </w:tcPr>
          <w:p w14:paraId="555AFB5D"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E6A0E95"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5BE1DE7" w14:textId="77777777" w:rsidR="00000000" w:rsidRDefault="00087966">
            <w:pPr>
              <w:jc w:val="both"/>
              <w:rPr>
                <w:rFonts w:eastAsia="Times New Roman"/>
                <w:sz w:val="20"/>
                <w:szCs w:val="20"/>
              </w:rPr>
            </w:pPr>
            <w:r>
              <w:rPr>
                <w:rFonts w:eastAsia="Times New Roman"/>
                <w:sz w:val="20"/>
                <w:szCs w:val="20"/>
              </w:rPr>
              <w:t>“IPO Registration Statement” are to the Registration Statement on Form S-1 initially filed with the SEC (as defined below) on December 5, 2020, as amended, and declared effective on January</w:t>
            </w:r>
            <w:r>
              <w:rPr>
                <w:rFonts w:eastAsia="Times New Roman"/>
                <w:sz w:val="20"/>
                <w:szCs w:val="20"/>
              </w:rPr>
              <w:t xml:space="preserve"> 6, 2021 (File No. 333-251337);</w:t>
            </w:r>
          </w:p>
        </w:tc>
      </w:tr>
    </w:tbl>
    <w:p w14:paraId="6AB3E22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654BDD00" w14:textId="77777777">
        <w:trPr>
          <w:divId w:val="1595479706"/>
        </w:trPr>
        <w:tc>
          <w:tcPr>
            <w:tcW w:w="720" w:type="dxa"/>
            <w:hideMark/>
          </w:tcPr>
          <w:p w14:paraId="11F72871" w14:textId="77777777" w:rsidR="00000000" w:rsidRDefault="00087966">
            <w:pPr>
              <w:rPr>
                <w:rFonts w:eastAsia="Times New Roman"/>
                <w:sz w:val="20"/>
                <w:szCs w:val="20"/>
              </w:rPr>
            </w:pPr>
            <w:r>
              <w:rPr>
                <w:rFonts w:eastAsia="Times New Roman"/>
                <w:sz w:val="20"/>
                <w:szCs w:val="20"/>
              </w:rPr>
              <w:t> </w:t>
            </w:r>
          </w:p>
        </w:tc>
        <w:tc>
          <w:tcPr>
            <w:tcW w:w="360" w:type="dxa"/>
            <w:hideMark/>
          </w:tcPr>
          <w:p w14:paraId="51D734B7"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80E3D20" w14:textId="77777777" w:rsidR="00000000" w:rsidRDefault="00087966">
            <w:pPr>
              <w:jc w:val="both"/>
              <w:rPr>
                <w:rFonts w:eastAsia="Times New Roman"/>
                <w:sz w:val="20"/>
                <w:szCs w:val="20"/>
              </w:rPr>
            </w:pPr>
            <w:r>
              <w:rPr>
                <w:rFonts w:eastAsia="Times New Roman"/>
                <w:sz w:val="20"/>
                <w:szCs w:val="20"/>
              </w:rPr>
              <w:t>“JOBS Act” are to the Jumpstart Our Business Startups Act of 2012;</w:t>
            </w:r>
          </w:p>
        </w:tc>
      </w:tr>
    </w:tbl>
    <w:p w14:paraId="2A6A23D1"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398A3106" w14:textId="77777777">
        <w:trPr>
          <w:divId w:val="1595479706"/>
        </w:trPr>
        <w:tc>
          <w:tcPr>
            <w:tcW w:w="720" w:type="dxa"/>
            <w:hideMark/>
          </w:tcPr>
          <w:p w14:paraId="44ECC219" w14:textId="77777777" w:rsidR="00000000" w:rsidRDefault="00087966">
            <w:pPr>
              <w:rPr>
                <w:rFonts w:eastAsia="Times New Roman"/>
                <w:sz w:val="20"/>
                <w:szCs w:val="20"/>
              </w:rPr>
            </w:pPr>
            <w:r>
              <w:rPr>
                <w:rFonts w:eastAsia="Times New Roman"/>
                <w:sz w:val="20"/>
                <w:szCs w:val="20"/>
              </w:rPr>
              <w:t> </w:t>
            </w:r>
          </w:p>
        </w:tc>
        <w:tc>
          <w:tcPr>
            <w:tcW w:w="360" w:type="dxa"/>
            <w:hideMark/>
          </w:tcPr>
          <w:p w14:paraId="49DF0343"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B8CF470" w14:textId="77777777" w:rsidR="00000000" w:rsidRDefault="00087966">
            <w:pPr>
              <w:jc w:val="both"/>
              <w:rPr>
                <w:rFonts w:eastAsia="Times New Roman"/>
                <w:sz w:val="20"/>
                <w:szCs w:val="20"/>
              </w:rPr>
            </w:pPr>
            <w:r>
              <w:rPr>
                <w:rFonts w:eastAsia="Times New Roman"/>
                <w:sz w:val="20"/>
                <w:szCs w:val="20"/>
              </w:rPr>
              <w:t xml:space="preserve">“Marcum” </w:t>
            </w:r>
            <w:r>
              <w:rPr>
                <w:rFonts w:eastAsia="Times New Roman"/>
                <w:sz w:val="20"/>
                <w:szCs w:val="20"/>
              </w:rPr>
              <w:t>are to Marcum LLP, our independent registered public accounting firm;</w:t>
            </w:r>
          </w:p>
        </w:tc>
      </w:tr>
    </w:tbl>
    <w:p w14:paraId="05877FD6"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3A4761D6" w14:textId="77777777">
        <w:trPr>
          <w:divId w:val="1595479706"/>
        </w:trPr>
        <w:tc>
          <w:tcPr>
            <w:tcW w:w="720" w:type="dxa"/>
            <w:hideMark/>
          </w:tcPr>
          <w:p w14:paraId="3A3FE140" w14:textId="77777777" w:rsidR="00000000" w:rsidRDefault="00087966">
            <w:pPr>
              <w:rPr>
                <w:rFonts w:eastAsia="Times New Roman"/>
                <w:sz w:val="20"/>
                <w:szCs w:val="20"/>
              </w:rPr>
            </w:pPr>
            <w:r>
              <w:rPr>
                <w:rFonts w:eastAsia="Times New Roman"/>
                <w:sz w:val="20"/>
                <w:szCs w:val="20"/>
              </w:rPr>
              <w:t> </w:t>
            </w:r>
          </w:p>
        </w:tc>
        <w:tc>
          <w:tcPr>
            <w:tcW w:w="360" w:type="dxa"/>
            <w:hideMark/>
          </w:tcPr>
          <w:p w14:paraId="3FB12A0B" w14:textId="77777777" w:rsidR="00000000" w:rsidRDefault="00087966">
            <w:pPr>
              <w:rPr>
                <w:rFonts w:eastAsia="Times New Roman"/>
                <w:sz w:val="20"/>
                <w:szCs w:val="20"/>
              </w:rPr>
            </w:pPr>
            <w:r>
              <w:rPr>
                <w:rFonts w:eastAsia="Times New Roman"/>
                <w:sz w:val="20"/>
                <w:szCs w:val="20"/>
              </w:rPr>
              <w:t>●</w:t>
            </w:r>
          </w:p>
        </w:tc>
        <w:tc>
          <w:tcPr>
            <w:tcW w:w="0" w:type="auto"/>
            <w:hideMark/>
          </w:tcPr>
          <w:p w14:paraId="0AA6C104" w14:textId="77777777" w:rsidR="00000000" w:rsidRDefault="00087966">
            <w:pPr>
              <w:rPr>
                <w:rFonts w:eastAsia="Times New Roman"/>
                <w:sz w:val="20"/>
                <w:szCs w:val="20"/>
              </w:rPr>
            </w:pPr>
            <w:r>
              <w:rPr>
                <w:rFonts w:eastAsia="Times New Roman"/>
                <w:sz w:val="20"/>
                <w:szCs w:val="20"/>
              </w:rPr>
              <w:t>“management” or our “management team” are to our executive officers and directors;</w:t>
            </w:r>
          </w:p>
        </w:tc>
      </w:tr>
      <w:tr w:rsidR="00000000" w14:paraId="2925B027" w14:textId="77777777">
        <w:trPr>
          <w:divId w:val="1595479706"/>
        </w:trPr>
        <w:tc>
          <w:tcPr>
            <w:tcW w:w="0" w:type="auto"/>
            <w:hideMark/>
          </w:tcPr>
          <w:p w14:paraId="5F812F19" w14:textId="77777777" w:rsidR="00000000" w:rsidRDefault="00087966">
            <w:pPr>
              <w:rPr>
                <w:rFonts w:eastAsia="Times New Roman"/>
                <w:sz w:val="20"/>
                <w:szCs w:val="20"/>
              </w:rPr>
            </w:pPr>
            <w:r>
              <w:rPr>
                <w:rFonts w:eastAsia="Times New Roman"/>
                <w:sz w:val="20"/>
                <w:szCs w:val="20"/>
              </w:rPr>
              <w:t> </w:t>
            </w:r>
          </w:p>
        </w:tc>
        <w:tc>
          <w:tcPr>
            <w:tcW w:w="0" w:type="auto"/>
            <w:hideMark/>
          </w:tcPr>
          <w:p w14:paraId="79F8C28C" w14:textId="77777777" w:rsidR="00000000" w:rsidRDefault="00087966">
            <w:pPr>
              <w:rPr>
                <w:rFonts w:eastAsia="Times New Roman"/>
                <w:sz w:val="20"/>
                <w:szCs w:val="20"/>
              </w:rPr>
            </w:pPr>
            <w:r>
              <w:rPr>
                <w:rFonts w:eastAsia="Times New Roman"/>
                <w:sz w:val="20"/>
                <w:szCs w:val="20"/>
              </w:rPr>
              <w:t> </w:t>
            </w:r>
          </w:p>
        </w:tc>
        <w:tc>
          <w:tcPr>
            <w:tcW w:w="0" w:type="auto"/>
            <w:hideMark/>
          </w:tcPr>
          <w:p w14:paraId="574C6759" w14:textId="77777777" w:rsidR="00000000" w:rsidRDefault="00087966">
            <w:pPr>
              <w:rPr>
                <w:rFonts w:eastAsia="Times New Roman"/>
                <w:sz w:val="20"/>
                <w:szCs w:val="20"/>
              </w:rPr>
            </w:pPr>
            <w:r>
              <w:rPr>
                <w:rFonts w:eastAsia="Times New Roman"/>
                <w:sz w:val="20"/>
                <w:szCs w:val="20"/>
              </w:rPr>
              <w:t> </w:t>
            </w:r>
          </w:p>
        </w:tc>
      </w:tr>
      <w:tr w:rsidR="00000000" w14:paraId="34E240F1" w14:textId="77777777">
        <w:trPr>
          <w:divId w:val="1595479706"/>
        </w:trPr>
        <w:tc>
          <w:tcPr>
            <w:tcW w:w="0" w:type="auto"/>
            <w:hideMark/>
          </w:tcPr>
          <w:p w14:paraId="25E39472" w14:textId="77777777" w:rsidR="00000000" w:rsidRDefault="00087966">
            <w:pPr>
              <w:rPr>
                <w:rFonts w:eastAsia="Times New Roman"/>
                <w:sz w:val="20"/>
                <w:szCs w:val="20"/>
              </w:rPr>
            </w:pPr>
            <w:r>
              <w:rPr>
                <w:rFonts w:eastAsia="Times New Roman"/>
                <w:sz w:val="20"/>
                <w:szCs w:val="20"/>
              </w:rPr>
              <w:t> </w:t>
            </w:r>
          </w:p>
        </w:tc>
        <w:tc>
          <w:tcPr>
            <w:tcW w:w="0" w:type="auto"/>
            <w:hideMark/>
          </w:tcPr>
          <w:p w14:paraId="26C2AFCF" w14:textId="77777777" w:rsidR="00000000" w:rsidRDefault="00087966">
            <w:pPr>
              <w:rPr>
                <w:rFonts w:eastAsia="Times New Roman"/>
                <w:sz w:val="20"/>
                <w:szCs w:val="20"/>
              </w:rPr>
            </w:pPr>
            <w:r>
              <w:rPr>
                <w:rFonts w:eastAsia="Times New Roman"/>
                <w:sz w:val="20"/>
                <w:szCs w:val="20"/>
              </w:rPr>
              <w:t>●</w:t>
            </w:r>
          </w:p>
        </w:tc>
        <w:tc>
          <w:tcPr>
            <w:tcW w:w="0" w:type="auto"/>
            <w:hideMark/>
          </w:tcPr>
          <w:p w14:paraId="15DF5C3D" w14:textId="77777777" w:rsidR="00000000" w:rsidRDefault="00087966">
            <w:pPr>
              <w:rPr>
                <w:rFonts w:eastAsia="Times New Roman"/>
                <w:sz w:val="20"/>
                <w:szCs w:val="20"/>
              </w:rPr>
            </w:pPr>
            <w:r>
              <w:rPr>
                <w:rFonts w:eastAsia="Times New Roman"/>
                <w:sz w:val="20"/>
                <w:szCs w:val="20"/>
              </w:rPr>
              <w:t xml:space="preserve">“Merger Sub 1” </w:t>
            </w:r>
            <w:r>
              <w:rPr>
                <w:rFonts w:eastAsia="Times New Roman"/>
                <w:sz w:val="20"/>
                <w:szCs w:val="20"/>
              </w:rPr>
              <w:t>are to Paas Merger Sub 1 Inc., a Delaware corporation and wholly owned subsidiary of the Company;</w:t>
            </w:r>
          </w:p>
        </w:tc>
      </w:tr>
      <w:tr w:rsidR="00000000" w14:paraId="7585D27C" w14:textId="77777777">
        <w:trPr>
          <w:divId w:val="1595479706"/>
        </w:trPr>
        <w:tc>
          <w:tcPr>
            <w:tcW w:w="0" w:type="auto"/>
            <w:hideMark/>
          </w:tcPr>
          <w:p w14:paraId="66E21A8A" w14:textId="77777777" w:rsidR="00000000" w:rsidRDefault="00087966">
            <w:pPr>
              <w:rPr>
                <w:rFonts w:eastAsia="Times New Roman"/>
                <w:sz w:val="20"/>
                <w:szCs w:val="20"/>
              </w:rPr>
            </w:pPr>
            <w:r>
              <w:rPr>
                <w:rFonts w:eastAsia="Times New Roman"/>
                <w:sz w:val="20"/>
                <w:szCs w:val="20"/>
              </w:rPr>
              <w:t> </w:t>
            </w:r>
          </w:p>
        </w:tc>
        <w:tc>
          <w:tcPr>
            <w:tcW w:w="0" w:type="auto"/>
            <w:hideMark/>
          </w:tcPr>
          <w:p w14:paraId="0B211ACB" w14:textId="77777777" w:rsidR="00000000" w:rsidRDefault="00087966">
            <w:pPr>
              <w:rPr>
                <w:rFonts w:eastAsia="Times New Roman"/>
                <w:sz w:val="20"/>
                <w:szCs w:val="20"/>
              </w:rPr>
            </w:pPr>
            <w:r>
              <w:rPr>
                <w:rFonts w:eastAsia="Times New Roman"/>
                <w:sz w:val="20"/>
                <w:szCs w:val="20"/>
              </w:rPr>
              <w:t> </w:t>
            </w:r>
          </w:p>
        </w:tc>
        <w:tc>
          <w:tcPr>
            <w:tcW w:w="0" w:type="auto"/>
            <w:hideMark/>
          </w:tcPr>
          <w:p w14:paraId="100D9E7D" w14:textId="77777777" w:rsidR="00000000" w:rsidRDefault="00087966">
            <w:pPr>
              <w:rPr>
                <w:rFonts w:eastAsia="Times New Roman"/>
                <w:sz w:val="20"/>
                <w:szCs w:val="20"/>
              </w:rPr>
            </w:pPr>
            <w:r>
              <w:rPr>
                <w:rFonts w:eastAsia="Times New Roman"/>
                <w:sz w:val="20"/>
                <w:szCs w:val="20"/>
              </w:rPr>
              <w:t> </w:t>
            </w:r>
          </w:p>
        </w:tc>
      </w:tr>
      <w:tr w:rsidR="00000000" w14:paraId="499058FF" w14:textId="77777777">
        <w:trPr>
          <w:divId w:val="1595479706"/>
        </w:trPr>
        <w:tc>
          <w:tcPr>
            <w:tcW w:w="0" w:type="auto"/>
            <w:hideMark/>
          </w:tcPr>
          <w:p w14:paraId="29E8DE47" w14:textId="77777777" w:rsidR="00000000" w:rsidRDefault="00087966">
            <w:pPr>
              <w:rPr>
                <w:rFonts w:eastAsia="Times New Roman"/>
                <w:sz w:val="20"/>
                <w:szCs w:val="20"/>
              </w:rPr>
            </w:pPr>
            <w:r>
              <w:rPr>
                <w:rFonts w:eastAsia="Times New Roman"/>
                <w:sz w:val="20"/>
                <w:szCs w:val="20"/>
              </w:rPr>
              <w:t> </w:t>
            </w:r>
          </w:p>
        </w:tc>
        <w:tc>
          <w:tcPr>
            <w:tcW w:w="0" w:type="auto"/>
            <w:hideMark/>
          </w:tcPr>
          <w:p w14:paraId="65A40DC0" w14:textId="77777777" w:rsidR="00000000" w:rsidRDefault="00087966">
            <w:pPr>
              <w:rPr>
                <w:rFonts w:eastAsia="Times New Roman"/>
                <w:sz w:val="20"/>
                <w:szCs w:val="20"/>
              </w:rPr>
            </w:pPr>
            <w:r>
              <w:rPr>
                <w:rFonts w:eastAsia="Times New Roman"/>
                <w:sz w:val="20"/>
                <w:szCs w:val="20"/>
              </w:rPr>
              <w:t>●</w:t>
            </w:r>
          </w:p>
        </w:tc>
        <w:tc>
          <w:tcPr>
            <w:tcW w:w="0" w:type="auto"/>
            <w:hideMark/>
          </w:tcPr>
          <w:p w14:paraId="61B07549" w14:textId="77777777" w:rsidR="00000000" w:rsidRDefault="00087966">
            <w:pPr>
              <w:rPr>
                <w:rFonts w:eastAsia="Times New Roman"/>
                <w:sz w:val="20"/>
                <w:szCs w:val="20"/>
              </w:rPr>
            </w:pPr>
            <w:r>
              <w:rPr>
                <w:rFonts w:eastAsia="Times New Roman"/>
                <w:sz w:val="20"/>
                <w:szCs w:val="20"/>
              </w:rPr>
              <w:t>“Merger Sub 2” are to Paas Merger Sub 2 Inc., a Delaware corporation and wholly owned subsidiary of the Company;</w:t>
            </w:r>
          </w:p>
        </w:tc>
      </w:tr>
    </w:tbl>
    <w:p w14:paraId="41B3028E"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C84DA25" w14:textId="77777777">
        <w:trPr>
          <w:divId w:val="1595479706"/>
        </w:trPr>
        <w:tc>
          <w:tcPr>
            <w:tcW w:w="720" w:type="dxa"/>
            <w:hideMark/>
          </w:tcPr>
          <w:p w14:paraId="0B75EC36" w14:textId="77777777" w:rsidR="00000000" w:rsidRDefault="00087966">
            <w:pPr>
              <w:rPr>
                <w:rFonts w:eastAsia="Times New Roman"/>
                <w:sz w:val="20"/>
                <w:szCs w:val="20"/>
              </w:rPr>
            </w:pPr>
            <w:r>
              <w:rPr>
                <w:rFonts w:eastAsia="Times New Roman"/>
                <w:sz w:val="20"/>
                <w:szCs w:val="20"/>
              </w:rPr>
              <w:t> </w:t>
            </w:r>
          </w:p>
        </w:tc>
        <w:tc>
          <w:tcPr>
            <w:tcW w:w="360" w:type="dxa"/>
            <w:hideMark/>
          </w:tcPr>
          <w:p w14:paraId="45F3994D"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D4CF5F7" w14:textId="77777777" w:rsidR="00000000" w:rsidRDefault="00087966">
            <w:pPr>
              <w:jc w:val="both"/>
              <w:rPr>
                <w:rFonts w:eastAsia="Times New Roman"/>
                <w:sz w:val="20"/>
                <w:szCs w:val="20"/>
              </w:rPr>
            </w:pPr>
            <w:r>
              <w:rPr>
                <w:rFonts w:eastAsia="Times New Roman"/>
                <w:sz w:val="20"/>
                <w:szCs w:val="20"/>
              </w:rPr>
              <w:t>“Nasdaq” are to the Nasdaq</w:t>
            </w:r>
            <w:r>
              <w:rPr>
                <w:rFonts w:eastAsia="Times New Roman"/>
                <w:sz w:val="20"/>
                <w:szCs w:val="20"/>
              </w:rPr>
              <w:t xml:space="preserve"> Capital Market;</w:t>
            </w:r>
          </w:p>
        </w:tc>
      </w:tr>
      <w:tr w:rsidR="00000000" w14:paraId="70CF8903" w14:textId="77777777">
        <w:trPr>
          <w:divId w:val="1595479706"/>
        </w:trPr>
        <w:tc>
          <w:tcPr>
            <w:tcW w:w="0" w:type="auto"/>
            <w:hideMark/>
          </w:tcPr>
          <w:p w14:paraId="0FB1C058"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12CB009"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A6A085D" w14:textId="77777777" w:rsidR="00000000" w:rsidRDefault="00087966">
            <w:pPr>
              <w:jc w:val="both"/>
              <w:rPr>
                <w:rFonts w:eastAsia="Times New Roman"/>
                <w:sz w:val="20"/>
                <w:szCs w:val="20"/>
              </w:rPr>
            </w:pPr>
            <w:r>
              <w:rPr>
                <w:rFonts w:eastAsia="Times New Roman"/>
                <w:sz w:val="20"/>
                <w:szCs w:val="20"/>
              </w:rPr>
              <w:t> </w:t>
            </w:r>
          </w:p>
        </w:tc>
      </w:tr>
      <w:tr w:rsidR="00000000" w14:paraId="45D3B87A" w14:textId="77777777">
        <w:trPr>
          <w:divId w:val="1595479706"/>
        </w:trPr>
        <w:tc>
          <w:tcPr>
            <w:tcW w:w="0" w:type="auto"/>
            <w:hideMark/>
          </w:tcPr>
          <w:p w14:paraId="64C81EE4"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6C55F2C2"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84EE5D4" w14:textId="77777777" w:rsidR="00000000" w:rsidRDefault="00087966">
            <w:pPr>
              <w:jc w:val="both"/>
              <w:rPr>
                <w:rFonts w:eastAsia="Times New Roman"/>
                <w:sz w:val="20"/>
                <w:szCs w:val="20"/>
              </w:rPr>
            </w:pPr>
            <w:r>
              <w:rPr>
                <w:rFonts w:eastAsia="Times New Roman"/>
                <w:sz w:val="20"/>
                <w:szCs w:val="20"/>
              </w:rPr>
              <w:t>“Near” are to Near Intelligence Holdings Inc., a Delaware corporation;</w:t>
            </w:r>
          </w:p>
        </w:tc>
      </w:tr>
      <w:tr w:rsidR="00000000" w14:paraId="37BBA25D" w14:textId="77777777">
        <w:trPr>
          <w:divId w:val="1595479706"/>
        </w:trPr>
        <w:tc>
          <w:tcPr>
            <w:tcW w:w="0" w:type="auto"/>
            <w:hideMark/>
          </w:tcPr>
          <w:p w14:paraId="6658FE94"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7F2B60EF"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E32A39D" w14:textId="77777777" w:rsidR="00000000" w:rsidRDefault="00087966">
            <w:pPr>
              <w:jc w:val="both"/>
              <w:rPr>
                <w:rFonts w:eastAsia="Times New Roman"/>
                <w:sz w:val="20"/>
                <w:szCs w:val="20"/>
              </w:rPr>
            </w:pPr>
            <w:r>
              <w:rPr>
                <w:rFonts w:eastAsia="Times New Roman"/>
                <w:sz w:val="20"/>
                <w:szCs w:val="20"/>
              </w:rPr>
              <w:t> </w:t>
            </w:r>
          </w:p>
        </w:tc>
      </w:tr>
      <w:tr w:rsidR="00000000" w14:paraId="268C343C" w14:textId="77777777">
        <w:trPr>
          <w:divId w:val="1595479706"/>
        </w:trPr>
        <w:tc>
          <w:tcPr>
            <w:tcW w:w="0" w:type="auto"/>
            <w:hideMark/>
          </w:tcPr>
          <w:p w14:paraId="3450ABF1"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5E11472"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6DA0F5C" w14:textId="77777777" w:rsidR="00000000" w:rsidRDefault="00087966">
            <w:pPr>
              <w:jc w:val="both"/>
              <w:rPr>
                <w:rFonts w:eastAsia="Times New Roman"/>
                <w:sz w:val="20"/>
                <w:szCs w:val="20"/>
              </w:rPr>
            </w:pPr>
            <w:r>
              <w:rPr>
                <w:rFonts w:eastAsia="Times New Roman"/>
                <w:sz w:val="20"/>
                <w:szCs w:val="20"/>
              </w:rPr>
              <w:t xml:space="preserve">“Near Business Combination” </w:t>
            </w:r>
            <w:r>
              <w:rPr>
                <w:rFonts w:eastAsia="Times New Roman"/>
                <w:sz w:val="20"/>
                <w:szCs w:val="20"/>
              </w:rPr>
              <w:t>are the collective transactions contemplated by the Near Merger Agreement (as defined below);</w:t>
            </w:r>
          </w:p>
        </w:tc>
      </w:tr>
      <w:tr w:rsidR="00000000" w14:paraId="062A03F1" w14:textId="77777777">
        <w:trPr>
          <w:divId w:val="1595479706"/>
        </w:trPr>
        <w:tc>
          <w:tcPr>
            <w:tcW w:w="0" w:type="auto"/>
            <w:hideMark/>
          </w:tcPr>
          <w:p w14:paraId="6BBCA65B"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F46D29E"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B0ABE0F" w14:textId="77777777" w:rsidR="00000000" w:rsidRDefault="00087966">
            <w:pPr>
              <w:jc w:val="both"/>
              <w:rPr>
                <w:rFonts w:eastAsia="Times New Roman"/>
                <w:sz w:val="20"/>
                <w:szCs w:val="20"/>
              </w:rPr>
            </w:pPr>
            <w:r>
              <w:rPr>
                <w:rFonts w:eastAsia="Times New Roman"/>
                <w:sz w:val="20"/>
                <w:szCs w:val="20"/>
              </w:rPr>
              <w:t> </w:t>
            </w:r>
          </w:p>
        </w:tc>
      </w:tr>
      <w:tr w:rsidR="00000000" w14:paraId="263B8E6E" w14:textId="77777777">
        <w:trPr>
          <w:divId w:val="1595479706"/>
        </w:trPr>
        <w:tc>
          <w:tcPr>
            <w:tcW w:w="0" w:type="auto"/>
            <w:hideMark/>
          </w:tcPr>
          <w:p w14:paraId="14E5FAC3"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55D1C5E2"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BA14E09" w14:textId="77777777" w:rsidR="00000000" w:rsidRDefault="00087966">
            <w:pPr>
              <w:jc w:val="both"/>
              <w:rPr>
                <w:rFonts w:eastAsia="Times New Roman"/>
                <w:sz w:val="20"/>
                <w:szCs w:val="20"/>
              </w:rPr>
            </w:pPr>
            <w:r>
              <w:rPr>
                <w:rFonts w:eastAsia="Times New Roman"/>
                <w:sz w:val="20"/>
                <w:szCs w:val="20"/>
              </w:rPr>
              <w:t>“Near Merger Agreement” are that certain Agreement and Plan of Merger, dated as of May 18, 2022 (as amended on November 3, 2022, December 23, 2022 and</w:t>
            </w:r>
            <w:r>
              <w:rPr>
                <w:rFonts w:eastAsia="Times New Roman"/>
                <w:sz w:val="20"/>
                <w:szCs w:val="20"/>
              </w:rPr>
              <w:t xml:space="preserve"> January 17, 2023, and as it may be further amended or supplemented from time to time), by and among the Company, Near, Merger Sub 1 and Merger Sub 2;</w:t>
            </w:r>
          </w:p>
        </w:tc>
      </w:tr>
      <w:tr w:rsidR="00000000" w14:paraId="79CDDE29" w14:textId="77777777">
        <w:trPr>
          <w:divId w:val="1595479706"/>
        </w:trPr>
        <w:tc>
          <w:tcPr>
            <w:tcW w:w="0" w:type="auto"/>
            <w:hideMark/>
          </w:tcPr>
          <w:p w14:paraId="55D3DFCF"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C3DFDD6"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13FDB53" w14:textId="77777777" w:rsidR="00000000" w:rsidRDefault="00087966">
            <w:pPr>
              <w:jc w:val="both"/>
              <w:rPr>
                <w:rFonts w:eastAsia="Times New Roman"/>
                <w:sz w:val="20"/>
                <w:szCs w:val="20"/>
              </w:rPr>
            </w:pPr>
            <w:r>
              <w:rPr>
                <w:rFonts w:eastAsia="Times New Roman"/>
                <w:sz w:val="20"/>
                <w:szCs w:val="20"/>
              </w:rPr>
              <w:t> </w:t>
            </w:r>
          </w:p>
        </w:tc>
      </w:tr>
      <w:tr w:rsidR="00000000" w14:paraId="0A111E6C" w14:textId="77777777">
        <w:trPr>
          <w:divId w:val="1595479706"/>
        </w:trPr>
        <w:tc>
          <w:tcPr>
            <w:tcW w:w="0" w:type="auto"/>
            <w:hideMark/>
          </w:tcPr>
          <w:p w14:paraId="69D0B105"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0623FCD7"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DA7666D" w14:textId="77777777" w:rsidR="00000000" w:rsidRDefault="00087966">
            <w:pPr>
              <w:pStyle w:val="a3"/>
              <w:spacing w:before="0" w:beforeAutospacing="0" w:after="0" w:afterAutospacing="0"/>
              <w:jc w:val="both"/>
              <w:rPr>
                <w:sz w:val="20"/>
                <w:szCs w:val="20"/>
              </w:rPr>
            </w:pPr>
            <w:r>
              <w:rPr>
                <w:sz w:val="20"/>
                <w:szCs w:val="20"/>
              </w:rPr>
              <w:t xml:space="preserve">“Near Registration Statement” are to the Registration </w:t>
            </w:r>
            <w:r>
              <w:rPr>
                <w:sz w:val="20"/>
                <w:szCs w:val="20"/>
              </w:rPr>
              <w:t>Statement on Form S-4 initially filed with the SEC on July 1, 2022, as amended (File No. 333-265952), which was declared effective by the SEC on February 13, 2023;</w:t>
            </w:r>
          </w:p>
        </w:tc>
      </w:tr>
    </w:tbl>
    <w:p w14:paraId="4DC8B8E6"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52FE26C" w14:textId="77777777">
        <w:trPr>
          <w:divId w:val="1595479706"/>
        </w:trPr>
        <w:tc>
          <w:tcPr>
            <w:tcW w:w="720" w:type="dxa"/>
            <w:hideMark/>
          </w:tcPr>
          <w:p w14:paraId="286A3B14" w14:textId="77777777" w:rsidR="00000000" w:rsidRDefault="00087966">
            <w:pPr>
              <w:rPr>
                <w:rFonts w:eastAsia="Times New Roman"/>
                <w:sz w:val="20"/>
                <w:szCs w:val="20"/>
              </w:rPr>
            </w:pPr>
            <w:r>
              <w:rPr>
                <w:rFonts w:eastAsia="Times New Roman"/>
                <w:sz w:val="20"/>
                <w:szCs w:val="20"/>
              </w:rPr>
              <w:t> </w:t>
            </w:r>
          </w:p>
        </w:tc>
        <w:tc>
          <w:tcPr>
            <w:tcW w:w="360" w:type="dxa"/>
            <w:hideMark/>
          </w:tcPr>
          <w:p w14:paraId="0E693AD8"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6033C5E" w14:textId="77777777" w:rsidR="00000000" w:rsidRDefault="00087966">
            <w:pPr>
              <w:jc w:val="both"/>
              <w:rPr>
                <w:rFonts w:eastAsia="Times New Roman"/>
                <w:sz w:val="20"/>
                <w:szCs w:val="20"/>
              </w:rPr>
            </w:pPr>
            <w:r>
              <w:rPr>
                <w:rFonts w:eastAsia="Times New Roman"/>
                <w:sz w:val="20"/>
                <w:szCs w:val="20"/>
              </w:rPr>
              <w:t>“PCAOB” are to the Public Company Accounting Oversight Board (United States);</w:t>
            </w:r>
          </w:p>
        </w:tc>
      </w:tr>
    </w:tbl>
    <w:p w14:paraId="490E483D"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3C92D70" w14:textId="77777777">
        <w:trPr>
          <w:divId w:val="1595479706"/>
        </w:trPr>
        <w:tc>
          <w:tcPr>
            <w:tcW w:w="720" w:type="dxa"/>
            <w:hideMark/>
          </w:tcPr>
          <w:p w14:paraId="43F62181" w14:textId="77777777" w:rsidR="00000000" w:rsidRDefault="00087966">
            <w:pPr>
              <w:rPr>
                <w:rFonts w:eastAsia="Times New Roman"/>
                <w:sz w:val="20"/>
                <w:szCs w:val="20"/>
              </w:rPr>
            </w:pPr>
            <w:r>
              <w:rPr>
                <w:rFonts w:eastAsia="Times New Roman"/>
                <w:sz w:val="20"/>
                <w:szCs w:val="20"/>
              </w:rPr>
              <w:t> </w:t>
            </w:r>
          </w:p>
        </w:tc>
        <w:tc>
          <w:tcPr>
            <w:tcW w:w="360" w:type="dxa"/>
            <w:hideMark/>
          </w:tcPr>
          <w:p w14:paraId="5470276E"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DA5916E" w14:textId="77777777" w:rsidR="00000000" w:rsidRDefault="00087966">
            <w:pPr>
              <w:jc w:val="both"/>
              <w:rPr>
                <w:rFonts w:eastAsia="Times New Roman"/>
                <w:sz w:val="20"/>
                <w:szCs w:val="20"/>
              </w:rPr>
            </w:pPr>
            <w:r>
              <w:rPr>
                <w:rFonts w:eastAsia="Times New Roman"/>
                <w:sz w:val="20"/>
                <w:szCs w:val="20"/>
              </w:rPr>
              <w:t>“private placement” are to the private placement of warrants that occurred simultaneously with the closing of our initial public offering;</w:t>
            </w:r>
          </w:p>
        </w:tc>
      </w:tr>
    </w:tbl>
    <w:p w14:paraId="57E0DA8F" w14:textId="77777777" w:rsidR="00000000" w:rsidRDefault="00087966">
      <w:pPr>
        <w:pStyle w:val="a3"/>
        <w:spacing w:before="0" w:beforeAutospacing="0" w:after="0" w:afterAutospacing="0"/>
        <w:jc w:val="both"/>
        <w:divId w:val="1595479706"/>
        <w:rPr>
          <w:sz w:val="20"/>
          <w:szCs w:val="20"/>
        </w:rPr>
      </w:pPr>
      <w:r>
        <w:rPr>
          <w:sz w:val="20"/>
          <w:szCs w:val="20"/>
        </w:rPr>
        <w:t> </w:t>
      </w:r>
    </w:p>
    <w:p w14:paraId="682D749E" w14:textId="77777777" w:rsidR="00000000" w:rsidRDefault="00087966">
      <w:pPr>
        <w:pStyle w:val="a3"/>
        <w:spacing w:before="0" w:beforeAutospacing="0" w:after="0" w:afterAutospacing="0"/>
        <w:jc w:val="center"/>
        <w:divId w:val="605575781"/>
        <w:rPr>
          <w:sz w:val="20"/>
          <w:szCs w:val="20"/>
        </w:rPr>
      </w:pPr>
      <w:r>
        <w:rPr>
          <w:sz w:val="20"/>
          <w:szCs w:val="20"/>
        </w:rPr>
        <w:t>i</w:t>
      </w:r>
      <w:r>
        <w:rPr>
          <w:sz w:val="20"/>
          <w:szCs w:val="20"/>
        </w:rPr>
        <w:t>v</w:t>
      </w:r>
    </w:p>
    <w:p w14:paraId="32DFB4FB" w14:textId="77777777" w:rsidR="00000000" w:rsidRDefault="00087966">
      <w:pPr>
        <w:pStyle w:val="a3"/>
        <w:spacing w:before="0" w:beforeAutospacing="0" w:after="0" w:afterAutospacing="0"/>
        <w:divId w:val="2049330638"/>
        <w:rPr>
          <w:sz w:val="20"/>
          <w:szCs w:val="20"/>
        </w:rPr>
      </w:pPr>
      <w:r>
        <w:rPr>
          <w:sz w:val="20"/>
          <w:szCs w:val="20"/>
        </w:rPr>
        <w:t> </w:t>
      </w:r>
    </w:p>
    <w:p w14:paraId="4B2EC405"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5C924250" w14:textId="77777777">
        <w:trPr>
          <w:divId w:val="1595479706"/>
        </w:trPr>
        <w:tc>
          <w:tcPr>
            <w:tcW w:w="720" w:type="dxa"/>
            <w:hideMark/>
          </w:tcPr>
          <w:p w14:paraId="5C22CE8E" w14:textId="77777777" w:rsidR="00000000" w:rsidRDefault="00087966">
            <w:pPr>
              <w:rPr>
                <w:rFonts w:eastAsia="Times New Roman"/>
                <w:sz w:val="20"/>
                <w:szCs w:val="20"/>
              </w:rPr>
            </w:pPr>
            <w:r>
              <w:rPr>
                <w:rFonts w:eastAsia="Times New Roman"/>
                <w:sz w:val="20"/>
                <w:szCs w:val="20"/>
              </w:rPr>
              <w:t> </w:t>
            </w:r>
          </w:p>
        </w:tc>
        <w:tc>
          <w:tcPr>
            <w:tcW w:w="360" w:type="dxa"/>
            <w:hideMark/>
          </w:tcPr>
          <w:p w14:paraId="3E5AF627"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2A20478" w14:textId="77777777" w:rsidR="00000000" w:rsidRDefault="00087966">
            <w:pPr>
              <w:jc w:val="both"/>
              <w:rPr>
                <w:rFonts w:eastAsia="Times New Roman"/>
                <w:sz w:val="20"/>
                <w:szCs w:val="20"/>
              </w:rPr>
            </w:pPr>
            <w:r>
              <w:rPr>
                <w:rFonts w:eastAsia="Times New Roman"/>
                <w:sz w:val="20"/>
                <w:szCs w:val="20"/>
              </w:rPr>
              <w:t xml:space="preserve">“private placement warrants” </w:t>
            </w:r>
            <w:r>
              <w:rPr>
                <w:rFonts w:eastAsia="Times New Roman"/>
                <w:sz w:val="20"/>
                <w:szCs w:val="20"/>
              </w:rPr>
              <w:t>are to the warrants issued to our sponsor in the private placement;</w:t>
            </w:r>
          </w:p>
        </w:tc>
      </w:tr>
    </w:tbl>
    <w:p w14:paraId="7206E547"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15C37497" w14:textId="77777777">
        <w:trPr>
          <w:divId w:val="1595479706"/>
        </w:trPr>
        <w:tc>
          <w:tcPr>
            <w:tcW w:w="720" w:type="dxa"/>
            <w:hideMark/>
          </w:tcPr>
          <w:p w14:paraId="0D96DC6B" w14:textId="77777777" w:rsidR="00000000" w:rsidRDefault="00087966">
            <w:pPr>
              <w:rPr>
                <w:rFonts w:eastAsia="Times New Roman"/>
                <w:sz w:val="20"/>
                <w:szCs w:val="20"/>
              </w:rPr>
            </w:pPr>
            <w:r>
              <w:rPr>
                <w:rFonts w:eastAsia="Times New Roman"/>
                <w:sz w:val="20"/>
                <w:szCs w:val="20"/>
              </w:rPr>
              <w:t> </w:t>
            </w:r>
          </w:p>
        </w:tc>
        <w:tc>
          <w:tcPr>
            <w:tcW w:w="360" w:type="dxa"/>
            <w:hideMark/>
          </w:tcPr>
          <w:p w14:paraId="6F929FA7"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703BF01" w14:textId="77777777" w:rsidR="00000000" w:rsidRDefault="00087966">
            <w:pPr>
              <w:jc w:val="both"/>
              <w:rPr>
                <w:rFonts w:eastAsia="Times New Roman"/>
                <w:sz w:val="20"/>
                <w:szCs w:val="20"/>
              </w:rPr>
            </w:pPr>
            <w:r>
              <w:rPr>
                <w:rFonts w:eastAsia="Times New Roman"/>
                <w:sz w:val="20"/>
                <w:szCs w:val="20"/>
              </w:rPr>
              <w:t>“public shares” are to the shares of Class A common stock sold as part of the units in our initial public offering (whether they were purchased in our initial public offering or the</w:t>
            </w:r>
            <w:r>
              <w:rPr>
                <w:rFonts w:eastAsia="Times New Roman"/>
                <w:sz w:val="20"/>
                <w:szCs w:val="20"/>
              </w:rPr>
              <w:t>reafter in the open market);</w:t>
            </w:r>
          </w:p>
        </w:tc>
      </w:tr>
    </w:tbl>
    <w:p w14:paraId="065C7590"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3E1D9E71" w14:textId="77777777">
        <w:trPr>
          <w:divId w:val="1595479706"/>
        </w:trPr>
        <w:tc>
          <w:tcPr>
            <w:tcW w:w="720" w:type="dxa"/>
            <w:hideMark/>
          </w:tcPr>
          <w:p w14:paraId="2416CB56" w14:textId="77777777" w:rsidR="00000000" w:rsidRDefault="00087966">
            <w:pPr>
              <w:rPr>
                <w:rFonts w:eastAsia="Times New Roman"/>
                <w:sz w:val="20"/>
                <w:szCs w:val="20"/>
              </w:rPr>
            </w:pPr>
            <w:r>
              <w:rPr>
                <w:rFonts w:eastAsia="Times New Roman"/>
                <w:sz w:val="20"/>
                <w:szCs w:val="20"/>
              </w:rPr>
              <w:t> </w:t>
            </w:r>
          </w:p>
        </w:tc>
        <w:tc>
          <w:tcPr>
            <w:tcW w:w="360" w:type="dxa"/>
            <w:hideMark/>
          </w:tcPr>
          <w:p w14:paraId="19837AA9"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40565C2" w14:textId="77777777" w:rsidR="00000000" w:rsidRDefault="00087966">
            <w:pPr>
              <w:jc w:val="both"/>
              <w:rPr>
                <w:rFonts w:eastAsia="Times New Roman"/>
                <w:sz w:val="20"/>
                <w:szCs w:val="20"/>
              </w:rPr>
            </w:pPr>
            <w:r>
              <w:rPr>
                <w:rFonts w:eastAsia="Times New Roman"/>
                <w:sz w:val="20"/>
                <w:szCs w:val="20"/>
              </w:rPr>
              <w:t>“public stockholders” are to the holders of our public shares, including our initial stockholders and management team to the extent our initial stockholders and/or members of our management team purchase public shares, p</w:t>
            </w:r>
            <w:r>
              <w:rPr>
                <w:rFonts w:eastAsia="Times New Roman"/>
                <w:sz w:val="20"/>
                <w:szCs w:val="20"/>
              </w:rPr>
              <w:t>rovided that each initial stockholder’s and member of our management team’s status as a “public stockholder” will only exist with respect to such public shares;</w:t>
            </w:r>
          </w:p>
        </w:tc>
      </w:tr>
    </w:tbl>
    <w:p w14:paraId="11541C29"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5A5A0097" w14:textId="77777777">
        <w:trPr>
          <w:divId w:val="1595479706"/>
        </w:trPr>
        <w:tc>
          <w:tcPr>
            <w:tcW w:w="720" w:type="dxa"/>
            <w:hideMark/>
          </w:tcPr>
          <w:p w14:paraId="62C912D4" w14:textId="77777777" w:rsidR="00000000" w:rsidRDefault="00087966">
            <w:pPr>
              <w:rPr>
                <w:rFonts w:eastAsia="Times New Roman"/>
                <w:sz w:val="20"/>
                <w:szCs w:val="20"/>
              </w:rPr>
            </w:pPr>
            <w:r>
              <w:rPr>
                <w:rFonts w:eastAsia="Times New Roman"/>
                <w:sz w:val="20"/>
                <w:szCs w:val="20"/>
              </w:rPr>
              <w:t> </w:t>
            </w:r>
          </w:p>
        </w:tc>
        <w:tc>
          <w:tcPr>
            <w:tcW w:w="360" w:type="dxa"/>
            <w:hideMark/>
          </w:tcPr>
          <w:p w14:paraId="56E44939"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ED9F35D" w14:textId="77777777" w:rsidR="00000000" w:rsidRDefault="00087966">
            <w:pPr>
              <w:jc w:val="both"/>
              <w:rPr>
                <w:rFonts w:eastAsia="Times New Roman"/>
                <w:sz w:val="20"/>
                <w:szCs w:val="20"/>
              </w:rPr>
            </w:pPr>
            <w:r>
              <w:rPr>
                <w:rFonts w:eastAsia="Times New Roman"/>
                <w:sz w:val="20"/>
                <w:szCs w:val="20"/>
              </w:rPr>
              <w:t>“public warrants” are to the redeemable warrants sold as part of the units in our initia</w:t>
            </w:r>
            <w:r>
              <w:rPr>
                <w:rFonts w:eastAsia="Times New Roman"/>
                <w:sz w:val="20"/>
                <w:szCs w:val="20"/>
              </w:rPr>
              <w:t>l public offering (whether they were subscribed for in our initial public offering or purchased in the open market);</w:t>
            </w:r>
          </w:p>
        </w:tc>
      </w:tr>
    </w:tbl>
    <w:p w14:paraId="49D57779"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E36EB28" w14:textId="77777777">
        <w:trPr>
          <w:divId w:val="1595479706"/>
        </w:trPr>
        <w:tc>
          <w:tcPr>
            <w:tcW w:w="720" w:type="dxa"/>
            <w:hideMark/>
          </w:tcPr>
          <w:p w14:paraId="1D5535E6" w14:textId="77777777" w:rsidR="00000000" w:rsidRDefault="00087966">
            <w:pPr>
              <w:rPr>
                <w:rFonts w:eastAsia="Times New Roman"/>
                <w:sz w:val="20"/>
                <w:szCs w:val="20"/>
              </w:rPr>
            </w:pPr>
            <w:r>
              <w:rPr>
                <w:rFonts w:eastAsia="Times New Roman"/>
                <w:sz w:val="20"/>
                <w:szCs w:val="20"/>
              </w:rPr>
              <w:t> </w:t>
            </w:r>
          </w:p>
        </w:tc>
        <w:tc>
          <w:tcPr>
            <w:tcW w:w="360" w:type="dxa"/>
            <w:hideMark/>
          </w:tcPr>
          <w:p w14:paraId="69018355"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A18385B" w14:textId="77777777" w:rsidR="00000000" w:rsidRDefault="00087966">
            <w:pPr>
              <w:jc w:val="both"/>
              <w:rPr>
                <w:rFonts w:eastAsia="Times New Roman"/>
                <w:sz w:val="20"/>
                <w:szCs w:val="20"/>
              </w:rPr>
            </w:pPr>
            <w:r>
              <w:rPr>
                <w:rFonts w:eastAsia="Times New Roman"/>
                <w:sz w:val="20"/>
                <w:szCs w:val="20"/>
              </w:rPr>
              <w:t xml:space="preserve">“Report” </w:t>
            </w:r>
            <w:r>
              <w:rPr>
                <w:rFonts w:eastAsia="Times New Roman"/>
                <w:sz w:val="20"/>
                <w:szCs w:val="20"/>
              </w:rPr>
              <w:t>are to this Annual Report on Form 10-K for the fiscal year ended December 31, 2022;</w:t>
            </w:r>
          </w:p>
        </w:tc>
      </w:tr>
    </w:tbl>
    <w:p w14:paraId="6BE806D0"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3FFC68EE" w14:textId="77777777">
        <w:trPr>
          <w:divId w:val="1595479706"/>
        </w:trPr>
        <w:tc>
          <w:tcPr>
            <w:tcW w:w="720" w:type="dxa"/>
            <w:hideMark/>
          </w:tcPr>
          <w:p w14:paraId="3F5A5CFD" w14:textId="77777777" w:rsidR="00000000" w:rsidRDefault="00087966">
            <w:pPr>
              <w:rPr>
                <w:rFonts w:eastAsia="Times New Roman"/>
                <w:sz w:val="20"/>
                <w:szCs w:val="20"/>
              </w:rPr>
            </w:pPr>
            <w:r>
              <w:rPr>
                <w:rFonts w:eastAsia="Times New Roman"/>
                <w:sz w:val="20"/>
                <w:szCs w:val="20"/>
              </w:rPr>
              <w:t> </w:t>
            </w:r>
          </w:p>
        </w:tc>
        <w:tc>
          <w:tcPr>
            <w:tcW w:w="360" w:type="dxa"/>
            <w:hideMark/>
          </w:tcPr>
          <w:p w14:paraId="08AE2078"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1B2044CF" w14:textId="77777777" w:rsidR="00000000" w:rsidRDefault="00087966">
            <w:pPr>
              <w:jc w:val="both"/>
              <w:rPr>
                <w:rFonts w:eastAsia="Times New Roman"/>
                <w:sz w:val="20"/>
                <w:szCs w:val="20"/>
              </w:rPr>
            </w:pPr>
            <w:r>
              <w:rPr>
                <w:rFonts w:eastAsia="Times New Roman"/>
                <w:sz w:val="20"/>
                <w:szCs w:val="20"/>
              </w:rPr>
              <w:t>“Sarbanes-Oxley Act” are to the Sarbanes-Oxley Act of 2002;</w:t>
            </w:r>
          </w:p>
        </w:tc>
      </w:tr>
    </w:tbl>
    <w:p w14:paraId="515240FC"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20788BD8" w14:textId="77777777">
        <w:trPr>
          <w:divId w:val="1595479706"/>
        </w:trPr>
        <w:tc>
          <w:tcPr>
            <w:tcW w:w="720" w:type="dxa"/>
            <w:hideMark/>
          </w:tcPr>
          <w:p w14:paraId="5B93EB2C" w14:textId="77777777" w:rsidR="00000000" w:rsidRDefault="00087966">
            <w:pPr>
              <w:rPr>
                <w:rFonts w:eastAsia="Times New Roman"/>
                <w:sz w:val="20"/>
                <w:szCs w:val="20"/>
              </w:rPr>
            </w:pPr>
            <w:r>
              <w:rPr>
                <w:rFonts w:eastAsia="Times New Roman"/>
                <w:sz w:val="20"/>
                <w:szCs w:val="20"/>
              </w:rPr>
              <w:t> </w:t>
            </w:r>
          </w:p>
        </w:tc>
        <w:tc>
          <w:tcPr>
            <w:tcW w:w="360" w:type="dxa"/>
            <w:hideMark/>
          </w:tcPr>
          <w:p w14:paraId="54B1D8D7"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5D8927C" w14:textId="77777777" w:rsidR="00000000" w:rsidRDefault="00087966">
            <w:pPr>
              <w:jc w:val="both"/>
              <w:rPr>
                <w:rFonts w:eastAsia="Times New Roman"/>
                <w:sz w:val="20"/>
                <w:szCs w:val="20"/>
              </w:rPr>
            </w:pPr>
            <w:r>
              <w:rPr>
                <w:rFonts w:eastAsia="Times New Roman"/>
                <w:sz w:val="20"/>
                <w:szCs w:val="20"/>
              </w:rPr>
              <w:t>“SEC” are to the U.S. Securities and Exchange Commission;</w:t>
            </w:r>
          </w:p>
        </w:tc>
      </w:tr>
      <w:tr w:rsidR="00000000" w14:paraId="7E272D60" w14:textId="77777777">
        <w:trPr>
          <w:divId w:val="1595479706"/>
        </w:trPr>
        <w:tc>
          <w:tcPr>
            <w:tcW w:w="0" w:type="auto"/>
            <w:hideMark/>
          </w:tcPr>
          <w:p w14:paraId="4B99AD6B"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619EB471"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207D3356" w14:textId="77777777" w:rsidR="00000000" w:rsidRDefault="00087966">
            <w:pPr>
              <w:jc w:val="both"/>
              <w:rPr>
                <w:rFonts w:eastAsia="Times New Roman"/>
                <w:sz w:val="20"/>
                <w:szCs w:val="20"/>
              </w:rPr>
            </w:pPr>
            <w:r>
              <w:rPr>
                <w:rFonts w:eastAsia="Times New Roman"/>
                <w:sz w:val="20"/>
                <w:szCs w:val="20"/>
              </w:rPr>
              <w:t> </w:t>
            </w:r>
          </w:p>
        </w:tc>
      </w:tr>
      <w:tr w:rsidR="00000000" w14:paraId="05CED7EE" w14:textId="77777777">
        <w:trPr>
          <w:divId w:val="1595479706"/>
        </w:trPr>
        <w:tc>
          <w:tcPr>
            <w:tcW w:w="0" w:type="auto"/>
            <w:hideMark/>
          </w:tcPr>
          <w:p w14:paraId="4004B27D"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0F402D92"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C20EA72" w14:textId="77777777" w:rsidR="00000000" w:rsidRDefault="00087966">
            <w:pPr>
              <w:jc w:val="both"/>
              <w:rPr>
                <w:rFonts w:eastAsia="Times New Roman"/>
                <w:sz w:val="20"/>
                <w:szCs w:val="20"/>
              </w:rPr>
            </w:pPr>
            <w:r>
              <w:rPr>
                <w:rFonts w:eastAsia="Times New Roman"/>
                <w:sz w:val="20"/>
                <w:szCs w:val="20"/>
              </w:rPr>
              <w:t>“</w:t>
            </w:r>
            <w:r>
              <w:rPr>
                <w:rFonts w:eastAsia="Times New Roman"/>
                <w:sz w:val="20"/>
                <w:szCs w:val="20"/>
              </w:rPr>
              <w:t xml:space="preserve">Second Extension” are the extension approved at a special meeting of the stockholders held on January 6, 2023, pursuant to which the deadline by which the Company has to complete its initial business combination was extended from January 11, 2023 to April </w:t>
            </w:r>
            <w:r>
              <w:rPr>
                <w:rFonts w:eastAsia="Times New Roman"/>
                <w:sz w:val="20"/>
                <w:szCs w:val="20"/>
              </w:rPr>
              <w:t>11, 2023;</w:t>
            </w:r>
          </w:p>
        </w:tc>
      </w:tr>
    </w:tbl>
    <w:p w14:paraId="6B3E87FF" w14:textId="77777777" w:rsidR="00000000" w:rsidRDefault="00087966">
      <w:pPr>
        <w:pStyle w:val="a3"/>
        <w:spacing w:before="0" w:beforeAutospacing="0" w:after="0" w:afterAutospacing="0"/>
        <w:ind w:left="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98D1DB3" w14:textId="77777777">
        <w:trPr>
          <w:divId w:val="1595479706"/>
        </w:trPr>
        <w:tc>
          <w:tcPr>
            <w:tcW w:w="720" w:type="dxa"/>
            <w:hideMark/>
          </w:tcPr>
          <w:p w14:paraId="58F426DD" w14:textId="77777777" w:rsidR="00000000" w:rsidRDefault="00087966">
            <w:pPr>
              <w:rPr>
                <w:rFonts w:eastAsia="Times New Roman"/>
                <w:sz w:val="20"/>
                <w:szCs w:val="20"/>
              </w:rPr>
            </w:pPr>
            <w:r>
              <w:rPr>
                <w:rFonts w:eastAsia="Times New Roman"/>
                <w:sz w:val="20"/>
                <w:szCs w:val="20"/>
              </w:rPr>
              <w:t> </w:t>
            </w:r>
          </w:p>
        </w:tc>
        <w:tc>
          <w:tcPr>
            <w:tcW w:w="360" w:type="dxa"/>
            <w:hideMark/>
          </w:tcPr>
          <w:p w14:paraId="2983D569"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19EF0EA" w14:textId="77777777" w:rsidR="00000000" w:rsidRDefault="00087966">
            <w:pPr>
              <w:jc w:val="both"/>
              <w:rPr>
                <w:rFonts w:eastAsia="Times New Roman"/>
                <w:sz w:val="20"/>
                <w:szCs w:val="20"/>
              </w:rPr>
            </w:pPr>
            <w:r>
              <w:rPr>
                <w:rFonts w:eastAsia="Times New Roman"/>
                <w:sz w:val="20"/>
                <w:szCs w:val="20"/>
              </w:rPr>
              <w:t>“Securities Act” are to the Securities Act of 1933, as amended;</w:t>
            </w:r>
          </w:p>
        </w:tc>
      </w:tr>
    </w:tbl>
    <w:p w14:paraId="05B90398"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6C611A57" w14:textId="77777777">
        <w:trPr>
          <w:divId w:val="1595479706"/>
        </w:trPr>
        <w:tc>
          <w:tcPr>
            <w:tcW w:w="720" w:type="dxa"/>
            <w:hideMark/>
          </w:tcPr>
          <w:p w14:paraId="25CB8E1A" w14:textId="77777777" w:rsidR="00000000" w:rsidRDefault="00087966">
            <w:pPr>
              <w:rPr>
                <w:rFonts w:eastAsia="Times New Roman"/>
                <w:sz w:val="20"/>
                <w:szCs w:val="20"/>
              </w:rPr>
            </w:pPr>
            <w:r>
              <w:rPr>
                <w:rFonts w:eastAsia="Times New Roman"/>
                <w:sz w:val="20"/>
                <w:szCs w:val="20"/>
              </w:rPr>
              <w:t> </w:t>
            </w:r>
          </w:p>
        </w:tc>
        <w:tc>
          <w:tcPr>
            <w:tcW w:w="360" w:type="dxa"/>
            <w:hideMark/>
          </w:tcPr>
          <w:p w14:paraId="0D17318C"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DD480E1" w14:textId="77777777" w:rsidR="00000000" w:rsidRDefault="00087966">
            <w:pPr>
              <w:jc w:val="both"/>
              <w:rPr>
                <w:rFonts w:eastAsia="Times New Roman"/>
                <w:sz w:val="20"/>
                <w:szCs w:val="20"/>
              </w:rPr>
            </w:pPr>
            <w:r>
              <w:rPr>
                <w:rFonts w:eastAsia="Times New Roman"/>
                <w:sz w:val="20"/>
                <w:szCs w:val="20"/>
              </w:rPr>
              <w:t>“SPACs” are to special purpose acquisition companies;</w:t>
            </w:r>
          </w:p>
        </w:tc>
      </w:tr>
    </w:tbl>
    <w:p w14:paraId="643C7D4E"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1CC88F05" w14:textId="77777777">
        <w:trPr>
          <w:divId w:val="1595479706"/>
        </w:trPr>
        <w:tc>
          <w:tcPr>
            <w:tcW w:w="720" w:type="dxa"/>
            <w:hideMark/>
          </w:tcPr>
          <w:p w14:paraId="7FA0035B" w14:textId="77777777" w:rsidR="00000000" w:rsidRDefault="00087966">
            <w:pPr>
              <w:rPr>
                <w:rFonts w:eastAsia="Times New Roman"/>
                <w:sz w:val="20"/>
                <w:szCs w:val="20"/>
              </w:rPr>
            </w:pPr>
            <w:r>
              <w:rPr>
                <w:rFonts w:eastAsia="Times New Roman"/>
                <w:sz w:val="20"/>
                <w:szCs w:val="20"/>
              </w:rPr>
              <w:t> </w:t>
            </w:r>
          </w:p>
        </w:tc>
        <w:tc>
          <w:tcPr>
            <w:tcW w:w="360" w:type="dxa"/>
            <w:hideMark/>
          </w:tcPr>
          <w:p w14:paraId="38ADBB16"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BEF0CBC" w14:textId="77777777" w:rsidR="00000000" w:rsidRDefault="00087966">
            <w:pPr>
              <w:jc w:val="both"/>
              <w:rPr>
                <w:rFonts w:eastAsia="Times New Roman"/>
                <w:sz w:val="20"/>
                <w:szCs w:val="20"/>
              </w:rPr>
            </w:pPr>
            <w:r>
              <w:rPr>
                <w:rFonts w:eastAsia="Times New Roman"/>
                <w:sz w:val="20"/>
                <w:szCs w:val="20"/>
              </w:rPr>
              <w:t>“sponsor” are to KludeIn Prime LLC, a Delaware limited liability company;</w:t>
            </w:r>
          </w:p>
        </w:tc>
      </w:tr>
    </w:tbl>
    <w:p w14:paraId="55237D1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3642BF1B" w14:textId="77777777">
        <w:trPr>
          <w:divId w:val="1595479706"/>
        </w:trPr>
        <w:tc>
          <w:tcPr>
            <w:tcW w:w="720" w:type="dxa"/>
            <w:hideMark/>
          </w:tcPr>
          <w:p w14:paraId="4D81F59A" w14:textId="77777777" w:rsidR="00000000" w:rsidRDefault="00087966">
            <w:pPr>
              <w:rPr>
                <w:rFonts w:eastAsia="Times New Roman"/>
                <w:sz w:val="20"/>
                <w:szCs w:val="20"/>
              </w:rPr>
            </w:pPr>
            <w:r>
              <w:rPr>
                <w:rFonts w:eastAsia="Times New Roman"/>
                <w:sz w:val="20"/>
                <w:szCs w:val="20"/>
              </w:rPr>
              <w:t> </w:t>
            </w:r>
          </w:p>
        </w:tc>
        <w:tc>
          <w:tcPr>
            <w:tcW w:w="360" w:type="dxa"/>
            <w:hideMark/>
          </w:tcPr>
          <w:p w14:paraId="0DB7FB87"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63910B4" w14:textId="77777777" w:rsidR="00000000" w:rsidRDefault="00087966">
            <w:pPr>
              <w:jc w:val="both"/>
              <w:rPr>
                <w:rFonts w:eastAsia="Times New Roman"/>
                <w:sz w:val="20"/>
                <w:szCs w:val="20"/>
              </w:rPr>
            </w:pPr>
            <w:r>
              <w:rPr>
                <w:rFonts w:eastAsia="Times New Roman"/>
                <w:sz w:val="20"/>
                <w:szCs w:val="20"/>
              </w:rPr>
              <w:t>“</w:t>
            </w:r>
            <w:r>
              <w:rPr>
                <w:rFonts w:eastAsia="Times New Roman"/>
                <w:sz w:val="20"/>
                <w:szCs w:val="20"/>
              </w:rPr>
              <w:t>trust account” are to the U.S.-based trust account in which an amount of $172,500,000 from the net proceeds of the sale of the units in the initial public offering and the private placement warrants was placed following the closing of the initial public of</w:t>
            </w:r>
            <w:r>
              <w:rPr>
                <w:rFonts w:eastAsia="Times New Roman"/>
                <w:sz w:val="20"/>
                <w:szCs w:val="20"/>
              </w:rPr>
              <w:t xml:space="preserve">fering; </w:t>
            </w:r>
          </w:p>
        </w:tc>
      </w:tr>
    </w:tbl>
    <w:p w14:paraId="39AA2FFF"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2A9F9FD3" w14:textId="77777777">
        <w:trPr>
          <w:divId w:val="1595479706"/>
        </w:trPr>
        <w:tc>
          <w:tcPr>
            <w:tcW w:w="720" w:type="dxa"/>
            <w:hideMark/>
          </w:tcPr>
          <w:p w14:paraId="51002486" w14:textId="77777777" w:rsidR="00000000" w:rsidRDefault="00087966">
            <w:pPr>
              <w:rPr>
                <w:rFonts w:eastAsia="Times New Roman"/>
                <w:sz w:val="20"/>
                <w:szCs w:val="20"/>
              </w:rPr>
            </w:pPr>
            <w:r>
              <w:rPr>
                <w:rFonts w:eastAsia="Times New Roman"/>
                <w:sz w:val="20"/>
                <w:szCs w:val="20"/>
              </w:rPr>
              <w:t> </w:t>
            </w:r>
          </w:p>
        </w:tc>
        <w:tc>
          <w:tcPr>
            <w:tcW w:w="360" w:type="dxa"/>
            <w:hideMark/>
          </w:tcPr>
          <w:p w14:paraId="0D860F2F"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B014421" w14:textId="77777777" w:rsidR="00000000" w:rsidRDefault="00087966">
            <w:pPr>
              <w:jc w:val="both"/>
              <w:rPr>
                <w:rFonts w:eastAsia="Times New Roman"/>
                <w:sz w:val="20"/>
                <w:szCs w:val="20"/>
              </w:rPr>
            </w:pPr>
            <w:r>
              <w:rPr>
                <w:rFonts w:eastAsia="Times New Roman"/>
                <w:sz w:val="20"/>
                <w:szCs w:val="20"/>
              </w:rPr>
              <w:t>“units” are to the units sold in our initial public offering, which consist of one public share and one-half of one public warrant; and</w:t>
            </w:r>
          </w:p>
        </w:tc>
      </w:tr>
    </w:tbl>
    <w:p w14:paraId="48C3229D"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AD04F98" w14:textId="77777777">
        <w:trPr>
          <w:divId w:val="1595479706"/>
        </w:trPr>
        <w:tc>
          <w:tcPr>
            <w:tcW w:w="720" w:type="dxa"/>
            <w:hideMark/>
          </w:tcPr>
          <w:p w14:paraId="0113CD63" w14:textId="77777777" w:rsidR="00000000" w:rsidRDefault="00087966">
            <w:pPr>
              <w:rPr>
                <w:rFonts w:eastAsia="Times New Roman"/>
                <w:sz w:val="20"/>
                <w:szCs w:val="20"/>
              </w:rPr>
            </w:pPr>
            <w:r>
              <w:rPr>
                <w:rFonts w:eastAsia="Times New Roman"/>
                <w:sz w:val="20"/>
                <w:szCs w:val="20"/>
              </w:rPr>
              <w:t> </w:t>
            </w:r>
          </w:p>
        </w:tc>
        <w:tc>
          <w:tcPr>
            <w:tcW w:w="360" w:type="dxa"/>
            <w:hideMark/>
          </w:tcPr>
          <w:p w14:paraId="6FBAF51A"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259D1BE" w14:textId="77777777" w:rsidR="00000000" w:rsidRDefault="00087966">
            <w:pPr>
              <w:jc w:val="both"/>
              <w:rPr>
                <w:rFonts w:eastAsia="Times New Roman"/>
                <w:sz w:val="20"/>
                <w:szCs w:val="20"/>
              </w:rPr>
            </w:pPr>
            <w:r>
              <w:rPr>
                <w:rFonts w:eastAsia="Times New Roman"/>
                <w:sz w:val="20"/>
                <w:szCs w:val="20"/>
              </w:rPr>
              <w:t>“Working Capital Loans” are to funds that, in order to provide working capital or finance transac</w:t>
            </w:r>
            <w:r>
              <w:rPr>
                <w:rFonts w:eastAsia="Times New Roman"/>
                <w:sz w:val="20"/>
                <w:szCs w:val="20"/>
              </w:rPr>
              <w:t>tion costs in connection with a business combination, the sponsor may, but is not obligated to, loan the Company.</w:t>
            </w:r>
          </w:p>
        </w:tc>
      </w:tr>
    </w:tbl>
    <w:p w14:paraId="248A77E0" w14:textId="77777777" w:rsidR="00000000" w:rsidRDefault="00087966">
      <w:pPr>
        <w:pStyle w:val="a3"/>
        <w:spacing w:before="0" w:beforeAutospacing="0" w:after="0" w:afterAutospacing="0"/>
        <w:jc w:val="both"/>
        <w:divId w:val="1595479706"/>
        <w:rPr>
          <w:sz w:val="20"/>
          <w:szCs w:val="20"/>
        </w:rPr>
      </w:pPr>
      <w:r>
        <w:rPr>
          <w:sz w:val="20"/>
          <w:szCs w:val="20"/>
        </w:rPr>
        <w:t> </w:t>
      </w:r>
    </w:p>
    <w:p w14:paraId="6F259760" w14:textId="77777777" w:rsidR="00000000" w:rsidRDefault="00087966">
      <w:pPr>
        <w:pStyle w:val="a3"/>
        <w:spacing w:before="0" w:beforeAutospacing="0" w:after="0" w:afterAutospacing="0"/>
        <w:jc w:val="center"/>
        <w:divId w:val="1808624307"/>
        <w:rPr>
          <w:sz w:val="20"/>
          <w:szCs w:val="20"/>
        </w:rPr>
      </w:pPr>
      <w:r>
        <w:rPr>
          <w:sz w:val="20"/>
          <w:szCs w:val="20"/>
        </w:rPr>
        <w:t>v</w:t>
      </w:r>
    </w:p>
    <w:p w14:paraId="102D3743" w14:textId="77777777" w:rsidR="00000000" w:rsidRDefault="00087966">
      <w:pPr>
        <w:pStyle w:val="a3"/>
        <w:spacing w:before="0" w:beforeAutospacing="0" w:after="0" w:afterAutospacing="0"/>
        <w:divId w:val="101536320"/>
        <w:rPr>
          <w:sz w:val="20"/>
          <w:szCs w:val="20"/>
        </w:rPr>
      </w:pPr>
      <w:r>
        <w:rPr>
          <w:sz w:val="20"/>
          <w:szCs w:val="20"/>
        </w:rPr>
        <w:t> </w:t>
      </w:r>
    </w:p>
    <w:p w14:paraId="31ADC2B5" w14:textId="77777777" w:rsidR="00000000" w:rsidRDefault="00087966">
      <w:pPr>
        <w:pStyle w:val="a3"/>
        <w:spacing w:before="0" w:beforeAutospacing="0" w:after="0" w:afterAutospacing="0"/>
        <w:jc w:val="center"/>
        <w:divId w:val="1595479706"/>
        <w:rPr>
          <w:sz w:val="20"/>
          <w:szCs w:val="20"/>
        </w:rPr>
      </w:pPr>
      <w:r>
        <w:rPr>
          <w:sz w:val="20"/>
          <w:szCs w:val="20"/>
        </w:rPr>
        <w:t> </w:t>
      </w:r>
    </w:p>
    <w:p w14:paraId="72136A86" w14:textId="77777777" w:rsidR="00000000" w:rsidRDefault="00087966">
      <w:pPr>
        <w:pStyle w:val="a3"/>
        <w:spacing w:before="0" w:beforeAutospacing="0" w:after="0" w:afterAutospacing="0"/>
        <w:jc w:val="center"/>
        <w:divId w:val="1595479706"/>
        <w:rPr>
          <w:sz w:val="20"/>
          <w:szCs w:val="20"/>
        </w:rPr>
      </w:pPr>
      <w:r>
        <w:rPr>
          <w:b/>
          <w:bCs/>
          <w:sz w:val="20"/>
          <w:szCs w:val="20"/>
        </w:rPr>
        <w:t>PART I</w:t>
      </w:r>
    </w:p>
    <w:p w14:paraId="6DEA8F89" w14:textId="77777777" w:rsidR="00000000" w:rsidRDefault="00087966">
      <w:pPr>
        <w:pStyle w:val="a3"/>
        <w:spacing w:before="0" w:beforeAutospacing="0" w:after="0" w:afterAutospacing="0"/>
        <w:jc w:val="both"/>
        <w:divId w:val="1595479706"/>
        <w:rPr>
          <w:sz w:val="20"/>
          <w:szCs w:val="20"/>
        </w:rPr>
      </w:pPr>
      <w:r>
        <w:rPr>
          <w:sz w:val="20"/>
          <w:szCs w:val="20"/>
        </w:rPr>
        <w:t> </w:t>
      </w:r>
    </w:p>
    <w:p w14:paraId="5A917A85" w14:textId="77777777" w:rsidR="00000000" w:rsidRDefault="00087966">
      <w:pPr>
        <w:pStyle w:val="a3"/>
        <w:spacing w:before="0" w:beforeAutospacing="0" w:after="0" w:afterAutospacing="0"/>
        <w:jc w:val="both"/>
        <w:divId w:val="1595479706"/>
        <w:rPr>
          <w:sz w:val="20"/>
          <w:szCs w:val="20"/>
        </w:rPr>
      </w:pPr>
      <w:r>
        <w:rPr>
          <w:b/>
          <w:bCs/>
          <w:sz w:val="20"/>
          <w:szCs w:val="20"/>
        </w:rPr>
        <w:t>Item 1. Business.</w:t>
      </w:r>
    </w:p>
    <w:p w14:paraId="1A1634FB"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60FB53E7" w14:textId="77777777" w:rsidR="00000000" w:rsidRDefault="00087966">
      <w:pPr>
        <w:pStyle w:val="a3"/>
        <w:spacing w:before="0" w:beforeAutospacing="0" w:after="0" w:afterAutospacing="0"/>
        <w:jc w:val="both"/>
        <w:divId w:val="1595479706"/>
        <w:rPr>
          <w:sz w:val="20"/>
          <w:szCs w:val="20"/>
        </w:rPr>
      </w:pPr>
      <w:r>
        <w:rPr>
          <w:b/>
          <w:bCs/>
          <w:sz w:val="20"/>
          <w:szCs w:val="20"/>
        </w:rPr>
        <w:t>Overview</w:t>
      </w:r>
    </w:p>
    <w:p w14:paraId="24CEB32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8BB26F9"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KludeIn I Acquisition Corp. </w:t>
      </w:r>
      <w:r>
        <w:rPr>
          <w:sz w:val="20"/>
          <w:szCs w:val="20"/>
        </w:rPr>
        <w:t>is a blank check company incorporated in Delaware on September 24, 2020 for the purpose of effecting an initial business combination. While we may pursue a business combination in any sector or geography, we are focusing our efforts on completing a busines</w:t>
      </w:r>
      <w:r>
        <w:rPr>
          <w:sz w:val="20"/>
          <w:szCs w:val="20"/>
        </w:rPr>
        <w:t>s combination with a high-quality software or technology-enabled growth business serving consumers or enterprises in the United States with an enterprise value between $500 million and $1.5 billion.</w:t>
      </w:r>
    </w:p>
    <w:p w14:paraId="2ED2EF7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D391C8A" w14:textId="77777777" w:rsidR="00000000" w:rsidRDefault="00087966">
      <w:pPr>
        <w:pStyle w:val="a3"/>
        <w:spacing w:before="0" w:beforeAutospacing="0" w:after="0" w:afterAutospacing="0"/>
        <w:ind w:firstLine="720"/>
        <w:jc w:val="both"/>
        <w:divId w:val="1595479706"/>
        <w:rPr>
          <w:sz w:val="20"/>
          <w:szCs w:val="20"/>
        </w:rPr>
      </w:pPr>
      <w:r>
        <w:rPr>
          <w:sz w:val="20"/>
          <w:szCs w:val="20"/>
        </w:rPr>
        <w:t>Our management team has extensive experience in both th</w:t>
      </w:r>
      <w:r>
        <w:rPr>
          <w:sz w:val="20"/>
          <w:szCs w:val="20"/>
        </w:rPr>
        <w:t>e private and public equity markets, and believes our team’s skill and experience makes us well positioned to deliver attractive risk-adjusted returns by identifying and executing a business combination with one or more attractive targets.</w:t>
      </w:r>
    </w:p>
    <w:p w14:paraId="4308CD7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3BE7D3C" w14:textId="77777777" w:rsidR="00000000" w:rsidRDefault="00087966">
      <w:pPr>
        <w:pStyle w:val="a3"/>
        <w:spacing w:before="0" w:beforeAutospacing="0" w:after="0" w:afterAutospacing="0"/>
        <w:ind w:firstLine="720"/>
        <w:jc w:val="both"/>
        <w:divId w:val="1595479706"/>
        <w:rPr>
          <w:sz w:val="20"/>
          <w:szCs w:val="20"/>
        </w:rPr>
      </w:pPr>
      <w:r>
        <w:rPr>
          <w:sz w:val="20"/>
          <w:szCs w:val="20"/>
        </w:rPr>
        <w:t>We leverage ou</w:t>
      </w:r>
      <w:r>
        <w:rPr>
          <w:sz w:val="20"/>
          <w:szCs w:val="20"/>
        </w:rPr>
        <w:t>r extensive network in the venture capital and private equity industries as well as our network among the Indian diaspora, the latter of which we believe has permeated the global technology landscape in the form of entrepreneurs, chief executives and speci</w:t>
      </w:r>
      <w:r>
        <w:rPr>
          <w:sz w:val="20"/>
          <w:szCs w:val="20"/>
        </w:rPr>
        <w:t>alist talent pools. We believe our deep connections, and relationships with these networks provides us with access to a differentiated pool of potential target businesses and management teams, and will facilitate a successful business combination transacti</w:t>
      </w:r>
      <w:r>
        <w:rPr>
          <w:sz w:val="20"/>
          <w:szCs w:val="20"/>
        </w:rPr>
        <w:t>on.</w:t>
      </w:r>
    </w:p>
    <w:p w14:paraId="7DD73312" w14:textId="77777777" w:rsidR="00000000" w:rsidRDefault="00087966">
      <w:pPr>
        <w:pStyle w:val="a3"/>
        <w:spacing w:before="0" w:beforeAutospacing="0" w:after="0" w:afterAutospacing="0"/>
        <w:jc w:val="both"/>
        <w:divId w:val="1595479706"/>
        <w:rPr>
          <w:sz w:val="20"/>
          <w:szCs w:val="20"/>
        </w:rPr>
      </w:pPr>
      <w:r>
        <w:rPr>
          <w:sz w:val="20"/>
          <w:szCs w:val="20"/>
        </w:rPr>
        <w:t> </w:t>
      </w:r>
    </w:p>
    <w:p w14:paraId="43CF364B" w14:textId="77777777" w:rsidR="00000000" w:rsidRDefault="00087966">
      <w:pPr>
        <w:pStyle w:val="a3"/>
        <w:spacing w:before="0" w:beforeAutospacing="0" w:after="0" w:afterAutospacing="0"/>
        <w:jc w:val="both"/>
        <w:divId w:val="1595479706"/>
        <w:rPr>
          <w:sz w:val="20"/>
          <w:szCs w:val="20"/>
        </w:rPr>
      </w:pPr>
      <w:r>
        <w:rPr>
          <w:b/>
          <w:bCs/>
          <w:sz w:val="20"/>
          <w:szCs w:val="20"/>
        </w:rPr>
        <w:t>Initial Public Offering</w:t>
      </w:r>
    </w:p>
    <w:p w14:paraId="7F62C5B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B4801F5" w14:textId="77777777" w:rsidR="00000000" w:rsidRDefault="00087966">
      <w:pPr>
        <w:pStyle w:val="a3"/>
        <w:spacing w:before="0" w:beforeAutospacing="0" w:after="0" w:afterAutospacing="0"/>
        <w:ind w:firstLine="720"/>
        <w:jc w:val="both"/>
        <w:divId w:val="1595479706"/>
        <w:rPr>
          <w:sz w:val="20"/>
          <w:szCs w:val="20"/>
        </w:rPr>
      </w:pPr>
      <w:r>
        <w:rPr>
          <w:sz w:val="20"/>
          <w:szCs w:val="20"/>
        </w:rPr>
        <w:t>On January 11, 2021, we consummated our initial public offering of 17,250,000 units, including 2,250,000 units sold upon the exercise of the underwriters’ over-allotment option in full. Each unit consists of one share of Cla</w:t>
      </w:r>
      <w:r>
        <w:rPr>
          <w:sz w:val="20"/>
          <w:szCs w:val="20"/>
        </w:rPr>
        <w:t>ss A common stock, and one-half of one redeemable warrant of the Company, with each whole warrant entitling the holder thereof to purchase one share of Class A common stock for $11.50 per whole share. The units were sold at a price of $10.00 per unit, gene</w:t>
      </w:r>
      <w:r>
        <w:rPr>
          <w:sz w:val="20"/>
          <w:szCs w:val="20"/>
        </w:rPr>
        <w:t>rating gross proceeds to the Company of $172,500,000.</w:t>
      </w:r>
    </w:p>
    <w:p w14:paraId="647FCCD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5E3820C" w14:textId="77777777" w:rsidR="00000000" w:rsidRDefault="00087966">
      <w:pPr>
        <w:pStyle w:val="a3"/>
        <w:spacing w:before="0" w:beforeAutospacing="0" w:after="0" w:afterAutospacing="0"/>
        <w:ind w:firstLine="720"/>
        <w:jc w:val="both"/>
        <w:divId w:val="1595479706"/>
        <w:rPr>
          <w:sz w:val="20"/>
          <w:szCs w:val="20"/>
        </w:rPr>
      </w:pPr>
      <w:r>
        <w:rPr>
          <w:sz w:val="20"/>
          <w:szCs w:val="20"/>
        </w:rPr>
        <w:t>Simultaneously with the closing of the initial public offering, we completed the private sale of an aggregate of 5,200,000 warrants to our sponsor at a purchase price of $1.00 per private placement wa</w:t>
      </w:r>
      <w:r>
        <w:rPr>
          <w:sz w:val="20"/>
          <w:szCs w:val="20"/>
        </w:rPr>
        <w:t>rrant, generating gross proceeds of $5,200,000.</w:t>
      </w:r>
    </w:p>
    <w:p w14:paraId="5400C39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C5BC79A" w14:textId="77777777" w:rsidR="00000000" w:rsidRDefault="00087966">
      <w:pPr>
        <w:pStyle w:val="a3"/>
        <w:spacing w:before="0" w:beforeAutospacing="0" w:after="0" w:afterAutospacing="0"/>
        <w:ind w:firstLine="720"/>
        <w:jc w:val="both"/>
        <w:divId w:val="1595479706"/>
        <w:rPr>
          <w:sz w:val="20"/>
          <w:szCs w:val="20"/>
        </w:rPr>
      </w:pPr>
      <w:r>
        <w:rPr>
          <w:sz w:val="20"/>
          <w:szCs w:val="20"/>
        </w:rPr>
        <w:t>A total of $172,500,000, comprised of $169,050,000 of the proceeds from the initial public offering and $3,450,000 of the proceeds of the sale of the private placement warrants was placed in the trust accou</w:t>
      </w:r>
      <w:r>
        <w:rPr>
          <w:sz w:val="20"/>
          <w:szCs w:val="20"/>
        </w:rPr>
        <w:t>nt maintained by Continental, acting as trustee.</w:t>
      </w:r>
    </w:p>
    <w:p w14:paraId="280539A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B82C723" w14:textId="77777777" w:rsidR="00000000" w:rsidRDefault="00087966">
      <w:pPr>
        <w:pStyle w:val="a3"/>
        <w:spacing w:before="0" w:beforeAutospacing="0" w:after="0" w:afterAutospacing="0"/>
        <w:ind w:firstLine="720"/>
        <w:jc w:val="both"/>
        <w:divId w:val="1595479706"/>
        <w:rPr>
          <w:sz w:val="20"/>
          <w:szCs w:val="20"/>
        </w:rPr>
      </w:pPr>
      <w:r>
        <w:rPr>
          <w:sz w:val="20"/>
          <w:szCs w:val="20"/>
        </w:rPr>
        <w:t>The past performance of our management team, or their respective affiliates, is not a guarantee either (i) of success with respect to any business combination we may consummate or (ii) that we will be able</w:t>
      </w:r>
      <w:r>
        <w:rPr>
          <w:sz w:val="20"/>
          <w:szCs w:val="20"/>
        </w:rPr>
        <w:t xml:space="preserve"> to identify a suitable candidate for our initial business combination, including the Near Business Combination. No member of our management team has been an officer or director of a SPAC in the past. You should not rely on the historical record of our man</w:t>
      </w:r>
      <w:r>
        <w:rPr>
          <w:sz w:val="20"/>
          <w:szCs w:val="20"/>
        </w:rPr>
        <w:t>agement team’s or their respective affiliates’ performance as indicative of our future performance.</w:t>
      </w:r>
    </w:p>
    <w:p w14:paraId="131E7E6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3E32209"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Members of our management team may become an officer or director of another SPAC with a class of securities registered under the Exchange Act even before </w:t>
      </w:r>
      <w:r>
        <w:rPr>
          <w:sz w:val="20"/>
          <w:szCs w:val="20"/>
        </w:rPr>
        <w:t>we have entered into a definitive agreement regarding our initial business combination.</w:t>
      </w:r>
    </w:p>
    <w:p w14:paraId="0B9D8219" w14:textId="77777777" w:rsidR="00000000" w:rsidRDefault="00087966">
      <w:pPr>
        <w:pStyle w:val="a3"/>
        <w:spacing w:before="0" w:beforeAutospacing="0" w:after="0" w:afterAutospacing="0"/>
        <w:jc w:val="both"/>
        <w:divId w:val="1595479706"/>
        <w:rPr>
          <w:sz w:val="20"/>
          <w:szCs w:val="20"/>
        </w:rPr>
      </w:pPr>
      <w:r>
        <w:rPr>
          <w:sz w:val="20"/>
          <w:szCs w:val="20"/>
        </w:rPr>
        <w:t> </w:t>
      </w:r>
    </w:p>
    <w:p w14:paraId="3494AFDB" w14:textId="77777777" w:rsidR="00000000" w:rsidRDefault="00087966">
      <w:pPr>
        <w:pStyle w:val="a3"/>
        <w:spacing w:before="0" w:beforeAutospacing="0" w:after="0" w:afterAutospacing="0"/>
        <w:jc w:val="center"/>
        <w:divId w:val="2006854797"/>
        <w:rPr>
          <w:sz w:val="20"/>
          <w:szCs w:val="20"/>
        </w:rPr>
      </w:pPr>
      <w:r>
        <w:rPr>
          <w:sz w:val="20"/>
          <w:szCs w:val="20"/>
        </w:rPr>
        <w:t>1</w:t>
      </w:r>
    </w:p>
    <w:p w14:paraId="472B35EE" w14:textId="77777777" w:rsidR="00000000" w:rsidRDefault="00087966">
      <w:pPr>
        <w:pStyle w:val="a3"/>
        <w:spacing w:before="0" w:beforeAutospacing="0" w:after="0" w:afterAutospacing="0"/>
        <w:divId w:val="932516923"/>
        <w:rPr>
          <w:sz w:val="20"/>
          <w:szCs w:val="20"/>
        </w:rPr>
      </w:pPr>
      <w:r>
        <w:rPr>
          <w:sz w:val="20"/>
          <w:szCs w:val="20"/>
        </w:rPr>
        <w:t> </w:t>
      </w:r>
    </w:p>
    <w:p w14:paraId="5FC0CF57" w14:textId="77777777" w:rsidR="00000000" w:rsidRDefault="00087966">
      <w:pPr>
        <w:pStyle w:val="a3"/>
        <w:spacing w:before="0" w:beforeAutospacing="0" w:after="0" w:afterAutospacing="0"/>
        <w:jc w:val="both"/>
        <w:divId w:val="1595479706"/>
        <w:rPr>
          <w:sz w:val="20"/>
          <w:szCs w:val="20"/>
        </w:rPr>
      </w:pPr>
      <w:r>
        <w:rPr>
          <w:sz w:val="20"/>
          <w:szCs w:val="20"/>
        </w:rPr>
        <w:t> </w:t>
      </w:r>
    </w:p>
    <w:p w14:paraId="02DF1B52" w14:textId="77777777" w:rsidR="00000000" w:rsidRDefault="00087966">
      <w:pPr>
        <w:pStyle w:val="a3"/>
        <w:spacing w:before="0" w:beforeAutospacing="0" w:after="0" w:afterAutospacing="0"/>
        <w:jc w:val="both"/>
        <w:divId w:val="1595479706"/>
        <w:rPr>
          <w:sz w:val="20"/>
          <w:szCs w:val="20"/>
        </w:rPr>
      </w:pPr>
      <w:r>
        <w:rPr>
          <w:b/>
          <w:bCs/>
          <w:sz w:val="20"/>
          <w:szCs w:val="20"/>
        </w:rPr>
        <w:t>Near Business Combination</w:t>
      </w:r>
    </w:p>
    <w:p w14:paraId="4427BCAE" w14:textId="77777777" w:rsidR="00000000" w:rsidRDefault="00087966">
      <w:pPr>
        <w:pStyle w:val="a3"/>
        <w:spacing w:before="0" w:beforeAutospacing="0" w:after="0" w:afterAutospacing="0"/>
        <w:ind w:firstLine="480"/>
        <w:jc w:val="both"/>
        <w:divId w:val="1595479706"/>
        <w:rPr>
          <w:sz w:val="20"/>
          <w:szCs w:val="20"/>
        </w:rPr>
      </w:pPr>
      <w:r>
        <w:rPr>
          <w:sz w:val="20"/>
          <w:szCs w:val="20"/>
        </w:rPr>
        <w:t> </w:t>
      </w:r>
    </w:p>
    <w:p w14:paraId="437E3947"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On May 18, 2022, we entered </w:t>
      </w:r>
      <w:r>
        <w:rPr>
          <w:sz w:val="20"/>
          <w:szCs w:val="20"/>
        </w:rPr>
        <w:t>into the Near Merger Agreement with Near, Merger Sub 1 and Merger Sub 2. Capitalized terms not defined but otherwise used in the following description have the meanings ascribed to them in the Near Merger Agreement.</w:t>
      </w:r>
    </w:p>
    <w:p w14:paraId="5C68300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406A70D" w14:textId="77777777" w:rsidR="00000000" w:rsidRDefault="00087966">
      <w:pPr>
        <w:pStyle w:val="a3"/>
        <w:spacing w:before="0" w:beforeAutospacing="0" w:after="0" w:afterAutospacing="0"/>
        <w:ind w:firstLine="720"/>
        <w:jc w:val="both"/>
        <w:divId w:val="1595479706"/>
        <w:rPr>
          <w:sz w:val="20"/>
          <w:szCs w:val="20"/>
        </w:rPr>
      </w:pPr>
      <w:r>
        <w:rPr>
          <w:sz w:val="20"/>
          <w:szCs w:val="20"/>
        </w:rPr>
        <w:t>Near, a global leader in privacy-led d</w:t>
      </w:r>
      <w:r>
        <w:rPr>
          <w:sz w:val="20"/>
          <w:szCs w:val="20"/>
        </w:rPr>
        <w:t xml:space="preserve">ata intelligence, curates one of the world’s largest sources of intelligence on people, places and products. Near processes data from over 1.6 billion unique user IDs, in over 70 million places across 44 countries to empower marketing and operational data </w:t>
      </w:r>
      <w:r>
        <w:rPr>
          <w:sz w:val="20"/>
          <w:szCs w:val="20"/>
        </w:rPr>
        <w:t>leaders to confidently reach, understand and market to consumers and optimize their business results. Near has offices in Los Angeles, Silicon Valley, Paris, Bangalore, Singapore, Sydney and Tokyo. Near serves major enterprises in retail, real estate, rest</w:t>
      </w:r>
      <w:r>
        <w:rPr>
          <w:sz w:val="20"/>
          <w:szCs w:val="20"/>
        </w:rPr>
        <w:t>aurants, tourism, technology, marketing and other industries.</w:t>
      </w:r>
    </w:p>
    <w:p w14:paraId="2E436DE6" w14:textId="77777777" w:rsidR="00000000" w:rsidRDefault="00087966">
      <w:pPr>
        <w:pStyle w:val="a3"/>
        <w:spacing w:before="0" w:beforeAutospacing="0" w:after="0" w:afterAutospacing="0"/>
        <w:jc w:val="both"/>
        <w:divId w:val="1595479706"/>
        <w:rPr>
          <w:sz w:val="20"/>
          <w:szCs w:val="20"/>
        </w:rPr>
      </w:pPr>
      <w:r>
        <w:rPr>
          <w:sz w:val="20"/>
          <w:szCs w:val="20"/>
        </w:rPr>
        <w:t> </w:t>
      </w:r>
    </w:p>
    <w:p w14:paraId="6BDBD1AA" w14:textId="77777777" w:rsidR="00000000" w:rsidRDefault="00087966">
      <w:pPr>
        <w:pStyle w:val="a3"/>
        <w:spacing w:before="0" w:beforeAutospacing="0" w:after="0" w:afterAutospacing="0"/>
        <w:jc w:val="both"/>
        <w:divId w:val="1595479706"/>
        <w:rPr>
          <w:sz w:val="20"/>
          <w:szCs w:val="20"/>
        </w:rPr>
      </w:pPr>
      <w:r>
        <w:rPr>
          <w:b/>
          <w:bCs/>
          <w:i/>
          <w:iCs/>
          <w:sz w:val="20"/>
          <w:szCs w:val="20"/>
        </w:rPr>
        <w:t>The Mergers</w:t>
      </w:r>
    </w:p>
    <w:p w14:paraId="6B07610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522A742" w14:textId="77777777" w:rsidR="00000000" w:rsidRDefault="00087966">
      <w:pPr>
        <w:pStyle w:val="a3"/>
        <w:spacing w:before="0" w:beforeAutospacing="0" w:after="0" w:afterAutospacing="0"/>
        <w:ind w:firstLine="720"/>
        <w:jc w:val="both"/>
        <w:divId w:val="1595479706"/>
        <w:rPr>
          <w:sz w:val="20"/>
          <w:szCs w:val="20"/>
        </w:rPr>
      </w:pPr>
      <w:r>
        <w:rPr>
          <w:sz w:val="20"/>
          <w:szCs w:val="20"/>
        </w:rPr>
        <w:t>Pursuant to the Near Merger Agreement and subject to the terms and conditions set forth therein, immediately prior to the consummation of the business combination (the “Closing”)</w:t>
      </w:r>
      <w:r>
        <w:rPr>
          <w:sz w:val="20"/>
          <w:szCs w:val="20"/>
        </w:rPr>
        <w:t xml:space="preserve"> (i) Merger Sub 1 and Near will consummate the first merger (the “First Merger”), pursuant to which Merger Sub 1 will be merged with and into Near, with Near continuing as the surviving corporation and a wholly owned subsidiary of the Company, as a result </w:t>
      </w:r>
      <w:r>
        <w:rPr>
          <w:sz w:val="20"/>
          <w:szCs w:val="20"/>
        </w:rPr>
        <w:t>of which all of the issued and outstanding capital stock of Near will no longer be outstanding and will automatically be cancelled and will cease to exist in exchange for the right to receive the Merger Consideration (as defined below), and (ii) Near, as t</w:t>
      </w:r>
      <w:r>
        <w:rPr>
          <w:sz w:val="20"/>
          <w:szCs w:val="20"/>
        </w:rPr>
        <w:t xml:space="preserve">he surviving corporation and a wholly owned subsidiary of the Company after the First Merger, will merge with and into Merger Sub 2, with Merger Sub 2 continuing as the surviving entity, as a result of which all of the issued and outstanding capital stock </w:t>
      </w:r>
      <w:r>
        <w:rPr>
          <w:sz w:val="20"/>
          <w:szCs w:val="20"/>
        </w:rPr>
        <w:t xml:space="preserve">of Near will no longer be outstanding and will automatically be cancelled and will cease to exist and each membership interest of Merger Sub 2 will remain outstanding as a membership interest of the surviving entity (the “Second Merger” and, together with </w:t>
      </w:r>
      <w:r>
        <w:rPr>
          <w:sz w:val="20"/>
          <w:szCs w:val="20"/>
        </w:rPr>
        <w:t xml:space="preserve">the First Merger, the “Mergers”). Following the Near Business Combination, the Company will change its name to “Near Intelligence, Inc.”, or such other name as may be mutually agreed to by the Company and Near. The Near Business Combination, including the </w:t>
      </w:r>
      <w:r>
        <w:rPr>
          <w:sz w:val="20"/>
          <w:szCs w:val="20"/>
        </w:rPr>
        <w:t>Mergers and the other transactions contemplated by the Near Merger Agreement (collectively, the “Transactions”).</w:t>
      </w:r>
    </w:p>
    <w:p w14:paraId="6D7754B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5FA8E43"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The “Merger Consideration” payable to Near security holders from the Company at the effective time of the First Merger (the “First Effective </w:t>
      </w:r>
      <w:r>
        <w:rPr>
          <w:sz w:val="20"/>
          <w:szCs w:val="20"/>
        </w:rPr>
        <w:t xml:space="preserve">Time”) will have an aggregate value equal to, without duplication, (i) the Company Base Value (as defined below), (ii) minus (or plus, if negative), the Closing Net Debt, (iii) (x) plus, in the event that the Closing Net Working Capital Amount exceeds the </w:t>
      </w:r>
      <w:r>
        <w:rPr>
          <w:sz w:val="20"/>
          <w:szCs w:val="20"/>
        </w:rPr>
        <w:t>Target Net Working Capital Amount, the difference between the Closing Net Working Capital Amount and the Target Net Working Capital Amount, or (y) minus, in the event that the Closing Net Working Capital Amount is less than the Target Net Working Capital A</w:t>
      </w:r>
      <w:r>
        <w:rPr>
          <w:sz w:val="20"/>
          <w:szCs w:val="20"/>
        </w:rPr>
        <w:t>mount, the difference between the Closing Net Working Capital Amount and the Target Net Working Capital Amount, and (iv) minus the amount of any unpaid Company Transaction Expenses. For purposes of the Near Merger Agreement, “Company Base Value” is an amou</w:t>
      </w:r>
      <w:r>
        <w:rPr>
          <w:sz w:val="20"/>
          <w:szCs w:val="20"/>
        </w:rPr>
        <w:t xml:space="preserve">nt equal to Five Hundred Seventy-Five Million U.S. Dollars ($575,000,000) plus the amount of any Permitted Equity Financing. A “Permitted Equity Financing” is any equity financing transaction or series of equity financing transactions entered into by Near </w:t>
      </w:r>
      <w:r>
        <w:rPr>
          <w:sz w:val="20"/>
          <w:szCs w:val="20"/>
        </w:rPr>
        <w:t>on or after the date of the Near Merger Agreement, by way of issuance, subscription or sale, which results in cash proceeds to Near prior to the First Effective Time in an amount not exceeding Fifty Million U.S. Dollars ($50,000,000), in exchange for share</w:t>
      </w:r>
      <w:r>
        <w:rPr>
          <w:sz w:val="20"/>
          <w:szCs w:val="20"/>
        </w:rPr>
        <w:t>s of stock or convertible securities of Near (excluding, for the avoidance of doubt, any instrument issued by Near in connection with the Permitted Debt contemplated under the Near Merger Agreement).</w:t>
      </w:r>
    </w:p>
    <w:p w14:paraId="48304B6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FCA5914" w14:textId="77777777" w:rsidR="00000000" w:rsidRDefault="00087966">
      <w:pPr>
        <w:pStyle w:val="a3"/>
        <w:spacing w:before="0" w:beforeAutospacing="0" w:after="0" w:afterAutospacing="0"/>
        <w:ind w:firstLine="720"/>
        <w:jc w:val="both"/>
        <w:divId w:val="1595479706"/>
        <w:rPr>
          <w:sz w:val="20"/>
          <w:szCs w:val="20"/>
        </w:rPr>
      </w:pPr>
      <w:r>
        <w:rPr>
          <w:sz w:val="20"/>
          <w:szCs w:val="20"/>
        </w:rPr>
        <w:t>The Merger Consideration to be paid to the Near securi</w:t>
      </w:r>
      <w:r>
        <w:rPr>
          <w:sz w:val="20"/>
          <w:szCs w:val="20"/>
        </w:rPr>
        <w:t>ty holders will be paid solely by the delivery of new Company securities in accordance with the Conversion Ratio specified in the Near Merger Agreement. In accordance with the terms and subject to the conditions of the Near Merger Agreement, at the First E</w:t>
      </w:r>
      <w:r>
        <w:rPr>
          <w:sz w:val="20"/>
          <w:szCs w:val="20"/>
        </w:rPr>
        <w:t xml:space="preserve">ffective Time (i) each share of Near’s common stock outstanding as of immediately prior to the First Effective Time will be converted into a right to receive a number of shares of the Company’s Class A common stock (“Purchaser Class A Common Stock”) (with </w:t>
      </w:r>
      <w:r>
        <w:rPr>
          <w:sz w:val="20"/>
          <w:szCs w:val="20"/>
        </w:rPr>
        <w:t>each valued at $10.00 per share), (ii) each outstanding Near restricted stock unit (whether vested or unvested) will be assumed by the Company and converted into a restricted stock unit of the Company, (iii) each outstanding Near warrant that is issued and</w:t>
      </w:r>
      <w:r>
        <w:rPr>
          <w:sz w:val="20"/>
          <w:szCs w:val="20"/>
        </w:rPr>
        <w:t xml:space="preserve"> outstanding will be assumed by the Company and converted into a corresponding warrant to purchase shares of Purchaser Class A Common Stock, in accordance with the terms of such warrants, and (iv) to the extent there are any other Near convertible securiti</w:t>
      </w:r>
      <w:r>
        <w:rPr>
          <w:sz w:val="20"/>
          <w:szCs w:val="20"/>
        </w:rPr>
        <w:t>es, if not exercised or converted prior to the First Effective Time, such security will be cancelled, retired and terminated and cease to represent a right to acquire, be exchanged for or convert into shares of Purchaser Class A Common Stock.</w:t>
      </w:r>
    </w:p>
    <w:p w14:paraId="10C85538" w14:textId="77777777" w:rsidR="00000000" w:rsidRDefault="00087966">
      <w:pPr>
        <w:pStyle w:val="a3"/>
        <w:spacing w:before="0" w:beforeAutospacing="0" w:after="0" w:afterAutospacing="0"/>
        <w:jc w:val="both"/>
        <w:divId w:val="1595479706"/>
        <w:rPr>
          <w:sz w:val="20"/>
          <w:szCs w:val="20"/>
        </w:rPr>
      </w:pPr>
      <w:r>
        <w:rPr>
          <w:sz w:val="20"/>
          <w:szCs w:val="20"/>
        </w:rPr>
        <w:t> </w:t>
      </w:r>
    </w:p>
    <w:p w14:paraId="707A100B" w14:textId="77777777" w:rsidR="00000000" w:rsidRDefault="00087966">
      <w:pPr>
        <w:pStyle w:val="a3"/>
        <w:spacing w:before="0" w:beforeAutospacing="0" w:after="0" w:afterAutospacing="0"/>
        <w:jc w:val="center"/>
        <w:divId w:val="735279712"/>
        <w:rPr>
          <w:sz w:val="20"/>
          <w:szCs w:val="20"/>
        </w:rPr>
      </w:pPr>
      <w:r>
        <w:rPr>
          <w:sz w:val="20"/>
          <w:szCs w:val="20"/>
        </w:rPr>
        <w:t>2</w:t>
      </w:r>
    </w:p>
    <w:p w14:paraId="15C679DF" w14:textId="77777777" w:rsidR="00000000" w:rsidRDefault="00087966">
      <w:pPr>
        <w:pStyle w:val="a3"/>
        <w:spacing w:before="0" w:beforeAutospacing="0" w:after="0" w:afterAutospacing="0"/>
        <w:divId w:val="1720011968"/>
        <w:rPr>
          <w:sz w:val="20"/>
          <w:szCs w:val="20"/>
        </w:rPr>
      </w:pPr>
      <w:r>
        <w:rPr>
          <w:sz w:val="20"/>
          <w:szCs w:val="20"/>
        </w:rPr>
        <w:t> </w:t>
      </w:r>
    </w:p>
    <w:p w14:paraId="7A3E2DDC" w14:textId="77777777" w:rsidR="00000000" w:rsidRDefault="00087966">
      <w:pPr>
        <w:pStyle w:val="a3"/>
        <w:spacing w:before="0" w:beforeAutospacing="0" w:after="0" w:afterAutospacing="0"/>
        <w:jc w:val="both"/>
        <w:divId w:val="1595479706"/>
        <w:rPr>
          <w:sz w:val="20"/>
          <w:szCs w:val="20"/>
        </w:rPr>
      </w:pPr>
      <w:r>
        <w:rPr>
          <w:sz w:val="20"/>
          <w:szCs w:val="20"/>
        </w:rPr>
        <w:t> </w:t>
      </w:r>
    </w:p>
    <w:p w14:paraId="3E72468F" w14:textId="77777777" w:rsidR="00000000" w:rsidRDefault="00087966">
      <w:pPr>
        <w:pStyle w:val="a3"/>
        <w:spacing w:before="0" w:beforeAutospacing="0" w:after="0" w:afterAutospacing="0"/>
        <w:jc w:val="both"/>
        <w:divId w:val="1595479706"/>
        <w:rPr>
          <w:sz w:val="20"/>
          <w:szCs w:val="20"/>
        </w:rPr>
      </w:pPr>
      <w:r>
        <w:rPr>
          <w:b/>
          <w:bCs/>
          <w:i/>
          <w:iCs/>
          <w:sz w:val="20"/>
          <w:szCs w:val="20"/>
        </w:rPr>
        <w:t xml:space="preserve">Near </w:t>
      </w:r>
      <w:r>
        <w:rPr>
          <w:b/>
          <w:bCs/>
          <w:i/>
          <w:iCs/>
          <w:sz w:val="20"/>
          <w:szCs w:val="20"/>
        </w:rPr>
        <w:t>Reorganization</w:t>
      </w:r>
    </w:p>
    <w:p w14:paraId="4109BCA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D984C28" w14:textId="77777777" w:rsidR="00000000" w:rsidRDefault="00087966">
      <w:pPr>
        <w:pStyle w:val="a3"/>
        <w:spacing w:before="0" w:beforeAutospacing="0" w:after="0" w:afterAutospacing="0"/>
        <w:ind w:firstLine="720"/>
        <w:jc w:val="both"/>
        <w:divId w:val="1595479706"/>
        <w:rPr>
          <w:sz w:val="20"/>
          <w:szCs w:val="20"/>
        </w:rPr>
      </w:pPr>
      <w:r>
        <w:rPr>
          <w:sz w:val="20"/>
          <w:szCs w:val="20"/>
        </w:rPr>
        <w:t>Prior to the Transactions, Near and Near Pte. Ltd., a Singapore corporation (“N Sing”), entered into a contribution agreement (together with all agreements, deeds, instruments or other documents to implement and effect the Contribution, th</w:t>
      </w:r>
      <w:r>
        <w:rPr>
          <w:sz w:val="20"/>
          <w:szCs w:val="20"/>
        </w:rPr>
        <w:t>e “Contribution Documents”) and consummated the contribution by N Sing of the assets specified in the Contribution Documents to Near in exchange for all of the capital stock of Near pursuant to the terms and conditions of the Contribution Documents (the “C</w:t>
      </w:r>
      <w:r>
        <w:rPr>
          <w:sz w:val="20"/>
          <w:szCs w:val="20"/>
        </w:rPr>
        <w:t>ontribution”). Prior to the Closing, N Sing will distribute the capital stock of Near received by it in the Contribution to all of the shareholders of N Sing, such that all of the shareholders of N Sing will constitute and become the sole stockholders of N</w:t>
      </w:r>
      <w:r>
        <w:rPr>
          <w:sz w:val="20"/>
          <w:szCs w:val="20"/>
        </w:rPr>
        <w:t>ear and the capital stock and ownership structure of Near will reflect the share capital and ownership structure of N Sing on a 1,000:1 basis as provided in the Contribution Documents at the time of such distribution (the “Reorganization”).</w:t>
      </w:r>
    </w:p>
    <w:p w14:paraId="46AE786B" w14:textId="77777777" w:rsidR="00000000" w:rsidRDefault="00087966">
      <w:pPr>
        <w:pStyle w:val="a3"/>
        <w:spacing w:before="0" w:beforeAutospacing="0" w:after="0" w:afterAutospacing="0"/>
        <w:jc w:val="both"/>
        <w:divId w:val="1595479706"/>
        <w:rPr>
          <w:sz w:val="20"/>
          <w:szCs w:val="20"/>
        </w:rPr>
      </w:pPr>
      <w:r>
        <w:rPr>
          <w:sz w:val="20"/>
          <w:szCs w:val="20"/>
        </w:rPr>
        <w:t> </w:t>
      </w:r>
    </w:p>
    <w:p w14:paraId="2E4E6B34" w14:textId="77777777" w:rsidR="00000000" w:rsidRDefault="00087966">
      <w:pPr>
        <w:pStyle w:val="a3"/>
        <w:spacing w:before="0" w:beforeAutospacing="0" w:after="0" w:afterAutospacing="0"/>
        <w:jc w:val="both"/>
        <w:divId w:val="1595479706"/>
        <w:rPr>
          <w:sz w:val="20"/>
          <w:szCs w:val="20"/>
        </w:rPr>
      </w:pPr>
      <w:r>
        <w:rPr>
          <w:b/>
          <w:bCs/>
          <w:i/>
          <w:iCs/>
          <w:sz w:val="20"/>
          <w:szCs w:val="20"/>
        </w:rPr>
        <w:t>Representations and Warranties</w:t>
      </w:r>
    </w:p>
    <w:p w14:paraId="1173649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2E5A468" w14:textId="77777777" w:rsidR="00000000" w:rsidRDefault="00087966">
      <w:pPr>
        <w:pStyle w:val="a3"/>
        <w:spacing w:before="0" w:beforeAutospacing="0" w:after="0" w:afterAutospacing="0"/>
        <w:ind w:firstLine="720"/>
        <w:jc w:val="both"/>
        <w:divId w:val="1595479706"/>
        <w:rPr>
          <w:sz w:val="20"/>
          <w:szCs w:val="20"/>
        </w:rPr>
      </w:pPr>
      <w:r>
        <w:rPr>
          <w:sz w:val="20"/>
          <w:szCs w:val="20"/>
        </w:rPr>
        <w:t>The Near Merger Agreement contains customary representations and warranties made by each of Near and the Company as of the date of the Near Merger Agreement or other specified dates, in each case relating to, among other th</w:t>
      </w:r>
      <w:r>
        <w:rPr>
          <w:sz w:val="20"/>
          <w:szCs w:val="20"/>
        </w:rPr>
        <w:t>ings, organization and qualification, governing documents, capitalization, authority, no conflicts and absence of litigation. Many of the representations and warranties are qualified by materiality or Material Adverse Effect. As used in the Near Merger Agr</w:t>
      </w:r>
      <w:r>
        <w:rPr>
          <w:sz w:val="20"/>
          <w:szCs w:val="20"/>
        </w:rPr>
        <w:t>eement, “Material Adverse Effect” means, with respect to any specified person or entity, any fact, event, occurrence, change or effect that has had, or would reasonably be expected to have, individually or in the aggregate, a material adverse effect upon (</w:t>
      </w:r>
      <w:r>
        <w:rPr>
          <w:sz w:val="20"/>
          <w:szCs w:val="20"/>
        </w:rPr>
        <w:t xml:space="preserve">i) the business, assets, liabilities, results of operations or condition (financial or otherwise) of such person or entity and its subsidiaries, taken as a whole, or (ii) the ability of such person or entity or any of its subsidiaries on a timely basis to </w:t>
      </w:r>
      <w:r>
        <w:rPr>
          <w:sz w:val="20"/>
          <w:szCs w:val="20"/>
        </w:rPr>
        <w:t>consummate the transactions contemplated by the Near Merger Agreement or the Ancillary Documents to which it is a party or bound or to perform its obligations thereunder, in each case, subject to certain customary exceptions.</w:t>
      </w:r>
    </w:p>
    <w:p w14:paraId="0EE0F72F" w14:textId="77777777" w:rsidR="00000000" w:rsidRDefault="00087966">
      <w:pPr>
        <w:pStyle w:val="a3"/>
        <w:spacing w:before="0" w:beforeAutospacing="0" w:after="0" w:afterAutospacing="0"/>
        <w:jc w:val="both"/>
        <w:divId w:val="1595479706"/>
        <w:rPr>
          <w:sz w:val="20"/>
          <w:szCs w:val="20"/>
        </w:rPr>
      </w:pPr>
      <w:r>
        <w:rPr>
          <w:sz w:val="20"/>
          <w:szCs w:val="20"/>
        </w:rPr>
        <w:t> </w:t>
      </w:r>
    </w:p>
    <w:p w14:paraId="677791E6" w14:textId="77777777" w:rsidR="00000000" w:rsidRDefault="00087966">
      <w:pPr>
        <w:pStyle w:val="a3"/>
        <w:spacing w:before="0" w:beforeAutospacing="0" w:after="0" w:afterAutospacing="0"/>
        <w:jc w:val="both"/>
        <w:divId w:val="1595479706"/>
        <w:rPr>
          <w:sz w:val="20"/>
          <w:szCs w:val="20"/>
        </w:rPr>
      </w:pPr>
      <w:r>
        <w:rPr>
          <w:b/>
          <w:bCs/>
          <w:i/>
          <w:iCs/>
          <w:sz w:val="20"/>
          <w:szCs w:val="20"/>
        </w:rPr>
        <w:t>No Survival</w:t>
      </w:r>
    </w:p>
    <w:p w14:paraId="71251DD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7F7840C" w14:textId="77777777" w:rsidR="00000000" w:rsidRDefault="00087966">
      <w:pPr>
        <w:pStyle w:val="a3"/>
        <w:spacing w:before="0" w:beforeAutospacing="0" w:after="0" w:afterAutospacing="0"/>
        <w:ind w:firstLine="720"/>
        <w:jc w:val="both"/>
        <w:divId w:val="1595479706"/>
        <w:rPr>
          <w:sz w:val="20"/>
          <w:szCs w:val="20"/>
        </w:rPr>
      </w:pPr>
      <w:r>
        <w:rPr>
          <w:sz w:val="20"/>
          <w:szCs w:val="20"/>
        </w:rPr>
        <w:t>The representations and warranties of the parties contained in the Near Merger Agreement terminate as of, and do not survive, the Closing, and there are no indemnification rights for another party’s breach. The covenants and agreements of the parties conta</w:t>
      </w:r>
      <w:r>
        <w:rPr>
          <w:sz w:val="20"/>
          <w:szCs w:val="20"/>
        </w:rPr>
        <w:t>ined in the Near Merger Agreement do not survive the Closing, except those covenants and agreements to be performed after the Closing, which covenants and agreements will survive until fully performed in accordance with their terms.</w:t>
      </w:r>
    </w:p>
    <w:p w14:paraId="2D919568" w14:textId="77777777" w:rsidR="00000000" w:rsidRDefault="00087966">
      <w:pPr>
        <w:pStyle w:val="a3"/>
        <w:spacing w:before="0" w:beforeAutospacing="0" w:after="0" w:afterAutospacing="0"/>
        <w:jc w:val="both"/>
        <w:divId w:val="1595479706"/>
        <w:rPr>
          <w:sz w:val="20"/>
          <w:szCs w:val="20"/>
        </w:rPr>
      </w:pPr>
      <w:r>
        <w:rPr>
          <w:sz w:val="20"/>
          <w:szCs w:val="20"/>
        </w:rPr>
        <w:t> </w:t>
      </w:r>
    </w:p>
    <w:p w14:paraId="451D707A" w14:textId="77777777" w:rsidR="00000000" w:rsidRDefault="00087966">
      <w:pPr>
        <w:pStyle w:val="a3"/>
        <w:spacing w:before="0" w:beforeAutospacing="0" w:after="0" w:afterAutospacing="0"/>
        <w:jc w:val="both"/>
        <w:divId w:val="1595479706"/>
        <w:rPr>
          <w:sz w:val="20"/>
          <w:szCs w:val="20"/>
        </w:rPr>
      </w:pPr>
      <w:r>
        <w:rPr>
          <w:b/>
          <w:bCs/>
          <w:i/>
          <w:iCs/>
          <w:sz w:val="20"/>
          <w:szCs w:val="20"/>
        </w:rPr>
        <w:t>Covenants of the Part</w:t>
      </w:r>
      <w:r>
        <w:rPr>
          <w:b/>
          <w:bCs/>
          <w:i/>
          <w:iCs/>
          <w:sz w:val="20"/>
          <w:szCs w:val="20"/>
        </w:rPr>
        <w:t>ies</w:t>
      </w:r>
    </w:p>
    <w:p w14:paraId="1570CCE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372099F"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Each party agreed in the Near Merger Agreement to use its commercially reasonable efforts to effect the Closing and to comply as promptly as practicable with all requirements of governmental authorities applicable to the transactions contemplated by </w:t>
      </w:r>
      <w:r>
        <w:rPr>
          <w:sz w:val="20"/>
          <w:szCs w:val="20"/>
        </w:rPr>
        <w:t>the Near Merger Agreement. The Near Merger Agreement also contains, subject to certain exceptions, certain customary covenants by each of the parties during the period from the date of the Near Merger Agreement and continuing until the earlier of the termi</w:t>
      </w:r>
      <w:r>
        <w:rPr>
          <w:sz w:val="20"/>
          <w:szCs w:val="20"/>
        </w:rPr>
        <w:t>nation of the Near Merger Agreement in accordance with its terms or the Closing (the “Interim Period”), including (i) the provision of access to their properties, books and personnel; (ii) the operation of their respective businesses in the ordinary course</w:t>
      </w:r>
      <w:r>
        <w:rPr>
          <w:sz w:val="20"/>
          <w:szCs w:val="20"/>
        </w:rPr>
        <w:t xml:space="preserve"> of business; (iii) the provision of certain specified financial statements by Near to the Company; (iv) the Company’s public filings; (v) no insider trading; (vi) notifications of certain breaches, consent requirements or other matters; (vii) efforts to c</w:t>
      </w:r>
      <w:r>
        <w:rPr>
          <w:sz w:val="20"/>
          <w:szCs w:val="20"/>
        </w:rPr>
        <w:t>onsummate the Business Combination; (viii) tax matters; (ix) further assurances; (x) public announcements; and (xi) confidentiality. Near agreed to use commercially reasonable efforts to consummate the Reorganization prior to Closing. During the Interim Pe</w:t>
      </w:r>
      <w:r>
        <w:rPr>
          <w:sz w:val="20"/>
          <w:szCs w:val="20"/>
        </w:rPr>
        <w:t>riod, Near may consummate the Permitted Equity Financing and the Company will use commercially reasonable efforts to obtain financing that is reasonably acceptable to Near (a “Transaction Financing”) in order to cause the Minimum Cash Condition (as defined</w:t>
      </w:r>
      <w:r>
        <w:rPr>
          <w:sz w:val="20"/>
          <w:szCs w:val="20"/>
        </w:rPr>
        <w:t xml:space="preserve"> below) to be satisfied and Near and its representatives will reasonably cooperate with the Company in connection with such efforts. The Near Merger Agreement also contains certain customary post-Closing covenants regarding indemnification of directors and</w:t>
      </w:r>
      <w:r>
        <w:rPr>
          <w:sz w:val="20"/>
          <w:szCs w:val="20"/>
        </w:rPr>
        <w:t xml:space="preserve"> officers and the purchase of tail directors’ and officers’ liability insurance and use of trust account proceeds. In addition, Near agreed to obtain its required stockholder approvals in the manner required under its organizational documents and applicabl</w:t>
      </w:r>
      <w:r>
        <w:rPr>
          <w:sz w:val="20"/>
          <w:szCs w:val="20"/>
        </w:rPr>
        <w:t>e law for, among other things, the adoption and approval of the Near Merger Agreement and each of the Ancillary Documents to which Near is or is required to be a party or bound, and the consummation of the Near Business Combination, including the First Mer</w:t>
      </w:r>
      <w:r>
        <w:rPr>
          <w:sz w:val="20"/>
          <w:szCs w:val="20"/>
        </w:rPr>
        <w:t>ger. The Company also agreed not to change its board recommendation to its stockholders unless in response to a Purchaser Intervening Event (as defined in the Near Merger Agreement) and to seek to obtain the approval of its stockholders to extend the deadl</w:t>
      </w:r>
      <w:r>
        <w:rPr>
          <w:sz w:val="20"/>
          <w:szCs w:val="20"/>
        </w:rPr>
        <w:t>ine by which it must complete its initial business combination for a period of up to six (6) months (such extension, the “Permitted Extension”; such period, the “Permitted Extension Period”), with such extension to be effectuated on a monthly basis, provid</w:t>
      </w:r>
      <w:r>
        <w:rPr>
          <w:sz w:val="20"/>
          <w:szCs w:val="20"/>
        </w:rPr>
        <w:t>ed that the Company has agreed under the Near Merger Agreement to seek such extension for the first three (3) monthly periods of the Permitted Extension Period (such first three (3) monthly periods of the Permitted Extension Period, the “Prescribed Extensi</w:t>
      </w:r>
      <w:r>
        <w:rPr>
          <w:sz w:val="20"/>
          <w:szCs w:val="20"/>
        </w:rPr>
        <w:t>on Period”).</w:t>
      </w:r>
    </w:p>
    <w:p w14:paraId="68E7DFB7" w14:textId="77777777" w:rsidR="00000000" w:rsidRDefault="00087966">
      <w:pPr>
        <w:pStyle w:val="a3"/>
        <w:spacing w:before="0" w:beforeAutospacing="0" w:after="0" w:afterAutospacing="0"/>
        <w:jc w:val="both"/>
        <w:divId w:val="1595479706"/>
        <w:rPr>
          <w:sz w:val="20"/>
          <w:szCs w:val="20"/>
        </w:rPr>
      </w:pPr>
      <w:r>
        <w:rPr>
          <w:sz w:val="20"/>
          <w:szCs w:val="20"/>
        </w:rPr>
        <w:t> </w:t>
      </w:r>
    </w:p>
    <w:p w14:paraId="227E7036" w14:textId="77777777" w:rsidR="00000000" w:rsidRDefault="00087966">
      <w:pPr>
        <w:pStyle w:val="a3"/>
        <w:spacing w:before="0" w:beforeAutospacing="0" w:after="0" w:afterAutospacing="0"/>
        <w:jc w:val="center"/>
        <w:divId w:val="2128814496"/>
        <w:rPr>
          <w:sz w:val="20"/>
          <w:szCs w:val="20"/>
        </w:rPr>
      </w:pPr>
      <w:r>
        <w:rPr>
          <w:sz w:val="20"/>
          <w:szCs w:val="20"/>
        </w:rPr>
        <w:t>3</w:t>
      </w:r>
    </w:p>
    <w:p w14:paraId="67A37D57" w14:textId="77777777" w:rsidR="00000000" w:rsidRDefault="00087966">
      <w:pPr>
        <w:pStyle w:val="a3"/>
        <w:spacing w:before="0" w:beforeAutospacing="0" w:after="0" w:afterAutospacing="0"/>
        <w:divId w:val="2035378140"/>
        <w:rPr>
          <w:sz w:val="20"/>
          <w:szCs w:val="20"/>
        </w:rPr>
      </w:pPr>
      <w:r>
        <w:rPr>
          <w:sz w:val="20"/>
          <w:szCs w:val="20"/>
        </w:rPr>
        <w:t> </w:t>
      </w:r>
    </w:p>
    <w:p w14:paraId="060C5584" w14:textId="77777777" w:rsidR="00000000" w:rsidRDefault="00087966">
      <w:pPr>
        <w:pStyle w:val="a3"/>
        <w:spacing w:before="0" w:beforeAutospacing="0" w:after="0" w:afterAutospacing="0"/>
        <w:jc w:val="both"/>
        <w:divId w:val="1595479706"/>
        <w:rPr>
          <w:sz w:val="20"/>
          <w:szCs w:val="20"/>
        </w:rPr>
      </w:pPr>
      <w:r>
        <w:rPr>
          <w:sz w:val="20"/>
          <w:szCs w:val="20"/>
        </w:rPr>
        <w:t> </w:t>
      </w:r>
    </w:p>
    <w:p w14:paraId="22395371" w14:textId="77777777" w:rsidR="00000000" w:rsidRDefault="00087966">
      <w:pPr>
        <w:pStyle w:val="a3"/>
        <w:spacing w:before="0" w:beforeAutospacing="0" w:after="0" w:afterAutospacing="0"/>
        <w:jc w:val="both"/>
        <w:divId w:val="1595479706"/>
        <w:rPr>
          <w:sz w:val="20"/>
          <w:szCs w:val="20"/>
        </w:rPr>
      </w:pPr>
      <w:r>
        <w:rPr>
          <w:b/>
          <w:bCs/>
          <w:i/>
          <w:iCs/>
          <w:sz w:val="20"/>
          <w:szCs w:val="20"/>
        </w:rPr>
        <w:t>Registration Statement on Form S-4</w:t>
      </w:r>
    </w:p>
    <w:p w14:paraId="0C42C92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92BB25C" w14:textId="77777777" w:rsidR="00000000" w:rsidRDefault="00087966">
      <w:pPr>
        <w:pStyle w:val="a3"/>
        <w:spacing w:before="0" w:beforeAutospacing="0" w:after="0" w:afterAutospacing="0"/>
        <w:ind w:firstLine="720"/>
        <w:jc w:val="both"/>
        <w:divId w:val="1595479706"/>
        <w:rPr>
          <w:sz w:val="20"/>
          <w:szCs w:val="20"/>
        </w:rPr>
      </w:pPr>
      <w:r>
        <w:rPr>
          <w:sz w:val="20"/>
          <w:szCs w:val="20"/>
        </w:rPr>
        <w:t>The parties made customary covenants regarding the Near Registration Statement, in connection with the registration under the Securities Act of the shares of Purchaser Class A Common Stock to be iss</w:t>
      </w:r>
      <w:r>
        <w:rPr>
          <w:sz w:val="20"/>
          <w:szCs w:val="20"/>
        </w:rPr>
        <w:t>ued under the Near Merger Agreement as the Merger Consideration. The Near Registration Statement was initially filed on July 1, 2022, subsequently amended, and declared effective by the SEC on February 13, 2023. The Near Registration Statement contains the</w:t>
      </w:r>
      <w:r>
        <w:rPr>
          <w:sz w:val="20"/>
          <w:szCs w:val="20"/>
        </w:rPr>
        <w:t xml:space="preserve"> Company proxy statement to solicit proxies from the Company’s stockholders to approve, among other things, unless otherwise agreed to between the Company and Near (i) the Near Merger Agreement and the Transactions, including the Mergers, and the issuance </w:t>
      </w:r>
      <w:r>
        <w:rPr>
          <w:sz w:val="20"/>
          <w:szCs w:val="20"/>
        </w:rPr>
        <w:t>of the Company’s securities in connection with the Near Business Combination and, to the extent required, the Common Stock Financing and/or any Transaction Financing; (ii) the adoption and approval of the amended and restated the Company certificate of inc</w:t>
      </w:r>
      <w:r>
        <w:rPr>
          <w:sz w:val="20"/>
          <w:szCs w:val="20"/>
        </w:rPr>
        <w:t>orporation, to, among other matters, (a) provide that the name of the Company shall be changed to “Near Intelligence, Inc.”, or such other name as mutually agreed to by the Company and Near, (b) provide for size and structure of the board of directors of t</w:t>
      </w:r>
      <w:r>
        <w:rPr>
          <w:sz w:val="20"/>
          <w:szCs w:val="20"/>
        </w:rPr>
        <w:t>he Company in accordance with the Near Merger Agreement, and (c) remove and revise certain provisions in the certificate of incorporation related to the Company’s status as a blank check company; (iii) the adoption and approval of (a) a new equity incentiv</w:t>
      </w:r>
      <w:r>
        <w:rPr>
          <w:sz w:val="20"/>
          <w:szCs w:val="20"/>
        </w:rPr>
        <w:t>e plan (the “Incentive Plan”), pursuant to which the Company will issue up to a number of shares equal to six percent (6%) of the shares issued as the Merger Consideration, and (b) a new management performance plan (the “Management Performance Plan”), purs</w:t>
      </w:r>
      <w:r>
        <w:rPr>
          <w:sz w:val="20"/>
          <w:szCs w:val="20"/>
        </w:rPr>
        <w:t>uant to which the Company shall issue up to a number of shares equal to eight percent (8%) of the shares issued as the Merger Consideration to certain members of management should certain milestones provided therein be met within five (5) years after the C</w:t>
      </w:r>
      <w:r>
        <w:rPr>
          <w:sz w:val="20"/>
          <w:szCs w:val="20"/>
        </w:rPr>
        <w:t>losing; and (iv) the appointment of the members of the board of directors of the Company in accordance with the Near Merger Agreement (the “Purchaser Stockholder Approval Matters”).</w:t>
      </w:r>
    </w:p>
    <w:p w14:paraId="1C66616B" w14:textId="77777777" w:rsidR="00000000" w:rsidRDefault="00087966">
      <w:pPr>
        <w:pStyle w:val="a3"/>
        <w:spacing w:before="0" w:beforeAutospacing="0" w:after="0" w:afterAutospacing="0"/>
        <w:jc w:val="both"/>
        <w:divId w:val="1595479706"/>
        <w:rPr>
          <w:sz w:val="20"/>
          <w:szCs w:val="20"/>
        </w:rPr>
      </w:pPr>
      <w:r>
        <w:rPr>
          <w:sz w:val="20"/>
          <w:szCs w:val="20"/>
        </w:rPr>
        <w:t> </w:t>
      </w:r>
    </w:p>
    <w:p w14:paraId="1EB4123A" w14:textId="77777777" w:rsidR="00000000" w:rsidRDefault="00087966">
      <w:pPr>
        <w:pStyle w:val="a3"/>
        <w:spacing w:before="0" w:beforeAutospacing="0" w:after="0" w:afterAutospacing="0"/>
        <w:jc w:val="both"/>
        <w:divId w:val="1595479706"/>
        <w:rPr>
          <w:sz w:val="20"/>
          <w:szCs w:val="20"/>
        </w:rPr>
      </w:pPr>
      <w:r>
        <w:rPr>
          <w:b/>
          <w:bCs/>
          <w:i/>
          <w:iCs/>
          <w:sz w:val="20"/>
          <w:szCs w:val="20"/>
        </w:rPr>
        <w:t>Directors and Officers of the Company Following the Closing</w:t>
      </w:r>
    </w:p>
    <w:p w14:paraId="7D2BF21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9F25C75" w14:textId="77777777" w:rsidR="00000000" w:rsidRDefault="00087966">
      <w:pPr>
        <w:pStyle w:val="a3"/>
        <w:spacing w:before="0" w:beforeAutospacing="0" w:after="0" w:afterAutospacing="0"/>
        <w:ind w:firstLine="720"/>
        <w:jc w:val="both"/>
        <w:divId w:val="1595479706"/>
        <w:rPr>
          <w:sz w:val="20"/>
          <w:szCs w:val="20"/>
        </w:rPr>
      </w:pPr>
      <w:r>
        <w:rPr>
          <w:sz w:val="20"/>
          <w:szCs w:val="20"/>
        </w:rPr>
        <w:t>The partie</w:t>
      </w:r>
      <w:r>
        <w:rPr>
          <w:sz w:val="20"/>
          <w:szCs w:val="20"/>
        </w:rPr>
        <w:t>s will take all necessary action, so that effective as of the Closing, the Company’s board of directors will consist of five (5) directors, including (i) one (1) director designated by Near prior to the Closing, (ii) one (1) director designated by the Comp</w:t>
      </w:r>
      <w:r>
        <w:rPr>
          <w:sz w:val="20"/>
          <w:szCs w:val="20"/>
        </w:rPr>
        <w:t>any prior to the Closing, and (iii) three (3) directors who are independent under Nasdaq rules who are mutually agreed by Near and the Company prior to the Closing.</w:t>
      </w:r>
    </w:p>
    <w:p w14:paraId="01D1A5B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2CFDDBC"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The parties will take all action </w:t>
      </w:r>
      <w:r>
        <w:rPr>
          <w:sz w:val="20"/>
          <w:szCs w:val="20"/>
        </w:rPr>
        <w:t>necessary (including causing the executive officers of the Company to resign) so that the individuals serving as the chief executive officer and chief financial officer, respectively, of the Company immediately after the Closing will be the same individual</w:t>
      </w:r>
      <w:r>
        <w:rPr>
          <w:sz w:val="20"/>
          <w:szCs w:val="20"/>
        </w:rPr>
        <w:t>s (in the same office) as that of Near immediately prior to the Closing (unless the Company and Near agree to appoint another qualified person to either such role, in which case, such other individual shall serve in such role). The other executive officers</w:t>
      </w:r>
      <w:r>
        <w:rPr>
          <w:sz w:val="20"/>
          <w:szCs w:val="20"/>
        </w:rPr>
        <w:t xml:space="preserve"> of Near prior to the Closing are expected to continue in such offices of the combined company following the Closing. Prior to the Closing, if reasonably requested by the Company, the Company and certain key employees of Near will enter into employment agr</w:t>
      </w:r>
      <w:r>
        <w:rPr>
          <w:sz w:val="20"/>
          <w:szCs w:val="20"/>
        </w:rPr>
        <w:t>eements, effective as of the Closing, in form and substance reasonably acceptable to the Company and Near.</w:t>
      </w:r>
    </w:p>
    <w:p w14:paraId="5B7A573B" w14:textId="77777777" w:rsidR="00000000" w:rsidRDefault="00087966">
      <w:pPr>
        <w:pStyle w:val="a3"/>
        <w:spacing w:before="0" w:beforeAutospacing="0" w:after="0" w:afterAutospacing="0"/>
        <w:jc w:val="both"/>
        <w:divId w:val="1595479706"/>
        <w:rPr>
          <w:sz w:val="20"/>
          <w:szCs w:val="20"/>
        </w:rPr>
      </w:pPr>
      <w:r>
        <w:rPr>
          <w:sz w:val="20"/>
          <w:szCs w:val="20"/>
        </w:rPr>
        <w:t> </w:t>
      </w:r>
    </w:p>
    <w:p w14:paraId="7F714C6B" w14:textId="77777777" w:rsidR="00000000" w:rsidRDefault="00087966">
      <w:pPr>
        <w:pStyle w:val="a3"/>
        <w:spacing w:before="0" w:beforeAutospacing="0" w:after="0" w:afterAutospacing="0"/>
        <w:jc w:val="both"/>
        <w:divId w:val="1595479706"/>
        <w:rPr>
          <w:sz w:val="20"/>
          <w:szCs w:val="20"/>
        </w:rPr>
      </w:pPr>
      <w:r>
        <w:rPr>
          <w:b/>
          <w:bCs/>
          <w:i/>
          <w:iCs/>
          <w:sz w:val="20"/>
          <w:szCs w:val="20"/>
        </w:rPr>
        <w:t>No Solicitation of Acquisition Proposals</w:t>
      </w:r>
    </w:p>
    <w:p w14:paraId="388DAAD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DDFF19E" w14:textId="77777777" w:rsidR="00000000" w:rsidRDefault="00087966">
      <w:pPr>
        <w:pStyle w:val="a3"/>
        <w:spacing w:before="0" w:beforeAutospacing="0" w:after="0" w:afterAutospacing="0"/>
        <w:ind w:firstLine="720"/>
        <w:jc w:val="both"/>
        <w:divId w:val="1595479706"/>
        <w:rPr>
          <w:sz w:val="20"/>
          <w:szCs w:val="20"/>
        </w:rPr>
      </w:pPr>
      <w:r>
        <w:rPr>
          <w:sz w:val="20"/>
          <w:szCs w:val="20"/>
        </w:rPr>
        <w:t>Each party also agreed during the Interim Period not to solicit, assist, initiate or facilitate the maki</w:t>
      </w:r>
      <w:r>
        <w:rPr>
          <w:sz w:val="20"/>
          <w:szCs w:val="20"/>
        </w:rPr>
        <w:t>ng, submission or announcement of, or intentionally encourage any inquiry, proposal or offer, or any indication of interest in making an offer or proposal for an alternative competing transactions, to notify the others as promptly as practicable in writing</w:t>
      </w:r>
      <w:r>
        <w:rPr>
          <w:sz w:val="20"/>
          <w:szCs w:val="20"/>
        </w:rPr>
        <w:t xml:space="preserve"> of the receipt of any inquiries, proposals or offers, requests for information or requests relating to an alternative competing transaction or any requests for non-public information relating to such transaction, and to keep the other party informed of th</w:t>
      </w:r>
      <w:r>
        <w:rPr>
          <w:sz w:val="20"/>
          <w:szCs w:val="20"/>
        </w:rPr>
        <w:t>e status of any such inquiries, proposals, offers or requests for information.</w:t>
      </w:r>
    </w:p>
    <w:p w14:paraId="03450960" w14:textId="77777777" w:rsidR="00000000" w:rsidRDefault="00087966">
      <w:pPr>
        <w:pStyle w:val="a3"/>
        <w:spacing w:before="0" w:beforeAutospacing="0" w:after="0" w:afterAutospacing="0"/>
        <w:jc w:val="both"/>
        <w:divId w:val="1595479706"/>
        <w:rPr>
          <w:sz w:val="20"/>
          <w:szCs w:val="20"/>
        </w:rPr>
      </w:pPr>
      <w:r>
        <w:rPr>
          <w:sz w:val="20"/>
          <w:szCs w:val="20"/>
        </w:rPr>
        <w:t> </w:t>
      </w:r>
    </w:p>
    <w:p w14:paraId="0A856C96" w14:textId="77777777" w:rsidR="00000000" w:rsidRDefault="00087966">
      <w:pPr>
        <w:pStyle w:val="a3"/>
        <w:spacing w:before="0" w:beforeAutospacing="0" w:after="0" w:afterAutospacing="0"/>
        <w:jc w:val="center"/>
        <w:divId w:val="120618221"/>
        <w:rPr>
          <w:sz w:val="20"/>
          <w:szCs w:val="20"/>
        </w:rPr>
      </w:pPr>
      <w:r>
        <w:rPr>
          <w:sz w:val="20"/>
          <w:szCs w:val="20"/>
        </w:rPr>
        <w:t>4</w:t>
      </w:r>
    </w:p>
    <w:p w14:paraId="3BA37FA0" w14:textId="77777777" w:rsidR="00000000" w:rsidRDefault="00087966">
      <w:pPr>
        <w:pStyle w:val="a3"/>
        <w:spacing w:before="0" w:beforeAutospacing="0" w:after="0" w:afterAutospacing="0"/>
        <w:divId w:val="1242257685"/>
        <w:rPr>
          <w:sz w:val="20"/>
          <w:szCs w:val="20"/>
        </w:rPr>
      </w:pPr>
      <w:r>
        <w:rPr>
          <w:sz w:val="20"/>
          <w:szCs w:val="20"/>
        </w:rPr>
        <w:t> </w:t>
      </w:r>
    </w:p>
    <w:p w14:paraId="0A63F263" w14:textId="77777777" w:rsidR="00000000" w:rsidRDefault="00087966">
      <w:pPr>
        <w:pStyle w:val="a3"/>
        <w:spacing w:before="0" w:beforeAutospacing="0" w:after="0" w:afterAutospacing="0"/>
        <w:jc w:val="both"/>
        <w:divId w:val="1595479706"/>
        <w:rPr>
          <w:sz w:val="20"/>
          <w:szCs w:val="20"/>
        </w:rPr>
      </w:pPr>
      <w:r>
        <w:rPr>
          <w:sz w:val="20"/>
          <w:szCs w:val="20"/>
        </w:rPr>
        <w:t> </w:t>
      </w:r>
    </w:p>
    <w:p w14:paraId="37567F48" w14:textId="77777777" w:rsidR="00000000" w:rsidRDefault="00087966">
      <w:pPr>
        <w:pStyle w:val="a3"/>
        <w:spacing w:before="0" w:beforeAutospacing="0" w:after="0" w:afterAutospacing="0"/>
        <w:jc w:val="both"/>
        <w:divId w:val="1595479706"/>
        <w:rPr>
          <w:sz w:val="20"/>
          <w:szCs w:val="20"/>
        </w:rPr>
      </w:pPr>
      <w:r>
        <w:rPr>
          <w:b/>
          <w:bCs/>
          <w:i/>
          <w:iCs/>
          <w:sz w:val="20"/>
          <w:szCs w:val="20"/>
        </w:rPr>
        <w:t>Conduct of Near and the Company Pending Closing</w:t>
      </w:r>
    </w:p>
    <w:p w14:paraId="0C5DB34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1B3F853"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Under the Near Merger Agreement, during the Interim Period, Near has agreed, except as expressly contemplated by other </w:t>
      </w:r>
      <w:r>
        <w:rPr>
          <w:sz w:val="20"/>
          <w:szCs w:val="20"/>
        </w:rPr>
        <w:t>provisions of the Near Merger Agreement, any of the other Ancillary Documents or the Contribution Agreements, or as set forth in disclosure schedules, required by applicable law, or unless the Company otherwise consents in writing (such consent not to be u</w:t>
      </w:r>
      <w:r>
        <w:rPr>
          <w:sz w:val="20"/>
          <w:szCs w:val="20"/>
        </w:rPr>
        <w:t>nreasonably withheld, conditioned or delayed), among other exceptions, to, and to cause each of its subsidiaries to, in all material respects conduct its business in the ordinary course of business consistent with practice and in material compliance with l</w:t>
      </w:r>
      <w:r>
        <w:rPr>
          <w:sz w:val="20"/>
          <w:szCs w:val="20"/>
        </w:rPr>
        <w:t>aw and to refrain, subject to certain exceptions, from taking certain specified actions, such as amending its organizational documents, increasing wages and compensation payable to its employees, issuing equity securities, waiving rights under or terminati</w:t>
      </w:r>
      <w:r>
        <w:rPr>
          <w:sz w:val="20"/>
          <w:szCs w:val="20"/>
        </w:rPr>
        <w:t>ng any material contracts, or incurring indebtedness over certain specified thresholds. </w:t>
      </w:r>
    </w:p>
    <w:p w14:paraId="704A44D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C3FF141" w14:textId="77777777" w:rsidR="00000000" w:rsidRDefault="00087966">
      <w:pPr>
        <w:pStyle w:val="a3"/>
        <w:spacing w:before="0" w:beforeAutospacing="0" w:after="0" w:afterAutospacing="0"/>
        <w:ind w:firstLine="720"/>
        <w:jc w:val="both"/>
        <w:divId w:val="1595479706"/>
        <w:rPr>
          <w:sz w:val="20"/>
          <w:szCs w:val="20"/>
        </w:rPr>
      </w:pPr>
      <w:r>
        <w:rPr>
          <w:sz w:val="20"/>
          <w:szCs w:val="20"/>
        </w:rPr>
        <w:t>Additionally, under the Near Merger Agreement, during the Interim Period, the Company has agreed, except as expressly contemplated by other provisions of the Near Me</w:t>
      </w:r>
      <w:r>
        <w:rPr>
          <w:sz w:val="20"/>
          <w:szCs w:val="20"/>
        </w:rPr>
        <w:t xml:space="preserve">rger Agreement or the Ancillary Documents, required by applicable law, or unless Near otherwise consents in writing (such consent not to be unreasonably withheld, delayed or conditioned), to, and to cause each of its subsidiaries to, conduct its business, </w:t>
      </w:r>
      <w:r>
        <w:rPr>
          <w:sz w:val="20"/>
          <w:szCs w:val="20"/>
        </w:rPr>
        <w:t xml:space="preserve">in all material respects, in the ordinary course of business consistent with past practice and to comply with all laws applicable to the Company and its subsidiaries and their respective businesses, assets and employees, and to refrain, subject to certain </w:t>
      </w:r>
      <w:r>
        <w:rPr>
          <w:sz w:val="20"/>
          <w:szCs w:val="20"/>
        </w:rPr>
        <w:t>exceptions, from taking certain specified actions, such as amending its organizational documents, issuing equity securities, waiving rights under or terminating any material contracts, or incurring indebtedness over certain specified thresholds.</w:t>
      </w:r>
    </w:p>
    <w:p w14:paraId="6C1732D6" w14:textId="77777777" w:rsidR="00000000" w:rsidRDefault="00087966">
      <w:pPr>
        <w:pStyle w:val="a3"/>
        <w:spacing w:before="0" w:beforeAutospacing="0" w:after="0" w:afterAutospacing="0"/>
        <w:jc w:val="both"/>
        <w:divId w:val="1595479706"/>
        <w:rPr>
          <w:sz w:val="20"/>
          <w:szCs w:val="20"/>
        </w:rPr>
      </w:pPr>
      <w:r>
        <w:rPr>
          <w:sz w:val="20"/>
          <w:szCs w:val="20"/>
        </w:rPr>
        <w:t> </w:t>
      </w:r>
    </w:p>
    <w:p w14:paraId="51062F0E" w14:textId="77777777" w:rsidR="00000000" w:rsidRDefault="00087966">
      <w:pPr>
        <w:pStyle w:val="a3"/>
        <w:spacing w:before="0" w:beforeAutospacing="0" w:after="0" w:afterAutospacing="0"/>
        <w:jc w:val="both"/>
        <w:divId w:val="1595479706"/>
        <w:rPr>
          <w:sz w:val="20"/>
          <w:szCs w:val="20"/>
        </w:rPr>
      </w:pPr>
      <w:r>
        <w:rPr>
          <w:b/>
          <w:bCs/>
          <w:i/>
          <w:iCs/>
          <w:sz w:val="20"/>
          <w:szCs w:val="20"/>
        </w:rPr>
        <w:t>Conditio</w:t>
      </w:r>
      <w:r>
        <w:rPr>
          <w:b/>
          <w:bCs/>
          <w:i/>
          <w:iCs/>
          <w:sz w:val="20"/>
          <w:szCs w:val="20"/>
        </w:rPr>
        <w:t>ns to Closing</w:t>
      </w:r>
    </w:p>
    <w:p w14:paraId="75481AE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A3D028E" w14:textId="77777777" w:rsidR="00000000" w:rsidRDefault="00087966">
      <w:pPr>
        <w:pStyle w:val="a3"/>
        <w:spacing w:before="0" w:beforeAutospacing="0" w:after="0" w:afterAutospacing="0"/>
        <w:ind w:firstLine="720"/>
        <w:jc w:val="both"/>
        <w:divId w:val="1595479706"/>
        <w:rPr>
          <w:sz w:val="20"/>
          <w:szCs w:val="20"/>
        </w:rPr>
      </w:pPr>
      <w:r>
        <w:rPr>
          <w:sz w:val="20"/>
          <w:szCs w:val="20"/>
        </w:rPr>
        <w:t>The Near Merger Agreement contains conditions to Closing, including the following mutual conditions of the parties (unless waived): (i) approval of the stockholders of the Company and Near; (ii) approvals of, or completion of any filings re</w:t>
      </w:r>
      <w:r>
        <w:rPr>
          <w:sz w:val="20"/>
          <w:szCs w:val="20"/>
        </w:rPr>
        <w:t>quired to be made with, any governmental authorities; (iii) no law or order preventing the Near Business Combination; (iv) the members of the post-Closing board of directors of the Company having been elected or appointed as of the Closing, consistent with</w:t>
      </w:r>
      <w:r>
        <w:rPr>
          <w:sz w:val="20"/>
          <w:szCs w:val="20"/>
        </w:rPr>
        <w:t xml:space="preserve"> the requirements of the Near Merger Agreement; and (v) the Near Registration Statement having been declared effective by the SEC.</w:t>
      </w:r>
    </w:p>
    <w:p w14:paraId="4197FE7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F0AF9BE"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In addition, unless waived by Near, the obligations of Near to consummate the Near Business Combination are subject to the </w:t>
      </w:r>
      <w:r>
        <w:rPr>
          <w:sz w:val="20"/>
          <w:szCs w:val="20"/>
        </w:rPr>
        <w:t>satisfaction of the following additional conditions to Closing, in addition to the delivery by the Company of customary certificates and other Closing deliverables: (i) the representations and warranties of the Company being true and correct as of the date</w:t>
      </w:r>
      <w:r>
        <w:rPr>
          <w:sz w:val="20"/>
          <w:szCs w:val="20"/>
        </w:rPr>
        <w:t xml:space="preserve"> of the Near Merger Agreement and the date of the Closing, except to the extent made as of a particular date (subject to Material Adverse Effect qualifiers where applicable); (ii) the Company having performed in all material respects its obligations and co</w:t>
      </w:r>
      <w:r>
        <w:rPr>
          <w:sz w:val="20"/>
          <w:szCs w:val="20"/>
        </w:rPr>
        <w:t>mplied in all material respects with its covenants and agreements under the Near Merger Agreement required to be performed or complied with by it on or prior to the date of the Closing; (iii) the absence of any Material Adverse Effect with respect to the C</w:t>
      </w:r>
      <w:r>
        <w:rPr>
          <w:sz w:val="20"/>
          <w:szCs w:val="20"/>
        </w:rPr>
        <w:t>ompany since the date of the Near Merger Agreement which is continuing and uncured; (iv) the Company having cash and cash equivalents, including funds remaining in the trust account (following the exercise of any redemption rights by holders of the Company</w:t>
      </w:r>
      <w:r>
        <w:rPr>
          <w:sz w:val="20"/>
          <w:szCs w:val="20"/>
        </w:rPr>
        <w:t>’s Class A common stock (the “Redemption”) and the proceeds of any Transaction Financing, prior to the payment of the Company’s unpaid transaction expenses due at the Closing, at least equal to Ninety-Five Million U.S. Dollars ($95,000,000) less the aggreg</w:t>
      </w:r>
      <w:r>
        <w:rPr>
          <w:sz w:val="20"/>
          <w:szCs w:val="20"/>
        </w:rPr>
        <w:t>ate amount of proceeds of any Permitted Equity Financing and any Permitted Debt available to any Target Company following the Closing that previously has been drawn down by any Target Company prior to the Closing (the “Minimum Cash Condition”); (v) the Com</w:t>
      </w:r>
      <w:r>
        <w:rPr>
          <w:sz w:val="20"/>
          <w:szCs w:val="20"/>
        </w:rPr>
        <w:t>pany having filed its Amended and Restated Certificate of Incorporation with the Secretary of State of the State of Delaware; and (vi) the shares of the Company’s Class A common stock to be issued in connection with the Near Business Combination having bee</w:t>
      </w:r>
      <w:r>
        <w:rPr>
          <w:sz w:val="20"/>
          <w:szCs w:val="20"/>
        </w:rPr>
        <w:t>n approved for listing on the Nasdaq, subject only to official notice of issuance.</w:t>
      </w:r>
    </w:p>
    <w:p w14:paraId="631BE34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FEB4BB3" w14:textId="77777777" w:rsidR="00000000" w:rsidRDefault="00087966">
      <w:pPr>
        <w:pStyle w:val="a3"/>
        <w:spacing w:before="0" w:beforeAutospacing="0" w:after="0" w:afterAutospacing="0"/>
        <w:ind w:firstLine="720"/>
        <w:jc w:val="both"/>
        <w:divId w:val="1595479706"/>
        <w:rPr>
          <w:sz w:val="20"/>
          <w:szCs w:val="20"/>
        </w:rPr>
      </w:pPr>
      <w:r>
        <w:rPr>
          <w:sz w:val="20"/>
          <w:szCs w:val="20"/>
        </w:rPr>
        <w:t>Unless waived by the Company, the obligations of the Company and the Merger Subs to consummate the Near Business Combination are subject to the satisfaction of the followi</w:t>
      </w:r>
      <w:r>
        <w:rPr>
          <w:sz w:val="20"/>
          <w:szCs w:val="20"/>
        </w:rPr>
        <w:t>ng additional Closing conditions, in addition to the delivery by Near of customary certificates and other Closing deliverables: (i) the representations and warranties of Near being true and correct as of the date of the Near Merger Agreement and the date o</w:t>
      </w:r>
      <w:r>
        <w:rPr>
          <w:sz w:val="20"/>
          <w:szCs w:val="20"/>
        </w:rPr>
        <w:t>f the Closing, except to the extent made as of a particular date (subject to the Material Adverse Effect qualifiers); (ii) Near having performed in all material respects its obligations and complied in all material respects with its covenants and agreement</w:t>
      </w:r>
      <w:r>
        <w:rPr>
          <w:sz w:val="20"/>
          <w:szCs w:val="20"/>
        </w:rPr>
        <w:t>s under the Near Merger Agreement required to be performed or complied with or by it on or prior to the date of the Closing; (iii) the absence of any Material Adverse Effect with respect to Near and its subsidiaries since the date of the Near Merger Agreem</w:t>
      </w:r>
      <w:r>
        <w:rPr>
          <w:sz w:val="20"/>
          <w:szCs w:val="20"/>
        </w:rPr>
        <w:t>ent which is continuing and uncured; and (iv) the Lock-Up Agreements, Amended and Restated Registration Rights Agreement and Non-Competition Agreements being in full force and effect in accordance with the terms thereof as of the Closing. The parties antic</w:t>
      </w:r>
      <w:r>
        <w:rPr>
          <w:sz w:val="20"/>
          <w:szCs w:val="20"/>
        </w:rPr>
        <w:t>ipate closing the Near Business Combination in the first half of 2023; however, no assurance can be given that the Closing will occur in the first half of 2023, or at all.</w:t>
      </w:r>
    </w:p>
    <w:p w14:paraId="40C3E63F" w14:textId="77777777" w:rsidR="00000000" w:rsidRDefault="00087966">
      <w:pPr>
        <w:pStyle w:val="a3"/>
        <w:spacing w:before="0" w:beforeAutospacing="0" w:after="0" w:afterAutospacing="0"/>
        <w:jc w:val="both"/>
        <w:divId w:val="1595479706"/>
        <w:rPr>
          <w:sz w:val="20"/>
          <w:szCs w:val="20"/>
        </w:rPr>
      </w:pPr>
      <w:r>
        <w:rPr>
          <w:sz w:val="20"/>
          <w:szCs w:val="20"/>
        </w:rPr>
        <w:t> </w:t>
      </w:r>
    </w:p>
    <w:p w14:paraId="3664DF05" w14:textId="77777777" w:rsidR="00000000" w:rsidRDefault="00087966">
      <w:pPr>
        <w:pStyle w:val="a3"/>
        <w:spacing w:before="0" w:beforeAutospacing="0" w:after="0" w:afterAutospacing="0"/>
        <w:jc w:val="center"/>
        <w:divId w:val="708068497"/>
        <w:rPr>
          <w:sz w:val="20"/>
          <w:szCs w:val="20"/>
        </w:rPr>
      </w:pPr>
      <w:r>
        <w:rPr>
          <w:sz w:val="20"/>
          <w:szCs w:val="20"/>
        </w:rPr>
        <w:t>5</w:t>
      </w:r>
    </w:p>
    <w:p w14:paraId="56CC9E61" w14:textId="77777777" w:rsidR="00000000" w:rsidRDefault="00087966">
      <w:pPr>
        <w:pStyle w:val="a3"/>
        <w:spacing w:before="0" w:beforeAutospacing="0" w:after="0" w:afterAutospacing="0"/>
        <w:divId w:val="369496347"/>
        <w:rPr>
          <w:sz w:val="20"/>
          <w:szCs w:val="20"/>
        </w:rPr>
      </w:pPr>
      <w:r>
        <w:rPr>
          <w:sz w:val="20"/>
          <w:szCs w:val="20"/>
        </w:rPr>
        <w:t> </w:t>
      </w:r>
    </w:p>
    <w:p w14:paraId="02E4C7BC" w14:textId="77777777" w:rsidR="00000000" w:rsidRDefault="00087966">
      <w:pPr>
        <w:pStyle w:val="a3"/>
        <w:spacing w:before="0" w:beforeAutospacing="0" w:after="0" w:afterAutospacing="0"/>
        <w:jc w:val="both"/>
        <w:divId w:val="1595479706"/>
        <w:rPr>
          <w:sz w:val="20"/>
          <w:szCs w:val="20"/>
        </w:rPr>
      </w:pPr>
      <w:r>
        <w:rPr>
          <w:sz w:val="20"/>
          <w:szCs w:val="20"/>
        </w:rPr>
        <w:t> </w:t>
      </w:r>
    </w:p>
    <w:p w14:paraId="1DCF1845" w14:textId="77777777" w:rsidR="00000000" w:rsidRDefault="00087966">
      <w:pPr>
        <w:pStyle w:val="a3"/>
        <w:spacing w:before="0" w:beforeAutospacing="0" w:after="0" w:afterAutospacing="0"/>
        <w:jc w:val="both"/>
        <w:divId w:val="1595479706"/>
        <w:rPr>
          <w:sz w:val="20"/>
          <w:szCs w:val="20"/>
        </w:rPr>
      </w:pPr>
      <w:r>
        <w:rPr>
          <w:b/>
          <w:bCs/>
          <w:i/>
          <w:iCs/>
          <w:sz w:val="20"/>
          <w:szCs w:val="20"/>
        </w:rPr>
        <w:t>Termination</w:t>
      </w:r>
    </w:p>
    <w:p w14:paraId="2CE2BF8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1DB3C59"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The Near Merger Agreement may </w:t>
      </w:r>
      <w:r>
        <w:rPr>
          <w:sz w:val="20"/>
          <w:szCs w:val="20"/>
        </w:rPr>
        <w:t>be terminated under certain customary and limited circumstances at any time prior to the Closing, including: (i) by mutual written consent of the Company and Near; (ii) by either the Company or Near if any of the conditions to Closing have not been satisfi</w:t>
      </w:r>
      <w:r>
        <w:rPr>
          <w:sz w:val="20"/>
          <w:szCs w:val="20"/>
        </w:rPr>
        <w:t>ed or waived by July 11, 2022 (the “Outside Date”), provided, that if the Company obtains the approval of its stockholders for the Permitted Extension, then the Outside Date, automatically and without action on the part of any party, will be extended for a</w:t>
      </w:r>
      <w:r>
        <w:rPr>
          <w:sz w:val="20"/>
          <w:szCs w:val="20"/>
        </w:rPr>
        <w:t>n additional period ending on the last date then in effect for the Company to consummate its “Business Combination” (under its organizational documents) pursuant to the applicable extension period then in effect during the Permitted Extension Period, provi</w:t>
      </w:r>
      <w:r>
        <w:rPr>
          <w:sz w:val="20"/>
          <w:szCs w:val="20"/>
        </w:rPr>
        <w:t>ded, further, however, that in the event that the Company fails to seek an extension for any one (1)-month period following the Prescribed Extension Period, then the Company or Near, each by written notice to the other party, will have the right to termina</w:t>
      </w:r>
      <w:r>
        <w:rPr>
          <w:sz w:val="20"/>
          <w:szCs w:val="20"/>
        </w:rPr>
        <w:t>te the Near Merger Agreement; and further provided that such termination right will not be available to a party if the breach or violation by such party or its affiliates (or, with respect to Near, its direct or indirect subsidiaries or stockholders) of an</w:t>
      </w:r>
      <w:r>
        <w:rPr>
          <w:sz w:val="20"/>
          <w:szCs w:val="20"/>
        </w:rPr>
        <w:t>y representation, warranty, covenant or obligation under the Near Merger Agreement was the cause of, or resulted in, the failure of the Closing to occur on or before the Outside Date; (iii) by either the Company or Near if a governmental authority of compe</w:t>
      </w:r>
      <w:r>
        <w:rPr>
          <w:sz w:val="20"/>
          <w:szCs w:val="20"/>
        </w:rPr>
        <w:t>tent jurisdiction has issued an order or taken any other action permanently restraining, enjoining or otherwise prohibiting the Transactions, and such order or other action has become final and non-appealable (and so long as the terminating party’s failure</w:t>
      </w:r>
      <w:r>
        <w:rPr>
          <w:sz w:val="20"/>
          <w:szCs w:val="20"/>
        </w:rPr>
        <w:t xml:space="preserve"> to comply with any provision of the Near Merger Agreement has not been a substantial cause of, or substantially resulted in, such action by such governmental authority); (iv) by either the Company or Near in the event of the other party’s uncured breach o</w:t>
      </w:r>
      <w:r>
        <w:rPr>
          <w:sz w:val="20"/>
          <w:szCs w:val="20"/>
        </w:rPr>
        <w:t>r if any representation or warranty has become untrue or inaccurate, if such breach or inaccuracy would result in the failure of a closing condition (and so long as the terminating party is not also in breach under the Near Merger Agreement) and is uncured</w:t>
      </w:r>
      <w:r>
        <w:rPr>
          <w:sz w:val="20"/>
          <w:szCs w:val="20"/>
        </w:rPr>
        <w:t xml:space="preserve"> and continuing; (v) by the Company if there has been a Material Adverse Effect on Near and its subsidiaries taken as a whole following the date of the Near Merger Agreement that is uncured and continuing; (vi) by either the Company or Near if the stockhol</w:t>
      </w:r>
      <w:r>
        <w:rPr>
          <w:sz w:val="20"/>
          <w:szCs w:val="20"/>
        </w:rPr>
        <w:t xml:space="preserve">ders of the Company do not approve the Purchaser Stockholder Approval Matters at a special meeting held by the Company; (vii) by either the Company or Near if the required approval from the Near stockholders is not obtained at a meeting of stockholders or </w:t>
      </w:r>
      <w:r>
        <w:rPr>
          <w:sz w:val="20"/>
          <w:szCs w:val="20"/>
        </w:rPr>
        <w:t>via written consent by the Near stockholders to approve the Near Merger Agreement and the ancillary documents which Near is or is required to be a party or bound and the Business Combination; and (viii) by Near if the Company’s board of directors (x) chang</w:t>
      </w:r>
      <w:r>
        <w:rPr>
          <w:sz w:val="20"/>
          <w:szCs w:val="20"/>
        </w:rPr>
        <w:t>es, withdraws, withholds, amends, qualifies or modifies, or (privately or publicly) proposes to change, withdraw, withhold, amend, qualify or modify, its determination that the Mergers and other Transactions are fair, advisable and in the best interests of</w:t>
      </w:r>
      <w:r>
        <w:rPr>
          <w:sz w:val="20"/>
          <w:szCs w:val="20"/>
        </w:rPr>
        <w:t xml:space="preserve"> its stockholders, its approval of the Transactions, or the recommendation to its stockholders in favor of the approval and adoption of the Near Merger Agreement for any reason in a manner adverse to Near, or (y) fail to include such recommendation in the </w:t>
      </w:r>
      <w:r>
        <w:rPr>
          <w:sz w:val="20"/>
          <w:szCs w:val="20"/>
        </w:rPr>
        <w:t>Registration Statement (or proxy statement in connection with the Business Combination).</w:t>
      </w:r>
    </w:p>
    <w:p w14:paraId="22A6D7A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5AD14A3" w14:textId="77777777" w:rsidR="00000000" w:rsidRDefault="00087966">
      <w:pPr>
        <w:pStyle w:val="a3"/>
        <w:spacing w:before="0" w:beforeAutospacing="0" w:after="0" w:afterAutospacing="0"/>
        <w:ind w:firstLine="720"/>
        <w:jc w:val="both"/>
        <w:divId w:val="1595479706"/>
        <w:rPr>
          <w:sz w:val="20"/>
          <w:szCs w:val="20"/>
        </w:rPr>
      </w:pPr>
      <w:r>
        <w:rPr>
          <w:sz w:val="20"/>
          <w:szCs w:val="20"/>
        </w:rPr>
        <w:t>If the Near Merger Agreement is terminated, all further obligations of the parties under the Near Merger Agreement (except for certain obligations related to publici</w:t>
      </w:r>
      <w:r>
        <w:rPr>
          <w:sz w:val="20"/>
          <w:szCs w:val="20"/>
        </w:rPr>
        <w:t xml:space="preserve">ty, confidentiality, fees and expenses, trust fund waiver, no recourse and general provisions) will terminate, and no party to the Near Merger Agreement will have any further liability to any other party thereto except for liability for any claim based in </w:t>
      </w:r>
      <w:r>
        <w:rPr>
          <w:sz w:val="20"/>
          <w:szCs w:val="20"/>
        </w:rPr>
        <w:t>whole or in part upon fraud, willful misconduct or intentional misrepresentation or for willful breach of the Near Merger Agreement prior to termination. The Near Merger Agreement does not provide for any termination fees, however Near agreed to be respons</w:t>
      </w:r>
      <w:r>
        <w:rPr>
          <w:sz w:val="20"/>
          <w:szCs w:val="20"/>
        </w:rPr>
        <w:t>ible for any filing fees and expenses under any applicable antitrust laws.</w:t>
      </w:r>
    </w:p>
    <w:p w14:paraId="0BFD96AC" w14:textId="77777777" w:rsidR="00000000" w:rsidRDefault="00087966">
      <w:pPr>
        <w:pStyle w:val="a3"/>
        <w:spacing w:before="0" w:beforeAutospacing="0" w:after="0" w:afterAutospacing="0"/>
        <w:jc w:val="both"/>
        <w:divId w:val="1595479706"/>
        <w:rPr>
          <w:sz w:val="20"/>
          <w:szCs w:val="20"/>
        </w:rPr>
      </w:pPr>
      <w:r>
        <w:rPr>
          <w:sz w:val="20"/>
          <w:szCs w:val="20"/>
        </w:rPr>
        <w:t> </w:t>
      </w:r>
    </w:p>
    <w:p w14:paraId="1A89F5DD" w14:textId="77777777" w:rsidR="00000000" w:rsidRDefault="00087966">
      <w:pPr>
        <w:pStyle w:val="a3"/>
        <w:spacing w:before="0" w:beforeAutospacing="0" w:after="0" w:afterAutospacing="0"/>
        <w:jc w:val="both"/>
        <w:divId w:val="1595479706"/>
        <w:rPr>
          <w:sz w:val="20"/>
          <w:szCs w:val="20"/>
        </w:rPr>
      </w:pPr>
      <w:r>
        <w:rPr>
          <w:b/>
          <w:bCs/>
          <w:i/>
          <w:iCs/>
          <w:sz w:val="20"/>
          <w:szCs w:val="20"/>
        </w:rPr>
        <w:t>Trust Account Waiver</w:t>
      </w:r>
    </w:p>
    <w:p w14:paraId="39A9EDA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70F4615" w14:textId="77777777" w:rsidR="00000000" w:rsidRDefault="00087966">
      <w:pPr>
        <w:pStyle w:val="a3"/>
        <w:spacing w:before="0" w:beforeAutospacing="0" w:after="0" w:afterAutospacing="0"/>
        <w:ind w:firstLine="720"/>
        <w:jc w:val="both"/>
        <w:divId w:val="1595479706"/>
        <w:rPr>
          <w:sz w:val="20"/>
          <w:szCs w:val="20"/>
        </w:rPr>
      </w:pPr>
      <w:r>
        <w:rPr>
          <w:sz w:val="20"/>
          <w:szCs w:val="20"/>
        </w:rPr>
        <w:t>Near agreed on behalf of itself and its affiliates that neither it nor its affiliates will have any right, title, interest of any kind in or to any monies i</w:t>
      </w:r>
      <w:r>
        <w:rPr>
          <w:sz w:val="20"/>
          <w:szCs w:val="20"/>
        </w:rPr>
        <w:t>n the trust account held for its public stockholders, and agreed not to, and waived any right to, make any claim against the trust account (including any distributions therefrom) other than in connection with the Closing.</w:t>
      </w:r>
    </w:p>
    <w:p w14:paraId="30007DBB" w14:textId="77777777" w:rsidR="00000000" w:rsidRDefault="00087966">
      <w:pPr>
        <w:pStyle w:val="a3"/>
        <w:spacing w:before="0" w:beforeAutospacing="0" w:after="0" w:afterAutospacing="0"/>
        <w:jc w:val="both"/>
        <w:divId w:val="1595479706"/>
        <w:rPr>
          <w:sz w:val="20"/>
          <w:szCs w:val="20"/>
        </w:rPr>
      </w:pPr>
      <w:r>
        <w:rPr>
          <w:sz w:val="20"/>
          <w:szCs w:val="20"/>
        </w:rPr>
        <w:t> </w:t>
      </w:r>
    </w:p>
    <w:p w14:paraId="1DE42A34" w14:textId="77777777" w:rsidR="00000000" w:rsidRDefault="00087966">
      <w:pPr>
        <w:pStyle w:val="a3"/>
        <w:spacing w:before="0" w:beforeAutospacing="0" w:after="0" w:afterAutospacing="0"/>
        <w:jc w:val="center"/>
        <w:divId w:val="1085414810"/>
        <w:rPr>
          <w:sz w:val="20"/>
          <w:szCs w:val="20"/>
        </w:rPr>
      </w:pPr>
      <w:r>
        <w:rPr>
          <w:sz w:val="20"/>
          <w:szCs w:val="20"/>
        </w:rPr>
        <w:t>6</w:t>
      </w:r>
    </w:p>
    <w:p w14:paraId="5533DA5E" w14:textId="77777777" w:rsidR="00000000" w:rsidRDefault="00087966">
      <w:pPr>
        <w:pStyle w:val="a3"/>
        <w:spacing w:before="0" w:beforeAutospacing="0" w:after="0" w:afterAutospacing="0"/>
        <w:divId w:val="447899380"/>
        <w:rPr>
          <w:sz w:val="20"/>
          <w:szCs w:val="20"/>
        </w:rPr>
      </w:pPr>
      <w:r>
        <w:rPr>
          <w:sz w:val="20"/>
          <w:szCs w:val="20"/>
        </w:rPr>
        <w:t> </w:t>
      </w:r>
    </w:p>
    <w:p w14:paraId="414D1AF2" w14:textId="77777777" w:rsidR="00000000" w:rsidRDefault="00087966">
      <w:pPr>
        <w:pStyle w:val="a3"/>
        <w:spacing w:before="0" w:beforeAutospacing="0" w:after="0" w:afterAutospacing="0"/>
        <w:jc w:val="both"/>
        <w:divId w:val="1595479706"/>
        <w:rPr>
          <w:sz w:val="20"/>
          <w:szCs w:val="20"/>
        </w:rPr>
      </w:pPr>
      <w:r>
        <w:rPr>
          <w:sz w:val="20"/>
          <w:szCs w:val="20"/>
        </w:rPr>
        <w:t> </w:t>
      </w:r>
    </w:p>
    <w:p w14:paraId="460F84BD" w14:textId="77777777" w:rsidR="00000000" w:rsidRDefault="00087966">
      <w:pPr>
        <w:pStyle w:val="a3"/>
        <w:spacing w:before="0" w:beforeAutospacing="0" w:after="0" w:afterAutospacing="0"/>
        <w:jc w:val="both"/>
        <w:divId w:val="1595479706"/>
        <w:rPr>
          <w:sz w:val="20"/>
          <w:szCs w:val="20"/>
        </w:rPr>
      </w:pPr>
      <w:r>
        <w:rPr>
          <w:b/>
          <w:bCs/>
          <w:i/>
          <w:iCs/>
          <w:sz w:val="20"/>
          <w:szCs w:val="20"/>
        </w:rPr>
        <w:t>Certain Related Agreements</w:t>
      </w:r>
    </w:p>
    <w:p w14:paraId="5C6423CB" w14:textId="77777777" w:rsidR="00000000" w:rsidRDefault="00087966">
      <w:pPr>
        <w:pStyle w:val="a3"/>
        <w:spacing w:before="0" w:beforeAutospacing="0" w:after="0" w:afterAutospacing="0"/>
        <w:jc w:val="both"/>
        <w:divId w:val="1595479706"/>
        <w:rPr>
          <w:sz w:val="20"/>
          <w:szCs w:val="20"/>
        </w:rPr>
      </w:pPr>
      <w:r>
        <w:rPr>
          <w:sz w:val="20"/>
          <w:szCs w:val="20"/>
        </w:rPr>
        <w:t> </w:t>
      </w:r>
    </w:p>
    <w:p w14:paraId="08BE1A7C" w14:textId="77777777" w:rsidR="00000000" w:rsidRDefault="00087966">
      <w:pPr>
        <w:pStyle w:val="a3"/>
        <w:spacing w:before="0" w:beforeAutospacing="0" w:after="0" w:afterAutospacing="0"/>
        <w:jc w:val="both"/>
        <w:divId w:val="1595479706"/>
        <w:rPr>
          <w:sz w:val="20"/>
          <w:szCs w:val="20"/>
        </w:rPr>
      </w:pPr>
      <w:r>
        <w:rPr>
          <w:i/>
          <w:iCs/>
          <w:sz w:val="20"/>
          <w:szCs w:val="20"/>
        </w:rPr>
        <w:t>Company Stockholder Voting and Support Agreements</w:t>
      </w:r>
    </w:p>
    <w:p w14:paraId="000AC49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823A706" w14:textId="77777777" w:rsidR="00000000" w:rsidRDefault="00087966">
      <w:pPr>
        <w:pStyle w:val="a3"/>
        <w:spacing w:before="0" w:beforeAutospacing="0" w:after="0" w:afterAutospacing="0"/>
        <w:ind w:firstLine="720"/>
        <w:jc w:val="both"/>
        <w:divId w:val="1595479706"/>
        <w:rPr>
          <w:sz w:val="20"/>
          <w:szCs w:val="20"/>
        </w:rPr>
      </w:pPr>
      <w:r>
        <w:rPr>
          <w:sz w:val="20"/>
          <w:szCs w:val="20"/>
        </w:rPr>
        <w:t>Simultaneously with the execution and delivery of the Near Merger Agreement, the Company and Near have entered into Voting and Support Agreements (collectively, the “Company Stockholder Support Agreeme</w:t>
      </w:r>
      <w:r>
        <w:rPr>
          <w:sz w:val="20"/>
          <w:szCs w:val="20"/>
        </w:rPr>
        <w:t>nts”) with (i) N Sing, as the sole Near stockholder before the completion of the Reorganization, and (ii) certain N Sing shareholders, who will become the Near stockholders upon the completion of the Reorganization, holding shares of Near capital stock suf</w:t>
      </w:r>
      <w:r>
        <w:rPr>
          <w:sz w:val="20"/>
          <w:szCs w:val="20"/>
        </w:rPr>
        <w:t>ficient to approve the First Merger and the other Transactions (“Near Stockholders”). Under the Company Stockholder Support Agreements, each Near Stockholder signing the Company Stockholder Support Agreement agreed to vote all of such stockholder’s securit</w:t>
      </w:r>
      <w:r>
        <w:rPr>
          <w:sz w:val="20"/>
          <w:szCs w:val="20"/>
        </w:rPr>
        <w:t>ies of Near in favor of the Near Merger Agreement and the other matters to be submitted to Near Stockholders for approval in connection with the Near Business Combination and each such Near Stockholder has agreed to take (or not take, as applicable) certai</w:t>
      </w:r>
      <w:r>
        <w:rPr>
          <w:sz w:val="20"/>
          <w:szCs w:val="20"/>
        </w:rPr>
        <w:t xml:space="preserve">n other actions in support of the Near Merger Agreement and the Near Business Combination, in each case in the manner and subject to the conditions set forth in the Company Stockholder Support Agreements, and to provide a proxy to the Company to vote such </w:t>
      </w:r>
      <w:r>
        <w:rPr>
          <w:sz w:val="20"/>
          <w:szCs w:val="20"/>
        </w:rPr>
        <w:t xml:space="preserve">Near securities accordingly. The Company Stockholder Support Agreements prevent transfers of Near securities held by such Near Stockholders between the date of the Company Stockholder Support Agreements and the date of the completion of the Reorganization </w:t>
      </w:r>
      <w:r>
        <w:rPr>
          <w:sz w:val="20"/>
          <w:szCs w:val="20"/>
        </w:rPr>
        <w:t>or the date of the completion of the Reorganization and the date of Closing, as applicable, except for certain permitted transfers where the transferee also agrees to comply with the Company Stockholder Support Agreements.</w:t>
      </w:r>
    </w:p>
    <w:p w14:paraId="4ACB5B6F" w14:textId="77777777" w:rsidR="00000000" w:rsidRDefault="00087966">
      <w:pPr>
        <w:pStyle w:val="a3"/>
        <w:spacing w:before="0" w:beforeAutospacing="0" w:after="0" w:afterAutospacing="0"/>
        <w:jc w:val="both"/>
        <w:divId w:val="1595479706"/>
        <w:rPr>
          <w:sz w:val="20"/>
          <w:szCs w:val="20"/>
        </w:rPr>
      </w:pPr>
      <w:r>
        <w:rPr>
          <w:sz w:val="20"/>
          <w:szCs w:val="20"/>
        </w:rPr>
        <w:t> </w:t>
      </w:r>
    </w:p>
    <w:p w14:paraId="767F9906" w14:textId="77777777" w:rsidR="00000000" w:rsidRDefault="00087966">
      <w:pPr>
        <w:pStyle w:val="a3"/>
        <w:spacing w:before="0" w:beforeAutospacing="0" w:after="0" w:afterAutospacing="0"/>
        <w:jc w:val="both"/>
        <w:divId w:val="1595479706"/>
        <w:rPr>
          <w:sz w:val="20"/>
          <w:szCs w:val="20"/>
        </w:rPr>
      </w:pPr>
      <w:r>
        <w:rPr>
          <w:i/>
          <w:iCs/>
          <w:sz w:val="20"/>
          <w:szCs w:val="20"/>
        </w:rPr>
        <w:t>Sponsor Voting and Support Agre</w:t>
      </w:r>
      <w:r>
        <w:rPr>
          <w:i/>
          <w:iCs/>
          <w:sz w:val="20"/>
          <w:szCs w:val="20"/>
        </w:rPr>
        <w:t>ement</w:t>
      </w:r>
    </w:p>
    <w:p w14:paraId="181E640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0EF58B2" w14:textId="77777777" w:rsidR="00000000" w:rsidRDefault="00087966">
      <w:pPr>
        <w:pStyle w:val="a3"/>
        <w:spacing w:before="0" w:beforeAutospacing="0" w:after="0" w:afterAutospacing="0"/>
        <w:ind w:firstLine="720"/>
        <w:jc w:val="both"/>
        <w:divId w:val="1595479706"/>
        <w:rPr>
          <w:sz w:val="20"/>
          <w:szCs w:val="20"/>
        </w:rPr>
      </w:pPr>
      <w:r>
        <w:rPr>
          <w:sz w:val="20"/>
          <w:szCs w:val="20"/>
        </w:rPr>
        <w:t>Simultaneously with the execution and delivery of the Near Merger Agreement, the Company and Near have entered into a Voting and Support Agreement (collectively, the “Sponsor Support Agreement”) with the sponsor. Under the Sponsor Support Agreement</w:t>
      </w:r>
      <w:r>
        <w:rPr>
          <w:sz w:val="20"/>
          <w:szCs w:val="20"/>
        </w:rPr>
        <w:t>, the sponsor agreed to vote all of the sponsor’s securities of the Company in favor of the Near Merger Agreement and the other matters to be submitted to the Company stockholders for approval in connection with the Near Business Combination and the sponso</w:t>
      </w:r>
      <w:r>
        <w:rPr>
          <w:sz w:val="20"/>
          <w:szCs w:val="20"/>
        </w:rPr>
        <w:t>r has agreed to take (or not take, as applicable) certain other actions in support of the Near Merger Agreement and the Near Business Combination, in each case in the manner and subject to the conditions set forth in the Sponsor Support Agreement, and to p</w:t>
      </w:r>
      <w:r>
        <w:rPr>
          <w:sz w:val="20"/>
          <w:szCs w:val="20"/>
        </w:rPr>
        <w:t>rovide a proxy to Near to vote such the Company shares accordingly. The sponsor also agreed to waive its anti-dilution rights with respect to the shares of the Company’s Class B common stock held by the sponsor and redemption right with respect to its Comp</w:t>
      </w:r>
      <w:r>
        <w:rPr>
          <w:sz w:val="20"/>
          <w:szCs w:val="20"/>
        </w:rPr>
        <w:t>any securities. The Sponsor Support Agreement prevent transfers of Company securities held by the sponsor thereto between the date of the date of the Sponsor Support Agreement and the date of Closing, except for certain permitted transfers where the transf</w:t>
      </w:r>
      <w:r>
        <w:rPr>
          <w:sz w:val="20"/>
          <w:szCs w:val="20"/>
        </w:rPr>
        <w:t>eree also agrees to comply with the Sponsor Support Agreement.</w:t>
      </w:r>
    </w:p>
    <w:p w14:paraId="592A98CD" w14:textId="77777777" w:rsidR="00000000" w:rsidRDefault="00087966">
      <w:pPr>
        <w:pStyle w:val="a3"/>
        <w:spacing w:before="0" w:beforeAutospacing="0" w:after="0" w:afterAutospacing="0"/>
        <w:jc w:val="both"/>
        <w:divId w:val="1595479706"/>
        <w:rPr>
          <w:sz w:val="20"/>
          <w:szCs w:val="20"/>
        </w:rPr>
      </w:pPr>
      <w:r>
        <w:rPr>
          <w:sz w:val="20"/>
          <w:szCs w:val="20"/>
        </w:rPr>
        <w:t> </w:t>
      </w:r>
    </w:p>
    <w:p w14:paraId="5234DF24" w14:textId="77777777" w:rsidR="00000000" w:rsidRDefault="00087966">
      <w:pPr>
        <w:pStyle w:val="a3"/>
        <w:spacing w:before="0" w:beforeAutospacing="0" w:after="0" w:afterAutospacing="0"/>
        <w:jc w:val="both"/>
        <w:divId w:val="1595479706"/>
        <w:rPr>
          <w:sz w:val="20"/>
          <w:szCs w:val="20"/>
        </w:rPr>
      </w:pPr>
      <w:r>
        <w:rPr>
          <w:i/>
          <w:iCs/>
          <w:sz w:val="20"/>
          <w:szCs w:val="20"/>
        </w:rPr>
        <w:t>Lock-Up Agreements</w:t>
      </w:r>
    </w:p>
    <w:p w14:paraId="51614CC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CCB734B"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Simultaneously with the execution </w:t>
      </w:r>
      <w:r>
        <w:rPr>
          <w:sz w:val="20"/>
          <w:szCs w:val="20"/>
        </w:rPr>
        <w:t>and delivery of the Near Merger Agreement, the N Sing shareholders (who will become Near stockholders after the Reorganization) and certain Near executive and senior officers entered into Lock-Up Agreements with the Company (collectively, the “Lock-Up Agre</w:t>
      </w:r>
      <w:r>
        <w:rPr>
          <w:sz w:val="20"/>
          <w:szCs w:val="20"/>
        </w:rPr>
        <w:t>ements”). Pursuant to the Lock-Up Agreements, certain N Sing shareholders who are controlled by Near executive officers and Near’s executive officers agreed not to, during the period commencing from the Closing and ending upon the earlier to occur of (i) t</w:t>
      </w:r>
      <w:r>
        <w:rPr>
          <w:sz w:val="20"/>
          <w:szCs w:val="20"/>
        </w:rPr>
        <w:t>he one (1)-year anniversary of the Closing and (ii) subsequent to the Closing, (x) if the reported closing price of the Company’s Class A Common Stock equals or exceeds $12.00 per share (as adjusted for stock splits, stock dividends, reorganizations, recap</w:t>
      </w:r>
      <w:r>
        <w:rPr>
          <w:sz w:val="20"/>
          <w:szCs w:val="20"/>
        </w:rPr>
        <w:t>italizations and the like) for any 20 trading days within any 30-trading day period commencing at least 150 days after the Closing, or (y) the date following the Closing on which the Company completes a liquidation, merger, capital stock exchange, reorgani</w:t>
      </w:r>
      <w:r>
        <w:rPr>
          <w:sz w:val="20"/>
          <w:szCs w:val="20"/>
        </w:rPr>
        <w:t>zation or other similar transaction that results in all of the Company’s stockholders having the right to exchange their Class A Common Stock of the Company for cash, securities or other property: (A) lend, offer, pledge, hypothecate, encumber, donate, ass</w:t>
      </w:r>
      <w:r>
        <w:rPr>
          <w:sz w:val="20"/>
          <w:szCs w:val="20"/>
        </w:rPr>
        <w:t>ign, sell, contract to sell, sell any option or contract to purchase, purchase any option or contract to sell, grant any option, right or warrant to purchase, or otherwise transfer or dispose of, directly or indirectly, any Company restricted securities, (</w:t>
      </w:r>
      <w:r>
        <w:rPr>
          <w:sz w:val="20"/>
          <w:szCs w:val="20"/>
        </w:rPr>
        <w:t xml:space="preserve">B) enter into any swap or other arrangement that transfers to another, in whole or in part, any of the economic consequences of ownership of such Company restricted securities, or (C) publicly disclose the intention to do any of the foregoing, whether any </w:t>
      </w:r>
      <w:r>
        <w:rPr>
          <w:sz w:val="20"/>
          <w:szCs w:val="20"/>
        </w:rPr>
        <w:t>such transaction described in clauses (A) or (ii) above is to be settled by delivery of the Company restricted securities or other securities, in cash or otherwise (in each case, subject to certain limited permitted transfers where the transferee takes the</w:t>
      </w:r>
      <w:r>
        <w:rPr>
          <w:sz w:val="20"/>
          <w:szCs w:val="20"/>
        </w:rPr>
        <w:t xml:space="preserve"> shares subject to the restrictions in the Lock-Up Agreement). Pursuant to the Lock-Up Agreements, certain other significant Near stockholders and Near senior officers agreed not to Transfer any Company securities commencing from the Closing and ending on </w:t>
      </w:r>
      <w:r>
        <w:rPr>
          <w:sz w:val="20"/>
          <w:szCs w:val="20"/>
        </w:rPr>
        <w:t>the earlier of (i) 180 days of the Closing and (ii) the date following the Closing on which the Company completes a liquidation, merger, capital stock exchange, reorganization or other similar transaction that results in all of the Company’s stockholders h</w:t>
      </w:r>
      <w:r>
        <w:rPr>
          <w:sz w:val="20"/>
          <w:szCs w:val="20"/>
        </w:rPr>
        <w:t>aving the right to exchange their Class A common stock for cash, securities or other property (in each case, subject to certain limited permitted transfers where the transferee takes the shares subject to the restrictions in the Lock-Up Agreement).</w:t>
      </w:r>
    </w:p>
    <w:p w14:paraId="4412C788" w14:textId="77777777" w:rsidR="00000000" w:rsidRDefault="00087966">
      <w:pPr>
        <w:pStyle w:val="a3"/>
        <w:spacing w:before="0" w:beforeAutospacing="0" w:after="0" w:afterAutospacing="0"/>
        <w:jc w:val="both"/>
        <w:divId w:val="1595479706"/>
        <w:rPr>
          <w:sz w:val="20"/>
          <w:szCs w:val="20"/>
        </w:rPr>
      </w:pPr>
      <w:r>
        <w:rPr>
          <w:sz w:val="20"/>
          <w:szCs w:val="20"/>
        </w:rPr>
        <w:t> </w:t>
      </w:r>
    </w:p>
    <w:p w14:paraId="1F7D8A98" w14:textId="77777777" w:rsidR="00000000" w:rsidRDefault="00087966">
      <w:pPr>
        <w:pStyle w:val="a3"/>
        <w:spacing w:before="0" w:beforeAutospacing="0" w:after="0" w:afterAutospacing="0"/>
        <w:jc w:val="center"/>
        <w:divId w:val="899288703"/>
        <w:rPr>
          <w:sz w:val="20"/>
          <w:szCs w:val="20"/>
        </w:rPr>
      </w:pPr>
      <w:r>
        <w:rPr>
          <w:sz w:val="20"/>
          <w:szCs w:val="20"/>
        </w:rPr>
        <w:t>7</w:t>
      </w:r>
    </w:p>
    <w:p w14:paraId="2E3AA90F" w14:textId="77777777" w:rsidR="00000000" w:rsidRDefault="00087966">
      <w:pPr>
        <w:pStyle w:val="a3"/>
        <w:spacing w:before="0" w:beforeAutospacing="0" w:after="0" w:afterAutospacing="0"/>
        <w:divId w:val="787433559"/>
        <w:rPr>
          <w:sz w:val="20"/>
          <w:szCs w:val="20"/>
        </w:rPr>
      </w:pPr>
      <w:r>
        <w:rPr>
          <w:sz w:val="20"/>
          <w:szCs w:val="20"/>
        </w:rPr>
        <w:t> </w:t>
      </w:r>
    </w:p>
    <w:p w14:paraId="1B747500" w14:textId="77777777" w:rsidR="00000000" w:rsidRDefault="00087966">
      <w:pPr>
        <w:pStyle w:val="a3"/>
        <w:spacing w:before="0" w:beforeAutospacing="0" w:after="0" w:afterAutospacing="0"/>
        <w:jc w:val="both"/>
        <w:divId w:val="1595479706"/>
        <w:rPr>
          <w:sz w:val="20"/>
          <w:szCs w:val="20"/>
        </w:rPr>
      </w:pPr>
      <w:r>
        <w:rPr>
          <w:sz w:val="20"/>
          <w:szCs w:val="20"/>
        </w:rPr>
        <w:t> </w:t>
      </w:r>
    </w:p>
    <w:p w14:paraId="5DB93E97" w14:textId="77777777" w:rsidR="00000000" w:rsidRDefault="00087966">
      <w:pPr>
        <w:pStyle w:val="a3"/>
        <w:spacing w:before="0" w:beforeAutospacing="0" w:after="0" w:afterAutospacing="0"/>
        <w:jc w:val="both"/>
        <w:divId w:val="1595479706"/>
        <w:rPr>
          <w:sz w:val="20"/>
          <w:szCs w:val="20"/>
        </w:rPr>
      </w:pPr>
      <w:r>
        <w:rPr>
          <w:i/>
          <w:iCs/>
          <w:sz w:val="20"/>
          <w:szCs w:val="20"/>
        </w:rPr>
        <w:t>Non-Competition and Non-Solicitation Agreements</w:t>
      </w:r>
    </w:p>
    <w:p w14:paraId="26A30C8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824A9E7"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Simultaneously with the execution and delivery of the Near Merger Agreement, certain individuals who are expected to be directors and/or officers of the Target Companies following the Closing entered into </w:t>
      </w:r>
      <w:r>
        <w:rPr>
          <w:sz w:val="20"/>
          <w:szCs w:val="20"/>
        </w:rPr>
        <w:t>Non-Competition and Non-Solicitation Agreements (the “Non-Competition Agreements”) in favor of Near and the Company and their direct and indirect subsidiaries through the Closing. Under the Non-Competition Agreements, the signatory thereto agrees not to co</w:t>
      </w:r>
      <w:r>
        <w:rPr>
          <w:sz w:val="20"/>
          <w:szCs w:val="20"/>
        </w:rPr>
        <w:t>mpete with the Company, Near and their respective affiliates during the two-year period following the Closing and, during such two-year restricted period, not to solicit employees or customers of such entities. The Non-Competition Agreements also contain c</w:t>
      </w:r>
      <w:r>
        <w:rPr>
          <w:sz w:val="20"/>
          <w:szCs w:val="20"/>
        </w:rPr>
        <w:t>ustomary confidentiality and non-disparagement provisions.</w:t>
      </w:r>
    </w:p>
    <w:p w14:paraId="1196DD5C" w14:textId="77777777" w:rsidR="00000000" w:rsidRDefault="00087966">
      <w:pPr>
        <w:pStyle w:val="a3"/>
        <w:spacing w:before="0" w:beforeAutospacing="0" w:after="0" w:afterAutospacing="0"/>
        <w:jc w:val="both"/>
        <w:divId w:val="1595479706"/>
        <w:rPr>
          <w:sz w:val="20"/>
          <w:szCs w:val="20"/>
        </w:rPr>
      </w:pPr>
      <w:r>
        <w:rPr>
          <w:sz w:val="20"/>
          <w:szCs w:val="20"/>
        </w:rPr>
        <w:t> </w:t>
      </w:r>
    </w:p>
    <w:p w14:paraId="63B6CF1D" w14:textId="77777777" w:rsidR="00000000" w:rsidRDefault="00087966">
      <w:pPr>
        <w:pStyle w:val="a3"/>
        <w:spacing w:before="0" w:beforeAutospacing="0" w:after="0" w:afterAutospacing="0"/>
        <w:jc w:val="both"/>
        <w:divId w:val="1595479706"/>
        <w:rPr>
          <w:sz w:val="20"/>
          <w:szCs w:val="20"/>
        </w:rPr>
      </w:pPr>
      <w:r>
        <w:rPr>
          <w:i/>
          <w:iCs/>
          <w:sz w:val="20"/>
          <w:szCs w:val="20"/>
        </w:rPr>
        <w:t>Amended and Restated Registration Rights Agreement</w:t>
      </w:r>
    </w:p>
    <w:p w14:paraId="77346A5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0DF9D03" w14:textId="77777777" w:rsidR="00000000" w:rsidRDefault="00087966">
      <w:pPr>
        <w:pStyle w:val="a3"/>
        <w:spacing w:before="0" w:beforeAutospacing="0" w:after="0" w:afterAutospacing="0"/>
        <w:ind w:firstLine="720"/>
        <w:jc w:val="both"/>
        <w:divId w:val="1595479706"/>
        <w:rPr>
          <w:sz w:val="20"/>
          <w:szCs w:val="20"/>
        </w:rPr>
      </w:pPr>
      <w:r>
        <w:rPr>
          <w:sz w:val="20"/>
          <w:szCs w:val="20"/>
        </w:rPr>
        <w:t>In connection with the Closing, the existing Registration Rights Agreement, dated as of January 6, 2021, between the Company and the sponsor w</w:t>
      </w:r>
      <w:r>
        <w:rPr>
          <w:sz w:val="20"/>
          <w:szCs w:val="20"/>
        </w:rPr>
        <w:t>ill be amended and restated and the Company, the sponsor, and certain persons and entities holding securities of Near prior to the Closing (collectively, together with the sponsor, the “Reg Rights Holders”) will enter into an Amended and Restated Registrat</w:t>
      </w:r>
      <w:r>
        <w:rPr>
          <w:sz w:val="20"/>
          <w:szCs w:val="20"/>
        </w:rPr>
        <w:t xml:space="preserve">ion Rights Agreement (the “A&amp;R Registration Rights Agreement”). Pursuant to the A&amp;R Registration Rights Agreement, the Company will agree that, within 30 days after the Closing, the Company will file with the SEC (at the Company’s sole cost and expense) a </w:t>
      </w:r>
      <w:r>
        <w:rPr>
          <w:sz w:val="20"/>
          <w:szCs w:val="20"/>
        </w:rPr>
        <w:t>registration statement registering the resale of certain securities held by or issuable to the Reg Rights Holders (the “Resale Registration Statement”), and the Company will use its reasonable best efforts to have the Resale Registration Statement declared</w:t>
      </w:r>
      <w:r>
        <w:rPr>
          <w:sz w:val="20"/>
          <w:szCs w:val="20"/>
        </w:rPr>
        <w:t xml:space="preserve"> effective as soon as reasonably practicable after the filing thereof, but in no event later than 60 days (or 90 days if the SEC notifies the Company that it will review the Resale Registration Statement). In certain circumstances, each of the Reg Rights H</w:t>
      </w:r>
      <w:r>
        <w:rPr>
          <w:sz w:val="20"/>
          <w:szCs w:val="20"/>
        </w:rPr>
        <w:t>olders can demand up to two underwritten offerings and will be entitled to piggyback registration rights, in each case subject to certain limitations set forth in the A&amp;R Registration Rights Agreement.</w:t>
      </w:r>
    </w:p>
    <w:p w14:paraId="0D975209" w14:textId="77777777" w:rsidR="00000000" w:rsidRDefault="00087966">
      <w:pPr>
        <w:pStyle w:val="a3"/>
        <w:spacing w:before="0" w:beforeAutospacing="0" w:after="0" w:afterAutospacing="0"/>
        <w:jc w:val="both"/>
        <w:divId w:val="1595479706"/>
        <w:rPr>
          <w:sz w:val="20"/>
          <w:szCs w:val="20"/>
        </w:rPr>
      </w:pPr>
      <w:r>
        <w:rPr>
          <w:sz w:val="20"/>
          <w:szCs w:val="20"/>
        </w:rPr>
        <w:t> </w:t>
      </w:r>
    </w:p>
    <w:p w14:paraId="0132E3DD" w14:textId="77777777" w:rsidR="00000000" w:rsidRDefault="00087966">
      <w:pPr>
        <w:pStyle w:val="a3"/>
        <w:spacing w:before="0" w:beforeAutospacing="0" w:after="0" w:afterAutospacing="0"/>
        <w:jc w:val="both"/>
        <w:divId w:val="1595479706"/>
        <w:rPr>
          <w:sz w:val="20"/>
          <w:szCs w:val="20"/>
        </w:rPr>
      </w:pPr>
      <w:r>
        <w:rPr>
          <w:i/>
          <w:iCs/>
          <w:sz w:val="20"/>
          <w:szCs w:val="20"/>
        </w:rPr>
        <w:t>Common Stock Subscription Agreement</w:t>
      </w:r>
    </w:p>
    <w:p w14:paraId="185C386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4ED8EB5" w14:textId="77777777" w:rsidR="00000000" w:rsidRDefault="00087966">
      <w:pPr>
        <w:pStyle w:val="a3"/>
        <w:spacing w:before="0" w:beforeAutospacing="0" w:after="0" w:afterAutospacing="0"/>
        <w:ind w:firstLine="720"/>
        <w:jc w:val="both"/>
        <w:divId w:val="1595479706"/>
        <w:rPr>
          <w:sz w:val="20"/>
          <w:szCs w:val="20"/>
        </w:rPr>
      </w:pPr>
      <w:r>
        <w:rPr>
          <w:sz w:val="20"/>
          <w:szCs w:val="20"/>
        </w:rPr>
        <w:t>Simultaneously</w:t>
      </w:r>
      <w:r>
        <w:rPr>
          <w:sz w:val="20"/>
          <w:szCs w:val="20"/>
        </w:rPr>
        <w:t xml:space="preserve"> with the execution and delivery of the Near Merger Agreement, the Company entered into a common stock purchase agreement (the “Common Stock Purchase Agreement”) and related registration rights agreement (the “CF Registration Rights the Company’s Agreement</w:t>
      </w:r>
      <w:r>
        <w:rPr>
          <w:sz w:val="20"/>
          <w:szCs w:val="20"/>
        </w:rPr>
        <w:t>”) with CF Principal Investments LLC (“CF”). Pursuant to the Common Stock Purchase Agreement, following the Closing, Near (the combined company), as the Company’s successor, has the right to sell to CF up to a Total Commitment (as defined in the Common Sto</w:t>
      </w:r>
      <w:r>
        <w:rPr>
          <w:sz w:val="20"/>
          <w:szCs w:val="20"/>
        </w:rPr>
        <w:t>ck Purchase Agreement) of $100,000,000 in shares of Near’s Common Stock, subject to certain limitations and conditions set forth in the Common Stock Purchase Agreement. Near is obligated under the Common Stock Purchase Agreement and the CF Registration Rig</w:t>
      </w:r>
      <w:r>
        <w:rPr>
          <w:sz w:val="20"/>
          <w:szCs w:val="20"/>
        </w:rPr>
        <w:t>hts Agreement to file a registration statement with the SEC to register under the Securities Act for the resale by CF of shares of common stock that Near may issue to CF under the Common Stock Purchase Agreement.</w:t>
      </w:r>
    </w:p>
    <w:p w14:paraId="4888845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848EF5B" w14:textId="77777777" w:rsidR="00000000" w:rsidRDefault="00087966">
      <w:pPr>
        <w:pStyle w:val="a3"/>
        <w:spacing w:before="0" w:beforeAutospacing="0" w:after="0" w:afterAutospacing="0"/>
        <w:ind w:firstLine="720"/>
        <w:jc w:val="both"/>
        <w:divId w:val="1595479706"/>
        <w:rPr>
          <w:sz w:val="20"/>
          <w:szCs w:val="20"/>
        </w:rPr>
      </w:pPr>
      <w:r>
        <w:rPr>
          <w:sz w:val="20"/>
          <w:szCs w:val="20"/>
        </w:rPr>
        <w:t>The Company will not have the right to co</w:t>
      </w:r>
      <w:r>
        <w:rPr>
          <w:sz w:val="20"/>
          <w:szCs w:val="20"/>
        </w:rPr>
        <w:t>mmence any sales of common stock to CF under the Common Stock Purchase Agreement until the Commencement (as defined in the Common Stock Purchase Agreement), which is the time when all of the conditions to the Company’s right to commence sales of common sto</w:t>
      </w:r>
      <w:r>
        <w:rPr>
          <w:sz w:val="20"/>
          <w:szCs w:val="20"/>
        </w:rPr>
        <w:t>ck to CF set forth in the Common Stock Purchase Agreement have been satisfied, including that a registration statement relating to the common stock is filed and declared effective by the SEC.</w:t>
      </w:r>
    </w:p>
    <w:p w14:paraId="611342A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AF0331E"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After the Commencement, Near will have the right from time to </w:t>
      </w:r>
      <w:r>
        <w:rPr>
          <w:sz w:val="20"/>
          <w:szCs w:val="20"/>
        </w:rPr>
        <w:t>time at its sole discretion until the first day of the month next following the 36-month period from and after the Commencement, to direct CF to purchase up to a specified maximum amount of shares of Common Stock as set forth in the Common Stock Purchase A</w:t>
      </w:r>
      <w:r>
        <w:rPr>
          <w:sz w:val="20"/>
          <w:szCs w:val="20"/>
        </w:rPr>
        <w:t>greement by delivering written notice to CF prior to the commencement of trading on any trading day. Near will control the timing and amount of any sales of the Common Stock to CF. Actual sales of shares of the Common Stock to CF under the Common Stock Pur</w:t>
      </w:r>
      <w:r>
        <w:rPr>
          <w:sz w:val="20"/>
          <w:szCs w:val="20"/>
        </w:rPr>
        <w:t>chase Agreement will depend on a variety of factors to be determined by Near from time to time, including, among other things, market conditions, and the trading price of the Common Stock.</w:t>
      </w:r>
    </w:p>
    <w:p w14:paraId="2BE5DFD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CC80734" w14:textId="77777777" w:rsidR="00000000" w:rsidRDefault="00087966">
      <w:pPr>
        <w:pStyle w:val="a3"/>
        <w:spacing w:before="0" w:beforeAutospacing="0" w:after="0" w:afterAutospacing="0"/>
        <w:ind w:firstLine="720"/>
        <w:jc w:val="both"/>
        <w:divId w:val="1595479706"/>
        <w:rPr>
          <w:sz w:val="20"/>
          <w:szCs w:val="20"/>
        </w:rPr>
      </w:pPr>
      <w:r>
        <w:rPr>
          <w:sz w:val="20"/>
          <w:szCs w:val="20"/>
        </w:rPr>
        <w:t>The purchase price of the shares of Common Stock that Near elects to sell to CF pursuant to the Common Stock Purchase Agreement will be the volume weighted average price of the Common Stock during the applicable purchase date on which Near has timely deliv</w:t>
      </w:r>
      <w:r>
        <w:rPr>
          <w:sz w:val="20"/>
          <w:szCs w:val="20"/>
        </w:rPr>
        <w:t>ered written notice to CF directing it to purchase the shares of Common Stock under the Common Stock Purchase Agreement. Near will receive 98% of the volume weighted average price of the Common Stock so sold.</w:t>
      </w:r>
    </w:p>
    <w:p w14:paraId="10C92B2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089927F" w14:textId="77777777" w:rsidR="00000000" w:rsidRDefault="00087966">
      <w:pPr>
        <w:pStyle w:val="a3"/>
        <w:spacing w:before="0" w:beforeAutospacing="0" w:after="0" w:afterAutospacing="0"/>
        <w:jc w:val="center"/>
        <w:divId w:val="1121924815"/>
        <w:rPr>
          <w:sz w:val="20"/>
          <w:szCs w:val="20"/>
        </w:rPr>
      </w:pPr>
      <w:r>
        <w:rPr>
          <w:sz w:val="20"/>
          <w:szCs w:val="20"/>
        </w:rPr>
        <w:t>8</w:t>
      </w:r>
    </w:p>
    <w:p w14:paraId="08C5DA5F" w14:textId="77777777" w:rsidR="00000000" w:rsidRDefault="00087966">
      <w:pPr>
        <w:pStyle w:val="a3"/>
        <w:spacing w:before="0" w:beforeAutospacing="0" w:after="0" w:afterAutospacing="0"/>
        <w:divId w:val="814680197"/>
        <w:rPr>
          <w:sz w:val="20"/>
          <w:szCs w:val="20"/>
        </w:rPr>
      </w:pPr>
      <w:r>
        <w:rPr>
          <w:sz w:val="20"/>
          <w:szCs w:val="20"/>
        </w:rPr>
        <w:t> </w:t>
      </w:r>
    </w:p>
    <w:p w14:paraId="295725E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F5531DC" w14:textId="77777777" w:rsidR="00000000" w:rsidRDefault="00087966">
      <w:pPr>
        <w:pStyle w:val="a3"/>
        <w:spacing w:before="0" w:beforeAutospacing="0" w:after="0" w:afterAutospacing="0"/>
        <w:ind w:firstLine="720"/>
        <w:jc w:val="both"/>
        <w:divId w:val="1595479706"/>
        <w:rPr>
          <w:sz w:val="20"/>
          <w:szCs w:val="20"/>
        </w:rPr>
      </w:pPr>
      <w:r>
        <w:rPr>
          <w:sz w:val="20"/>
          <w:szCs w:val="20"/>
        </w:rPr>
        <w:t>The Common Stock Purchase Agreement and</w:t>
      </w:r>
      <w:r>
        <w:rPr>
          <w:sz w:val="20"/>
          <w:szCs w:val="20"/>
        </w:rPr>
        <w:t xml:space="preserve"> the CF Registration Rights Agreement contain customary representations, warranties, conditions and indemnification obligations of the parties. The representations, warranties and covenants contained in such agreements were made only for purposes of such a</w:t>
      </w:r>
      <w:r>
        <w:rPr>
          <w:sz w:val="20"/>
          <w:szCs w:val="20"/>
        </w:rPr>
        <w:t>greements and as of specific dates, were solely for the benefit of the parties to such agreements and may be subject to limitations agreed upon by the contracting parties.</w:t>
      </w:r>
    </w:p>
    <w:p w14:paraId="526687D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275D816" w14:textId="77777777" w:rsidR="00000000" w:rsidRDefault="00087966">
      <w:pPr>
        <w:pStyle w:val="a3"/>
        <w:spacing w:before="0" w:beforeAutospacing="0" w:after="0" w:afterAutospacing="0"/>
        <w:ind w:firstLine="720"/>
        <w:jc w:val="both"/>
        <w:divId w:val="1595479706"/>
        <w:rPr>
          <w:sz w:val="20"/>
          <w:szCs w:val="20"/>
        </w:rPr>
      </w:pPr>
      <w:r>
        <w:rPr>
          <w:sz w:val="20"/>
          <w:szCs w:val="20"/>
        </w:rPr>
        <w:t>Near will have the right to terminate the Common Stock Purchase Agreement at any t</w:t>
      </w:r>
      <w:r>
        <w:rPr>
          <w:sz w:val="20"/>
          <w:szCs w:val="20"/>
        </w:rPr>
        <w:t>ime after Commencement, at no cost or penalty, upon three (3) trading days’ prior written notice. Additionally, CF will have the right to terminate the Common Stock Purchase Agreement upon three days’ prior written notice to the Company if there is a Mater</w:t>
      </w:r>
      <w:r>
        <w:rPr>
          <w:sz w:val="20"/>
          <w:szCs w:val="20"/>
        </w:rPr>
        <w:t xml:space="preserve">ial Adverse Effect or a Fundamental Transaction (as defined in the Common Stock Purchase Agreement) or Near is in breach or default in any material respect of the Registration Rights Agreement, or trading in the Common Stock on the Nasdaq is suspended. No </w:t>
      </w:r>
      <w:r>
        <w:rPr>
          <w:sz w:val="20"/>
          <w:szCs w:val="20"/>
        </w:rPr>
        <w:t>termination of the Common Stock Purchase Agreement will affect the registration rights provisions contained in the CF Registration Rights Agreement.</w:t>
      </w:r>
    </w:p>
    <w:p w14:paraId="3DEF987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BB7CF5D"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In connection with the execution of the Common Stock Purchase Agreement, Near will issue to CF shares of </w:t>
      </w:r>
      <w:r>
        <w:rPr>
          <w:sz w:val="20"/>
          <w:szCs w:val="20"/>
        </w:rPr>
        <w:t>Common Stock in an amount equal to $2,000,000 at a per share price based on the price of Near’s Common Stock on the Commencement Date to CF as consideration for its irrevocable commitment to purchase the shares of Common Stock upon the terms and subject to</w:t>
      </w:r>
      <w:r>
        <w:rPr>
          <w:sz w:val="20"/>
          <w:szCs w:val="20"/>
        </w:rPr>
        <w:t xml:space="preserve"> the satisfaction of the conditions set forth in the Common Stock Purchase Agreement.</w:t>
      </w:r>
    </w:p>
    <w:p w14:paraId="459AF1F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4422A29" w14:textId="77777777" w:rsidR="00000000" w:rsidRDefault="00087966">
      <w:pPr>
        <w:pStyle w:val="a3"/>
        <w:spacing w:before="0" w:beforeAutospacing="0" w:after="0" w:afterAutospacing="0"/>
        <w:ind w:firstLine="720"/>
        <w:jc w:val="both"/>
        <w:divId w:val="1595479706"/>
        <w:rPr>
          <w:sz w:val="20"/>
          <w:szCs w:val="20"/>
        </w:rPr>
      </w:pPr>
      <w:r>
        <w:rPr>
          <w:sz w:val="20"/>
          <w:szCs w:val="20"/>
        </w:rPr>
        <w:t>Other than as specifically discussed, this Report does not assume the closing of the Near Business Combination.</w:t>
      </w:r>
    </w:p>
    <w:p w14:paraId="59584A06" w14:textId="77777777" w:rsidR="00000000" w:rsidRDefault="00087966">
      <w:pPr>
        <w:pStyle w:val="a3"/>
        <w:spacing w:before="0" w:beforeAutospacing="0" w:after="0" w:afterAutospacing="0"/>
        <w:jc w:val="both"/>
        <w:divId w:val="1595479706"/>
        <w:rPr>
          <w:sz w:val="20"/>
          <w:szCs w:val="20"/>
        </w:rPr>
      </w:pPr>
      <w:r>
        <w:rPr>
          <w:sz w:val="20"/>
          <w:szCs w:val="20"/>
        </w:rPr>
        <w:t> </w:t>
      </w:r>
    </w:p>
    <w:p w14:paraId="2B1CADEF" w14:textId="77777777" w:rsidR="00000000" w:rsidRDefault="00087966">
      <w:pPr>
        <w:pStyle w:val="a3"/>
        <w:spacing w:before="0" w:beforeAutospacing="0" w:after="0" w:afterAutospacing="0"/>
        <w:jc w:val="both"/>
        <w:divId w:val="1595479706"/>
        <w:rPr>
          <w:sz w:val="20"/>
          <w:szCs w:val="20"/>
        </w:rPr>
      </w:pPr>
      <w:r>
        <w:rPr>
          <w:b/>
          <w:bCs/>
          <w:sz w:val="20"/>
          <w:szCs w:val="20"/>
        </w:rPr>
        <w:t>Combination Period and Extensions</w:t>
      </w:r>
    </w:p>
    <w:p w14:paraId="064976E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B64386A"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Shortly following </w:t>
      </w:r>
      <w:r>
        <w:rPr>
          <w:sz w:val="20"/>
          <w:szCs w:val="20"/>
        </w:rPr>
        <w:t>entering into the Near Merger Agreement, we and Near discussed the timing of consummating the Closing and determined that additional time likely would be needed to complete regulatory review for the proposed Near Business Combination. Accordingly, on May 2</w:t>
      </w:r>
      <w:r>
        <w:rPr>
          <w:sz w:val="20"/>
          <w:szCs w:val="20"/>
        </w:rPr>
        <w:t>4, 2022, we and Near agreed that the Company should seek approval from its stockholders for an extension of up to six months to close the Near Business Combination extending the period for completing the Near Business Combination from July 11, 2022 to Janu</w:t>
      </w:r>
      <w:r>
        <w:rPr>
          <w:sz w:val="20"/>
          <w:szCs w:val="20"/>
        </w:rPr>
        <w:t>ary 11, 2023, the First Extension. In connection with seeking stockholder approval of this First Extension, it was also determined that, in order to incentivize the Company’s public stockholders to support the extension, approximately $0.03 per public shar</w:t>
      </w:r>
      <w:r>
        <w:rPr>
          <w:sz w:val="20"/>
          <w:szCs w:val="20"/>
        </w:rPr>
        <w:t>e per month should be deposited into the trust account for each public share that was not redeemed in connection with the stockholder meeting to approve the First Extension. The Company initially requested that Near provide extension funding for several re</w:t>
      </w:r>
      <w:r>
        <w:rPr>
          <w:sz w:val="20"/>
          <w:szCs w:val="20"/>
        </w:rPr>
        <w:t>asons, primarily to minimize stockholder concerns about the ability to consummate an extension, because the funding was pre-committed, and more importantly to demonstrate that Near was committed to the business combination. Additionally, Near, which had al</w:t>
      </w:r>
      <w:r>
        <w:rPr>
          <w:sz w:val="20"/>
          <w:szCs w:val="20"/>
        </w:rPr>
        <w:t>ready invested a significant amount of time and resources into preparing for a public listing via the proposed Near Business Combination, believed that the opportunity cost of terminating the proposed business combination was higher than the incremental fi</w:t>
      </w:r>
      <w:r>
        <w:rPr>
          <w:sz w:val="20"/>
          <w:szCs w:val="20"/>
        </w:rPr>
        <w:t>nancing to support the extension. As such, Near was willing to loan to the Company the cash needed solely to fund $0.03 per public share per month through January 11, 2023 not redeemed, to deposit into the trust account, and to be repaid upon the consummat</w:t>
      </w:r>
      <w:r>
        <w:rPr>
          <w:sz w:val="20"/>
          <w:szCs w:val="20"/>
        </w:rPr>
        <w:t>ion of the Company’s initial business combination.</w:t>
      </w:r>
    </w:p>
    <w:p w14:paraId="5ED51DF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0EA5B74" w14:textId="77777777" w:rsidR="00000000" w:rsidRDefault="00087966">
      <w:pPr>
        <w:pStyle w:val="a3"/>
        <w:spacing w:before="0" w:beforeAutospacing="0" w:after="0" w:afterAutospacing="0"/>
        <w:ind w:firstLine="720"/>
        <w:jc w:val="both"/>
        <w:divId w:val="1595479706"/>
        <w:rPr>
          <w:sz w:val="20"/>
          <w:szCs w:val="20"/>
        </w:rPr>
      </w:pPr>
      <w:r>
        <w:rPr>
          <w:sz w:val="20"/>
          <w:szCs w:val="20"/>
        </w:rPr>
        <w:t>While Near was willing to fund the $0.03 per public share per month in connection with the First Extension, Near’s debt instruments included covenants that prohibited the release of such funds in the for</w:t>
      </w:r>
      <w:r>
        <w:rPr>
          <w:sz w:val="20"/>
          <w:szCs w:val="20"/>
        </w:rPr>
        <w:t>m of a loan to the Company to be deposited into the trust account. Upon discussion and an understanding of the situation, the sponsor agreed to fund the extension funds.</w:t>
      </w:r>
    </w:p>
    <w:p w14:paraId="29C32DC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FBF434B" w14:textId="77777777" w:rsidR="00000000" w:rsidRDefault="00087966">
      <w:pPr>
        <w:pStyle w:val="a3"/>
        <w:spacing w:before="0" w:beforeAutospacing="0" w:after="0" w:afterAutospacing="0"/>
        <w:jc w:val="center"/>
        <w:divId w:val="1357004948"/>
        <w:rPr>
          <w:sz w:val="20"/>
          <w:szCs w:val="20"/>
        </w:rPr>
      </w:pPr>
      <w:r>
        <w:rPr>
          <w:sz w:val="20"/>
          <w:szCs w:val="20"/>
        </w:rPr>
        <w:t>9</w:t>
      </w:r>
    </w:p>
    <w:p w14:paraId="27856997" w14:textId="77777777" w:rsidR="00000000" w:rsidRDefault="00087966">
      <w:pPr>
        <w:pStyle w:val="a3"/>
        <w:spacing w:before="0" w:beforeAutospacing="0" w:after="0" w:afterAutospacing="0"/>
        <w:divId w:val="65106171"/>
        <w:rPr>
          <w:sz w:val="20"/>
          <w:szCs w:val="20"/>
        </w:rPr>
      </w:pPr>
      <w:r>
        <w:rPr>
          <w:sz w:val="20"/>
          <w:szCs w:val="20"/>
        </w:rPr>
        <w:t> </w:t>
      </w:r>
    </w:p>
    <w:p w14:paraId="44309B6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7C768B6" w14:textId="77777777" w:rsidR="00000000" w:rsidRDefault="00087966">
      <w:pPr>
        <w:pStyle w:val="a3"/>
        <w:spacing w:before="0" w:beforeAutospacing="0" w:after="0" w:afterAutospacing="0"/>
        <w:ind w:firstLine="720"/>
        <w:jc w:val="both"/>
        <w:divId w:val="1595479706"/>
        <w:rPr>
          <w:sz w:val="20"/>
          <w:szCs w:val="20"/>
        </w:rPr>
      </w:pPr>
      <w:r>
        <w:rPr>
          <w:sz w:val="20"/>
          <w:szCs w:val="20"/>
        </w:rPr>
        <w:t>On July 7, 2022, the Company’s stockholders approved the First Extension, exte</w:t>
      </w:r>
      <w:r>
        <w:rPr>
          <w:sz w:val="20"/>
          <w:szCs w:val="20"/>
        </w:rPr>
        <w:t>nding the date by which the Company must consummate its initial business combination from July 11, 2022 to January 11, 2023 (or such earlier date, subject to certain conditions of the Near Merger Agreement, as determined by the board of directors). Because</w:t>
      </w:r>
      <w:r>
        <w:rPr>
          <w:sz w:val="20"/>
          <w:szCs w:val="20"/>
        </w:rPr>
        <w:t xml:space="preserve"> the Near Business Combination still had not closed by late November, the parties agreed to seek a further extension, and on January 6, 2023, the Company sought stockholder approval of, and the Company’s stockholders approved, the Second Extension, extendi</w:t>
      </w:r>
      <w:r>
        <w:rPr>
          <w:sz w:val="20"/>
          <w:szCs w:val="20"/>
        </w:rPr>
        <w:t>ng the date by which the Company must consummate its initial business combination from January 11, 2023 to April 11, 2023 (or such earlier date as determined by the board of directors). If the Company’s initial business combination, such as the Near Busine</w:t>
      </w:r>
      <w:r>
        <w:rPr>
          <w:sz w:val="20"/>
          <w:szCs w:val="20"/>
        </w:rPr>
        <w:t>ss Combination, is not consummated by April 11, 2023, then the Company’s existence will terminate, and the Company will distribute the amounts in the trust account as provided in the Company’s amended and restated certificate of incorporation. In connectio</w:t>
      </w:r>
      <w:r>
        <w:rPr>
          <w:sz w:val="20"/>
          <w:szCs w:val="20"/>
        </w:rPr>
        <w:t>n with the First Extension, the Company’s stockholders holding 6,845,606 public shares exercised their right to redeem such shares for a pro rata portion of the funds in the trust account. As a result, $68,488,348 (approximately $10.00 per share) was remov</w:t>
      </w:r>
      <w:r>
        <w:rPr>
          <w:sz w:val="20"/>
          <w:szCs w:val="20"/>
        </w:rPr>
        <w:t>ed from the trust account to pay such holders. In connection with the First Extension, on July 7, 2022, the Company issued a promissory note in the aggregate principal amount of up to $2,060,070 (the “First Extension Funds”) to the sponsor, pursuant to whi</w:t>
      </w:r>
      <w:r>
        <w:rPr>
          <w:sz w:val="20"/>
          <w:szCs w:val="20"/>
        </w:rPr>
        <w:t xml:space="preserve">ch the sponsor agreed to provide the Company with equal installments of $343,345, to be deposited into the trust account for each month in which the date by which the Company must consummate its initial business combination is extended, from July 11, 2022 </w:t>
      </w:r>
      <w:r>
        <w:rPr>
          <w:sz w:val="20"/>
          <w:szCs w:val="20"/>
        </w:rPr>
        <w:t>until January 11, 2023, up to an amount in the aggregate equal to the First Extension Funds.</w:t>
      </w:r>
    </w:p>
    <w:p w14:paraId="5808C5D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39B8E84" w14:textId="77777777" w:rsidR="00000000" w:rsidRDefault="00087966">
      <w:pPr>
        <w:pStyle w:val="a3"/>
        <w:spacing w:before="0" w:beforeAutospacing="0" w:after="0" w:afterAutospacing="0"/>
        <w:ind w:firstLine="720"/>
        <w:jc w:val="both"/>
        <w:divId w:val="1595479706"/>
        <w:rPr>
          <w:sz w:val="20"/>
          <w:szCs w:val="20"/>
        </w:rPr>
      </w:pPr>
      <w:r>
        <w:rPr>
          <w:sz w:val="20"/>
          <w:szCs w:val="20"/>
        </w:rPr>
        <w:t>On November 23, 2022, following certain accommodations under Near’</w:t>
      </w:r>
      <w:r>
        <w:rPr>
          <w:sz w:val="20"/>
          <w:szCs w:val="20"/>
        </w:rPr>
        <w:t>s debt instruments, Near was able to, and agreed to, fund the extension funds starting November 2022. Near committed to loan certain of the Extension Funds to the Company, and the Company issued a promissory note, dated as of November 18, 2022, in the aggr</w:t>
      </w:r>
      <w:r>
        <w:rPr>
          <w:sz w:val="20"/>
          <w:szCs w:val="20"/>
        </w:rPr>
        <w:t>egate principal amount of up to $686,690, to Near (the “Near Extension Note”). The Near Extension Note relates to the final two payments of the First Extension Funds of $343,345 each. As of January 17, 2023, an aggregate of $2,060,070 has been drawn down o</w:t>
      </w:r>
      <w:r>
        <w:rPr>
          <w:sz w:val="20"/>
          <w:szCs w:val="20"/>
        </w:rPr>
        <w:t>n the First Extension Funds and the Near Extension Note and deposited into the trust account to cover the six months paid in connection with the First Extension.</w:t>
      </w:r>
    </w:p>
    <w:p w14:paraId="61B758F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1DD9F20" w14:textId="77777777" w:rsidR="00000000" w:rsidRDefault="00087966">
      <w:pPr>
        <w:pStyle w:val="a3"/>
        <w:spacing w:before="0" w:beforeAutospacing="0" w:after="0" w:afterAutospacing="0"/>
        <w:ind w:firstLine="720"/>
        <w:jc w:val="both"/>
        <w:divId w:val="1595479706"/>
        <w:rPr>
          <w:sz w:val="20"/>
          <w:szCs w:val="20"/>
        </w:rPr>
      </w:pPr>
      <w:r>
        <w:rPr>
          <w:sz w:val="20"/>
          <w:szCs w:val="20"/>
        </w:rPr>
        <w:t>In connection with the Second Extension, stockholders holding 9,786,530 public shares exerci</w:t>
      </w:r>
      <w:r>
        <w:rPr>
          <w:sz w:val="20"/>
          <w:szCs w:val="20"/>
        </w:rPr>
        <w:t>sed their right to redeem their shares for a pro rata portion of the funds in the trust account. As a result, approximately $101 million (approximately $10.32 per public share) was removed from the trust account to pay such holders and approximately $6.376</w:t>
      </w:r>
      <w:r>
        <w:rPr>
          <w:sz w:val="20"/>
          <w:szCs w:val="20"/>
        </w:rPr>
        <w:t> million remained in the trust account. Following redemptions, the Company has 617,864 public shares outstanding.</w:t>
      </w:r>
    </w:p>
    <w:p w14:paraId="3E2E77D3" w14:textId="77777777" w:rsidR="00000000" w:rsidRDefault="00087966">
      <w:pPr>
        <w:pStyle w:val="a3"/>
        <w:spacing w:before="0" w:beforeAutospacing="0" w:after="0" w:afterAutospacing="0"/>
        <w:jc w:val="both"/>
        <w:divId w:val="1595479706"/>
        <w:rPr>
          <w:sz w:val="20"/>
          <w:szCs w:val="20"/>
        </w:rPr>
      </w:pPr>
      <w:r>
        <w:rPr>
          <w:sz w:val="20"/>
          <w:szCs w:val="20"/>
        </w:rPr>
        <w:t> </w:t>
      </w:r>
    </w:p>
    <w:p w14:paraId="17B7B465" w14:textId="77777777" w:rsidR="00000000" w:rsidRDefault="00087966">
      <w:pPr>
        <w:pStyle w:val="a3"/>
        <w:spacing w:before="0" w:beforeAutospacing="0" w:after="0" w:afterAutospacing="0"/>
        <w:jc w:val="both"/>
        <w:divId w:val="1595479706"/>
        <w:rPr>
          <w:sz w:val="20"/>
          <w:szCs w:val="20"/>
        </w:rPr>
      </w:pPr>
      <w:r>
        <w:rPr>
          <w:b/>
          <w:bCs/>
          <w:sz w:val="20"/>
          <w:szCs w:val="20"/>
        </w:rPr>
        <w:t>Our Opportunity</w:t>
      </w:r>
    </w:p>
    <w:p w14:paraId="7D9038E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0E3777E" w14:textId="77777777" w:rsidR="00000000" w:rsidRDefault="00087966">
      <w:pPr>
        <w:pStyle w:val="a3"/>
        <w:spacing w:before="0" w:beforeAutospacing="0" w:after="0" w:afterAutospacing="0"/>
        <w:ind w:firstLine="720"/>
        <w:jc w:val="both"/>
        <w:divId w:val="1595479706"/>
        <w:rPr>
          <w:sz w:val="20"/>
          <w:szCs w:val="20"/>
        </w:rPr>
      </w:pPr>
      <w:r>
        <w:rPr>
          <w:sz w:val="20"/>
          <w:szCs w:val="20"/>
        </w:rPr>
        <w:t>We are pursuing a business combination, such as the Near Business Combination, with a high-quality software or technology-</w:t>
      </w:r>
      <w:r>
        <w:rPr>
          <w:sz w:val="20"/>
          <w:szCs w:val="20"/>
        </w:rPr>
        <w:t>enabled growth business serving consumers or enterprises in the United States with an enterprise value between $500 million and $1.5 billion. We are searching for a target company that will generate value to its customers and rely on differentiated softwar</w:t>
      </w:r>
      <w:r>
        <w:rPr>
          <w:sz w:val="20"/>
          <w:szCs w:val="20"/>
        </w:rPr>
        <w:t>e for customer acquisition, efficiency gains, process improvement or customer retention and service. While the private capital markets for technology companies have seen a significant influx of capital in recent years, causing companies to remain private l</w:t>
      </w:r>
      <w:r>
        <w:rPr>
          <w:sz w:val="20"/>
          <w:szCs w:val="20"/>
        </w:rPr>
        <w:t>onger, we believe there are advantages to being a public company, including increased access to capital, strong brand awareness and increased liquidity for shareholders.</w:t>
      </w:r>
    </w:p>
    <w:p w14:paraId="516BEF9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4D282DD" w14:textId="77777777" w:rsidR="00000000" w:rsidRDefault="00087966">
      <w:pPr>
        <w:pStyle w:val="a3"/>
        <w:spacing w:before="0" w:beforeAutospacing="0" w:after="0" w:afterAutospacing="0"/>
        <w:ind w:firstLine="720"/>
        <w:jc w:val="both"/>
        <w:divId w:val="1595479706"/>
        <w:rPr>
          <w:sz w:val="20"/>
          <w:szCs w:val="20"/>
        </w:rPr>
      </w:pPr>
      <w:r>
        <w:rPr>
          <w:sz w:val="20"/>
          <w:szCs w:val="20"/>
        </w:rPr>
        <w:t>We believe that our intended target companies will benefit from becoming publicly-he</w:t>
      </w:r>
      <w:r>
        <w:rPr>
          <w:sz w:val="20"/>
          <w:szCs w:val="20"/>
        </w:rPr>
        <w:t>ld companies following a business combination with our company. We are targeting growth-oriented companies, such as Near, with a strong and experienced management team that we believe can realize the longer term benefits of being a public company.</w:t>
      </w:r>
    </w:p>
    <w:p w14:paraId="0AF3356D" w14:textId="77777777" w:rsidR="00000000" w:rsidRDefault="00087966">
      <w:pPr>
        <w:pStyle w:val="a3"/>
        <w:spacing w:before="0" w:beforeAutospacing="0" w:after="0" w:afterAutospacing="0"/>
        <w:jc w:val="both"/>
        <w:divId w:val="1595479706"/>
        <w:rPr>
          <w:sz w:val="20"/>
          <w:szCs w:val="20"/>
        </w:rPr>
      </w:pPr>
      <w:r>
        <w:rPr>
          <w:sz w:val="20"/>
          <w:szCs w:val="20"/>
        </w:rPr>
        <w:t> </w:t>
      </w:r>
    </w:p>
    <w:p w14:paraId="2F55419C" w14:textId="77777777" w:rsidR="00000000" w:rsidRDefault="00087966">
      <w:pPr>
        <w:pStyle w:val="a3"/>
        <w:spacing w:before="0" w:beforeAutospacing="0" w:after="0" w:afterAutospacing="0"/>
        <w:jc w:val="both"/>
        <w:divId w:val="1595479706"/>
        <w:rPr>
          <w:sz w:val="20"/>
          <w:szCs w:val="20"/>
        </w:rPr>
      </w:pPr>
      <w:r>
        <w:rPr>
          <w:b/>
          <w:bCs/>
          <w:sz w:val="20"/>
          <w:szCs w:val="20"/>
        </w:rPr>
        <w:t>Our Va</w:t>
      </w:r>
      <w:r>
        <w:rPr>
          <w:b/>
          <w:bCs/>
          <w:sz w:val="20"/>
          <w:szCs w:val="20"/>
        </w:rPr>
        <w:t>lue Proposition</w:t>
      </w:r>
    </w:p>
    <w:p w14:paraId="74C2BB2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D93FF25" w14:textId="77777777" w:rsidR="00000000" w:rsidRDefault="00087966">
      <w:pPr>
        <w:pStyle w:val="a3"/>
        <w:spacing w:before="0" w:beforeAutospacing="0" w:after="0" w:afterAutospacing="0"/>
        <w:ind w:firstLine="720"/>
        <w:jc w:val="both"/>
        <w:divId w:val="1595479706"/>
        <w:rPr>
          <w:sz w:val="20"/>
          <w:szCs w:val="20"/>
        </w:rPr>
      </w:pPr>
      <w:r>
        <w:rPr>
          <w:sz w:val="20"/>
          <w:szCs w:val="20"/>
        </w:rPr>
        <w:t>Our team collectively has made over 100 investments in both public and private markets in the consumer &amp; consumer technology, IT services &amp; enterprise software, financial services &amp; financial technology, healthcare technology and electric</w:t>
      </w:r>
      <w:r>
        <w:rPr>
          <w:sz w:val="20"/>
          <w:szCs w:val="20"/>
        </w:rPr>
        <w:t>al vehicle sectors, which has led to deep domain expertise and industry relationships. We believe our experience in both the private and public markets are a value-add to identifying prospective target companies, primarily high-quality software or technolo</w:t>
      </w:r>
      <w:r>
        <w:rPr>
          <w:sz w:val="20"/>
          <w:szCs w:val="20"/>
        </w:rPr>
        <w:t>gy-enabled growth businesses serving consumers or enterprises in the United States with an enterprise value between $500 million and $1.5 billion.</w:t>
      </w:r>
    </w:p>
    <w:p w14:paraId="61B01F0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CA45C97" w14:textId="77777777" w:rsidR="00000000" w:rsidRDefault="00087966">
      <w:pPr>
        <w:pStyle w:val="a3"/>
        <w:spacing w:before="0" w:beforeAutospacing="0" w:after="0" w:afterAutospacing="0"/>
        <w:jc w:val="center"/>
        <w:divId w:val="1795322897"/>
        <w:rPr>
          <w:sz w:val="20"/>
          <w:szCs w:val="20"/>
        </w:rPr>
      </w:pPr>
      <w:r>
        <w:rPr>
          <w:sz w:val="20"/>
          <w:szCs w:val="20"/>
        </w:rPr>
        <w:t>1</w:t>
      </w:r>
      <w:r>
        <w:rPr>
          <w:sz w:val="20"/>
          <w:szCs w:val="20"/>
        </w:rPr>
        <w:t>0</w:t>
      </w:r>
    </w:p>
    <w:p w14:paraId="0880D40B" w14:textId="77777777" w:rsidR="00000000" w:rsidRDefault="00087966">
      <w:pPr>
        <w:pStyle w:val="a3"/>
        <w:spacing w:before="0" w:beforeAutospacing="0" w:after="0" w:afterAutospacing="0"/>
        <w:divId w:val="1257908967"/>
        <w:rPr>
          <w:sz w:val="20"/>
          <w:szCs w:val="20"/>
        </w:rPr>
      </w:pPr>
      <w:r>
        <w:rPr>
          <w:sz w:val="20"/>
          <w:szCs w:val="20"/>
        </w:rPr>
        <w:t> </w:t>
      </w:r>
    </w:p>
    <w:p w14:paraId="51534C8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3AC19DC"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Our approach to identifying and evaluating potential target companies combines our team’s extensive </w:t>
      </w:r>
      <w:r>
        <w:rPr>
          <w:sz w:val="20"/>
          <w:szCs w:val="20"/>
        </w:rPr>
        <w:t>investing experience with our application of data science and our ability to access management teams through the Indian diaspora network.</w:t>
      </w:r>
    </w:p>
    <w:p w14:paraId="7C68CA9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B30C923" w14:textId="77777777" w:rsidR="00000000" w:rsidRDefault="00087966">
      <w:pPr>
        <w:pStyle w:val="a3"/>
        <w:spacing w:before="0" w:beforeAutospacing="0" w:after="0" w:afterAutospacing="0"/>
        <w:ind w:firstLine="720"/>
        <w:jc w:val="both"/>
        <w:divId w:val="1595479706"/>
        <w:rPr>
          <w:sz w:val="20"/>
          <w:szCs w:val="20"/>
        </w:rPr>
      </w:pPr>
      <w:r>
        <w:rPr>
          <w:sz w:val="20"/>
          <w:szCs w:val="20"/>
        </w:rPr>
        <w:t>We believe our network within the Indian diaspora provides access to a differentiated set of target companies. Accor</w:t>
      </w:r>
      <w:r>
        <w:rPr>
          <w:sz w:val="20"/>
          <w:szCs w:val="20"/>
        </w:rPr>
        <w:t>ding to research from the Kauffman Foundation, 33% of all immigrant-founded companies in the United States have Indian founders, a significantly higher percentage than any other ethnicity. From 2012 through 2017, 14 of the 261 private companies with valuat</w:t>
      </w:r>
      <w:r>
        <w:rPr>
          <w:sz w:val="20"/>
          <w:szCs w:val="20"/>
        </w:rPr>
        <w:t>ions in excess of $1 billion (so-called “unicorns”) had Indian co-founders, and 17 companies with Indian co-founders conducted initial public offerings and commanded a market cap in excess of $26 billion. In addition to the network advantage, we believe ou</w:t>
      </w:r>
      <w:r>
        <w:rPr>
          <w:sz w:val="20"/>
          <w:szCs w:val="20"/>
        </w:rPr>
        <w:t>r connections to the Indian diaspora provides access to a great talent pool.</w:t>
      </w:r>
    </w:p>
    <w:p w14:paraId="79A12C3D" w14:textId="77777777" w:rsidR="00000000" w:rsidRDefault="00087966">
      <w:pPr>
        <w:pStyle w:val="a3"/>
        <w:spacing w:before="0" w:beforeAutospacing="0" w:after="0" w:afterAutospacing="0"/>
        <w:jc w:val="both"/>
        <w:divId w:val="1595479706"/>
        <w:rPr>
          <w:sz w:val="20"/>
          <w:szCs w:val="20"/>
        </w:rPr>
      </w:pPr>
      <w:r>
        <w:rPr>
          <w:sz w:val="20"/>
          <w:szCs w:val="20"/>
        </w:rPr>
        <w:t> </w:t>
      </w:r>
    </w:p>
    <w:p w14:paraId="372B08E9" w14:textId="77777777" w:rsidR="00000000" w:rsidRDefault="00087966">
      <w:pPr>
        <w:pStyle w:val="a3"/>
        <w:spacing w:before="0" w:beforeAutospacing="0" w:after="0" w:afterAutospacing="0"/>
        <w:jc w:val="both"/>
        <w:divId w:val="1595479706"/>
        <w:rPr>
          <w:sz w:val="20"/>
          <w:szCs w:val="20"/>
        </w:rPr>
      </w:pPr>
      <w:r>
        <w:rPr>
          <w:b/>
          <w:bCs/>
          <w:sz w:val="20"/>
          <w:szCs w:val="20"/>
        </w:rPr>
        <w:t>Our Competitive Advantage</w:t>
      </w:r>
    </w:p>
    <w:p w14:paraId="0901AA17"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407D1820" w14:textId="77777777">
        <w:trPr>
          <w:divId w:val="1595479706"/>
        </w:trPr>
        <w:tc>
          <w:tcPr>
            <w:tcW w:w="720" w:type="dxa"/>
            <w:hideMark/>
          </w:tcPr>
          <w:p w14:paraId="1FE6E6DC" w14:textId="77777777" w:rsidR="00000000" w:rsidRDefault="00087966">
            <w:pPr>
              <w:rPr>
                <w:rFonts w:eastAsia="Times New Roman"/>
                <w:sz w:val="20"/>
                <w:szCs w:val="20"/>
              </w:rPr>
            </w:pPr>
            <w:r>
              <w:rPr>
                <w:rFonts w:eastAsia="Times New Roman"/>
                <w:sz w:val="20"/>
                <w:szCs w:val="20"/>
              </w:rPr>
              <w:t> </w:t>
            </w:r>
          </w:p>
        </w:tc>
        <w:tc>
          <w:tcPr>
            <w:tcW w:w="360" w:type="dxa"/>
            <w:hideMark/>
          </w:tcPr>
          <w:p w14:paraId="783349BB" w14:textId="77777777" w:rsidR="00000000" w:rsidRDefault="00087966">
            <w:pPr>
              <w:rPr>
                <w:rFonts w:eastAsia="Times New Roman"/>
                <w:sz w:val="20"/>
                <w:szCs w:val="20"/>
              </w:rPr>
            </w:pPr>
            <w:r>
              <w:rPr>
                <w:rFonts w:eastAsia="Times New Roman"/>
                <w:b/>
                <w:bCs/>
                <w:sz w:val="20"/>
                <w:szCs w:val="20"/>
              </w:rPr>
              <w:t>●</w:t>
            </w:r>
          </w:p>
        </w:tc>
        <w:tc>
          <w:tcPr>
            <w:tcW w:w="0" w:type="auto"/>
            <w:hideMark/>
          </w:tcPr>
          <w:p w14:paraId="62A07388" w14:textId="77777777" w:rsidR="00000000" w:rsidRDefault="00087966">
            <w:pPr>
              <w:jc w:val="both"/>
              <w:rPr>
                <w:rFonts w:eastAsia="Times New Roman"/>
                <w:sz w:val="20"/>
                <w:szCs w:val="20"/>
              </w:rPr>
            </w:pPr>
            <w:r>
              <w:rPr>
                <w:rFonts w:eastAsia="Times New Roman"/>
                <w:b/>
                <w:bCs/>
                <w:sz w:val="20"/>
                <w:szCs w:val="20"/>
              </w:rPr>
              <w:t>Extensive Investment Experience:</w:t>
            </w:r>
            <w:r>
              <w:rPr>
                <w:rFonts w:eastAsia="Times New Roman"/>
                <w:sz w:val="20"/>
                <w:szCs w:val="20"/>
              </w:rPr>
              <w:t> Our team members have 75 </w:t>
            </w:r>
            <w:r>
              <w:rPr>
                <w:rFonts w:eastAsia="Times New Roman"/>
                <w:sz w:val="20"/>
                <w:szCs w:val="20"/>
              </w:rPr>
              <w:t>years of combined investment experience in both private and public markets and have made 100 investments through a variety of investment climates and technology trends. We believe this experience provides us a valuable perspective on potential target busin</w:t>
            </w:r>
            <w:r>
              <w:rPr>
                <w:rFonts w:eastAsia="Times New Roman"/>
                <w:sz w:val="20"/>
                <w:szCs w:val="20"/>
              </w:rPr>
              <w:t>esses.</w:t>
            </w:r>
          </w:p>
        </w:tc>
      </w:tr>
    </w:tbl>
    <w:p w14:paraId="1A1356CC"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9339E02" w14:textId="77777777">
        <w:trPr>
          <w:divId w:val="1595479706"/>
        </w:trPr>
        <w:tc>
          <w:tcPr>
            <w:tcW w:w="720" w:type="dxa"/>
            <w:hideMark/>
          </w:tcPr>
          <w:p w14:paraId="72F59B69" w14:textId="77777777" w:rsidR="00000000" w:rsidRDefault="00087966">
            <w:pPr>
              <w:rPr>
                <w:rFonts w:eastAsia="Times New Roman"/>
                <w:sz w:val="20"/>
                <w:szCs w:val="20"/>
              </w:rPr>
            </w:pPr>
            <w:r>
              <w:rPr>
                <w:rFonts w:eastAsia="Times New Roman"/>
                <w:sz w:val="20"/>
                <w:szCs w:val="20"/>
              </w:rPr>
              <w:t> </w:t>
            </w:r>
          </w:p>
        </w:tc>
        <w:tc>
          <w:tcPr>
            <w:tcW w:w="360" w:type="dxa"/>
            <w:hideMark/>
          </w:tcPr>
          <w:p w14:paraId="5357FA0A" w14:textId="77777777" w:rsidR="00000000" w:rsidRDefault="00087966">
            <w:pPr>
              <w:rPr>
                <w:rFonts w:eastAsia="Times New Roman"/>
                <w:sz w:val="20"/>
                <w:szCs w:val="20"/>
              </w:rPr>
            </w:pPr>
            <w:r>
              <w:rPr>
                <w:rFonts w:eastAsia="Times New Roman"/>
                <w:b/>
                <w:bCs/>
                <w:sz w:val="20"/>
                <w:szCs w:val="20"/>
              </w:rPr>
              <w:t>●</w:t>
            </w:r>
          </w:p>
        </w:tc>
        <w:tc>
          <w:tcPr>
            <w:tcW w:w="0" w:type="auto"/>
            <w:hideMark/>
          </w:tcPr>
          <w:p w14:paraId="712024E0" w14:textId="77777777" w:rsidR="00000000" w:rsidRDefault="00087966">
            <w:pPr>
              <w:jc w:val="both"/>
              <w:rPr>
                <w:rFonts w:eastAsia="Times New Roman"/>
                <w:sz w:val="20"/>
                <w:szCs w:val="20"/>
              </w:rPr>
            </w:pPr>
            <w:r>
              <w:rPr>
                <w:rFonts w:eastAsia="Times New Roman"/>
                <w:b/>
                <w:bCs/>
                <w:sz w:val="20"/>
                <w:szCs w:val="20"/>
              </w:rPr>
              <w:t>Operational Experience:</w:t>
            </w:r>
            <w:r>
              <w:rPr>
                <w:rFonts w:eastAsia="Times New Roman"/>
                <w:sz w:val="20"/>
                <w:szCs w:val="20"/>
              </w:rPr>
              <w:t> Our team is comprised of former entrepreneurs who have founded companies, sold companies and taken companies public. Our team members sit on the boards of directors of a number of high-profile private and public compan</w:t>
            </w:r>
            <w:r>
              <w:rPr>
                <w:rFonts w:eastAsia="Times New Roman"/>
                <w:sz w:val="20"/>
                <w:szCs w:val="20"/>
              </w:rPr>
              <w:t>ies in both India and the United States.</w:t>
            </w:r>
          </w:p>
        </w:tc>
      </w:tr>
    </w:tbl>
    <w:p w14:paraId="4C419DA6"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1E92886A" w14:textId="77777777">
        <w:trPr>
          <w:divId w:val="1595479706"/>
        </w:trPr>
        <w:tc>
          <w:tcPr>
            <w:tcW w:w="720" w:type="dxa"/>
            <w:hideMark/>
          </w:tcPr>
          <w:p w14:paraId="0C49CAF1" w14:textId="77777777" w:rsidR="00000000" w:rsidRDefault="00087966">
            <w:pPr>
              <w:rPr>
                <w:rFonts w:eastAsia="Times New Roman"/>
                <w:sz w:val="20"/>
                <w:szCs w:val="20"/>
              </w:rPr>
            </w:pPr>
            <w:r>
              <w:rPr>
                <w:rFonts w:eastAsia="Times New Roman"/>
                <w:sz w:val="20"/>
                <w:szCs w:val="20"/>
              </w:rPr>
              <w:t> </w:t>
            </w:r>
          </w:p>
        </w:tc>
        <w:tc>
          <w:tcPr>
            <w:tcW w:w="360" w:type="dxa"/>
            <w:hideMark/>
          </w:tcPr>
          <w:p w14:paraId="05FB26AB" w14:textId="77777777" w:rsidR="00000000" w:rsidRDefault="00087966">
            <w:pPr>
              <w:rPr>
                <w:rFonts w:eastAsia="Times New Roman"/>
                <w:sz w:val="20"/>
                <w:szCs w:val="20"/>
              </w:rPr>
            </w:pPr>
            <w:r>
              <w:rPr>
                <w:rFonts w:eastAsia="Times New Roman"/>
                <w:sz w:val="20"/>
                <w:szCs w:val="20"/>
              </w:rPr>
              <w:t>●</w:t>
            </w:r>
          </w:p>
        </w:tc>
        <w:tc>
          <w:tcPr>
            <w:tcW w:w="0" w:type="auto"/>
            <w:hideMark/>
          </w:tcPr>
          <w:p w14:paraId="0F071A8F" w14:textId="77777777" w:rsidR="00000000" w:rsidRDefault="00087966">
            <w:pPr>
              <w:jc w:val="both"/>
              <w:rPr>
                <w:rFonts w:eastAsia="Times New Roman"/>
                <w:sz w:val="20"/>
                <w:szCs w:val="20"/>
              </w:rPr>
            </w:pPr>
            <w:r>
              <w:rPr>
                <w:rFonts w:eastAsia="Times New Roman"/>
                <w:b/>
                <w:bCs/>
                <w:sz w:val="20"/>
                <w:szCs w:val="20"/>
              </w:rPr>
              <w:t>Strong Network of CXOs and Advisory Board:</w:t>
            </w:r>
            <w:r>
              <w:rPr>
                <w:rFonts w:eastAsia="Times New Roman"/>
                <w:sz w:val="20"/>
                <w:szCs w:val="20"/>
              </w:rPr>
              <w:t> We have an extensive network of experienced Chief Experience Officer operators that we believe will add significant value to companies through technological, operati</w:t>
            </w:r>
            <w:r>
              <w:rPr>
                <w:rFonts w:eastAsia="Times New Roman"/>
                <w:sz w:val="20"/>
                <w:szCs w:val="20"/>
              </w:rPr>
              <w:t>onal and strategic advice. We believe this network makes us an attractive suitor to potential business combination targets.</w:t>
            </w:r>
          </w:p>
        </w:tc>
      </w:tr>
    </w:tbl>
    <w:p w14:paraId="76880147"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A3CE572" w14:textId="77777777">
        <w:trPr>
          <w:divId w:val="1595479706"/>
        </w:trPr>
        <w:tc>
          <w:tcPr>
            <w:tcW w:w="720" w:type="dxa"/>
            <w:hideMark/>
          </w:tcPr>
          <w:p w14:paraId="5AA5F887" w14:textId="77777777" w:rsidR="00000000" w:rsidRDefault="00087966">
            <w:pPr>
              <w:rPr>
                <w:rFonts w:eastAsia="Times New Roman"/>
                <w:sz w:val="20"/>
                <w:szCs w:val="20"/>
              </w:rPr>
            </w:pPr>
            <w:r>
              <w:rPr>
                <w:rFonts w:eastAsia="Times New Roman"/>
                <w:sz w:val="20"/>
                <w:szCs w:val="20"/>
              </w:rPr>
              <w:t> </w:t>
            </w:r>
          </w:p>
        </w:tc>
        <w:tc>
          <w:tcPr>
            <w:tcW w:w="360" w:type="dxa"/>
            <w:hideMark/>
          </w:tcPr>
          <w:p w14:paraId="2C3C3713" w14:textId="77777777" w:rsidR="00000000" w:rsidRDefault="00087966">
            <w:pPr>
              <w:rPr>
                <w:rFonts w:eastAsia="Times New Roman"/>
                <w:sz w:val="20"/>
                <w:szCs w:val="20"/>
              </w:rPr>
            </w:pPr>
            <w:r>
              <w:rPr>
                <w:rFonts w:eastAsia="Times New Roman"/>
                <w:sz w:val="20"/>
                <w:szCs w:val="20"/>
              </w:rPr>
              <w:t>●</w:t>
            </w:r>
          </w:p>
        </w:tc>
        <w:tc>
          <w:tcPr>
            <w:tcW w:w="0" w:type="auto"/>
            <w:hideMark/>
          </w:tcPr>
          <w:p w14:paraId="1D199A30" w14:textId="77777777" w:rsidR="00000000" w:rsidRDefault="00087966">
            <w:pPr>
              <w:jc w:val="both"/>
              <w:rPr>
                <w:rFonts w:eastAsia="Times New Roman"/>
                <w:sz w:val="20"/>
                <w:szCs w:val="20"/>
              </w:rPr>
            </w:pPr>
            <w:r>
              <w:rPr>
                <w:rFonts w:eastAsia="Times New Roman"/>
                <w:b/>
                <w:bCs/>
                <w:sz w:val="20"/>
                <w:szCs w:val="20"/>
              </w:rPr>
              <w:t>Complete Spectrum:</w:t>
            </w:r>
            <w:r>
              <w:rPr>
                <w:rFonts w:eastAsia="Times New Roman"/>
                <w:sz w:val="20"/>
                <w:szCs w:val="20"/>
              </w:rPr>
              <w:t> Our management team has extensive experience investing across the various phases of a company’s lifecycle.</w:t>
            </w:r>
            <w:r>
              <w:rPr>
                <w:rFonts w:eastAsia="Times New Roman"/>
                <w:sz w:val="20"/>
                <w:szCs w:val="20"/>
              </w:rPr>
              <w:t xml:space="preserve"> Our team members have collectively sourced, structured and invested in transactions ranging from venture-stage to late-stage growth companies. We understand how companies across the growth spectrum can efficiently use capital to create value.</w:t>
            </w:r>
          </w:p>
        </w:tc>
      </w:tr>
    </w:tbl>
    <w:p w14:paraId="0D3B4798"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100D777D" w14:textId="77777777">
        <w:trPr>
          <w:divId w:val="1595479706"/>
        </w:trPr>
        <w:tc>
          <w:tcPr>
            <w:tcW w:w="720" w:type="dxa"/>
            <w:hideMark/>
          </w:tcPr>
          <w:p w14:paraId="36364B64" w14:textId="77777777" w:rsidR="00000000" w:rsidRDefault="00087966">
            <w:pPr>
              <w:rPr>
                <w:rFonts w:eastAsia="Times New Roman"/>
                <w:sz w:val="20"/>
                <w:szCs w:val="20"/>
              </w:rPr>
            </w:pPr>
            <w:r>
              <w:rPr>
                <w:rFonts w:eastAsia="Times New Roman"/>
                <w:sz w:val="20"/>
                <w:szCs w:val="20"/>
              </w:rPr>
              <w:t> </w:t>
            </w:r>
          </w:p>
        </w:tc>
        <w:tc>
          <w:tcPr>
            <w:tcW w:w="360" w:type="dxa"/>
            <w:hideMark/>
          </w:tcPr>
          <w:p w14:paraId="5BF70581" w14:textId="77777777" w:rsidR="00000000" w:rsidRDefault="00087966">
            <w:pPr>
              <w:rPr>
                <w:rFonts w:eastAsia="Times New Roman"/>
                <w:sz w:val="20"/>
                <w:szCs w:val="20"/>
              </w:rPr>
            </w:pPr>
            <w:r>
              <w:rPr>
                <w:rFonts w:eastAsia="Times New Roman"/>
                <w:sz w:val="20"/>
                <w:szCs w:val="20"/>
              </w:rPr>
              <w:t>●</w:t>
            </w:r>
          </w:p>
        </w:tc>
        <w:tc>
          <w:tcPr>
            <w:tcW w:w="0" w:type="auto"/>
            <w:hideMark/>
          </w:tcPr>
          <w:p w14:paraId="2E9B1F53" w14:textId="77777777" w:rsidR="00000000" w:rsidRDefault="00087966">
            <w:pPr>
              <w:jc w:val="both"/>
              <w:rPr>
                <w:rFonts w:eastAsia="Times New Roman"/>
                <w:sz w:val="20"/>
                <w:szCs w:val="20"/>
              </w:rPr>
            </w:pPr>
            <w:r>
              <w:rPr>
                <w:rFonts w:eastAsia="Times New Roman"/>
                <w:b/>
                <w:bCs/>
                <w:sz w:val="20"/>
                <w:szCs w:val="20"/>
              </w:rPr>
              <w:t>Experience in Taking a Company Public:</w:t>
            </w:r>
            <w:r>
              <w:rPr>
                <w:rFonts w:eastAsia="Times New Roman"/>
                <w:sz w:val="20"/>
                <w:szCs w:val="20"/>
              </w:rPr>
              <w:t> Our team includes managers who have not only invested in public companies but taken companies public. We understand how to guide a company through the transition from private to public.</w:t>
            </w:r>
          </w:p>
        </w:tc>
      </w:tr>
    </w:tbl>
    <w:p w14:paraId="6FADC30F"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3200B5A8" w14:textId="77777777">
        <w:trPr>
          <w:divId w:val="1595479706"/>
        </w:trPr>
        <w:tc>
          <w:tcPr>
            <w:tcW w:w="720" w:type="dxa"/>
            <w:hideMark/>
          </w:tcPr>
          <w:p w14:paraId="78210FAE" w14:textId="77777777" w:rsidR="00000000" w:rsidRDefault="00087966">
            <w:pPr>
              <w:rPr>
                <w:rFonts w:eastAsia="Times New Roman"/>
                <w:sz w:val="20"/>
                <w:szCs w:val="20"/>
              </w:rPr>
            </w:pPr>
            <w:r>
              <w:rPr>
                <w:rFonts w:eastAsia="Times New Roman"/>
                <w:sz w:val="20"/>
                <w:szCs w:val="20"/>
              </w:rPr>
              <w:t> </w:t>
            </w:r>
          </w:p>
        </w:tc>
        <w:tc>
          <w:tcPr>
            <w:tcW w:w="360" w:type="dxa"/>
            <w:hideMark/>
          </w:tcPr>
          <w:p w14:paraId="27638285" w14:textId="77777777" w:rsidR="00000000" w:rsidRDefault="00087966">
            <w:pPr>
              <w:rPr>
                <w:rFonts w:eastAsia="Times New Roman"/>
                <w:sz w:val="20"/>
                <w:szCs w:val="20"/>
              </w:rPr>
            </w:pPr>
            <w:r>
              <w:rPr>
                <w:rFonts w:eastAsia="Times New Roman"/>
                <w:sz w:val="20"/>
                <w:szCs w:val="20"/>
              </w:rPr>
              <w:t>●</w:t>
            </w:r>
          </w:p>
        </w:tc>
        <w:tc>
          <w:tcPr>
            <w:tcW w:w="0" w:type="auto"/>
            <w:hideMark/>
          </w:tcPr>
          <w:p w14:paraId="2F92E8FB" w14:textId="77777777" w:rsidR="00000000" w:rsidRDefault="00087966">
            <w:pPr>
              <w:jc w:val="both"/>
              <w:rPr>
                <w:rFonts w:eastAsia="Times New Roman"/>
                <w:sz w:val="20"/>
                <w:szCs w:val="20"/>
              </w:rPr>
            </w:pPr>
            <w:r>
              <w:rPr>
                <w:rFonts w:eastAsia="Times New Roman"/>
                <w:b/>
                <w:bCs/>
                <w:sz w:val="20"/>
                <w:szCs w:val="20"/>
              </w:rPr>
              <w:t>Data Science:</w:t>
            </w:r>
            <w:r>
              <w:rPr>
                <w:rFonts w:eastAsia="Times New Roman"/>
                <w:sz w:val="20"/>
                <w:szCs w:val="20"/>
              </w:rPr>
              <w:t> Our data s</w:t>
            </w:r>
            <w:r>
              <w:rPr>
                <w:rFonts w:eastAsia="Times New Roman"/>
                <w:sz w:val="20"/>
                <w:szCs w:val="20"/>
              </w:rPr>
              <w:t>cience approach involves deep and fundamental analysis of key operating metrics, initial public offering performance and sub-sector movements, which we believe provides reliable predictions of target company performance in public markets.</w:t>
            </w:r>
          </w:p>
        </w:tc>
      </w:tr>
    </w:tbl>
    <w:p w14:paraId="6045CB04"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367D6A21" w14:textId="77777777">
        <w:trPr>
          <w:divId w:val="1595479706"/>
        </w:trPr>
        <w:tc>
          <w:tcPr>
            <w:tcW w:w="720" w:type="dxa"/>
            <w:hideMark/>
          </w:tcPr>
          <w:p w14:paraId="708A4240" w14:textId="77777777" w:rsidR="00000000" w:rsidRDefault="00087966">
            <w:pPr>
              <w:rPr>
                <w:rFonts w:eastAsia="Times New Roman"/>
                <w:sz w:val="20"/>
                <w:szCs w:val="20"/>
              </w:rPr>
            </w:pPr>
            <w:r>
              <w:rPr>
                <w:rFonts w:eastAsia="Times New Roman"/>
                <w:sz w:val="20"/>
                <w:szCs w:val="20"/>
              </w:rPr>
              <w:t> </w:t>
            </w:r>
          </w:p>
        </w:tc>
        <w:tc>
          <w:tcPr>
            <w:tcW w:w="360" w:type="dxa"/>
            <w:hideMark/>
          </w:tcPr>
          <w:p w14:paraId="031C7D60" w14:textId="77777777" w:rsidR="00000000" w:rsidRDefault="00087966">
            <w:pPr>
              <w:rPr>
                <w:rFonts w:eastAsia="Times New Roman"/>
                <w:sz w:val="20"/>
                <w:szCs w:val="20"/>
              </w:rPr>
            </w:pPr>
            <w:r>
              <w:rPr>
                <w:rFonts w:eastAsia="Times New Roman"/>
                <w:sz w:val="20"/>
                <w:szCs w:val="20"/>
              </w:rPr>
              <w:t>●</w:t>
            </w:r>
          </w:p>
        </w:tc>
        <w:tc>
          <w:tcPr>
            <w:tcW w:w="0" w:type="auto"/>
            <w:hideMark/>
          </w:tcPr>
          <w:p w14:paraId="7702838B" w14:textId="77777777" w:rsidR="00000000" w:rsidRDefault="00087966">
            <w:pPr>
              <w:jc w:val="both"/>
              <w:rPr>
                <w:rFonts w:eastAsia="Times New Roman"/>
                <w:sz w:val="20"/>
                <w:szCs w:val="20"/>
              </w:rPr>
            </w:pPr>
            <w:r>
              <w:rPr>
                <w:rFonts w:eastAsia="Times New Roman"/>
                <w:b/>
                <w:bCs/>
                <w:sz w:val="20"/>
                <w:szCs w:val="20"/>
              </w:rPr>
              <w:t>M&amp;A Experi</w:t>
            </w:r>
            <w:r>
              <w:rPr>
                <w:rFonts w:eastAsia="Times New Roman"/>
                <w:b/>
                <w:bCs/>
                <w:sz w:val="20"/>
                <w:szCs w:val="20"/>
              </w:rPr>
              <w:t>ence:</w:t>
            </w:r>
            <w:r>
              <w:rPr>
                <w:rFonts w:eastAsia="Times New Roman"/>
                <w:sz w:val="20"/>
                <w:szCs w:val="20"/>
              </w:rPr>
              <w:t> Our team has decades of combined experience executing mergers and acquisition transactions on both the buy and sell side as entrepreneurs, bankers and investors.</w:t>
            </w:r>
          </w:p>
        </w:tc>
      </w:tr>
    </w:tbl>
    <w:p w14:paraId="045D3D7F"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1A59BE7D" w14:textId="77777777">
        <w:trPr>
          <w:divId w:val="1595479706"/>
        </w:trPr>
        <w:tc>
          <w:tcPr>
            <w:tcW w:w="720" w:type="dxa"/>
            <w:hideMark/>
          </w:tcPr>
          <w:p w14:paraId="080CEBE2" w14:textId="77777777" w:rsidR="00000000" w:rsidRDefault="00087966">
            <w:pPr>
              <w:rPr>
                <w:rFonts w:eastAsia="Times New Roman"/>
                <w:sz w:val="20"/>
                <w:szCs w:val="20"/>
              </w:rPr>
            </w:pPr>
            <w:r>
              <w:rPr>
                <w:rFonts w:eastAsia="Times New Roman"/>
                <w:sz w:val="20"/>
                <w:szCs w:val="20"/>
              </w:rPr>
              <w:t> </w:t>
            </w:r>
          </w:p>
        </w:tc>
        <w:tc>
          <w:tcPr>
            <w:tcW w:w="360" w:type="dxa"/>
            <w:hideMark/>
          </w:tcPr>
          <w:p w14:paraId="72C20029" w14:textId="77777777" w:rsidR="00000000" w:rsidRDefault="00087966">
            <w:pPr>
              <w:rPr>
                <w:rFonts w:eastAsia="Times New Roman"/>
                <w:sz w:val="20"/>
                <w:szCs w:val="20"/>
              </w:rPr>
            </w:pPr>
            <w:r>
              <w:rPr>
                <w:rFonts w:eastAsia="Times New Roman"/>
                <w:sz w:val="20"/>
                <w:szCs w:val="20"/>
              </w:rPr>
              <w:t>●</w:t>
            </w:r>
          </w:p>
        </w:tc>
        <w:tc>
          <w:tcPr>
            <w:tcW w:w="0" w:type="auto"/>
            <w:hideMark/>
          </w:tcPr>
          <w:p w14:paraId="178D148A" w14:textId="77777777" w:rsidR="00000000" w:rsidRDefault="00087966">
            <w:pPr>
              <w:jc w:val="both"/>
              <w:rPr>
                <w:rFonts w:eastAsia="Times New Roman"/>
                <w:sz w:val="20"/>
                <w:szCs w:val="20"/>
              </w:rPr>
            </w:pPr>
            <w:r>
              <w:rPr>
                <w:rFonts w:eastAsia="Times New Roman"/>
                <w:b/>
                <w:bCs/>
                <w:sz w:val="20"/>
                <w:szCs w:val="20"/>
              </w:rPr>
              <w:t>Due Diligence:</w:t>
            </w:r>
            <w:r>
              <w:rPr>
                <w:rFonts w:eastAsia="Times New Roman"/>
                <w:sz w:val="20"/>
                <w:szCs w:val="20"/>
              </w:rPr>
              <w:t> We apply a thorough and focused method for conducting due diligenc</w:t>
            </w:r>
            <w:r>
              <w:rPr>
                <w:rFonts w:eastAsia="Times New Roman"/>
                <w:sz w:val="20"/>
                <w:szCs w:val="20"/>
              </w:rPr>
              <w:t>e on both private and public companies. We understand what generates value in public markets and what to look for in terms of company fundamentals and company culture.</w:t>
            </w:r>
          </w:p>
        </w:tc>
      </w:tr>
    </w:tbl>
    <w:p w14:paraId="7FED7867" w14:textId="77777777" w:rsidR="00000000" w:rsidRDefault="00087966">
      <w:pPr>
        <w:pStyle w:val="a3"/>
        <w:spacing w:before="0" w:beforeAutospacing="0" w:after="0" w:afterAutospacing="0"/>
        <w:jc w:val="both"/>
        <w:divId w:val="1595479706"/>
        <w:rPr>
          <w:sz w:val="20"/>
          <w:szCs w:val="20"/>
        </w:rPr>
      </w:pPr>
      <w:r>
        <w:rPr>
          <w:sz w:val="20"/>
          <w:szCs w:val="20"/>
        </w:rPr>
        <w:t> </w:t>
      </w:r>
    </w:p>
    <w:p w14:paraId="5431140F" w14:textId="77777777" w:rsidR="00000000" w:rsidRDefault="00087966">
      <w:pPr>
        <w:pStyle w:val="a3"/>
        <w:spacing w:before="0" w:beforeAutospacing="0" w:after="0" w:afterAutospacing="0"/>
        <w:jc w:val="center"/>
        <w:divId w:val="391198422"/>
        <w:rPr>
          <w:sz w:val="20"/>
          <w:szCs w:val="20"/>
        </w:rPr>
      </w:pPr>
      <w:r>
        <w:rPr>
          <w:sz w:val="20"/>
          <w:szCs w:val="20"/>
        </w:rPr>
        <w:t>1</w:t>
      </w:r>
      <w:r>
        <w:rPr>
          <w:sz w:val="20"/>
          <w:szCs w:val="20"/>
        </w:rPr>
        <w:t>1</w:t>
      </w:r>
    </w:p>
    <w:p w14:paraId="79DB5B0A" w14:textId="77777777" w:rsidR="00000000" w:rsidRDefault="00087966">
      <w:pPr>
        <w:pStyle w:val="a3"/>
        <w:spacing w:before="0" w:beforeAutospacing="0" w:after="0" w:afterAutospacing="0"/>
        <w:divId w:val="1446583803"/>
        <w:rPr>
          <w:sz w:val="20"/>
          <w:szCs w:val="20"/>
        </w:rPr>
      </w:pPr>
      <w:r>
        <w:rPr>
          <w:sz w:val="20"/>
          <w:szCs w:val="20"/>
        </w:rPr>
        <w:t> </w:t>
      </w:r>
    </w:p>
    <w:p w14:paraId="6F40756F" w14:textId="77777777" w:rsidR="00000000" w:rsidRDefault="00087966">
      <w:pPr>
        <w:pStyle w:val="a3"/>
        <w:spacing w:before="0" w:beforeAutospacing="0" w:after="0" w:afterAutospacing="0"/>
        <w:jc w:val="both"/>
        <w:divId w:val="1595479706"/>
        <w:rPr>
          <w:sz w:val="20"/>
          <w:szCs w:val="20"/>
        </w:rPr>
      </w:pPr>
      <w:r>
        <w:rPr>
          <w:sz w:val="20"/>
          <w:szCs w:val="20"/>
        </w:rPr>
        <w:t> </w:t>
      </w:r>
    </w:p>
    <w:p w14:paraId="16E60542" w14:textId="77777777" w:rsidR="00000000" w:rsidRDefault="00087966">
      <w:pPr>
        <w:pStyle w:val="a3"/>
        <w:spacing w:before="0" w:beforeAutospacing="0" w:after="0" w:afterAutospacing="0"/>
        <w:jc w:val="both"/>
        <w:divId w:val="1595479706"/>
        <w:rPr>
          <w:sz w:val="20"/>
          <w:szCs w:val="20"/>
        </w:rPr>
      </w:pPr>
      <w:r>
        <w:rPr>
          <w:b/>
          <w:bCs/>
          <w:sz w:val="20"/>
          <w:szCs w:val="20"/>
        </w:rPr>
        <w:t>Business Strategy and Acquisition Criteria</w:t>
      </w:r>
    </w:p>
    <w:p w14:paraId="1164780A"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565DE0E9" w14:textId="77777777" w:rsidR="00000000" w:rsidRDefault="00087966">
      <w:pPr>
        <w:pStyle w:val="a3"/>
        <w:spacing w:before="0" w:beforeAutospacing="0" w:after="0" w:afterAutospacing="0"/>
        <w:ind w:firstLine="720"/>
        <w:jc w:val="both"/>
        <w:divId w:val="1595479706"/>
        <w:rPr>
          <w:sz w:val="20"/>
          <w:szCs w:val="20"/>
        </w:rPr>
      </w:pPr>
      <w:r>
        <w:rPr>
          <w:sz w:val="20"/>
          <w:szCs w:val="20"/>
        </w:rPr>
        <w:t>We believe our team’s skill and experience makes us well positioned to deliver attractive risk-adjusted returns by identifying and executing a business combination with one or more attractive targets.</w:t>
      </w:r>
    </w:p>
    <w:p w14:paraId="6A8A3D3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45B100A" w14:textId="77777777" w:rsidR="00000000" w:rsidRDefault="00087966">
      <w:pPr>
        <w:pStyle w:val="a3"/>
        <w:spacing w:before="0" w:beforeAutospacing="0" w:after="0" w:afterAutospacing="0"/>
        <w:ind w:firstLine="720"/>
        <w:jc w:val="both"/>
        <w:divId w:val="1595479706"/>
        <w:rPr>
          <w:sz w:val="20"/>
          <w:szCs w:val="20"/>
        </w:rPr>
      </w:pPr>
      <w:r>
        <w:rPr>
          <w:sz w:val="20"/>
          <w:szCs w:val="20"/>
        </w:rPr>
        <w:t>Our busi</w:t>
      </w:r>
      <w:r>
        <w:rPr>
          <w:sz w:val="20"/>
          <w:szCs w:val="20"/>
        </w:rPr>
        <w:t>ness strategy is to leverage our management team’s extensive industry knowledge, strategic vision and operational capabilities to deliver attractive risk-adjusted returns by identifying and executing a business combination with one or more attractive targe</w:t>
      </w:r>
      <w:r>
        <w:rPr>
          <w:sz w:val="20"/>
          <w:szCs w:val="20"/>
        </w:rPr>
        <w:t>ts. We focus on targets with the following attributes:</w:t>
      </w:r>
    </w:p>
    <w:p w14:paraId="44833E2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3E23EB32" w14:textId="77777777">
        <w:trPr>
          <w:divId w:val="1595479706"/>
        </w:trPr>
        <w:tc>
          <w:tcPr>
            <w:tcW w:w="720" w:type="dxa"/>
            <w:hideMark/>
          </w:tcPr>
          <w:p w14:paraId="79F434EF" w14:textId="77777777" w:rsidR="00000000" w:rsidRDefault="00087966">
            <w:pPr>
              <w:rPr>
                <w:rFonts w:eastAsia="Times New Roman"/>
                <w:sz w:val="20"/>
                <w:szCs w:val="20"/>
              </w:rPr>
            </w:pPr>
            <w:r>
              <w:rPr>
                <w:rFonts w:eastAsia="Times New Roman"/>
                <w:sz w:val="20"/>
                <w:szCs w:val="20"/>
              </w:rPr>
              <w:t> </w:t>
            </w:r>
          </w:p>
        </w:tc>
        <w:tc>
          <w:tcPr>
            <w:tcW w:w="360" w:type="dxa"/>
            <w:hideMark/>
          </w:tcPr>
          <w:p w14:paraId="289F9BB4" w14:textId="77777777" w:rsidR="00000000" w:rsidRDefault="00087966">
            <w:pPr>
              <w:rPr>
                <w:rFonts w:eastAsia="Times New Roman"/>
                <w:sz w:val="20"/>
                <w:szCs w:val="20"/>
              </w:rPr>
            </w:pPr>
            <w:r>
              <w:rPr>
                <w:rFonts w:eastAsia="Times New Roman"/>
                <w:sz w:val="20"/>
                <w:szCs w:val="20"/>
              </w:rPr>
              <w:t>●</w:t>
            </w:r>
          </w:p>
        </w:tc>
        <w:tc>
          <w:tcPr>
            <w:tcW w:w="0" w:type="auto"/>
            <w:hideMark/>
          </w:tcPr>
          <w:p w14:paraId="0E250B01" w14:textId="77777777" w:rsidR="00000000" w:rsidRDefault="00087966">
            <w:pPr>
              <w:jc w:val="both"/>
              <w:rPr>
                <w:rFonts w:eastAsia="Times New Roman"/>
                <w:sz w:val="20"/>
                <w:szCs w:val="20"/>
              </w:rPr>
            </w:pPr>
            <w:r>
              <w:rPr>
                <w:rFonts w:eastAsia="Times New Roman"/>
                <w:b/>
                <w:bCs/>
                <w:sz w:val="20"/>
                <w:szCs w:val="20"/>
              </w:rPr>
              <w:t>Size:</w:t>
            </w:r>
            <w:r>
              <w:rPr>
                <w:rFonts w:eastAsia="Times New Roman"/>
                <w:sz w:val="20"/>
                <w:szCs w:val="20"/>
              </w:rPr>
              <w:t> We target entities whose enterprise value is between $500 million and $1.5 billion.</w:t>
            </w:r>
          </w:p>
        </w:tc>
      </w:tr>
    </w:tbl>
    <w:p w14:paraId="0302C219"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E3C186B" w14:textId="77777777">
        <w:trPr>
          <w:divId w:val="1595479706"/>
        </w:trPr>
        <w:tc>
          <w:tcPr>
            <w:tcW w:w="720" w:type="dxa"/>
            <w:hideMark/>
          </w:tcPr>
          <w:p w14:paraId="1BDCDFE6" w14:textId="77777777" w:rsidR="00000000" w:rsidRDefault="00087966">
            <w:pPr>
              <w:rPr>
                <w:rFonts w:eastAsia="Times New Roman"/>
                <w:sz w:val="20"/>
                <w:szCs w:val="20"/>
              </w:rPr>
            </w:pPr>
            <w:r>
              <w:rPr>
                <w:rFonts w:eastAsia="Times New Roman"/>
                <w:sz w:val="20"/>
                <w:szCs w:val="20"/>
              </w:rPr>
              <w:t> </w:t>
            </w:r>
          </w:p>
        </w:tc>
        <w:tc>
          <w:tcPr>
            <w:tcW w:w="360" w:type="dxa"/>
            <w:hideMark/>
          </w:tcPr>
          <w:p w14:paraId="0386317C" w14:textId="77777777" w:rsidR="00000000" w:rsidRDefault="00087966">
            <w:pPr>
              <w:rPr>
                <w:rFonts w:eastAsia="Times New Roman"/>
                <w:sz w:val="20"/>
                <w:szCs w:val="20"/>
              </w:rPr>
            </w:pPr>
            <w:r>
              <w:rPr>
                <w:rFonts w:eastAsia="Times New Roman"/>
                <w:sz w:val="20"/>
                <w:szCs w:val="20"/>
              </w:rPr>
              <w:t>●</w:t>
            </w:r>
          </w:p>
        </w:tc>
        <w:tc>
          <w:tcPr>
            <w:tcW w:w="0" w:type="auto"/>
            <w:hideMark/>
          </w:tcPr>
          <w:p w14:paraId="4E250BA2" w14:textId="77777777" w:rsidR="00000000" w:rsidRDefault="00087966">
            <w:pPr>
              <w:jc w:val="both"/>
              <w:rPr>
                <w:rFonts w:eastAsia="Times New Roman"/>
                <w:sz w:val="20"/>
                <w:szCs w:val="20"/>
              </w:rPr>
            </w:pPr>
            <w:r>
              <w:rPr>
                <w:rFonts w:eastAsia="Times New Roman"/>
                <w:b/>
                <w:bCs/>
                <w:sz w:val="20"/>
                <w:szCs w:val="20"/>
              </w:rPr>
              <w:t>Geographic Location:</w:t>
            </w:r>
            <w:r>
              <w:rPr>
                <w:rFonts w:eastAsia="Times New Roman"/>
                <w:sz w:val="20"/>
                <w:szCs w:val="20"/>
              </w:rPr>
              <w:t> </w:t>
            </w:r>
            <w:r>
              <w:rPr>
                <w:rFonts w:eastAsia="Times New Roman"/>
                <w:sz w:val="20"/>
                <w:szCs w:val="20"/>
              </w:rPr>
              <w:t>We are focusing our search on companies primarily operating in the United States.</w:t>
            </w:r>
          </w:p>
        </w:tc>
      </w:tr>
    </w:tbl>
    <w:p w14:paraId="6281C784"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2263E38" w14:textId="77777777">
        <w:trPr>
          <w:divId w:val="1595479706"/>
        </w:trPr>
        <w:tc>
          <w:tcPr>
            <w:tcW w:w="720" w:type="dxa"/>
            <w:hideMark/>
          </w:tcPr>
          <w:p w14:paraId="27CFFC87" w14:textId="77777777" w:rsidR="00000000" w:rsidRDefault="00087966">
            <w:pPr>
              <w:rPr>
                <w:rFonts w:eastAsia="Times New Roman"/>
                <w:sz w:val="20"/>
                <w:szCs w:val="20"/>
              </w:rPr>
            </w:pPr>
            <w:r>
              <w:rPr>
                <w:rFonts w:eastAsia="Times New Roman"/>
                <w:sz w:val="20"/>
                <w:szCs w:val="20"/>
              </w:rPr>
              <w:t> </w:t>
            </w:r>
          </w:p>
        </w:tc>
        <w:tc>
          <w:tcPr>
            <w:tcW w:w="360" w:type="dxa"/>
            <w:hideMark/>
          </w:tcPr>
          <w:p w14:paraId="71179E42" w14:textId="77777777" w:rsidR="00000000" w:rsidRDefault="00087966">
            <w:pPr>
              <w:rPr>
                <w:rFonts w:eastAsia="Times New Roman"/>
                <w:sz w:val="20"/>
                <w:szCs w:val="20"/>
              </w:rPr>
            </w:pPr>
            <w:r>
              <w:rPr>
                <w:rFonts w:eastAsia="Times New Roman"/>
                <w:sz w:val="20"/>
                <w:szCs w:val="20"/>
              </w:rPr>
              <w:t>●</w:t>
            </w:r>
          </w:p>
        </w:tc>
        <w:tc>
          <w:tcPr>
            <w:tcW w:w="0" w:type="auto"/>
            <w:hideMark/>
          </w:tcPr>
          <w:p w14:paraId="321F344D" w14:textId="77777777" w:rsidR="00000000" w:rsidRDefault="00087966">
            <w:pPr>
              <w:jc w:val="both"/>
              <w:rPr>
                <w:rFonts w:eastAsia="Times New Roman"/>
                <w:sz w:val="20"/>
                <w:szCs w:val="20"/>
              </w:rPr>
            </w:pPr>
            <w:r>
              <w:rPr>
                <w:rFonts w:eastAsia="Times New Roman"/>
                <w:b/>
                <w:bCs/>
                <w:sz w:val="20"/>
                <w:szCs w:val="20"/>
              </w:rPr>
              <w:t>Industry:</w:t>
            </w:r>
            <w:r>
              <w:rPr>
                <w:rFonts w:eastAsia="Times New Roman"/>
                <w:sz w:val="20"/>
                <w:szCs w:val="20"/>
              </w:rPr>
              <w:t> We are focusing our search on high-quality software or technology-enabled growth businesses serving Consumers or Enterprises in the United States.</w:t>
            </w:r>
          </w:p>
        </w:tc>
      </w:tr>
    </w:tbl>
    <w:p w14:paraId="402DD8CA"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1A605CF3" w14:textId="77777777">
        <w:trPr>
          <w:divId w:val="1595479706"/>
        </w:trPr>
        <w:tc>
          <w:tcPr>
            <w:tcW w:w="720" w:type="dxa"/>
            <w:hideMark/>
          </w:tcPr>
          <w:p w14:paraId="39E28D55" w14:textId="77777777" w:rsidR="00000000" w:rsidRDefault="00087966">
            <w:pPr>
              <w:rPr>
                <w:rFonts w:eastAsia="Times New Roman"/>
                <w:sz w:val="20"/>
                <w:szCs w:val="20"/>
              </w:rPr>
            </w:pPr>
            <w:r>
              <w:rPr>
                <w:rFonts w:eastAsia="Times New Roman"/>
                <w:sz w:val="20"/>
                <w:szCs w:val="20"/>
              </w:rPr>
              <w:t> </w:t>
            </w:r>
          </w:p>
        </w:tc>
        <w:tc>
          <w:tcPr>
            <w:tcW w:w="360" w:type="dxa"/>
            <w:hideMark/>
          </w:tcPr>
          <w:p w14:paraId="4354C873" w14:textId="77777777" w:rsidR="00000000" w:rsidRDefault="00087966">
            <w:pPr>
              <w:rPr>
                <w:rFonts w:eastAsia="Times New Roman"/>
                <w:sz w:val="20"/>
                <w:szCs w:val="20"/>
              </w:rPr>
            </w:pPr>
            <w:r>
              <w:rPr>
                <w:rFonts w:eastAsia="Times New Roman"/>
                <w:sz w:val="20"/>
                <w:szCs w:val="20"/>
              </w:rPr>
              <w:t>●</w:t>
            </w:r>
          </w:p>
        </w:tc>
        <w:tc>
          <w:tcPr>
            <w:tcW w:w="0" w:type="auto"/>
            <w:hideMark/>
          </w:tcPr>
          <w:p w14:paraId="269AC410" w14:textId="77777777" w:rsidR="00000000" w:rsidRDefault="00087966">
            <w:pPr>
              <w:jc w:val="both"/>
              <w:rPr>
                <w:rFonts w:eastAsia="Times New Roman"/>
                <w:sz w:val="20"/>
                <w:szCs w:val="20"/>
              </w:rPr>
            </w:pPr>
            <w:r>
              <w:rPr>
                <w:rFonts w:eastAsia="Times New Roman"/>
                <w:b/>
                <w:bCs/>
                <w:sz w:val="20"/>
                <w:szCs w:val="20"/>
              </w:rPr>
              <w:t>Man</w:t>
            </w:r>
            <w:r>
              <w:rPr>
                <w:rFonts w:eastAsia="Times New Roman"/>
                <w:b/>
                <w:bCs/>
                <w:sz w:val="20"/>
                <w:szCs w:val="20"/>
              </w:rPr>
              <w:t>agement Team:</w:t>
            </w:r>
            <w:r>
              <w:rPr>
                <w:rFonts w:eastAsia="Times New Roman"/>
                <w:sz w:val="20"/>
                <w:szCs w:val="20"/>
              </w:rPr>
              <w:t> We seek companies that are backed by strong management teams. We want to have a supporting and catalyzing role to existing management and encourage the pursuit of value creation strategies.</w:t>
            </w:r>
          </w:p>
        </w:tc>
      </w:tr>
    </w:tbl>
    <w:p w14:paraId="7DDAA686"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4B9B4DE4" w14:textId="77777777">
        <w:trPr>
          <w:divId w:val="1595479706"/>
        </w:trPr>
        <w:tc>
          <w:tcPr>
            <w:tcW w:w="720" w:type="dxa"/>
            <w:hideMark/>
          </w:tcPr>
          <w:p w14:paraId="48335120" w14:textId="77777777" w:rsidR="00000000" w:rsidRDefault="00087966">
            <w:pPr>
              <w:rPr>
                <w:rFonts w:eastAsia="Times New Roman"/>
                <w:sz w:val="20"/>
                <w:szCs w:val="20"/>
              </w:rPr>
            </w:pPr>
            <w:r>
              <w:rPr>
                <w:rFonts w:eastAsia="Times New Roman"/>
                <w:sz w:val="20"/>
                <w:szCs w:val="20"/>
              </w:rPr>
              <w:t> </w:t>
            </w:r>
          </w:p>
        </w:tc>
        <w:tc>
          <w:tcPr>
            <w:tcW w:w="360" w:type="dxa"/>
            <w:hideMark/>
          </w:tcPr>
          <w:p w14:paraId="73BC0892" w14:textId="77777777" w:rsidR="00000000" w:rsidRDefault="00087966">
            <w:pPr>
              <w:rPr>
                <w:rFonts w:eastAsia="Times New Roman"/>
                <w:sz w:val="20"/>
                <w:szCs w:val="20"/>
              </w:rPr>
            </w:pPr>
            <w:r>
              <w:rPr>
                <w:rFonts w:eastAsia="Times New Roman"/>
                <w:sz w:val="20"/>
                <w:szCs w:val="20"/>
              </w:rPr>
              <w:t>●</w:t>
            </w:r>
          </w:p>
        </w:tc>
        <w:tc>
          <w:tcPr>
            <w:tcW w:w="0" w:type="auto"/>
            <w:hideMark/>
          </w:tcPr>
          <w:p w14:paraId="0FA1C1FA" w14:textId="77777777" w:rsidR="00000000" w:rsidRDefault="00087966">
            <w:pPr>
              <w:jc w:val="both"/>
              <w:rPr>
                <w:rFonts w:eastAsia="Times New Roman"/>
                <w:sz w:val="20"/>
                <w:szCs w:val="20"/>
              </w:rPr>
            </w:pPr>
            <w:r>
              <w:rPr>
                <w:rFonts w:eastAsia="Times New Roman"/>
                <w:b/>
                <w:bCs/>
                <w:sz w:val="20"/>
                <w:szCs w:val="20"/>
              </w:rPr>
              <w:t>Operational Maturity:</w:t>
            </w:r>
            <w:r>
              <w:rPr>
                <w:rFonts w:eastAsia="Times New Roman"/>
                <w:sz w:val="20"/>
                <w:szCs w:val="20"/>
              </w:rPr>
              <w:t> We are pursuing prospec</w:t>
            </w:r>
            <w:r>
              <w:rPr>
                <w:rFonts w:eastAsia="Times New Roman"/>
                <w:sz w:val="20"/>
                <w:szCs w:val="20"/>
              </w:rPr>
              <w:t>tive target companies that have sufficient financial and operational data enabling investment decisions to be made with a high degree of confidence. We seek target companies with a proven ability to scale and execute on a quarterly cadence and outperform p</w:t>
            </w:r>
            <w:r>
              <w:rPr>
                <w:rFonts w:eastAsia="Times New Roman"/>
                <w:sz w:val="20"/>
                <w:szCs w:val="20"/>
              </w:rPr>
              <w:t>eers.</w:t>
            </w:r>
          </w:p>
        </w:tc>
      </w:tr>
    </w:tbl>
    <w:p w14:paraId="2007F4E7"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0947C622" w14:textId="77777777">
        <w:trPr>
          <w:divId w:val="1595479706"/>
        </w:trPr>
        <w:tc>
          <w:tcPr>
            <w:tcW w:w="720" w:type="dxa"/>
            <w:hideMark/>
          </w:tcPr>
          <w:p w14:paraId="6C4B09EC" w14:textId="77777777" w:rsidR="00000000" w:rsidRDefault="00087966">
            <w:pPr>
              <w:rPr>
                <w:rFonts w:eastAsia="Times New Roman"/>
                <w:sz w:val="20"/>
                <w:szCs w:val="20"/>
              </w:rPr>
            </w:pPr>
            <w:r>
              <w:rPr>
                <w:rFonts w:eastAsia="Times New Roman"/>
                <w:sz w:val="20"/>
                <w:szCs w:val="20"/>
              </w:rPr>
              <w:t> </w:t>
            </w:r>
          </w:p>
        </w:tc>
        <w:tc>
          <w:tcPr>
            <w:tcW w:w="360" w:type="dxa"/>
            <w:hideMark/>
          </w:tcPr>
          <w:p w14:paraId="15C891EE" w14:textId="77777777" w:rsidR="00000000" w:rsidRDefault="00087966">
            <w:pPr>
              <w:rPr>
                <w:rFonts w:eastAsia="Times New Roman"/>
                <w:sz w:val="20"/>
                <w:szCs w:val="20"/>
              </w:rPr>
            </w:pPr>
            <w:r>
              <w:rPr>
                <w:rFonts w:eastAsia="Times New Roman"/>
                <w:b/>
                <w:bCs/>
                <w:sz w:val="20"/>
                <w:szCs w:val="20"/>
              </w:rPr>
              <w:t>●</w:t>
            </w:r>
          </w:p>
        </w:tc>
        <w:tc>
          <w:tcPr>
            <w:tcW w:w="0" w:type="auto"/>
            <w:hideMark/>
          </w:tcPr>
          <w:p w14:paraId="4A932037" w14:textId="77777777" w:rsidR="00000000" w:rsidRDefault="00087966">
            <w:pPr>
              <w:jc w:val="both"/>
              <w:rPr>
                <w:rFonts w:eastAsia="Times New Roman"/>
                <w:sz w:val="20"/>
                <w:szCs w:val="20"/>
              </w:rPr>
            </w:pPr>
            <w:r>
              <w:rPr>
                <w:rFonts w:eastAsia="Times New Roman"/>
                <w:b/>
                <w:bCs/>
                <w:sz w:val="20"/>
                <w:szCs w:val="20"/>
              </w:rPr>
              <w:t>Cash Flow:</w:t>
            </w:r>
            <w:r>
              <w:rPr>
                <w:rFonts w:eastAsia="Times New Roman"/>
                <w:sz w:val="20"/>
                <w:szCs w:val="20"/>
              </w:rPr>
              <w:t> We seek prospective target companies that have the potential to generate strong operating cash flows. We analyze a target company’s financial statements, unit economics and management plan to understand the path to cash flow generat</w:t>
            </w:r>
            <w:r>
              <w:rPr>
                <w:rFonts w:eastAsia="Times New Roman"/>
                <w:sz w:val="20"/>
                <w:szCs w:val="20"/>
              </w:rPr>
              <w:t>ion, and we do not make speculative bets where the path to cash flow generation is too risky.</w:t>
            </w:r>
          </w:p>
        </w:tc>
      </w:tr>
    </w:tbl>
    <w:p w14:paraId="2188CC43"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66C7458C" w14:textId="77777777">
        <w:trPr>
          <w:divId w:val="1595479706"/>
        </w:trPr>
        <w:tc>
          <w:tcPr>
            <w:tcW w:w="720" w:type="dxa"/>
            <w:hideMark/>
          </w:tcPr>
          <w:p w14:paraId="1810EBE0" w14:textId="77777777" w:rsidR="00000000" w:rsidRDefault="00087966">
            <w:pPr>
              <w:rPr>
                <w:rFonts w:eastAsia="Times New Roman"/>
                <w:sz w:val="20"/>
                <w:szCs w:val="20"/>
              </w:rPr>
            </w:pPr>
            <w:r>
              <w:rPr>
                <w:rFonts w:eastAsia="Times New Roman"/>
                <w:sz w:val="20"/>
                <w:szCs w:val="20"/>
              </w:rPr>
              <w:t> </w:t>
            </w:r>
          </w:p>
        </w:tc>
        <w:tc>
          <w:tcPr>
            <w:tcW w:w="360" w:type="dxa"/>
            <w:hideMark/>
          </w:tcPr>
          <w:p w14:paraId="5C35B96E" w14:textId="77777777" w:rsidR="00000000" w:rsidRDefault="00087966">
            <w:pPr>
              <w:rPr>
                <w:rFonts w:eastAsia="Times New Roman"/>
                <w:sz w:val="20"/>
                <w:szCs w:val="20"/>
              </w:rPr>
            </w:pPr>
            <w:r>
              <w:rPr>
                <w:rFonts w:eastAsia="Times New Roman"/>
                <w:b/>
                <w:bCs/>
                <w:sz w:val="20"/>
                <w:szCs w:val="20"/>
              </w:rPr>
              <w:t>●</w:t>
            </w:r>
          </w:p>
        </w:tc>
        <w:tc>
          <w:tcPr>
            <w:tcW w:w="0" w:type="auto"/>
            <w:hideMark/>
          </w:tcPr>
          <w:p w14:paraId="14178EA0" w14:textId="77777777" w:rsidR="00000000" w:rsidRDefault="00087966">
            <w:pPr>
              <w:jc w:val="both"/>
              <w:rPr>
                <w:rFonts w:eastAsia="Times New Roman"/>
                <w:sz w:val="20"/>
                <w:szCs w:val="20"/>
              </w:rPr>
            </w:pPr>
            <w:r>
              <w:rPr>
                <w:rFonts w:eastAsia="Times New Roman"/>
                <w:b/>
                <w:bCs/>
                <w:sz w:val="20"/>
                <w:szCs w:val="20"/>
              </w:rPr>
              <w:t>Growth Potential and Execution Capacity:</w:t>
            </w:r>
            <w:r>
              <w:rPr>
                <w:rFonts w:eastAsia="Times New Roman"/>
                <w:sz w:val="20"/>
                <w:szCs w:val="20"/>
              </w:rPr>
              <w:t> </w:t>
            </w:r>
            <w:r>
              <w:rPr>
                <w:rFonts w:eastAsia="Times New Roman"/>
                <w:sz w:val="20"/>
                <w:szCs w:val="20"/>
              </w:rPr>
              <w:t>We seek prospective target companies that we believe will generate long term value from their growth potential and execution capability rather than valuation arbitrage or financial leverage.</w:t>
            </w:r>
          </w:p>
        </w:tc>
      </w:tr>
    </w:tbl>
    <w:p w14:paraId="05C3F942"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40896E25" w14:textId="77777777">
        <w:trPr>
          <w:divId w:val="1595479706"/>
        </w:trPr>
        <w:tc>
          <w:tcPr>
            <w:tcW w:w="720" w:type="dxa"/>
            <w:hideMark/>
          </w:tcPr>
          <w:p w14:paraId="4A3E13F2" w14:textId="77777777" w:rsidR="00000000" w:rsidRDefault="00087966">
            <w:pPr>
              <w:rPr>
                <w:rFonts w:eastAsia="Times New Roman"/>
                <w:sz w:val="20"/>
                <w:szCs w:val="20"/>
              </w:rPr>
            </w:pPr>
            <w:r>
              <w:rPr>
                <w:rFonts w:eastAsia="Times New Roman"/>
                <w:sz w:val="20"/>
                <w:szCs w:val="20"/>
              </w:rPr>
              <w:t> </w:t>
            </w:r>
          </w:p>
        </w:tc>
        <w:tc>
          <w:tcPr>
            <w:tcW w:w="360" w:type="dxa"/>
            <w:hideMark/>
          </w:tcPr>
          <w:p w14:paraId="4A9002E1" w14:textId="77777777" w:rsidR="00000000" w:rsidRDefault="00087966">
            <w:pPr>
              <w:rPr>
                <w:rFonts w:eastAsia="Times New Roman"/>
                <w:sz w:val="20"/>
                <w:szCs w:val="20"/>
              </w:rPr>
            </w:pPr>
            <w:r>
              <w:rPr>
                <w:rFonts w:eastAsia="Times New Roman"/>
                <w:sz w:val="20"/>
                <w:szCs w:val="20"/>
              </w:rPr>
              <w:t>●</w:t>
            </w:r>
          </w:p>
        </w:tc>
        <w:tc>
          <w:tcPr>
            <w:tcW w:w="0" w:type="auto"/>
            <w:hideMark/>
          </w:tcPr>
          <w:p w14:paraId="11CB5505" w14:textId="77777777" w:rsidR="00000000" w:rsidRDefault="00087966">
            <w:pPr>
              <w:jc w:val="both"/>
              <w:rPr>
                <w:rFonts w:eastAsia="Times New Roman"/>
                <w:sz w:val="20"/>
                <w:szCs w:val="20"/>
              </w:rPr>
            </w:pPr>
            <w:r>
              <w:rPr>
                <w:rFonts w:eastAsia="Times New Roman"/>
                <w:b/>
                <w:bCs/>
                <w:sz w:val="20"/>
                <w:szCs w:val="20"/>
              </w:rPr>
              <w:t>Differentiation:</w:t>
            </w:r>
            <w:r>
              <w:rPr>
                <w:rFonts w:eastAsia="Times New Roman"/>
                <w:sz w:val="20"/>
                <w:szCs w:val="20"/>
              </w:rPr>
              <w:t> We seek prospective target companies that</w:t>
            </w:r>
            <w:r>
              <w:rPr>
                <w:rFonts w:eastAsia="Times New Roman"/>
                <w:sz w:val="20"/>
                <w:szCs w:val="20"/>
              </w:rPr>
              <w:t xml:space="preserve"> demonstrate differentiation that can evolve into a sustainable competitive advantage. We believe this differentiation may exist through an exceptional value proposition, customer contracts, superior execution or product or brand advantage.</w:t>
            </w:r>
          </w:p>
        </w:tc>
      </w:tr>
    </w:tbl>
    <w:p w14:paraId="7353464C"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3ABD10F1" w14:textId="77777777">
        <w:trPr>
          <w:divId w:val="1595479706"/>
        </w:trPr>
        <w:tc>
          <w:tcPr>
            <w:tcW w:w="720" w:type="dxa"/>
            <w:hideMark/>
          </w:tcPr>
          <w:p w14:paraId="5CBCCF0A" w14:textId="77777777" w:rsidR="00000000" w:rsidRDefault="00087966">
            <w:pPr>
              <w:rPr>
                <w:rFonts w:eastAsia="Times New Roman"/>
                <w:sz w:val="20"/>
                <w:szCs w:val="20"/>
              </w:rPr>
            </w:pPr>
            <w:r>
              <w:rPr>
                <w:rFonts w:eastAsia="Times New Roman"/>
                <w:sz w:val="20"/>
                <w:szCs w:val="20"/>
              </w:rPr>
              <w:t> </w:t>
            </w:r>
          </w:p>
        </w:tc>
        <w:tc>
          <w:tcPr>
            <w:tcW w:w="360" w:type="dxa"/>
            <w:hideMark/>
          </w:tcPr>
          <w:p w14:paraId="525F8F2B" w14:textId="77777777" w:rsidR="00000000" w:rsidRDefault="00087966">
            <w:pPr>
              <w:rPr>
                <w:rFonts w:eastAsia="Times New Roman"/>
                <w:sz w:val="20"/>
                <w:szCs w:val="20"/>
              </w:rPr>
            </w:pPr>
            <w:r>
              <w:rPr>
                <w:rFonts w:eastAsia="Times New Roman"/>
                <w:sz w:val="20"/>
                <w:szCs w:val="20"/>
              </w:rPr>
              <w:t>●</w:t>
            </w:r>
          </w:p>
        </w:tc>
        <w:tc>
          <w:tcPr>
            <w:tcW w:w="0" w:type="auto"/>
            <w:hideMark/>
          </w:tcPr>
          <w:p w14:paraId="37044AF9" w14:textId="77777777" w:rsidR="00000000" w:rsidRDefault="00087966">
            <w:pPr>
              <w:jc w:val="both"/>
              <w:rPr>
                <w:rFonts w:eastAsia="Times New Roman"/>
                <w:sz w:val="20"/>
                <w:szCs w:val="20"/>
              </w:rPr>
            </w:pPr>
            <w:r>
              <w:rPr>
                <w:rFonts w:eastAsia="Times New Roman"/>
                <w:b/>
                <w:bCs/>
                <w:sz w:val="20"/>
                <w:szCs w:val="20"/>
              </w:rPr>
              <w:t xml:space="preserve">Benefit </w:t>
            </w:r>
            <w:r>
              <w:rPr>
                <w:rFonts w:eastAsia="Times New Roman"/>
                <w:b/>
                <w:bCs/>
                <w:sz w:val="20"/>
                <w:szCs w:val="20"/>
              </w:rPr>
              <w:t>from Being Public:</w:t>
            </w:r>
            <w:r>
              <w:rPr>
                <w:rFonts w:eastAsia="Times New Roman"/>
                <w:sz w:val="20"/>
                <w:szCs w:val="20"/>
              </w:rPr>
              <w:t> We seek prospective target companies that will benefit from, and adhere to the complexities of, being a public company.</w:t>
            </w:r>
          </w:p>
        </w:tc>
      </w:tr>
    </w:tbl>
    <w:p w14:paraId="023FC944"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4746D3DC" w14:textId="77777777">
        <w:trPr>
          <w:divId w:val="1595479706"/>
        </w:trPr>
        <w:tc>
          <w:tcPr>
            <w:tcW w:w="720" w:type="dxa"/>
            <w:hideMark/>
          </w:tcPr>
          <w:p w14:paraId="6418F5C4" w14:textId="77777777" w:rsidR="00000000" w:rsidRDefault="00087966">
            <w:pPr>
              <w:rPr>
                <w:rFonts w:eastAsia="Times New Roman"/>
                <w:sz w:val="20"/>
                <w:szCs w:val="20"/>
              </w:rPr>
            </w:pPr>
            <w:r>
              <w:rPr>
                <w:rFonts w:eastAsia="Times New Roman"/>
                <w:sz w:val="20"/>
                <w:szCs w:val="20"/>
              </w:rPr>
              <w:t> </w:t>
            </w:r>
          </w:p>
        </w:tc>
        <w:tc>
          <w:tcPr>
            <w:tcW w:w="360" w:type="dxa"/>
            <w:hideMark/>
          </w:tcPr>
          <w:p w14:paraId="2C9945A9" w14:textId="77777777" w:rsidR="00000000" w:rsidRDefault="00087966">
            <w:pPr>
              <w:rPr>
                <w:rFonts w:eastAsia="Times New Roman"/>
                <w:sz w:val="20"/>
                <w:szCs w:val="20"/>
              </w:rPr>
            </w:pPr>
            <w:r>
              <w:rPr>
                <w:rFonts w:eastAsia="Times New Roman"/>
                <w:sz w:val="20"/>
                <w:szCs w:val="20"/>
              </w:rPr>
              <w:t>●</w:t>
            </w:r>
          </w:p>
        </w:tc>
        <w:tc>
          <w:tcPr>
            <w:tcW w:w="0" w:type="auto"/>
            <w:hideMark/>
          </w:tcPr>
          <w:p w14:paraId="0F122CA1" w14:textId="77777777" w:rsidR="00000000" w:rsidRDefault="00087966">
            <w:pPr>
              <w:jc w:val="both"/>
              <w:rPr>
                <w:rFonts w:eastAsia="Times New Roman"/>
                <w:sz w:val="20"/>
                <w:szCs w:val="20"/>
              </w:rPr>
            </w:pPr>
            <w:r>
              <w:rPr>
                <w:rFonts w:eastAsia="Times New Roman"/>
                <w:b/>
                <w:bCs/>
                <w:sz w:val="20"/>
                <w:szCs w:val="20"/>
              </w:rPr>
              <w:t>Appropriate Valuation:</w:t>
            </w:r>
            <w:r>
              <w:rPr>
                <w:rFonts w:eastAsia="Times New Roman"/>
                <w:sz w:val="20"/>
                <w:szCs w:val="20"/>
              </w:rPr>
              <w:t> We use rigorous valuation analyses as well as other data science approaches to ensure t</w:t>
            </w:r>
            <w:r>
              <w:rPr>
                <w:rFonts w:eastAsia="Times New Roman"/>
                <w:sz w:val="20"/>
                <w:szCs w:val="20"/>
              </w:rPr>
              <w:t>hat our business combination is fairly priced with significant upside potential. We are disciplined in regard to preservation of capital and seek a margin of safety to manage risk.</w:t>
            </w:r>
          </w:p>
        </w:tc>
      </w:tr>
    </w:tbl>
    <w:p w14:paraId="033A81AE" w14:textId="77777777" w:rsidR="00000000" w:rsidRDefault="00087966">
      <w:pPr>
        <w:pStyle w:val="a3"/>
        <w:spacing w:before="0" w:beforeAutospacing="0" w:after="0" w:afterAutospacing="0"/>
        <w:ind w:left="960" w:hanging="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23C0CFFA" w14:textId="77777777">
        <w:trPr>
          <w:divId w:val="1595479706"/>
        </w:trPr>
        <w:tc>
          <w:tcPr>
            <w:tcW w:w="720" w:type="dxa"/>
            <w:hideMark/>
          </w:tcPr>
          <w:p w14:paraId="768DB31E" w14:textId="77777777" w:rsidR="00000000" w:rsidRDefault="00087966">
            <w:pPr>
              <w:rPr>
                <w:rFonts w:eastAsia="Times New Roman"/>
                <w:sz w:val="20"/>
                <w:szCs w:val="20"/>
              </w:rPr>
            </w:pPr>
            <w:r>
              <w:rPr>
                <w:rFonts w:eastAsia="Times New Roman"/>
                <w:sz w:val="20"/>
                <w:szCs w:val="20"/>
              </w:rPr>
              <w:t> </w:t>
            </w:r>
          </w:p>
        </w:tc>
        <w:tc>
          <w:tcPr>
            <w:tcW w:w="360" w:type="dxa"/>
            <w:hideMark/>
          </w:tcPr>
          <w:p w14:paraId="351D8DF9" w14:textId="77777777" w:rsidR="00000000" w:rsidRDefault="00087966">
            <w:pPr>
              <w:rPr>
                <w:rFonts w:eastAsia="Times New Roman"/>
                <w:sz w:val="20"/>
                <w:szCs w:val="20"/>
              </w:rPr>
            </w:pPr>
            <w:r>
              <w:rPr>
                <w:rFonts w:eastAsia="Times New Roman"/>
                <w:sz w:val="20"/>
                <w:szCs w:val="20"/>
              </w:rPr>
              <w:t>●</w:t>
            </w:r>
          </w:p>
        </w:tc>
        <w:tc>
          <w:tcPr>
            <w:tcW w:w="0" w:type="auto"/>
            <w:hideMark/>
          </w:tcPr>
          <w:p w14:paraId="49DC4E9E" w14:textId="77777777" w:rsidR="00000000" w:rsidRDefault="00087966">
            <w:pPr>
              <w:jc w:val="both"/>
              <w:rPr>
                <w:rFonts w:eastAsia="Times New Roman"/>
                <w:sz w:val="20"/>
                <w:szCs w:val="20"/>
              </w:rPr>
            </w:pPr>
            <w:r>
              <w:rPr>
                <w:rFonts w:eastAsia="Times New Roman"/>
                <w:b/>
                <w:bCs/>
                <w:sz w:val="20"/>
                <w:szCs w:val="20"/>
              </w:rPr>
              <w:t>Partners for Long-Term Growth:</w:t>
            </w:r>
            <w:r>
              <w:rPr>
                <w:rFonts w:eastAsia="Times New Roman"/>
                <w:sz w:val="20"/>
                <w:szCs w:val="20"/>
              </w:rPr>
              <w:t> </w:t>
            </w:r>
            <w:r>
              <w:rPr>
                <w:rFonts w:eastAsia="Times New Roman"/>
                <w:sz w:val="20"/>
                <w:szCs w:val="20"/>
              </w:rPr>
              <w:t>We seek prospective target companies where we can remain partners on a long-term basis and add significant value to the business. We believe our business interests and financial interests ought to align with the target business and its management team.</w:t>
            </w:r>
          </w:p>
        </w:tc>
      </w:tr>
    </w:tbl>
    <w:p w14:paraId="36F775B9" w14:textId="77777777" w:rsidR="00000000" w:rsidRDefault="00087966">
      <w:pPr>
        <w:pStyle w:val="a3"/>
        <w:spacing w:before="0" w:beforeAutospacing="0" w:after="0" w:afterAutospacing="0"/>
        <w:jc w:val="both"/>
        <w:divId w:val="1595479706"/>
        <w:rPr>
          <w:sz w:val="20"/>
          <w:szCs w:val="20"/>
        </w:rPr>
      </w:pPr>
      <w:r>
        <w:rPr>
          <w:sz w:val="20"/>
          <w:szCs w:val="20"/>
        </w:rPr>
        <w:t> </w:t>
      </w:r>
    </w:p>
    <w:p w14:paraId="4E6C141F" w14:textId="77777777" w:rsidR="00000000" w:rsidRDefault="00087966">
      <w:pPr>
        <w:pStyle w:val="a3"/>
        <w:spacing w:before="0" w:beforeAutospacing="0" w:after="0" w:afterAutospacing="0"/>
        <w:jc w:val="center"/>
        <w:divId w:val="838737560"/>
        <w:rPr>
          <w:sz w:val="20"/>
          <w:szCs w:val="20"/>
        </w:rPr>
      </w:pPr>
      <w:r>
        <w:rPr>
          <w:sz w:val="20"/>
          <w:szCs w:val="20"/>
        </w:rPr>
        <w:t>1</w:t>
      </w:r>
      <w:r>
        <w:rPr>
          <w:sz w:val="20"/>
          <w:szCs w:val="20"/>
        </w:rPr>
        <w:t>2</w:t>
      </w:r>
    </w:p>
    <w:p w14:paraId="234CC1E7" w14:textId="77777777" w:rsidR="00000000" w:rsidRDefault="00087966">
      <w:pPr>
        <w:pStyle w:val="a3"/>
        <w:spacing w:before="0" w:beforeAutospacing="0" w:after="0" w:afterAutospacing="0"/>
        <w:divId w:val="1117872703"/>
        <w:rPr>
          <w:sz w:val="20"/>
          <w:szCs w:val="20"/>
        </w:rPr>
      </w:pPr>
      <w:r>
        <w:rPr>
          <w:sz w:val="20"/>
          <w:szCs w:val="20"/>
        </w:rPr>
        <w:t> </w:t>
      </w:r>
    </w:p>
    <w:p w14:paraId="52B79030" w14:textId="77777777" w:rsidR="00000000" w:rsidRDefault="00087966">
      <w:pPr>
        <w:pStyle w:val="a3"/>
        <w:spacing w:before="0" w:beforeAutospacing="0" w:after="0" w:afterAutospacing="0"/>
        <w:jc w:val="both"/>
        <w:divId w:val="1595479706"/>
        <w:rPr>
          <w:sz w:val="20"/>
          <w:szCs w:val="20"/>
        </w:rPr>
      </w:pPr>
      <w:r>
        <w:rPr>
          <w:sz w:val="20"/>
          <w:szCs w:val="20"/>
        </w:rPr>
        <w:t> </w:t>
      </w:r>
    </w:p>
    <w:p w14:paraId="67235009" w14:textId="77777777" w:rsidR="00000000" w:rsidRDefault="00087966">
      <w:pPr>
        <w:pStyle w:val="a3"/>
        <w:spacing w:before="0" w:beforeAutospacing="0" w:after="0" w:afterAutospacing="0"/>
        <w:jc w:val="both"/>
        <w:divId w:val="1595479706"/>
        <w:rPr>
          <w:sz w:val="20"/>
          <w:szCs w:val="20"/>
        </w:rPr>
      </w:pPr>
      <w:r>
        <w:rPr>
          <w:b/>
          <w:bCs/>
          <w:sz w:val="20"/>
          <w:szCs w:val="20"/>
        </w:rPr>
        <w:t>Sourcing of Potential Initial Business Combination Targets</w:t>
      </w:r>
    </w:p>
    <w:p w14:paraId="50C257D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AB19705" w14:textId="77777777" w:rsidR="00000000" w:rsidRDefault="00087966">
      <w:pPr>
        <w:pStyle w:val="a3"/>
        <w:spacing w:before="0" w:beforeAutospacing="0" w:after="0" w:afterAutospacing="0"/>
        <w:ind w:firstLine="720"/>
        <w:jc w:val="both"/>
        <w:divId w:val="1595479706"/>
        <w:rPr>
          <w:sz w:val="20"/>
          <w:szCs w:val="20"/>
        </w:rPr>
      </w:pPr>
      <w:r>
        <w:rPr>
          <w:sz w:val="20"/>
          <w:szCs w:val="20"/>
        </w:rPr>
        <w:t>Our management team and sponsor have developed a broad network of contacts and corporate relationships. This network has been developed through their experience in sourcing, acquiring, ope</w:t>
      </w:r>
      <w:r>
        <w:rPr>
          <w:sz w:val="20"/>
          <w:szCs w:val="20"/>
        </w:rPr>
        <w:t>rating, developing, growing, financing and selling businesses; reputations for integrity and fair dealing with sellers, capital providers and target management teams; and experience in executing transactions under varying economic and financial market cond</w:t>
      </w:r>
      <w:r>
        <w:rPr>
          <w:sz w:val="20"/>
          <w:szCs w:val="20"/>
        </w:rPr>
        <w:t>itions. This network has provided our management team and sponsor with a flow of referrals that have resulted in numerous transactions. We believe that the network of contacts and relationships of our management team and sponsor provides us with an importa</w:t>
      </w:r>
      <w:r>
        <w:rPr>
          <w:sz w:val="20"/>
          <w:szCs w:val="20"/>
        </w:rPr>
        <w:t>nt source of business combination opportunities, such as the proposed Near Business Combination. In addition, if necessary, we anticipate that target business candidates will be brought to our attention from various unaffiliated sources, including investme</w:t>
      </w:r>
      <w:r>
        <w:rPr>
          <w:sz w:val="20"/>
          <w:szCs w:val="20"/>
        </w:rPr>
        <w:t>nt banking firms, private equity firms, consultants, accounting firms and other business enterprises.</w:t>
      </w:r>
    </w:p>
    <w:p w14:paraId="19FB7D9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00D3350" w14:textId="77777777" w:rsidR="00000000" w:rsidRDefault="00087966">
      <w:pPr>
        <w:pStyle w:val="a3"/>
        <w:spacing w:before="0" w:beforeAutospacing="0" w:after="0" w:afterAutospacing="0"/>
        <w:ind w:firstLine="720"/>
        <w:jc w:val="both"/>
        <w:divId w:val="1595479706"/>
        <w:rPr>
          <w:sz w:val="20"/>
          <w:szCs w:val="20"/>
        </w:rPr>
      </w:pPr>
      <w:r>
        <w:rPr>
          <w:sz w:val="20"/>
          <w:szCs w:val="20"/>
        </w:rPr>
        <w:t>We are not prohibited from pursuing an initial business combination with a company that is affiliated with our sponsor, executive officers or directors,</w:t>
      </w:r>
      <w:r>
        <w:rPr>
          <w:sz w:val="20"/>
          <w:szCs w:val="20"/>
        </w:rPr>
        <w:t xml:space="preserve"> or completing the initial business combination through a joint venture or other form of shared ownership with our sponsor, executive officers or directors. While Near is not affiliated with our sponsor, executive officers or directors, in the event we do </w:t>
      </w:r>
      <w:r>
        <w:rPr>
          <w:sz w:val="20"/>
          <w:szCs w:val="20"/>
        </w:rPr>
        <w:t xml:space="preserve">not consummate the Near Business Combination and seek to complete an initial business combination with a target that is affiliated with our sponsor, executive officers or directors, we, or a committee of independent directors, would obtain an opinion from </w:t>
      </w:r>
      <w:r>
        <w:rPr>
          <w:sz w:val="20"/>
          <w:szCs w:val="20"/>
        </w:rPr>
        <w:t>an independent investment banking firm or another independent entity that commonly renders valuation opinions, stating that our initial business combination is fair to our company from a financial point of view.</w:t>
      </w:r>
    </w:p>
    <w:p w14:paraId="757665C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A2B0B02" w14:textId="77777777" w:rsidR="00000000" w:rsidRDefault="00087966">
      <w:pPr>
        <w:pStyle w:val="a3"/>
        <w:spacing w:before="0" w:beforeAutospacing="0" w:after="0" w:afterAutospacing="0"/>
        <w:ind w:firstLine="720"/>
        <w:jc w:val="both"/>
        <w:divId w:val="1595479706"/>
        <w:rPr>
          <w:sz w:val="20"/>
          <w:szCs w:val="20"/>
        </w:rPr>
      </w:pPr>
      <w:r>
        <w:rPr>
          <w:sz w:val="20"/>
          <w:szCs w:val="20"/>
        </w:rPr>
        <w:t>If any of our executive officers or directors becomes aware of a business combination opportunity that falls within the line of business of any entity to which he or she has then-existing fiduciary or contractual obligations, he or she may be required to p</w:t>
      </w:r>
      <w:r>
        <w:rPr>
          <w:sz w:val="20"/>
          <w:szCs w:val="20"/>
        </w:rPr>
        <w:t>resent such business combination opportunity to such entity prior to presenting such business combination opportunity to us. Certain of our executive officers currently have certain relevant fiduciary duties or contractual obligations that may take priorit</w:t>
      </w:r>
      <w:r>
        <w:rPr>
          <w:sz w:val="20"/>
          <w:szCs w:val="20"/>
        </w:rPr>
        <w:t>y over their duties to us. We believe, however, that the fiduciary duties or contractual obligations of our officers and directors will not materially affect our ability to complete our initial business combination, if such opportunities have arisen.</w:t>
      </w:r>
    </w:p>
    <w:p w14:paraId="405240D7" w14:textId="77777777" w:rsidR="00000000" w:rsidRDefault="00087966">
      <w:pPr>
        <w:pStyle w:val="a3"/>
        <w:spacing w:before="0" w:beforeAutospacing="0" w:after="0" w:afterAutospacing="0"/>
        <w:jc w:val="both"/>
        <w:divId w:val="1595479706"/>
        <w:rPr>
          <w:sz w:val="20"/>
          <w:szCs w:val="20"/>
        </w:rPr>
      </w:pPr>
      <w:r>
        <w:rPr>
          <w:sz w:val="20"/>
          <w:szCs w:val="20"/>
        </w:rPr>
        <w:t> </w:t>
      </w:r>
    </w:p>
    <w:p w14:paraId="2E8E4E46" w14:textId="77777777" w:rsidR="00000000" w:rsidRDefault="00087966">
      <w:pPr>
        <w:pStyle w:val="a3"/>
        <w:spacing w:before="0" w:beforeAutospacing="0" w:after="0" w:afterAutospacing="0"/>
        <w:jc w:val="both"/>
        <w:divId w:val="1595479706"/>
        <w:rPr>
          <w:sz w:val="20"/>
          <w:szCs w:val="20"/>
        </w:rPr>
      </w:pPr>
      <w:r>
        <w:rPr>
          <w:b/>
          <w:bCs/>
          <w:sz w:val="20"/>
          <w:szCs w:val="20"/>
        </w:rPr>
        <w:t>Ini</w:t>
      </w:r>
      <w:r>
        <w:rPr>
          <w:b/>
          <w:bCs/>
          <w:sz w:val="20"/>
          <w:szCs w:val="20"/>
        </w:rPr>
        <w:t>tial Business Combination</w:t>
      </w:r>
    </w:p>
    <w:p w14:paraId="245DA8E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826493D" w14:textId="77777777" w:rsidR="00000000" w:rsidRDefault="00087966">
      <w:pPr>
        <w:pStyle w:val="a3"/>
        <w:spacing w:before="0" w:beforeAutospacing="0" w:after="0" w:afterAutospacing="0"/>
        <w:ind w:firstLine="720"/>
        <w:jc w:val="both"/>
        <w:divId w:val="1595479706"/>
        <w:rPr>
          <w:sz w:val="20"/>
          <w:szCs w:val="20"/>
        </w:rPr>
      </w:pPr>
      <w:r>
        <w:rPr>
          <w:sz w:val="20"/>
          <w:szCs w:val="20"/>
        </w:rPr>
        <w:t>Nasdaq rules require that we must consummate an initial business combination with one or more operating businesses or assets with a fair market value equal to at least 80% of the net assets held in the trust account (net of amou</w:t>
      </w:r>
      <w:r>
        <w:rPr>
          <w:sz w:val="20"/>
          <w:szCs w:val="20"/>
        </w:rPr>
        <w:t>nts disbursed to management for working capital purposes, if permitted, and excluding the amount of any deferred underwriting commissions). If our board of directors is not able to independently determine the fair market value of our initial business combi</w:t>
      </w:r>
      <w:r>
        <w:rPr>
          <w:sz w:val="20"/>
          <w:szCs w:val="20"/>
        </w:rPr>
        <w:t>nation, we will obtain an opinion from an independent investment banking firm or another independent entity that commonly renders valuation opinions with respect to the satisfaction of such criteria. While we consider it unlikely that our board of director</w:t>
      </w:r>
      <w:r>
        <w:rPr>
          <w:sz w:val="20"/>
          <w:szCs w:val="20"/>
        </w:rPr>
        <w:t>s will not be able to make an independent determination of the fair market value of our initial business combination, it may be unable to do so if it is less familiar or experienced with the business of a particular target or if there is a significant amou</w:t>
      </w:r>
      <w:r>
        <w:rPr>
          <w:sz w:val="20"/>
          <w:szCs w:val="20"/>
        </w:rPr>
        <w:t>nt of uncertainty as to the value of a target’s assets or prospects. Additionally, pursuant to Nasdaq rules, any initial business combination must be approved by a majority of our independent directors. If we are no longer listed on Nasdaq, we would not be</w:t>
      </w:r>
      <w:r>
        <w:rPr>
          <w:sz w:val="20"/>
          <w:szCs w:val="20"/>
        </w:rPr>
        <w:t xml:space="preserve"> required to satisfy the above-referenced fair market value test. Based on the valuation analysis of our management and board of directors, we have determined that the fair market value of Near was substantially in excess of 80% of the funds in the trust a</w:t>
      </w:r>
      <w:r>
        <w:rPr>
          <w:sz w:val="20"/>
          <w:szCs w:val="20"/>
        </w:rPr>
        <w:t>ccount and that the 80% test was therefore satisfied.</w:t>
      </w:r>
    </w:p>
    <w:p w14:paraId="2FD48B6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7F45A31" w14:textId="77777777" w:rsidR="00000000" w:rsidRDefault="00087966">
      <w:pPr>
        <w:pStyle w:val="a3"/>
        <w:spacing w:before="0" w:beforeAutospacing="0" w:after="0" w:afterAutospacing="0"/>
        <w:jc w:val="center"/>
        <w:divId w:val="597055769"/>
        <w:rPr>
          <w:sz w:val="20"/>
          <w:szCs w:val="20"/>
        </w:rPr>
      </w:pPr>
      <w:r>
        <w:rPr>
          <w:sz w:val="20"/>
          <w:szCs w:val="20"/>
        </w:rPr>
        <w:t>1</w:t>
      </w:r>
      <w:r>
        <w:rPr>
          <w:sz w:val="20"/>
          <w:szCs w:val="20"/>
        </w:rPr>
        <w:t>3</w:t>
      </w:r>
    </w:p>
    <w:p w14:paraId="4434BBA1" w14:textId="77777777" w:rsidR="00000000" w:rsidRDefault="00087966">
      <w:pPr>
        <w:pStyle w:val="a3"/>
        <w:spacing w:before="0" w:beforeAutospacing="0" w:after="0" w:afterAutospacing="0"/>
        <w:divId w:val="692419006"/>
        <w:rPr>
          <w:sz w:val="20"/>
          <w:szCs w:val="20"/>
        </w:rPr>
      </w:pPr>
      <w:r>
        <w:rPr>
          <w:sz w:val="20"/>
          <w:szCs w:val="20"/>
        </w:rPr>
        <w:t> </w:t>
      </w:r>
    </w:p>
    <w:p w14:paraId="360EE15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3E67B06" w14:textId="77777777" w:rsidR="00000000" w:rsidRDefault="00087966">
      <w:pPr>
        <w:pStyle w:val="a3"/>
        <w:spacing w:before="0" w:beforeAutospacing="0" w:after="0" w:afterAutospacing="0"/>
        <w:ind w:firstLine="720"/>
        <w:jc w:val="both"/>
        <w:divId w:val="1595479706"/>
        <w:rPr>
          <w:sz w:val="20"/>
          <w:szCs w:val="20"/>
        </w:rPr>
      </w:pPr>
      <w:r>
        <w:rPr>
          <w:sz w:val="20"/>
          <w:szCs w:val="20"/>
        </w:rPr>
        <w:t>We anticipate structuring our initial business combination, such as the Near Business Combination, so that the post-transaction company in which our public stockholders own shares will own or a</w:t>
      </w:r>
      <w:r>
        <w:rPr>
          <w:sz w:val="20"/>
          <w:szCs w:val="20"/>
        </w:rPr>
        <w:t>cquire 100% of the equity interests or assets of the target business or businesses. However, if we do not consummate the Near Business Combination in the structure currently contemplated, we may structure our initial business combination, including, if det</w:t>
      </w:r>
      <w:r>
        <w:rPr>
          <w:sz w:val="20"/>
          <w:szCs w:val="20"/>
        </w:rPr>
        <w:t>ermined necessary or advisable, the Near Business Combination, in such a way so that the post-transaction company owns or acquires less than 100% of such interests or assets of the target business in order to meet certain objectives of the target managemen</w:t>
      </w:r>
      <w:r>
        <w:rPr>
          <w:sz w:val="20"/>
          <w:szCs w:val="20"/>
        </w:rPr>
        <w:t>t team or stockholders, or for other reasons. However, we will only complete an initial business combination if the post-transaction company owns or acquires 50% or more of the outstanding voting securities of the target or otherwise acquires a controlling</w:t>
      </w:r>
      <w:r>
        <w:rPr>
          <w:sz w:val="20"/>
          <w:szCs w:val="20"/>
        </w:rPr>
        <w:t xml:space="preserve"> interest in the target sufficient for it not to be required to register as an investment company under the Investment Company Act. Even if the post-transaction company owns or acquires 50% or more of the voting securities of the target, our stockholders p</w:t>
      </w:r>
      <w:r>
        <w:rPr>
          <w:sz w:val="20"/>
          <w:szCs w:val="20"/>
        </w:rPr>
        <w:t>rior to the initial business combination may collectively own a minority interest in the post-transaction company, depending on valuations ascribed to the target and us in the initial business combination. For example, we could pursue a transaction in whic</w:t>
      </w:r>
      <w:r>
        <w:rPr>
          <w:sz w:val="20"/>
          <w:szCs w:val="20"/>
        </w:rPr>
        <w:t>h we issue a substantial number of new shares in exchange for all of the outstanding capital stock of a target. In this case, we would acquire a 100% controlling interest in the target. However, as a result of the issuance of a substantial number of new sh</w:t>
      </w:r>
      <w:r>
        <w:rPr>
          <w:sz w:val="20"/>
          <w:szCs w:val="20"/>
        </w:rPr>
        <w:t>ares, our stockholders immediately prior to our initial business combination could own less than a majority of our outstanding shares subsequent to our initial business combination. If less than 100% of the equity interests or assets of a target business o</w:t>
      </w:r>
      <w:r>
        <w:rPr>
          <w:sz w:val="20"/>
          <w:szCs w:val="20"/>
        </w:rPr>
        <w:t>r businesses are owned or acquired by the post-transaction company, the portion of such business or businesses that is owned or acquired is what will be taken into account for purposes of Nasdaq’s 80% of net assets test. If we do not consummate the Near Bu</w:t>
      </w:r>
      <w:r>
        <w:rPr>
          <w:sz w:val="20"/>
          <w:szCs w:val="20"/>
        </w:rPr>
        <w:t>siness Combination as currently contemplated and the initial business combination involves more than one target business, the 80% of net assets test will be based on the aggregate value of all of the transactions and we will treat the target businesses tog</w:t>
      </w:r>
      <w:r>
        <w:rPr>
          <w:sz w:val="20"/>
          <w:szCs w:val="20"/>
        </w:rPr>
        <w:t>ether as our initial business combination for purposes of seeking stockholder approval or conducting a tender offer, as applicable.</w:t>
      </w:r>
    </w:p>
    <w:p w14:paraId="6C0A818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A17E4B1" w14:textId="77777777" w:rsidR="00000000" w:rsidRDefault="00087966">
      <w:pPr>
        <w:pStyle w:val="a3"/>
        <w:spacing w:before="0" w:beforeAutospacing="0" w:after="0" w:afterAutospacing="0"/>
        <w:ind w:firstLine="720"/>
        <w:jc w:val="both"/>
        <w:divId w:val="1595479706"/>
        <w:rPr>
          <w:sz w:val="20"/>
          <w:szCs w:val="20"/>
        </w:rPr>
      </w:pPr>
      <w:r>
        <w:rPr>
          <w:sz w:val="20"/>
          <w:szCs w:val="20"/>
        </w:rPr>
        <w:t>The net proceeds of our initial public offering and the sale of the private placement warrants released to us from the tru</w:t>
      </w:r>
      <w:r>
        <w:rPr>
          <w:sz w:val="20"/>
          <w:szCs w:val="20"/>
        </w:rPr>
        <w:t>st account upon the closing of our initial business combination may be used as consideration to pay the sellers of a target business with which we complete our initial business combination. If our initial business combination is paid for using equity or de</w:t>
      </w:r>
      <w:r>
        <w:rPr>
          <w:sz w:val="20"/>
          <w:szCs w:val="20"/>
        </w:rPr>
        <w:t>bt securities, as proposed for the Near Business Combination, or not all of the funds released from the trust account are used for payment of the consideration in connection with our initial business combination or used for redemption of our public shares,</w:t>
      </w:r>
      <w:r>
        <w:rPr>
          <w:sz w:val="20"/>
          <w:szCs w:val="20"/>
        </w:rPr>
        <w:t xml:space="preserve"> we may use the balance of the cash released to us from the trust account following the closing for general corporate purposes, including for maintenance or expansion of operations of the post-transaction businesses, the payment of principal or interest du</w:t>
      </w:r>
      <w:r>
        <w:rPr>
          <w:sz w:val="20"/>
          <w:szCs w:val="20"/>
        </w:rPr>
        <w:t>e on indebtedness incurred in completing our initial business combination, to fund the purchase of other companies or for working capital. In addition, we may be required to obtain additional financing in connection with the closing of our initial business</w:t>
      </w:r>
      <w:r>
        <w:rPr>
          <w:sz w:val="20"/>
          <w:szCs w:val="20"/>
        </w:rPr>
        <w:t xml:space="preserve"> combination to be used following the closing for general corporate purposes as described above. There is no limitation on our ability to raise funds through the issuance of equity or equity-linked securities or through loans, advances or other indebtednes</w:t>
      </w:r>
      <w:r>
        <w:rPr>
          <w:sz w:val="20"/>
          <w:szCs w:val="20"/>
        </w:rPr>
        <w:t>s in connection with our initial business combination, including pursuant to forward purchase agreements or backstop agreements into which we may enter. Subject to compliance with applicable securities laws, we would only complete such financing simultaneo</w:t>
      </w:r>
      <w:r>
        <w:rPr>
          <w:sz w:val="20"/>
          <w:szCs w:val="20"/>
        </w:rPr>
        <w:t>usly with the completion of our initial business combination. At this time, we are not a party to any arrangement or understanding with any third party with respect to raising any additional funds through the sale of securities or otherwise. None of our sp</w:t>
      </w:r>
      <w:r>
        <w:rPr>
          <w:sz w:val="20"/>
          <w:szCs w:val="20"/>
        </w:rPr>
        <w:t>onsor, officers, directors or stockholders is required to provide any financing to us in connection with or after our initial business combination. We may also obtain financing prior to the closing of our initial business combination to fund our working ca</w:t>
      </w:r>
      <w:r>
        <w:rPr>
          <w:sz w:val="20"/>
          <w:szCs w:val="20"/>
        </w:rPr>
        <w:t>pital needs and transaction costs in connection with our search for and completion of our initial business combination. On January 21, 2022, we issued a working capital loan (the “Working Capital Loan”) in the principal amount of up to $1,500,000 to our sp</w:t>
      </w:r>
      <w:r>
        <w:rPr>
          <w:sz w:val="20"/>
          <w:szCs w:val="20"/>
        </w:rPr>
        <w:t>onsor. Our amended and restated certificate of incorporation provides that, prior to the consummation of our initial business combination, we are prohibited from issuing additional securities that would entitle the holders thereof to (i) receive funds from</w:t>
      </w:r>
      <w:r>
        <w:rPr>
          <w:sz w:val="20"/>
          <w:szCs w:val="20"/>
        </w:rPr>
        <w:t xml:space="preserve"> the trust account or (ii) vote as a class with our public shares (a) on any initial business combination or (b) to approve an amendment to our amended and restated certificate of incorporation to (x) extend the time we have to consummate a business combin</w:t>
      </w:r>
      <w:r>
        <w:rPr>
          <w:sz w:val="20"/>
          <w:szCs w:val="20"/>
        </w:rPr>
        <w:t>ation beyond April 11, 2023, approximately 27 months from the closing of our initial public offering or (y) amend the foregoing provisions, unless (in connection with any such amendment to our amended and restated certificate of incorporation) we offer our</w:t>
      </w:r>
      <w:r>
        <w:rPr>
          <w:sz w:val="20"/>
          <w:szCs w:val="20"/>
        </w:rPr>
        <w:t xml:space="preserve"> public stockholders the opportunity to redeem their public shares.</w:t>
      </w:r>
    </w:p>
    <w:p w14:paraId="31AD539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16D646E" w14:textId="77777777" w:rsidR="00000000" w:rsidRDefault="00087966">
      <w:pPr>
        <w:pStyle w:val="a3"/>
        <w:spacing w:before="0" w:beforeAutospacing="0" w:after="0" w:afterAutospacing="0"/>
        <w:ind w:firstLine="720"/>
        <w:jc w:val="both"/>
        <w:divId w:val="1595479706"/>
        <w:rPr>
          <w:sz w:val="20"/>
          <w:szCs w:val="20"/>
        </w:rPr>
      </w:pPr>
      <w:r>
        <w:rPr>
          <w:sz w:val="20"/>
          <w:szCs w:val="20"/>
        </w:rPr>
        <w:t>For more information on the Near Business Combination and the equity financing arrangements associated therewith, please see “Near Business Combination” and “Combination Period and Exten</w:t>
      </w:r>
      <w:r>
        <w:rPr>
          <w:sz w:val="20"/>
          <w:szCs w:val="20"/>
        </w:rPr>
        <w:t>sions” above.</w:t>
      </w:r>
    </w:p>
    <w:p w14:paraId="3CB2CB38" w14:textId="77777777" w:rsidR="00000000" w:rsidRDefault="00087966">
      <w:pPr>
        <w:pStyle w:val="a3"/>
        <w:spacing w:before="0" w:beforeAutospacing="0" w:after="0" w:afterAutospacing="0"/>
        <w:jc w:val="both"/>
        <w:divId w:val="1595479706"/>
        <w:rPr>
          <w:sz w:val="20"/>
          <w:szCs w:val="20"/>
        </w:rPr>
      </w:pPr>
      <w:r>
        <w:rPr>
          <w:sz w:val="20"/>
          <w:szCs w:val="20"/>
        </w:rPr>
        <w:t> </w:t>
      </w:r>
    </w:p>
    <w:p w14:paraId="322AF577" w14:textId="77777777" w:rsidR="00000000" w:rsidRDefault="00087966">
      <w:pPr>
        <w:pStyle w:val="a3"/>
        <w:spacing w:before="0" w:beforeAutospacing="0" w:after="0" w:afterAutospacing="0"/>
        <w:jc w:val="center"/>
        <w:divId w:val="328564268"/>
        <w:rPr>
          <w:sz w:val="20"/>
          <w:szCs w:val="20"/>
        </w:rPr>
      </w:pPr>
      <w:r>
        <w:rPr>
          <w:sz w:val="20"/>
          <w:szCs w:val="20"/>
        </w:rPr>
        <w:t>1</w:t>
      </w:r>
      <w:r>
        <w:rPr>
          <w:sz w:val="20"/>
          <w:szCs w:val="20"/>
        </w:rPr>
        <w:t>4</w:t>
      </w:r>
    </w:p>
    <w:p w14:paraId="3517B311" w14:textId="77777777" w:rsidR="00000000" w:rsidRDefault="00087966">
      <w:pPr>
        <w:pStyle w:val="a3"/>
        <w:spacing w:before="0" w:beforeAutospacing="0" w:after="0" w:afterAutospacing="0"/>
        <w:divId w:val="2118403833"/>
        <w:rPr>
          <w:sz w:val="20"/>
          <w:szCs w:val="20"/>
        </w:rPr>
      </w:pPr>
      <w:r>
        <w:rPr>
          <w:sz w:val="20"/>
          <w:szCs w:val="20"/>
        </w:rPr>
        <w:t> </w:t>
      </w:r>
    </w:p>
    <w:p w14:paraId="693D6F09" w14:textId="77777777" w:rsidR="00000000" w:rsidRDefault="00087966">
      <w:pPr>
        <w:pStyle w:val="a3"/>
        <w:spacing w:before="0" w:beforeAutospacing="0" w:after="0" w:afterAutospacing="0"/>
        <w:jc w:val="both"/>
        <w:divId w:val="1595479706"/>
        <w:rPr>
          <w:sz w:val="20"/>
          <w:szCs w:val="20"/>
        </w:rPr>
      </w:pPr>
      <w:r>
        <w:rPr>
          <w:sz w:val="20"/>
          <w:szCs w:val="20"/>
        </w:rPr>
        <w:t> </w:t>
      </w:r>
    </w:p>
    <w:p w14:paraId="74D9A0A1" w14:textId="77777777" w:rsidR="00000000" w:rsidRDefault="00087966">
      <w:pPr>
        <w:pStyle w:val="a3"/>
        <w:spacing w:before="0" w:beforeAutospacing="0" w:after="0" w:afterAutospacing="0"/>
        <w:jc w:val="both"/>
        <w:divId w:val="1595479706"/>
        <w:rPr>
          <w:sz w:val="20"/>
          <w:szCs w:val="20"/>
        </w:rPr>
      </w:pPr>
      <w:r>
        <w:rPr>
          <w:b/>
          <w:bCs/>
          <w:sz w:val="20"/>
          <w:szCs w:val="20"/>
        </w:rPr>
        <w:t>Our Business Combination Process</w:t>
      </w:r>
    </w:p>
    <w:p w14:paraId="5BF4441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4E3F227" w14:textId="77777777" w:rsidR="00000000" w:rsidRDefault="00087966">
      <w:pPr>
        <w:pStyle w:val="a3"/>
        <w:spacing w:before="0" w:beforeAutospacing="0" w:after="0" w:afterAutospacing="0"/>
        <w:ind w:firstLine="720"/>
        <w:jc w:val="both"/>
        <w:divId w:val="1595479706"/>
        <w:rPr>
          <w:sz w:val="20"/>
          <w:szCs w:val="20"/>
        </w:rPr>
      </w:pPr>
      <w:r>
        <w:rPr>
          <w:sz w:val="20"/>
          <w:szCs w:val="20"/>
        </w:rPr>
        <w:t>In evaluating prospective business combinations, such as the Near Business Combination, we conduct a due diligence review process that encompasses, among other things, a review of historical and pro</w:t>
      </w:r>
      <w:r>
        <w:rPr>
          <w:sz w:val="20"/>
          <w:szCs w:val="20"/>
        </w:rPr>
        <w:t>jected financial and operating data, meetings with management and their advisors and, as applicable, on-site inspection of facilities and assets, discussion with customers and suppliers, legal reviews and other reviews as we deem appropriate. We also utili</w:t>
      </w:r>
      <w:r>
        <w:rPr>
          <w:sz w:val="20"/>
          <w:szCs w:val="20"/>
        </w:rPr>
        <w:t>ze the expertise of our management team and board of directors in analyzing companies and evaluating operating projections, financial projections and determining the appropriate return expectations given the risk profile of the target business.</w:t>
      </w:r>
    </w:p>
    <w:p w14:paraId="77CDA1E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6C9E02F" w14:textId="77777777" w:rsidR="00000000" w:rsidRDefault="00087966">
      <w:pPr>
        <w:pStyle w:val="a3"/>
        <w:spacing w:before="0" w:beforeAutospacing="0" w:after="0" w:afterAutospacing="0"/>
        <w:ind w:firstLine="720"/>
        <w:jc w:val="both"/>
        <w:divId w:val="1595479706"/>
        <w:rPr>
          <w:sz w:val="20"/>
          <w:szCs w:val="20"/>
        </w:rPr>
      </w:pPr>
      <w:r>
        <w:rPr>
          <w:sz w:val="20"/>
          <w:szCs w:val="20"/>
        </w:rPr>
        <w:t>Members o</w:t>
      </w:r>
      <w:r>
        <w:rPr>
          <w:sz w:val="20"/>
          <w:szCs w:val="20"/>
        </w:rPr>
        <w:t xml:space="preserve">f our management team directly and indirectly own our common stock and warrants, and, accordingly, may have a conflict of interest in determining whether a particular target business is an appropriate business with which to effectuate our initial business </w:t>
      </w:r>
      <w:r>
        <w:rPr>
          <w:sz w:val="20"/>
          <w:szCs w:val="20"/>
        </w:rPr>
        <w:t xml:space="preserve">combination. Further, each of our officers and directors may have a conflict of interest with respect to evaluating a particular business combination if the retention or resignation of any such officers and directors was included by a target business as a </w:t>
      </w:r>
      <w:r>
        <w:rPr>
          <w:sz w:val="20"/>
          <w:szCs w:val="20"/>
        </w:rPr>
        <w:t>condition to any agreement with respect to our initial business combination.</w:t>
      </w:r>
    </w:p>
    <w:p w14:paraId="29AA31E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1487788"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Our sponsor and members of </w:t>
      </w:r>
      <w:r>
        <w:rPr>
          <w:sz w:val="20"/>
          <w:szCs w:val="20"/>
        </w:rPr>
        <w:t>our management team are, in the ordinary course of business, continuously made aware of potential acquisition or investment opportunities, one or more of which we may desire to pursue for an initial business combination, should the Near Business Combinatio</w:t>
      </w:r>
      <w:r>
        <w:rPr>
          <w:sz w:val="20"/>
          <w:szCs w:val="20"/>
        </w:rPr>
        <w:t>n not be consummated.</w:t>
      </w:r>
    </w:p>
    <w:p w14:paraId="541E5A5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B7DD0AC" w14:textId="77777777" w:rsidR="00000000" w:rsidRDefault="00087966">
      <w:pPr>
        <w:pStyle w:val="a3"/>
        <w:spacing w:before="0" w:beforeAutospacing="0" w:after="0" w:afterAutospacing="0"/>
        <w:ind w:firstLine="720"/>
        <w:jc w:val="both"/>
        <w:divId w:val="1595479706"/>
        <w:rPr>
          <w:sz w:val="20"/>
          <w:szCs w:val="20"/>
        </w:rPr>
      </w:pPr>
      <w:r>
        <w:rPr>
          <w:sz w:val="20"/>
          <w:szCs w:val="20"/>
        </w:rPr>
        <w:t>Each of our officers and directors presently has, and any of them in the future may have additional, fiduciary or contractual obligations to other entities pursuant to which such officer or director is or will be required to present</w:t>
      </w:r>
      <w:r>
        <w:rPr>
          <w:sz w:val="20"/>
          <w:szCs w:val="20"/>
        </w:rPr>
        <w:t xml:space="preserve"> a business combination opportunity. Accordingly, if any of our officers or directors become aware of a business combination opportunity that is suitable for an entity to which he or she has then-current fiduciary or contractual obligations to present the </w:t>
      </w:r>
      <w:r>
        <w:rPr>
          <w:sz w:val="20"/>
          <w:szCs w:val="20"/>
        </w:rPr>
        <w:t>opportunity to such entity, he or she will honor his or her fiduciary or contractual obligations to present such opportunity to such entity. We believe, however, that the fiduciary duties or contractual obligations of our officers or directors will not mat</w:t>
      </w:r>
      <w:r>
        <w:rPr>
          <w:sz w:val="20"/>
          <w:szCs w:val="20"/>
        </w:rPr>
        <w:t xml:space="preserve">erially affect our ability to complete our initial business combination, as we believe any such opportunities presented would be smaller than what we are interested in, in different fields than what we would be interested in, or that such fiduciary duties </w:t>
      </w:r>
      <w:r>
        <w:rPr>
          <w:sz w:val="20"/>
          <w:szCs w:val="20"/>
        </w:rPr>
        <w:t>or contractual obligations are to entities that are not themselves in the business of engaging in business combinations. Our amended and restated certificate of incorporation will provide that we renounce our interest in any corporate opportunity offered t</w:t>
      </w:r>
      <w:r>
        <w:rPr>
          <w:sz w:val="20"/>
          <w:szCs w:val="20"/>
        </w:rPr>
        <w:t>o any director or officer unless such opportunity is expressly offered to such person solely in his or her capacity as a director or officer of our company and such opportunity is one we are legally and contractually permitted to undertake and would otherw</w:t>
      </w:r>
      <w:r>
        <w:rPr>
          <w:sz w:val="20"/>
          <w:szCs w:val="20"/>
        </w:rPr>
        <w:t>ise be reasonable for us to pursue, and to the extent the director or officer is permitted to refer that opportunity to us without violating another legal obligation.</w:t>
      </w:r>
    </w:p>
    <w:p w14:paraId="14BB137B" w14:textId="77777777" w:rsidR="00000000" w:rsidRDefault="00087966">
      <w:pPr>
        <w:pStyle w:val="a3"/>
        <w:spacing w:before="0" w:beforeAutospacing="0" w:after="0" w:afterAutospacing="0"/>
        <w:jc w:val="both"/>
        <w:divId w:val="1595479706"/>
        <w:rPr>
          <w:sz w:val="20"/>
          <w:szCs w:val="20"/>
        </w:rPr>
      </w:pPr>
      <w:r>
        <w:rPr>
          <w:sz w:val="20"/>
          <w:szCs w:val="20"/>
        </w:rPr>
        <w:t> </w:t>
      </w:r>
    </w:p>
    <w:p w14:paraId="67E7039D" w14:textId="77777777" w:rsidR="00000000" w:rsidRDefault="00087966">
      <w:pPr>
        <w:pStyle w:val="a3"/>
        <w:spacing w:before="0" w:beforeAutospacing="0" w:after="0" w:afterAutospacing="0"/>
        <w:jc w:val="both"/>
        <w:divId w:val="1595479706"/>
        <w:rPr>
          <w:sz w:val="20"/>
          <w:szCs w:val="20"/>
        </w:rPr>
      </w:pPr>
      <w:r>
        <w:rPr>
          <w:b/>
          <w:bCs/>
          <w:sz w:val="20"/>
          <w:szCs w:val="20"/>
        </w:rPr>
        <w:t>Our Management Team</w:t>
      </w:r>
    </w:p>
    <w:p w14:paraId="2482852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E3A6728" w14:textId="77777777" w:rsidR="00000000" w:rsidRDefault="00087966">
      <w:pPr>
        <w:pStyle w:val="a3"/>
        <w:spacing w:before="0" w:beforeAutospacing="0" w:after="0" w:afterAutospacing="0"/>
        <w:ind w:firstLine="720"/>
        <w:jc w:val="both"/>
        <w:divId w:val="1595479706"/>
        <w:rPr>
          <w:sz w:val="20"/>
          <w:szCs w:val="20"/>
        </w:rPr>
      </w:pPr>
      <w:r>
        <w:rPr>
          <w:sz w:val="20"/>
          <w:szCs w:val="20"/>
        </w:rPr>
        <w:t>Members of our management team are not obligated to devote any sp</w:t>
      </w:r>
      <w:r>
        <w:rPr>
          <w:sz w:val="20"/>
          <w:szCs w:val="20"/>
        </w:rPr>
        <w:t>ecific number of hours to our matters but they devote as much of their time as they deem necessary to our affairs until we have completed our initial business combination. The amount of time that any member of our management team will devote in any time pe</w:t>
      </w:r>
      <w:r>
        <w:rPr>
          <w:sz w:val="20"/>
          <w:szCs w:val="20"/>
        </w:rPr>
        <w:t>riod will vary based on the initial business combination process.</w:t>
      </w:r>
    </w:p>
    <w:p w14:paraId="6194426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FC406DE"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believe our management team’s operating and transaction experience and relationships with companies will provide us with a substantial number of potential business combination targets. </w:t>
      </w:r>
      <w:r>
        <w:rPr>
          <w:sz w:val="20"/>
          <w:szCs w:val="20"/>
        </w:rPr>
        <w:t xml:space="preserve">Over the course of their careers, the members of our management team have developed a broad network of contacts and corporate relationships. This network has grown through the activities of our management team sourcing, acquiring and financing businesses, </w:t>
      </w:r>
      <w:r>
        <w:rPr>
          <w:sz w:val="20"/>
          <w:szCs w:val="20"/>
        </w:rPr>
        <w:t>our management team’s relationships with sellers, financing sources and target management teams and the experience of our management team in executing transactions under varying economic and financial market conditions.</w:t>
      </w:r>
    </w:p>
    <w:p w14:paraId="6E4834E2" w14:textId="77777777" w:rsidR="00000000" w:rsidRDefault="00087966">
      <w:pPr>
        <w:pStyle w:val="a3"/>
        <w:spacing w:before="0" w:beforeAutospacing="0" w:after="0" w:afterAutospacing="0"/>
        <w:jc w:val="both"/>
        <w:divId w:val="1595479706"/>
        <w:rPr>
          <w:sz w:val="20"/>
          <w:szCs w:val="20"/>
        </w:rPr>
      </w:pPr>
      <w:r>
        <w:rPr>
          <w:sz w:val="20"/>
          <w:szCs w:val="20"/>
        </w:rPr>
        <w:t> </w:t>
      </w:r>
    </w:p>
    <w:p w14:paraId="6321B1D1" w14:textId="77777777" w:rsidR="00000000" w:rsidRDefault="00087966">
      <w:pPr>
        <w:pStyle w:val="a3"/>
        <w:spacing w:before="0" w:beforeAutospacing="0" w:after="0" w:afterAutospacing="0"/>
        <w:jc w:val="center"/>
        <w:divId w:val="1814251571"/>
        <w:rPr>
          <w:sz w:val="20"/>
          <w:szCs w:val="20"/>
        </w:rPr>
      </w:pPr>
      <w:r>
        <w:rPr>
          <w:sz w:val="20"/>
          <w:szCs w:val="20"/>
        </w:rPr>
        <w:t>1</w:t>
      </w:r>
      <w:r>
        <w:rPr>
          <w:sz w:val="20"/>
          <w:szCs w:val="20"/>
        </w:rPr>
        <w:t>5</w:t>
      </w:r>
    </w:p>
    <w:p w14:paraId="1EAF9889" w14:textId="77777777" w:rsidR="00000000" w:rsidRDefault="00087966">
      <w:pPr>
        <w:pStyle w:val="a3"/>
        <w:spacing w:before="0" w:beforeAutospacing="0" w:after="0" w:afterAutospacing="0"/>
        <w:divId w:val="1784113987"/>
        <w:rPr>
          <w:sz w:val="20"/>
          <w:szCs w:val="20"/>
        </w:rPr>
      </w:pPr>
      <w:r>
        <w:rPr>
          <w:sz w:val="20"/>
          <w:szCs w:val="20"/>
        </w:rPr>
        <w:t> </w:t>
      </w:r>
    </w:p>
    <w:p w14:paraId="517B920A" w14:textId="77777777" w:rsidR="00000000" w:rsidRDefault="00087966">
      <w:pPr>
        <w:pStyle w:val="a3"/>
        <w:spacing w:before="0" w:beforeAutospacing="0" w:after="0" w:afterAutospacing="0"/>
        <w:jc w:val="both"/>
        <w:divId w:val="1595479706"/>
        <w:rPr>
          <w:sz w:val="20"/>
          <w:szCs w:val="20"/>
        </w:rPr>
      </w:pPr>
      <w:r>
        <w:rPr>
          <w:sz w:val="20"/>
          <w:szCs w:val="20"/>
        </w:rPr>
        <w:t> </w:t>
      </w:r>
    </w:p>
    <w:p w14:paraId="0C9E7469" w14:textId="77777777" w:rsidR="00000000" w:rsidRDefault="00087966">
      <w:pPr>
        <w:pStyle w:val="a3"/>
        <w:spacing w:before="0" w:beforeAutospacing="0" w:after="0" w:afterAutospacing="0"/>
        <w:jc w:val="both"/>
        <w:divId w:val="1595479706"/>
        <w:rPr>
          <w:sz w:val="20"/>
          <w:szCs w:val="20"/>
        </w:rPr>
      </w:pPr>
      <w:r>
        <w:rPr>
          <w:b/>
          <w:bCs/>
          <w:sz w:val="20"/>
          <w:szCs w:val="20"/>
        </w:rPr>
        <w:t>Status as a Public Company</w:t>
      </w:r>
    </w:p>
    <w:p w14:paraId="35E48D6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C11772C"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believe our structure makes us an attractive business combination partner to target businesses, such as Near. As a public company, we offer a target business an alternative to the traditional initial public offering through a merger or other business </w:t>
      </w:r>
      <w:r>
        <w:rPr>
          <w:sz w:val="20"/>
          <w:szCs w:val="20"/>
        </w:rPr>
        <w:t>combination with us. Following an initial business combination, we believe the target business would have greater access to capital and additional means of creating management incentives that are better aligned with stockholders’ interests than it would as</w:t>
      </w:r>
      <w:r>
        <w:rPr>
          <w:sz w:val="20"/>
          <w:szCs w:val="20"/>
        </w:rPr>
        <w:t xml:space="preserve"> a private company. A target business can further benefit by augmenting its profile among potential new customers and vendors and aid in attracting talented employees. In a business combination transaction with us, the owners of the target business may, fo</w:t>
      </w:r>
      <w:r>
        <w:rPr>
          <w:sz w:val="20"/>
          <w:szCs w:val="20"/>
        </w:rPr>
        <w:t>r example, exchange their shares of stock in the target business for our shares of Class A common stock (or shares of a new holding company) or for a combination of our shares of Class A common stock and cash, allowing us to tailor the consideration to the</w:t>
      </w:r>
      <w:r>
        <w:rPr>
          <w:sz w:val="20"/>
          <w:szCs w:val="20"/>
        </w:rPr>
        <w:t xml:space="preserve"> specific needs of the sellers.</w:t>
      </w:r>
    </w:p>
    <w:p w14:paraId="651582C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54754E1" w14:textId="77777777" w:rsidR="00000000" w:rsidRDefault="00087966">
      <w:pPr>
        <w:pStyle w:val="a3"/>
        <w:spacing w:before="0" w:beforeAutospacing="0" w:after="0" w:afterAutospacing="0"/>
        <w:ind w:firstLine="720"/>
        <w:jc w:val="both"/>
        <w:divId w:val="1595479706"/>
        <w:rPr>
          <w:sz w:val="20"/>
          <w:szCs w:val="20"/>
        </w:rPr>
      </w:pPr>
      <w:r>
        <w:rPr>
          <w:sz w:val="20"/>
          <w:szCs w:val="20"/>
        </w:rPr>
        <w:t>Although there are various costs and obligations associated with being a public company, we believe target businesses will find this method a more expeditious and cost-effective method to becoming a public company than the</w:t>
      </w:r>
      <w:r>
        <w:rPr>
          <w:sz w:val="20"/>
          <w:szCs w:val="20"/>
        </w:rPr>
        <w:t xml:space="preserve"> typical initial public offering. The typical initial public offering process takes a significantly longer period of time than the typical business combination transaction process, and there are significant expenses and market and other uncertainties in th</w:t>
      </w:r>
      <w:r>
        <w:rPr>
          <w:sz w:val="20"/>
          <w:szCs w:val="20"/>
        </w:rPr>
        <w:t>e initial public offering process, including underwriting discounts and commissions, marketing and road show efforts that may not be present to the same extent in connection with an initial business combination with us.</w:t>
      </w:r>
    </w:p>
    <w:p w14:paraId="1C8FF8E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A4BB1F8" w14:textId="77777777" w:rsidR="00000000" w:rsidRDefault="00087966">
      <w:pPr>
        <w:pStyle w:val="a3"/>
        <w:spacing w:before="0" w:beforeAutospacing="0" w:after="0" w:afterAutospacing="0"/>
        <w:ind w:firstLine="720"/>
        <w:jc w:val="both"/>
        <w:divId w:val="1595479706"/>
        <w:rPr>
          <w:sz w:val="20"/>
          <w:szCs w:val="20"/>
        </w:rPr>
      </w:pPr>
      <w:r>
        <w:rPr>
          <w:sz w:val="20"/>
          <w:szCs w:val="20"/>
        </w:rPr>
        <w:t>Furthermore, once a proposed initi</w:t>
      </w:r>
      <w:r>
        <w:rPr>
          <w:sz w:val="20"/>
          <w:szCs w:val="20"/>
        </w:rPr>
        <w:t>al business combination is completed, the target business will have effectively become public, whereas an initial public offering is always subject to the underwriters’ ability to complete the offering, as well as general market conditions, which could del</w:t>
      </w:r>
      <w:r>
        <w:rPr>
          <w:sz w:val="20"/>
          <w:szCs w:val="20"/>
        </w:rPr>
        <w:t>ay or prevent the offering from occurring or could have negative valuation consequences. Following an initial business combination, we believe the target business would then have greater access to capital and an additional means of providing management inc</w:t>
      </w:r>
      <w:r>
        <w:rPr>
          <w:sz w:val="20"/>
          <w:szCs w:val="20"/>
        </w:rPr>
        <w:t>entives consistent with stockholders’ interests and the ability to use its shares as currency for acquisitions. Being a public company can offer further benefits by augmenting a company’s profile among potential new customers and vendors and aid in attract</w:t>
      </w:r>
      <w:r>
        <w:rPr>
          <w:sz w:val="20"/>
          <w:szCs w:val="20"/>
        </w:rPr>
        <w:t>ing talented employees.</w:t>
      </w:r>
    </w:p>
    <w:p w14:paraId="24F755F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FA949D5" w14:textId="77777777" w:rsidR="00000000" w:rsidRDefault="00087966">
      <w:pPr>
        <w:pStyle w:val="a3"/>
        <w:spacing w:before="0" w:beforeAutospacing="0" w:after="0" w:afterAutospacing="0"/>
        <w:ind w:firstLine="720"/>
        <w:jc w:val="both"/>
        <w:divId w:val="1595479706"/>
        <w:rPr>
          <w:sz w:val="20"/>
          <w:szCs w:val="20"/>
        </w:rPr>
      </w:pPr>
      <w:r>
        <w:rPr>
          <w:sz w:val="20"/>
          <w:szCs w:val="20"/>
        </w:rPr>
        <w:t>While we believe that our structure and our management team’s backgrounds will make us an attractive business partner, some potential target businesses may view our status as a blank check company, such as our lack of an operating</w:t>
      </w:r>
      <w:r>
        <w:rPr>
          <w:sz w:val="20"/>
          <w:szCs w:val="20"/>
        </w:rPr>
        <w:t xml:space="preserve"> history and our ability to seek stockholder approval of any proposed initial business combination, negatively.</w:t>
      </w:r>
    </w:p>
    <w:p w14:paraId="5C82423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C3285DB" w14:textId="77777777" w:rsidR="00000000" w:rsidRDefault="00087966">
      <w:pPr>
        <w:pStyle w:val="a3"/>
        <w:spacing w:before="0" w:beforeAutospacing="0" w:after="0" w:afterAutospacing="0"/>
        <w:ind w:firstLine="720"/>
        <w:jc w:val="both"/>
        <w:divId w:val="1595479706"/>
        <w:rPr>
          <w:sz w:val="20"/>
          <w:szCs w:val="20"/>
        </w:rPr>
      </w:pPr>
      <w:r>
        <w:rPr>
          <w:sz w:val="20"/>
          <w:szCs w:val="20"/>
        </w:rPr>
        <w:t>We are an “emerging growth company,” as defined in Section 2(a) of the Securities Act, as modified by the JOBS Act. As such, we are eligible t</w:t>
      </w:r>
      <w:r>
        <w:rPr>
          <w:sz w:val="20"/>
          <w:szCs w:val="20"/>
        </w:rPr>
        <w:t>o take advantage of certain exemptions from various reporting requirements that are applicable to other public companies that are not emerging growth companies, including, but not limited to, not being required to comply with the auditor attestation requir</w:t>
      </w:r>
      <w:r>
        <w:rPr>
          <w:sz w:val="20"/>
          <w:szCs w:val="20"/>
        </w:rPr>
        <w:t>ements of Section 404 of the Sarbanes-Oxley Act, reduced disclosure obligations regarding executive compensation in our periodic reports and proxy statements and exemptions from the requirements of holding a non-binding advisory vote on executive compensat</w:t>
      </w:r>
      <w:r>
        <w:rPr>
          <w:sz w:val="20"/>
          <w:szCs w:val="20"/>
        </w:rPr>
        <w:t>ion and stockholder approval of any golden parachute payments not previously approved. If some investors find our securities less attractive as a result, there may be a less active trading market for our securities and the prices of our securities may be m</w:t>
      </w:r>
      <w:r>
        <w:rPr>
          <w:sz w:val="20"/>
          <w:szCs w:val="20"/>
        </w:rPr>
        <w:t>ore volatile.</w:t>
      </w:r>
    </w:p>
    <w:p w14:paraId="0945E88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9F6E8FF"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In addition, Section 107 </w:t>
      </w:r>
      <w:r>
        <w:rPr>
          <w:sz w:val="20"/>
          <w:szCs w:val="20"/>
        </w:rPr>
        <w:t>of the JOBS Act also provides that an emerging growth company can take advantage of the extended transition period provided in Section 7(a)(2)(B) of the Securities Act for complying with new or revised accounting standards. In other words, an emerging grow</w:t>
      </w:r>
      <w:r>
        <w:rPr>
          <w:sz w:val="20"/>
          <w:szCs w:val="20"/>
        </w:rPr>
        <w:t>th company can delay the adoption of certain accounting standards until those standards would otherwise apply to private companies. We intend to take advantage of the benefits of this extended transition period.</w:t>
      </w:r>
    </w:p>
    <w:p w14:paraId="705569E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7CDD3DD"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will remain an emerging growth company </w:t>
      </w:r>
      <w:r>
        <w:rPr>
          <w:sz w:val="20"/>
          <w:szCs w:val="20"/>
        </w:rPr>
        <w:t xml:space="preserve">until the earlier of (1) the last day of the fiscal year (a) following January 11, 2026, (b) in which we have total annual gross revenue of at least $1.235 billion or (c) in which we are deemed to be a large accelerated filer, which means the market value </w:t>
      </w:r>
      <w:r>
        <w:rPr>
          <w:sz w:val="20"/>
          <w:szCs w:val="20"/>
        </w:rPr>
        <w:t>of our Class A common stock that is held by non-affiliates exceeds $700 million as of the prior June 30 and (2) the date on which we have issued more than $1.0 billion in non-convertible debt securities during the prior three-year period. References herein</w:t>
      </w:r>
      <w:r>
        <w:rPr>
          <w:sz w:val="20"/>
          <w:szCs w:val="20"/>
        </w:rPr>
        <w:t xml:space="preserve"> to emerging growth company will have the meaning associated with it in the JOBS Act.</w:t>
      </w:r>
    </w:p>
    <w:p w14:paraId="4E457743" w14:textId="77777777" w:rsidR="00000000" w:rsidRDefault="00087966">
      <w:pPr>
        <w:pStyle w:val="a3"/>
        <w:spacing w:before="0" w:beforeAutospacing="0" w:after="0" w:afterAutospacing="0"/>
        <w:jc w:val="both"/>
        <w:divId w:val="1595479706"/>
        <w:rPr>
          <w:sz w:val="20"/>
          <w:szCs w:val="20"/>
        </w:rPr>
      </w:pPr>
      <w:r>
        <w:rPr>
          <w:sz w:val="20"/>
          <w:szCs w:val="20"/>
        </w:rPr>
        <w:t> </w:t>
      </w:r>
    </w:p>
    <w:p w14:paraId="59FD2519" w14:textId="77777777" w:rsidR="00000000" w:rsidRDefault="00087966">
      <w:pPr>
        <w:pStyle w:val="a3"/>
        <w:spacing w:before="0" w:beforeAutospacing="0" w:after="0" w:afterAutospacing="0"/>
        <w:jc w:val="center"/>
        <w:divId w:val="554703936"/>
        <w:rPr>
          <w:sz w:val="20"/>
          <w:szCs w:val="20"/>
        </w:rPr>
      </w:pPr>
      <w:r>
        <w:rPr>
          <w:sz w:val="20"/>
          <w:szCs w:val="20"/>
        </w:rPr>
        <w:t>1</w:t>
      </w:r>
      <w:r>
        <w:rPr>
          <w:sz w:val="20"/>
          <w:szCs w:val="20"/>
        </w:rPr>
        <w:t>6</w:t>
      </w:r>
    </w:p>
    <w:p w14:paraId="5F850F2A" w14:textId="77777777" w:rsidR="00000000" w:rsidRDefault="00087966">
      <w:pPr>
        <w:pStyle w:val="a3"/>
        <w:spacing w:before="0" w:beforeAutospacing="0" w:after="0" w:afterAutospacing="0"/>
        <w:divId w:val="1382828341"/>
        <w:rPr>
          <w:sz w:val="20"/>
          <w:szCs w:val="20"/>
        </w:rPr>
      </w:pPr>
      <w:r>
        <w:rPr>
          <w:sz w:val="20"/>
          <w:szCs w:val="20"/>
        </w:rPr>
        <w:t> </w:t>
      </w:r>
    </w:p>
    <w:p w14:paraId="0EA3AB5B" w14:textId="77777777" w:rsidR="00000000" w:rsidRDefault="00087966">
      <w:pPr>
        <w:pStyle w:val="a3"/>
        <w:spacing w:before="0" w:beforeAutospacing="0" w:after="0" w:afterAutospacing="0"/>
        <w:jc w:val="both"/>
        <w:divId w:val="1595479706"/>
        <w:rPr>
          <w:sz w:val="20"/>
          <w:szCs w:val="20"/>
        </w:rPr>
      </w:pPr>
      <w:r>
        <w:rPr>
          <w:sz w:val="20"/>
          <w:szCs w:val="20"/>
        </w:rPr>
        <w:t> </w:t>
      </w:r>
    </w:p>
    <w:p w14:paraId="37F18785" w14:textId="77777777" w:rsidR="00000000" w:rsidRDefault="00087966">
      <w:pPr>
        <w:pStyle w:val="a3"/>
        <w:spacing w:before="0" w:beforeAutospacing="0" w:after="0" w:afterAutospacing="0"/>
        <w:jc w:val="both"/>
        <w:divId w:val="1595479706"/>
        <w:rPr>
          <w:sz w:val="20"/>
          <w:szCs w:val="20"/>
        </w:rPr>
      </w:pPr>
      <w:r>
        <w:rPr>
          <w:b/>
          <w:bCs/>
          <w:sz w:val="20"/>
          <w:szCs w:val="20"/>
        </w:rPr>
        <w:t>Financial Position</w:t>
      </w:r>
    </w:p>
    <w:p w14:paraId="47E8BB6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66A4033" w14:textId="77777777" w:rsidR="00000000" w:rsidRDefault="00087966">
      <w:pPr>
        <w:pStyle w:val="a3"/>
        <w:spacing w:before="0" w:beforeAutospacing="0" w:after="0" w:afterAutospacing="0"/>
        <w:ind w:firstLine="720"/>
        <w:jc w:val="both"/>
        <w:divId w:val="1595479706"/>
        <w:rPr>
          <w:sz w:val="20"/>
          <w:szCs w:val="20"/>
        </w:rPr>
      </w:pPr>
      <w:r>
        <w:rPr>
          <w:sz w:val="20"/>
          <w:szCs w:val="20"/>
        </w:rPr>
        <w:t>With funds available for an initial business combination in the amount of $6,470,354 as of March 14, 2023, assuming no redemptions and exclu</w:t>
      </w:r>
      <w:r>
        <w:rPr>
          <w:sz w:val="20"/>
          <w:szCs w:val="20"/>
        </w:rPr>
        <w:t>ding payment of up to $6,037,500 of deferred underwriting fees, before estimated offering and working capital expenses, we offer a target business a variety of options such as creating a liquidity event for its owners, providing capital for the potential g</w:t>
      </w:r>
      <w:r>
        <w:rPr>
          <w:sz w:val="20"/>
          <w:szCs w:val="20"/>
        </w:rPr>
        <w:t xml:space="preserve">rowth and expansion of its operations or strengthening its balance sheet by reducing its debt or leverage ratio. Because we are able to complete our initial business combination using our cash, debt or equity securities, or a combination of the foregoing, </w:t>
      </w:r>
      <w:r>
        <w:rPr>
          <w:sz w:val="20"/>
          <w:szCs w:val="20"/>
        </w:rPr>
        <w:t xml:space="preserve">we have the flexibility to use the most efficient combination that will allow us to tailor the consideration to be paid to the target business to fit its needs and desires. On January 21, 2022, we issued the Working Capital Loan in the principal amount of </w:t>
      </w:r>
      <w:r>
        <w:rPr>
          <w:sz w:val="20"/>
          <w:szCs w:val="20"/>
        </w:rPr>
        <w:t>up to $1,500,000 to our sponsor. On January 31, 2022, April 1, 2022, June 30, 2022, September 30, 2022 and December 31, 2022, $350,000, $112,500, $250,000, $360,000 and $152,500 were drawn on the Working Capital Loan, respectively. As of December 31, 2022,</w:t>
      </w:r>
      <w:r>
        <w:rPr>
          <w:sz w:val="20"/>
          <w:szCs w:val="20"/>
        </w:rPr>
        <w:t xml:space="preserve"> the total Working Capital Loan amount outstanding was $1,225,000 and has been included (at its then current fair value) in Working Capital Loan on the accompanying consolidated balance sheet as of December 31, 2022.</w:t>
      </w:r>
    </w:p>
    <w:p w14:paraId="752DBFF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7294B1A" w14:textId="77777777" w:rsidR="00000000" w:rsidRDefault="00087966">
      <w:pPr>
        <w:pStyle w:val="a3"/>
        <w:spacing w:before="0" w:beforeAutospacing="0" w:after="0" w:afterAutospacing="0"/>
        <w:ind w:firstLine="720"/>
        <w:jc w:val="both"/>
        <w:divId w:val="1595479706"/>
        <w:rPr>
          <w:sz w:val="20"/>
          <w:szCs w:val="20"/>
        </w:rPr>
      </w:pPr>
      <w:r>
        <w:rPr>
          <w:sz w:val="20"/>
          <w:szCs w:val="20"/>
        </w:rPr>
        <w:t>See “Combination Period and Extension</w:t>
      </w:r>
      <w:r>
        <w:rPr>
          <w:sz w:val="20"/>
          <w:szCs w:val="20"/>
        </w:rPr>
        <w:t>” above for a discussion regarding the two promissory notes issued to the sponsor and Near in connection with the payment of the Extension Funds with an aggregate amount outstanding of $2,060,070 as of March 14, 2023.</w:t>
      </w:r>
    </w:p>
    <w:p w14:paraId="06331A76" w14:textId="77777777" w:rsidR="00000000" w:rsidRDefault="00087966">
      <w:pPr>
        <w:pStyle w:val="a3"/>
        <w:spacing w:before="0" w:beforeAutospacing="0" w:after="0" w:afterAutospacing="0"/>
        <w:jc w:val="both"/>
        <w:divId w:val="1595479706"/>
        <w:rPr>
          <w:sz w:val="20"/>
          <w:szCs w:val="20"/>
        </w:rPr>
      </w:pPr>
      <w:r>
        <w:rPr>
          <w:sz w:val="20"/>
          <w:szCs w:val="20"/>
        </w:rPr>
        <w:t> </w:t>
      </w:r>
    </w:p>
    <w:p w14:paraId="718AD7A3" w14:textId="77777777" w:rsidR="00000000" w:rsidRDefault="00087966">
      <w:pPr>
        <w:pStyle w:val="a3"/>
        <w:spacing w:before="0" w:beforeAutospacing="0" w:after="0" w:afterAutospacing="0"/>
        <w:jc w:val="both"/>
        <w:divId w:val="1595479706"/>
        <w:rPr>
          <w:sz w:val="20"/>
          <w:szCs w:val="20"/>
        </w:rPr>
      </w:pPr>
      <w:r>
        <w:rPr>
          <w:b/>
          <w:bCs/>
          <w:sz w:val="20"/>
          <w:szCs w:val="20"/>
        </w:rPr>
        <w:t>Effecting Our Initial Business Combi</w:t>
      </w:r>
      <w:r>
        <w:rPr>
          <w:b/>
          <w:bCs/>
          <w:sz w:val="20"/>
          <w:szCs w:val="20"/>
        </w:rPr>
        <w:t>nation</w:t>
      </w:r>
    </w:p>
    <w:p w14:paraId="767F7FF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45C714F"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are not presently engaged in, and we will not engage in, any operations other than the pursuit of our business combination until we consummate our initial business combination, such as the Near Business Combination. We intend to effectuate our </w:t>
      </w:r>
      <w:r>
        <w:rPr>
          <w:sz w:val="20"/>
          <w:szCs w:val="20"/>
        </w:rPr>
        <w:t>initial business combination using cash from the proceeds of our initial public offering and the private placement of the private placement warrants, the proceeds of the sale of our shares in connection with our initial business combination (pursuant to fo</w:t>
      </w:r>
      <w:r>
        <w:rPr>
          <w:sz w:val="20"/>
          <w:szCs w:val="20"/>
        </w:rPr>
        <w:t>rward purchase agreements or backstop agreements into which we may enter), shares issued to the owners of the target, debt issued to bank or other lenders or the owners of the target, or a combination of the foregoing. We may seek to complete our initial b</w:t>
      </w:r>
      <w:r>
        <w:rPr>
          <w:sz w:val="20"/>
          <w:szCs w:val="20"/>
        </w:rPr>
        <w:t>usiness combination with a company or business that may be financially unstable or in its early stages of development or growth, which would subject us to the numerous risks inherent in such companies and businesses.</w:t>
      </w:r>
    </w:p>
    <w:p w14:paraId="3973AA0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54FCA6E" w14:textId="77777777" w:rsidR="00000000" w:rsidRDefault="00087966">
      <w:pPr>
        <w:pStyle w:val="a3"/>
        <w:spacing w:before="0" w:beforeAutospacing="0" w:after="0" w:afterAutospacing="0"/>
        <w:ind w:firstLine="720"/>
        <w:jc w:val="both"/>
        <w:divId w:val="1595479706"/>
        <w:rPr>
          <w:sz w:val="20"/>
          <w:szCs w:val="20"/>
        </w:rPr>
      </w:pPr>
      <w:r>
        <w:rPr>
          <w:sz w:val="20"/>
          <w:szCs w:val="20"/>
        </w:rPr>
        <w:t>If our initial business combination i</w:t>
      </w:r>
      <w:r>
        <w:rPr>
          <w:sz w:val="20"/>
          <w:szCs w:val="20"/>
        </w:rPr>
        <w:t>s paid for using equity or debt securities, or not all of the funds released from the trust account are used for payment of the consideration in connection with our initial business combination or used for redemption of our public shares, we may use the ba</w:t>
      </w:r>
      <w:r>
        <w:rPr>
          <w:sz w:val="20"/>
          <w:szCs w:val="20"/>
        </w:rPr>
        <w:t>lance of the cash released to us from the trust account following the closing for general corporate purposes, including for maintenance or expansion of operations of the post-transaction company, the payment of principal or interest due on indebtedness inc</w:t>
      </w:r>
      <w:r>
        <w:rPr>
          <w:sz w:val="20"/>
          <w:szCs w:val="20"/>
        </w:rPr>
        <w:t>urred in completing our initial business combination, to fund the purchase of other companies or for working capital.</w:t>
      </w:r>
    </w:p>
    <w:p w14:paraId="0115B4A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8C04A94" w14:textId="77777777" w:rsidR="00000000" w:rsidRDefault="00087966">
      <w:pPr>
        <w:pStyle w:val="a3"/>
        <w:spacing w:before="0" w:beforeAutospacing="0" w:after="0" w:afterAutospacing="0"/>
        <w:ind w:firstLine="720"/>
        <w:jc w:val="both"/>
        <w:divId w:val="1595479706"/>
        <w:rPr>
          <w:sz w:val="20"/>
          <w:szCs w:val="20"/>
        </w:rPr>
      </w:pPr>
      <w:r>
        <w:rPr>
          <w:sz w:val="20"/>
          <w:szCs w:val="20"/>
        </w:rPr>
        <w:t>We may seek to raise additional funds through a private offering of debt or equity securities in connection with the completion of our i</w:t>
      </w:r>
      <w:r>
        <w:rPr>
          <w:sz w:val="20"/>
          <w:szCs w:val="20"/>
        </w:rPr>
        <w:t>nitial business combination, and we may effectuate our initial business combination using the proceeds of such offering rather than using the amounts held in the trust account. In addition, we are targeting businesses with enterprise values that are greate</w:t>
      </w:r>
      <w:r>
        <w:rPr>
          <w:sz w:val="20"/>
          <w:szCs w:val="20"/>
        </w:rPr>
        <w:t>r than we could acquire with the net proceeds of our initial public offering and the sale of the private placement warrants, and, as a result, if the cash portion of the purchase price exceeds the amount available from the trust account, net of amounts nee</w:t>
      </w:r>
      <w:r>
        <w:rPr>
          <w:sz w:val="20"/>
          <w:szCs w:val="20"/>
        </w:rPr>
        <w:t>ded to satisfy any redemptions by public stockholders, we may be required to seek additional financing to complete such proposed initial business combination. Subject to compliance with applicable securities laws, we would expect to complete such financing</w:t>
      </w:r>
      <w:r>
        <w:rPr>
          <w:sz w:val="20"/>
          <w:szCs w:val="20"/>
        </w:rPr>
        <w:t xml:space="preserve"> only simultaneously with the completion of our initial business combination. In the case of an initial business combination funded with assets other than the trust account assets, our proxy materials or tender offer documents disclosing the initial busine</w:t>
      </w:r>
      <w:r>
        <w:rPr>
          <w:sz w:val="20"/>
          <w:szCs w:val="20"/>
        </w:rPr>
        <w:t xml:space="preserve">ss combination would disclose the terms of the financing and, only if required by law, we would seek stockholder approval of such financing. There is no limitation on our ability to raise funds through the issuance of equity or equity-linked securities or </w:t>
      </w:r>
      <w:r>
        <w:rPr>
          <w:sz w:val="20"/>
          <w:szCs w:val="20"/>
        </w:rPr>
        <w:t>through loans, advances or other indebtedness in connection with our initial business combination, including pursuant to forward purchase agreements or backstop agreements into which we may enter. None of our sponsor, officers, directors or stockholders is</w:t>
      </w:r>
      <w:r>
        <w:rPr>
          <w:sz w:val="20"/>
          <w:szCs w:val="20"/>
        </w:rPr>
        <w:t xml:space="preserve"> required to provide any financing to us in connection with or after our initial business combination. Our amended and restated certificate of incorporation provides that, prior to the consummation of our initial business combination, we are prohibited fro</w:t>
      </w:r>
      <w:r>
        <w:rPr>
          <w:sz w:val="20"/>
          <w:szCs w:val="20"/>
        </w:rPr>
        <w:t>m issuing additional securities that would entitle the holders thereof to (i) receive funds from the trust account or (ii) vote as a class with our public shares (a) on any initial business combination or (b) to approve an amendment to our amended and rest</w:t>
      </w:r>
      <w:r>
        <w:rPr>
          <w:sz w:val="20"/>
          <w:szCs w:val="20"/>
        </w:rPr>
        <w:t>ated certificate of incorporation to (x) extend the time we have to consummate a business combination beyond April 11, 2023 or (y) amend the foregoing provisions, unless (in connection with any such amendment to our amended and restated certificate of inco</w:t>
      </w:r>
      <w:r>
        <w:rPr>
          <w:sz w:val="20"/>
          <w:szCs w:val="20"/>
        </w:rPr>
        <w:t>rporation) we offer our public stockholders the opportunity to redeem their public shares.</w:t>
      </w:r>
    </w:p>
    <w:p w14:paraId="43F9D66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2A3DD8D" w14:textId="77777777" w:rsidR="00000000" w:rsidRDefault="00087966">
      <w:pPr>
        <w:pStyle w:val="a3"/>
        <w:spacing w:before="0" w:beforeAutospacing="0" w:after="0" w:afterAutospacing="0"/>
        <w:ind w:firstLine="720"/>
        <w:jc w:val="both"/>
        <w:divId w:val="1595479706"/>
        <w:rPr>
          <w:sz w:val="20"/>
          <w:szCs w:val="20"/>
        </w:rPr>
      </w:pPr>
      <w:r>
        <w:rPr>
          <w:sz w:val="20"/>
          <w:szCs w:val="20"/>
        </w:rPr>
        <w:t>See “Near Business Combination” above for more information on the proposed structure and financing associated with the planned Near Business Combination.</w:t>
      </w:r>
    </w:p>
    <w:p w14:paraId="43774EC7" w14:textId="77777777" w:rsidR="00000000" w:rsidRDefault="00087966">
      <w:pPr>
        <w:pStyle w:val="a3"/>
        <w:spacing w:before="0" w:beforeAutospacing="0" w:after="0" w:afterAutospacing="0"/>
        <w:jc w:val="both"/>
        <w:divId w:val="1595479706"/>
        <w:rPr>
          <w:sz w:val="20"/>
          <w:szCs w:val="20"/>
        </w:rPr>
      </w:pPr>
      <w:r>
        <w:rPr>
          <w:sz w:val="20"/>
          <w:szCs w:val="20"/>
        </w:rPr>
        <w:t> </w:t>
      </w:r>
    </w:p>
    <w:p w14:paraId="5315F8FD" w14:textId="77777777" w:rsidR="00000000" w:rsidRDefault="00087966">
      <w:pPr>
        <w:pStyle w:val="a3"/>
        <w:spacing w:before="0" w:beforeAutospacing="0" w:after="0" w:afterAutospacing="0"/>
        <w:jc w:val="center"/>
        <w:divId w:val="521091255"/>
        <w:rPr>
          <w:sz w:val="20"/>
          <w:szCs w:val="20"/>
        </w:rPr>
      </w:pPr>
      <w:r>
        <w:rPr>
          <w:sz w:val="20"/>
          <w:szCs w:val="20"/>
        </w:rPr>
        <w:t>1</w:t>
      </w:r>
      <w:r>
        <w:rPr>
          <w:sz w:val="20"/>
          <w:szCs w:val="20"/>
        </w:rPr>
        <w:t>7</w:t>
      </w:r>
    </w:p>
    <w:p w14:paraId="0CFDF3CE" w14:textId="77777777" w:rsidR="00000000" w:rsidRDefault="00087966">
      <w:pPr>
        <w:pStyle w:val="a3"/>
        <w:spacing w:before="0" w:beforeAutospacing="0" w:after="0" w:afterAutospacing="0"/>
        <w:divId w:val="1785420347"/>
        <w:rPr>
          <w:sz w:val="20"/>
          <w:szCs w:val="20"/>
        </w:rPr>
      </w:pPr>
      <w:r>
        <w:rPr>
          <w:sz w:val="20"/>
          <w:szCs w:val="20"/>
        </w:rPr>
        <w:t> </w:t>
      </w:r>
    </w:p>
    <w:p w14:paraId="057EDCEA" w14:textId="77777777" w:rsidR="00000000" w:rsidRDefault="00087966">
      <w:pPr>
        <w:pStyle w:val="a3"/>
        <w:spacing w:before="0" w:beforeAutospacing="0" w:after="0" w:afterAutospacing="0"/>
        <w:jc w:val="both"/>
        <w:divId w:val="1595479706"/>
        <w:rPr>
          <w:sz w:val="20"/>
          <w:szCs w:val="20"/>
        </w:rPr>
      </w:pPr>
      <w:r>
        <w:rPr>
          <w:sz w:val="20"/>
          <w:szCs w:val="20"/>
        </w:rPr>
        <w:t> </w:t>
      </w:r>
    </w:p>
    <w:p w14:paraId="6EED9D86" w14:textId="77777777" w:rsidR="00000000" w:rsidRDefault="00087966">
      <w:pPr>
        <w:pStyle w:val="a3"/>
        <w:spacing w:before="0" w:beforeAutospacing="0" w:after="0" w:afterAutospacing="0"/>
        <w:jc w:val="both"/>
        <w:divId w:val="1595479706"/>
        <w:rPr>
          <w:sz w:val="20"/>
          <w:szCs w:val="20"/>
        </w:rPr>
      </w:pPr>
      <w:r>
        <w:rPr>
          <w:b/>
          <w:bCs/>
          <w:sz w:val="20"/>
          <w:szCs w:val="20"/>
        </w:rPr>
        <w:t>Sources of Target Businesses</w:t>
      </w:r>
    </w:p>
    <w:p w14:paraId="2CC1177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6AD03F9" w14:textId="77777777" w:rsidR="00000000" w:rsidRDefault="00087966">
      <w:pPr>
        <w:pStyle w:val="a3"/>
        <w:spacing w:before="0" w:beforeAutospacing="0" w:after="0" w:afterAutospacing="0"/>
        <w:ind w:firstLine="720"/>
        <w:jc w:val="both"/>
        <w:divId w:val="1595479706"/>
        <w:rPr>
          <w:sz w:val="20"/>
          <w:szCs w:val="20"/>
        </w:rPr>
      </w:pPr>
      <w:r>
        <w:rPr>
          <w:sz w:val="20"/>
          <w:szCs w:val="20"/>
        </w:rPr>
        <w:t>Target business candidates, such as Near, are brought to our attention from various unaffiliated sources, including investment bankers and investment professionals. Target businesses are also brought to our attention by such</w:t>
      </w:r>
      <w:r>
        <w:rPr>
          <w:sz w:val="20"/>
          <w:szCs w:val="20"/>
        </w:rPr>
        <w:t xml:space="preserve"> unaffiliated sources as a result of being solicited by us by calls or mailings. These sources may also introduce us to target businesses in which they think we may be interested on an unsolicited basis, since many of these sources will have read the prosp</w:t>
      </w:r>
      <w:r>
        <w:rPr>
          <w:sz w:val="20"/>
          <w:szCs w:val="20"/>
        </w:rPr>
        <w:t>ectus of our initial public offering and know what types of businesses we are targeting. Our officers and directors, as well as our sponsor and its affiliates, may also bring to our attention target business candidates that they become aware of through the</w:t>
      </w:r>
      <w:r>
        <w:rPr>
          <w:sz w:val="20"/>
          <w:szCs w:val="20"/>
        </w:rPr>
        <w:t>ir business contacts as a result of formal or informal inquiries or discussions they may have, as well as attending trade shows, conferences or conventions. In addition, we have received a number of proprietary deal flow opportunities that would not otherw</w:t>
      </w:r>
      <w:r>
        <w:rPr>
          <w:sz w:val="20"/>
          <w:szCs w:val="20"/>
        </w:rPr>
        <w:t xml:space="preserve">ise necessarily be available to us as a result of the business relationships of our officers and directors and our sponsor and their respective industry and business contacts as well as their affiliates. We may engage the services of professional firms or </w:t>
      </w:r>
      <w:r>
        <w:rPr>
          <w:sz w:val="20"/>
          <w:szCs w:val="20"/>
        </w:rPr>
        <w:t>other individuals that specialize in business acquisitions on any formal basis, in which event we may pay a finder’s fee, consulting fee, advisory fee or other compensation to be determined in an arm’s length negotiation based on the terms of the transacti</w:t>
      </w:r>
      <w:r>
        <w:rPr>
          <w:sz w:val="20"/>
          <w:szCs w:val="20"/>
        </w:rPr>
        <w:t>on. We will engage a finder only to the extent our management determines that the use of a finder may bring opportunities to us that may not otherwise be available to us or if finders approach us on an unsolicited basis with a potential transaction that ou</w:t>
      </w:r>
      <w:r>
        <w:rPr>
          <w:sz w:val="20"/>
          <w:szCs w:val="20"/>
        </w:rPr>
        <w:t>r management determines is in our best interest to pursue. Payment of finder’s fees is customarily tied to completion of a transaction, in which case any such fee will be paid out of the funds held in the trust account. In no event, however, will our spons</w:t>
      </w:r>
      <w:r>
        <w:rPr>
          <w:sz w:val="20"/>
          <w:szCs w:val="20"/>
        </w:rPr>
        <w:t>or or any of our existing officers or directors, or any entity with which our sponsor or officers are affiliated, be paid any finder’s fee, reimbursement, consulting fee, monies in respect of any payment of a loan or other compensation by the Company prior</w:t>
      </w:r>
      <w:r>
        <w:rPr>
          <w:sz w:val="20"/>
          <w:szCs w:val="20"/>
        </w:rPr>
        <w:t xml:space="preserve"> to, or in connection with any services rendered for any services they render in order to effectuate, the completion of our initial business combination (regardless of the type of transaction that it is). Although none of our sponsor, executive officers or</w:t>
      </w:r>
      <w:r>
        <w:rPr>
          <w:sz w:val="20"/>
          <w:szCs w:val="20"/>
        </w:rPr>
        <w:t xml:space="preserve"> directors, or any of their respective affiliates, will be allowed to receive any compensation, finder’s fees or consulting fees from a prospective business combination target in connection with a contemplated initial business combination, we do not have a</w:t>
      </w:r>
      <w:r>
        <w:rPr>
          <w:sz w:val="20"/>
          <w:szCs w:val="20"/>
        </w:rPr>
        <w:t xml:space="preserve"> policy that prohibits our sponsor, executive officers or directors, or any of their respective affiliates, from negotiating for the reimbursement of out-of-pocket expenses by a target business. Some of our officers and directors may enter into employment </w:t>
      </w:r>
      <w:r>
        <w:rPr>
          <w:sz w:val="20"/>
          <w:szCs w:val="20"/>
        </w:rPr>
        <w:t>or consulting agreements with the post-transaction company following our initial business combination. The presence or absence of any such fees or arrangements will not be used as a criterion in our selection process of an initial business combination cand</w:t>
      </w:r>
      <w:r>
        <w:rPr>
          <w:sz w:val="20"/>
          <w:szCs w:val="20"/>
        </w:rPr>
        <w:t>idate.</w:t>
      </w:r>
    </w:p>
    <w:p w14:paraId="367E2A9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134D978"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are not prohibited from pursuing an initial business combination with an initial business combination target that is affiliated with our sponsor, officers or directors or making the initial business combination through a joint venture or other </w:t>
      </w:r>
      <w:r>
        <w:rPr>
          <w:sz w:val="20"/>
          <w:szCs w:val="20"/>
        </w:rPr>
        <w:t>form of shared ownership with our sponsor, officers or directors. While Near is not affiliated with our sponsor, executive officers or directors, in the event we do not consummate the Near Business Combination and we seek to complete our initial business c</w:t>
      </w:r>
      <w:r>
        <w:rPr>
          <w:sz w:val="20"/>
          <w:szCs w:val="20"/>
        </w:rPr>
        <w:t>ombination with an initial business combination target that is affiliated with our sponsor, officers or directors, we, or a committee of independent directors, would obtain an opinion from an independent investment banking firm or another independent entit</w:t>
      </w:r>
      <w:r>
        <w:rPr>
          <w:sz w:val="20"/>
          <w:szCs w:val="20"/>
        </w:rPr>
        <w:t>y that commonly renders valuation opinions that such an initial business combination is fair to our company from a financial point of view.</w:t>
      </w:r>
    </w:p>
    <w:p w14:paraId="038798A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3F8F4A6" w14:textId="77777777" w:rsidR="00000000" w:rsidRDefault="00087966">
      <w:pPr>
        <w:pStyle w:val="a3"/>
        <w:spacing w:before="0" w:beforeAutospacing="0" w:after="0" w:afterAutospacing="0"/>
        <w:ind w:firstLine="720"/>
        <w:jc w:val="both"/>
        <w:divId w:val="1595479706"/>
        <w:rPr>
          <w:sz w:val="20"/>
          <w:szCs w:val="20"/>
        </w:rPr>
      </w:pPr>
      <w:r>
        <w:rPr>
          <w:sz w:val="20"/>
          <w:szCs w:val="20"/>
        </w:rPr>
        <w:t>If any of our officers or directors becomes aware of an initial business combination opportunity that falls within</w:t>
      </w:r>
      <w:r>
        <w:rPr>
          <w:sz w:val="20"/>
          <w:szCs w:val="20"/>
        </w:rPr>
        <w:t xml:space="preserve"> the line of business of any entity to which he or she has then-existing fiduciary or contractual obligations, he or she may be required to present such business combination opportunity to such entity prior to presenting such business combination opportuni</w:t>
      </w:r>
      <w:r>
        <w:rPr>
          <w:sz w:val="20"/>
          <w:szCs w:val="20"/>
        </w:rPr>
        <w:t>ty to us. Our officers and directors currently have certain relevant fiduciary duties or contractual obligations that may take priority over their duties to us.</w:t>
      </w:r>
    </w:p>
    <w:p w14:paraId="00CE48F1" w14:textId="77777777" w:rsidR="00000000" w:rsidRDefault="00087966">
      <w:pPr>
        <w:pStyle w:val="a3"/>
        <w:spacing w:before="0" w:beforeAutospacing="0" w:after="0" w:afterAutospacing="0"/>
        <w:jc w:val="both"/>
        <w:divId w:val="1595479706"/>
        <w:rPr>
          <w:sz w:val="20"/>
          <w:szCs w:val="20"/>
        </w:rPr>
      </w:pPr>
      <w:r>
        <w:rPr>
          <w:sz w:val="20"/>
          <w:szCs w:val="20"/>
        </w:rPr>
        <w:t> </w:t>
      </w:r>
    </w:p>
    <w:p w14:paraId="04D107B7" w14:textId="77777777" w:rsidR="00000000" w:rsidRDefault="00087966">
      <w:pPr>
        <w:pStyle w:val="a3"/>
        <w:spacing w:before="0" w:beforeAutospacing="0" w:after="0" w:afterAutospacing="0"/>
        <w:jc w:val="center"/>
        <w:divId w:val="474034668"/>
        <w:rPr>
          <w:sz w:val="20"/>
          <w:szCs w:val="20"/>
        </w:rPr>
      </w:pPr>
      <w:r>
        <w:rPr>
          <w:sz w:val="20"/>
          <w:szCs w:val="20"/>
        </w:rPr>
        <w:t>1</w:t>
      </w:r>
      <w:r>
        <w:rPr>
          <w:sz w:val="20"/>
          <w:szCs w:val="20"/>
        </w:rPr>
        <w:t>8</w:t>
      </w:r>
    </w:p>
    <w:p w14:paraId="6221B9DE" w14:textId="77777777" w:rsidR="00000000" w:rsidRDefault="00087966">
      <w:pPr>
        <w:pStyle w:val="a3"/>
        <w:spacing w:before="0" w:beforeAutospacing="0" w:after="0" w:afterAutospacing="0"/>
        <w:divId w:val="1089545880"/>
        <w:rPr>
          <w:sz w:val="20"/>
          <w:szCs w:val="20"/>
        </w:rPr>
      </w:pPr>
      <w:r>
        <w:rPr>
          <w:sz w:val="20"/>
          <w:szCs w:val="20"/>
        </w:rPr>
        <w:t> </w:t>
      </w:r>
    </w:p>
    <w:p w14:paraId="42E45C70" w14:textId="77777777" w:rsidR="00000000" w:rsidRDefault="00087966">
      <w:pPr>
        <w:pStyle w:val="a3"/>
        <w:spacing w:before="0" w:beforeAutospacing="0" w:after="0" w:afterAutospacing="0"/>
        <w:jc w:val="both"/>
        <w:divId w:val="1595479706"/>
        <w:rPr>
          <w:sz w:val="20"/>
          <w:szCs w:val="20"/>
        </w:rPr>
      </w:pPr>
      <w:r>
        <w:rPr>
          <w:sz w:val="20"/>
          <w:szCs w:val="20"/>
        </w:rPr>
        <w:t> </w:t>
      </w:r>
    </w:p>
    <w:p w14:paraId="4DBB06A9" w14:textId="77777777" w:rsidR="00000000" w:rsidRDefault="00087966">
      <w:pPr>
        <w:pStyle w:val="a3"/>
        <w:spacing w:before="0" w:beforeAutospacing="0" w:after="0" w:afterAutospacing="0"/>
        <w:jc w:val="both"/>
        <w:divId w:val="1595479706"/>
        <w:rPr>
          <w:sz w:val="20"/>
          <w:szCs w:val="20"/>
        </w:rPr>
      </w:pPr>
      <w:r>
        <w:rPr>
          <w:b/>
          <w:bCs/>
          <w:sz w:val="20"/>
          <w:szCs w:val="20"/>
        </w:rPr>
        <w:t>Selection of a Target Business and Structuring of our Initial Business Combination</w:t>
      </w:r>
    </w:p>
    <w:p w14:paraId="1AFB504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644315A" w14:textId="77777777" w:rsidR="00000000" w:rsidRDefault="00087966">
      <w:pPr>
        <w:pStyle w:val="a3"/>
        <w:spacing w:before="0" w:beforeAutospacing="0" w:after="0" w:afterAutospacing="0"/>
        <w:ind w:firstLine="720"/>
        <w:jc w:val="both"/>
        <w:divId w:val="1595479706"/>
        <w:rPr>
          <w:sz w:val="20"/>
          <w:szCs w:val="20"/>
        </w:rPr>
      </w:pPr>
      <w:r>
        <w:rPr>
          <w:sz w:val="20"/>
          <w:szCs w:val="20"/>
        </w:rPr>
        <w:t>N</w:t>
      </w:r>
      <w:r>
        <w:rPr>
          <w:sz w:val="20"/>
          <w:szCs w:val="20"/>
        </w:rPr>
        <w:t>asdaq rules require that we must consummate an initial business combination with one or more operating businesses or assets with a fair market value equal to at least 80% of the net assets held in the trust account (net of amounts disbursed to management f</w:t>
      </w:r>
      <w:r>
        <w:rPr>
          <w:sz w:val="20"/>
          <w:szCs w:val="20"/>
        </w:rPr>
        <w:t>or working capital purposes, if permitted, and excluding the amount of any deferred underwriting commissions). The fair market value of our initial business combination will be determined by our board of directors based upon one or more standards generally</w:t>
      </w:r>
      <w:r>
        <w:rPr>
          <w:sz w:val="20"/>
          <w:szCs w:val="20"/>
        </w:rPr>
        <w:t xml:space="preserve"> accepted by the financial community, such as discounted cash flow valuation, a valuation based on trading multiples of comparable public businesses or a valuation based on the financial metrics of M&amp;A transactions of comparable businesses. If our board of</w:t>
      </w:r>
      <w:r>
        <w:rPr>
          <w:sz w:val="20"/>
          <w:szCs w:val="20"/>
        </w:rPr>
        <w:t xml:space="preserve"> directors is not able to independently determine the fair market value of our initial business combination (including with the assistance of financial advisors), we will obtain an opinion from an independent investment banking firm or another independent </w:t>
      </w:r>
      <w:r>
        <w:rPr>
          <w:sz w:val="20"/>
          <w:szCs w:val="20"/>
        </w:rPr>
        <w:t>entity that commonly renders valuation opinions with respect to the satisfaction of such criteria. While we consider it unlikely that our board of directors will not be able to make an independent determination of the fair market value of our initial busin</w:t>
      </w:r>
      <w:r>
        <w:rPr>
          <w:sz w:val="20"/>
          <w:szCs w:val="20"/>
        </w:rPr>
        <w:t>ess combination, it may be unable to do so if it is less familiar or experienced with the business of a particular target or if there is a significant amount of uncertainty as to the value of a target’s assets or prospects. We do not intend to purchase mul</w:t>
      </w:r>
      <w:r>
        <w:rPr>
          <w:sz w:val="20"/>
          <w:szCs w:val="20"/>
        </w:rPr>
        <w:t xml:space="preserve">tiple businesses in unrelated industries in conjunction with our initial business combination. Subject to this requirement, our management will have virtually unrestricted flexibility in identifying and selecting one or more prospective target businesses, </w:t>
      </w:r>
      <w:r>
        <w:rPr>
          <w:sz w:val="20"/>
          <w:szCs w:val="20"/>
        </w:rPr>
        <w:t>although we will not be permitted to effectuate our initial business combination with another blank check company or a similar company with nominal operations.</w:t>
      </w:r>
    </w:p>
    <w:p w14:paraId="712616F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D4B262B"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In any case, we will only complete an initial business combination in which we own or acquire </w:t>
      </w:r>
      <w:r>
        <w:rPr>
          <w:sz w:val="20"/>
          <w:szCs w:val="20"/>
        </w:rPr>
        <w:t>50% or more of the outstanding voting securities of the target or otherwise acquire a controlling interest in the target sufficient for it not to be required to register as an investment company under the Investment Company Act. If we own or acquire less t</w:t>
      </w:r>
      <w:r>
        <w:rPr>
          <w:sz w:val="20"/>
          <w:szCs w:val="20"/>
        </w:rPr>
        <w:t>han 100% of the equity interests or assets of a target business or businesses, the portion of such business or businesses that are owned or acquired by the post-transaction company is what will be taken into account for purposes of Nasdaq’s 80% of net asse</w:t>
      </w:r>
      <w:r>
        <w:rPr>
          <w:sz w:val="20"/>
          <w:szCs w:val="20"/>
        </w:rPr>
        <w:t>ts test. There is no basis for our investors to evaluate the possible merits or risks of any target business with which we may complete our initial business combination.</w:t>
      </w:r>
    </w:p>
    <w:p w14:paraId="27041AF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38B12F3"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To the extent we effect our initial business combination with a company or business </w:t>
      </w:r>
      <w:r>
        <w:rPr>
          <w:sz w:val="20"/>
          <w:szCs w:val="20"/>
        </w:rPr>
        <w:t>that may be financially unstable or in its early stages of development or growth we may be affected by numerous risks inherent in such company or business. Although our management will endeavor to evaluate the risks inherent in a particular target business</w:t>
      </w:r>
      <w:r>
        <w:rPr>
          <w:sz w:val="20"/>
          <w:szCs w:val="20"/>
        </w:rPr>
        <w:t>, we cannot assure you that we will properly ascertain or assess all significant risk factors.</w:t>
      </w:r>
    </w:p>
    <w:p w14:paraId="6962EE5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35E2EF7" w14:textId="77777777" w:rsidR="00000000" w:rsidRDefault="00087966">
      <w:pPr>
        <w:pStyle w:val="a3"/>
        <w:spacing w:before="0" w:beforeAutospacing="0" w:after="0" w:afterAutospacing="0"/>
        <w:ind w:firstLine="720"/>
        <w:jc w:val="both"/>
        <w:divId w:val="1595479706"/>
        <w:rPr>
          <w:sz w:val="20"/>
          <w:szCs w:val="20"/>
        </w:rPr>
      </w:pPr>
      <w:r>
        <w:rPr>
          <w:sz w:val="20"/>
          <w:szCs w:val="20"/>
        </w:rPr>
        <w:t>In evaluating a prospective business target, we conduct a due diligence review, which encompass, among other things, meetings with incumbent ownership, managem</w:t>
      </w:r>
      <w:r>
        <w:rPr>
          <w:sz w:val="20"/>
          <w:szCs w:val="20"/>
        </w:rPr>
        <w:t>ent and employees, document reviews, interviews of customers and suppliers, inspection of facilities, as well as a review of financial and other information that will be made available to us.</w:t>
      </w:r>
    </w:p>
    <w:p w14:paraId="1F3C656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B0B6960"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Any costs incurred with respect </w:t>
      </w:r>
      <w:r>
        <w:rPr>
          <w:sz w:val="20"/>
          <w:szCs w:val="20"/>
        </w:rPr>
        <w:t>to the identification and evaluation of, and negotiation with, a prospective target business with which our initial business combination is not ultimately completed will result in our incurring losses and will reduce the funds we can use to complete anothe</w:t>
      </w:r>
      <w:r>
        <w:rPr>
          <w:sz w:val="20"/>
          <w:szCs w:val="20"/>
        </w:rPr>
        <w:t>r business combination.</w:t>
      </w:r>
    </w:p>
    <w:p w14:paraId="2FD667DC" w14:textId="77777777" w:rsidR="00000000" w:rsidRDefault="00087966">
      <w:pPr>
        <w:pStyle w:val="a3"/>
        <w:spacing w:before="0" w:beforeAutospacing="0" w:after="0" w:afterAutospacing="0"/>
        <w:jc w:val="both"/>
        <w:divId w:val="1595479706"/>
        <w:rPr>
          <w:sz w:val="20"/>
          <w:szCs w:val="20"/>
        </w:rPr>
      </w:pPr>
      <w:r>
        <w:rPr>
          <w:sz w:val="20"/>
          <w:szCs w:val="20"/>
        </w:rPr>
        <w:t> </w:t>
      </w:r>
    </w:p>
    <w:p w14:paraId="4F5B309F" w14:textId="77777777" w:rsidR="00000000" w:rsidRDefault="00087966">
      <w:pPr>
        <w:pStyle w:val="a3"/>
        <w:spacing w:before="0" w:beforeAutospacing="0" w:after="0" w:afterAutospacing="0"/>
        <w:jc w:val="both"/>
        <w:divId w:val="1595479706"/>
        <w:rPr>
          <w:sz w:val="20"/>
          <w:szCs w:val="20"/>
        </w:rPr>
      </w:pPr>
      <w:r>
        <w:rPr>
          <w:b/>
          <w:bCs/>
          <w:sz w:val="20"/>
          <w:szCs w:val="20"/>
        </w:rPr>
        <w:t>Lack of Business Diversification</w:t>
      </w:r>
    </w:p>
    <w:p w14:paraId="78652B7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C4136B1" w14:textId="77777777" w:rsidR="00000000" w:rsidRDefault="00087966">
      <w:pPr>
        <w:pStyle w:val="a3"/>
        <w:spacing w:before="0" w:beforeAutospacing="0" w:after="0" w:afterAutospacing="0"/>
        <w:ind w:firstLine="720"/>
        <w:jc w:val="both"/>
        <w:divId w:val="1595479706"/>
        <w:rPr>
          <w:sz w:val="20"/>
          <w:szCs w:val="20"/>
        </w:rPr>
      </w:pPr>
      <w:r>
        <w:rPr>
          <w:sz w:val="20"/>
          <w:szCs w:val="20"/>
        </w:rPr>
        <w:t>For an indefinite period of time after the completion of our initial business combination, such as the Near Business Combination, the prospects for our success may depend entirely on the future p</w:t>
      </w:r>
      <w:r>
        <w:rPr>
          <w:sz w:val="20"/>
          <w:szCs w:val="20"/>
        </w:rPr>
        <w:t>erformance of a single business. Unlike other entities that have the resources to complete business combinations with multiple entities in one or several industries, it is probable that we will not have the resources to diversify our operations and mitigat</w:t>
      </w:r>
      <w:r>
        <w:rPr>
          <w:sz w:val="20"/>
          <w:szCs w:val="20"/>
        </w:rPr>
        <w:t>e the risks of being in a single line of business. By completing our initial business combination with only a single entity, our lack of diversification may:</w:t>
      </w:r>
    </w:p>
    <w:p w14:paraId="4CDC02A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761C03B" w14:textId="77777777">
        <w:trPr>
          <w:divId w:val="1595479706"/>
          <w:tblCellSpacing w:w="0" w:type="dxa"/>
        </w:trPr>
        <w:tc>
          <w:tcPr>
            <w:tcW w:w="720" w:type="dxa"/>
            <w:hideMark/>
          </w:tcPr>
          <w:p w14:paraId="2F5DF4FE" w14:textId="77777777" w:rsidR="00000000" w:rsidRDefault="00087966">
            <w:pPr>
              <w:rPr>
                <w:sz w:val="20"/>
                <w:szCs w:val="20"/>
              </w:rPr>
            </w:pPr>
          </w:p>
        </w:tc>
        <w:tc>
          <w:tcPr>
            <w:tcW w:w="360" w:type="dxa"/>
            <w:hideMark/>
          </w:tcPr>
          <w:p w14:paraId="428C7C94" w14:textId="77777777" w:rsidR="00000000" w:rsidRDefault="00087966">
            <w:pPr>
              <w:rPr>
                <w:rFonts w:eastAsia="Times New Roman"/>
                <w:sz w:val="20"/>
                <w:szCs w:val="20"/>
              </w:rPr>
            </w:pPr>
            <w:r>
              <w:rPr>
                <w:rFonts w:eastAsia="Times New Roman"/>
                <w:sz w:val="20"/>
                <w:szCs w:val="20"/>
              </w:rPr>
              <w:t>●</w:t>
            </w:r>
          </w:p>
        </w:tc>
        <w:tc>
          <w:tcPr>
            <w:tcW w:w="0" w:type="auto"/>
            <w:hideMark/>
          </w:tcPr>
          <w:p w14:paraId="22941E79" w14:textId="77777777" w:rsidR="00000000" w:rsidRDefault="00087966">
            <w:pPr>
              <w:jc w:val="both"/>
              <w:rPr>
                <w:rFonts w:eastAsia="Times New Roman"/>
                <w:sz w:val="20"/>
                <w:szCs w:val="20"/>
              </w:rPr>
            </w:pPr>
            <w:r>
              <w:rPr>
                <w:rFonts w:eastAsia="Times New Roman"/>
                <w:sz w:val="20"/>
                <w:szCs w:val="20"/>
              </w:rPr>
              <w:t>subject us to negative economic, competitive and regulatory developments, any or all of which</w:t>
            </w:r>
            <w:r>
              <w:rPr>
                <w:rFonts w:eastAsia="Times New Roman"/>
                <w:sz w:val="20"/>
                <w:szCs w:val="20"/>
              </w:rPr>
              <w:t xml:space="preserve"> may have a substantial adverse impact on the particular industry in which we operate after our initial business combination, and</w:t>
            </w:r>
          </w:p>
        </w:tc>
      </w:tr>
    </w:tbl>
    <w:p w14:paraId="6C185AB8"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4C8029E" w14:textId="77777777">
        <w:trPr>
          <w:divId w:val="1595479706"/>
          <w:tblCellSpacing w:w="0" w:type="dxa"/>
        </w:trPr>
        <w:tc>
          <w:tcPr>
            <w:tcW w:w="720" w:type="dxa"/>
            <w:hideMark/>
          </w:tcPr>
          <w:p w14:paraId="7D5D2306" w14:textId="77777777" w:rsidR="00000000" w:rsidRDefault="00087966">
            <w:pPr>
              <w:rPr>
                <w:sz w:val="20"/>
                <w:szCs w:val="20"/>
              </w:rPr>
            </w:pPr>
          </w:p>
        </w:tc>
        <w:tc>
          <w:tcPr>
            <w:tcW w:w="360" w:type="dxa"/>
            <w:hideMark/>
          </w:tcPr>
          <w:p w14:paraId="7915A9D1" w14:textId="77777777" w:rsidR="00000000" w:rsidRDefault="00087966">
            <w:pPr>
              <w:rPr>
                <w:rFonts w:eastAsia="Times New Roman"/>
                <w:sz w:val="20"/>
                <w:szCs w:val="20"/>
              </w:rPr>
            </w:pPr>
            <w:r>
              <w:rPr>
                <w:rFonts w:eastAsia="Times New Roman"/>
                <w:sz w:val="20"/>
                <w:szCs w:val="20"/>
              </w:rPr>
              <w:t>●</w:t>
            </w:r>
          </w:p>
        </w:tc>
        <w:tc>
          <w:tcPr>
            <w:tcW w:w="0" w:type="auto"/>
            <w:hideMark/>
          </w:tcPr>
          <w:p w14:paraId="4F20B4E1" w14:textId="77777777" w:rsidR="00000000" w:rsidRDefault="00087966">
            <w:pPr>
              <w:jc w:val="both"/>
              <w:rPr>
                <w:rFonts w:eastAsia="Times New Roman"/>
                <w:sz w:val="20"/>
                <w:szCs w:val="20"/>
              </w:rPr>
            </w:pPr>
            <w:r>
              <w:rPr>
                <w:rFonts w:eastAsia="Times New Roman"/>
                <w:sz w:val="20"/>
                <w:szCs w:val="20"/>
              </w:rPr>
              <w:t>cause us to depend on the marketing and sale of a single product or limited number of products or services.</w:t>
            </w:r>
          </w:p>
        </w:tc>
      </w:tr>
    </w:tbl>
    <w:p w14:paraId="781929EF" w14:textId="77777777" w:rsidR="00000000" w:rsidRDefault="00087966">
      <w:pPr>
        <w:pStyle w:val="a3"/>
        <w:spacing w:before="0" w:beforeAutospacing="0" w:after="0" w:afterAutospacing="0"/>
        <w:jc w:val="both"/>
        <w:divId w:val="1595479706"/>
        <w:rPr>
          <w:sz w:val="20"/>
          <w:szCs w:val="20"/>
        </w:rPr>
      </w:pPr>
      <w:r>
        <w:rPr>
          <w:sz w:val="20"/>
          <w:szCs w:val="20"/>
        </w:rPr>
        <w:t> </w:t>
      </w:r>
    </w:p>
    <w:p w14:paraId="786A9B0D" w14:textId="77777777" w:rsidR="00000000" w:rsidRDefault="00087966">
      <w:pPr>
        <w:pStyle w:val="a3"/>
        <w:spacing w:before="0" w:beforeAutospacing="0" w:after="0" w:afterAutospacing="0"/>
        <w:jc w:val="center"/>
        <w:divId w:val="1728381902"/>
        <w:rPr>
          <w:sz w:val="20"/>
          <w:szCs w:val="20"/>
        </w:rPr>
      </w:pPr>
      <w:r>
        <w:rPr>
          <w:sz w:val="20"/>
          <w:szCs w:val="20"/>
        </w:rPr>
        <w:t>1</w:t>
      </w:r>
      <w:r>
        <w:rPr>
          <w:sz w:val="20"/>
          <w:szCs w:val="20"/>
        </w:rPr>
        <w:t>9</w:t>
      </w:r>
    </w:p>
    <w:p w14:paraId="2CCB2AD9" w14:textId="77777777" w:rsidR="00000000" w:rsidRDefault="00087966">
      <w:pPr>
        <w:pStyle w:val="a3"/>
        <w:spacing w:before="0" w:beforeAutospacing="0" w:after="0" w:afterAutospacing="0"/>
        <w:divId w:val="225186338"/>
        <w:rPr>
          <w:sz w:val="20"/>
          <w:szCs w:val="20"/>
        </w:rPr>
      </w:pPr>
      <w:r>
        <w:rPr>
          <w:sz w:val="20"/>
          <w:szCs w:val="20"/>
        </w:rPr>
        <w:t> </w:t>
      </w:r>
    </w:p>
    <w:p w14:paraId="09379AAE" w14:textId="77777777" w:rsidR="00000000" w:rsidRDefault="00087966">
      <w:pPr>
        <w:pStyle w:val="a3"/>
        <w:spacing w:before="0" w:beforeAutospacing="0" w:after="0" w:afterAutospacing="0"/>
        <w:jc w:val="both"/>
        <w:divId w:val="1595479706"/>
        <w:rPr>
          <w:sz w:val="20"/>
          <w:szCs w:val="20"/>
        </w:rPr>
      </w:pPr>
      <w:r>
        <w:rPr>
          <w:sz w:val="20"/>
          <w:szCs w:val="20"/>
        </w:rPr>
        <w:t> </w:t>
      </w:r>
    </w:p>
    <w:p w14:paraId="3535C281" w14:textId="77777777" w:rsidR="00000000" w:rsidRDefault="00087966">
      <w:pPr>
        <w:pStyle w:val="a3"/>
        <w:spacing w:before="0" w:beforeAutospacing="0" w:after="0" w:afterAutospacing="0"/>
        <w:jc w:val="both"/>
        <w:divId w:val="1595479706"/>
        <w:rPr>
          <w:sz w:val="20"/>
          <w:szCs w:val="20"/>
        </w:rPr>
      </w:pPr>
      <w:r>
        <w:rPr>
          <w:b/>
          <w:bCs/>
          <w:sz w:val="20"/>
          <w:szCs w:val="20"/>
        </w:rPr>
        <w:t>Limited Ability to Evaluate the Target’s Management Team</w:t>
      </w:r>
    </w:p>
    <w:p w14:paraId="6A7398AA"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6FB4AEBC" w14:textId="77777777" w:rsidR="00000000" w:rsidRDefault="00087966">
      <w:pPr>
        <w:pStyle w:val="a3"/>
        <w:spacing w:before="0" w:beforeAutospacing="0" w:after="0" w:afterAutospacing="0"/>
        <w:ind w:firstLine="720"/>
        <w:jc w:val="both"/>
        <w:divId w:val="1595479706"/>
        <w:rPr>
          <w:sz w:val="20"/>
          <w:szCs w:val="20"/>
        </w:rPr>
      </w:pPr>
      <w:r>
        <w:rPr>
          <w:sz w:val="20"/>
          <w:szCs w:val="20"/>
        </w:rPr>
        <w:t>Although we closely scrutinize the management of a prospective target business, including the management team of Near, when evaluating the desirability of effecting our initial business combination</w:t>
      </w:r>
      <w:r>
        <w:rPr>
          <w:sz w:val="20"/>
          <w:szCs w:val="20"/>
        </w:rPr>
        <w:t xml:space="preserve"> with that business and plan to continue to do so if the Near Business Combination is not consummated and we seek other business combination opportunities, our assessment of the target business’ management may not prove to be correct. In addition, the futu</w:t>
      </w:r>
      <w:r>
        <w:rPr>
          <w:sz w:val="20"/>
          <w:szCs w:val="20"/>
        </w:rPr>
        <w:t>re management may not have the necessary skills, qualifications or abilities to manage a public company. Furthermore, the future role of members of our management team, if any, in the target business cannot presently be stated with any certainty. The deter</w:t>
      </w:r>
      <w:r>
        <w:rPr>
          <w:sz w:val="20"/>
          <w:szCs w:val="20"/>
        </w:rPr>
        <w:t>mination as to whether any of the members of our management team will remain with the combined company will be made at the time of our initial business combination. While it is possible that one or more of our directors will remain associated in some capac</w:t>
      </w:r>
      <w:r>
        <w:rPr>
          <w:sz w:val="20"/>
          <w:szCs w:val="20"/>
        </w:rPr>
        <w:t>ity with us following our initial business combination, such as Mini Krishnamoorthy remaining as a director after the Near Business Combination, it is unlikely that any of them will devote their full efforts to our affairs subsequent to our initial busines</w:t>
      </w:r>
      <w:r>
        <w:rPr>
          <w:sz w:val="20"/>
          <w:szCs w:val="20"/>
        </w:rPr>
        <w:t>s combination. Moreover, we cannot assure you that members of our management team will have significant experience or knowledge relating to the operations of the particular target business.</w:t>
      </w:r>
    </w:p>
    <w:p w14:paraId="01A0619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0CD1BCE" w14:textId="77777777" w:rsidR="00000000" w:rsidRDefault="00087966">
      <w:pPr>
        <w:pStyle w:val="a3"/>
        <w:spacing w:before="0" w:beforeAutospacing="0" w:after="0" w:afterAutospacing="0"/>
        <w:ind w:firstLine="720"/>
        <w:jc w:val="both"/>
        <w:divId w:val="1595479706"/>
        <w:rPr>
          <w:sz w:val="20"/>
          <w:szCs w:val="20"/>
        </w:rPr>
      </w:pPr>
      <w:r>
        <w:rPr>
          <w:sz w:val="20"/>
          <w:szCs w:val="20"/>
        </w:rPr>
        <w:t>Although the current plan is to have Mini Krishnamoorthy, our Ch</w:t>
      </w:r>
      <w:r>
        <w:rPr>
          <w:sz w:val="20"/>
          <w:szCs w:val="20"/>
        </w:rPr>
        <w:t>ief Financial Officer and a director, remain as a director after the Near Business Combination, we cannot assure you that any of our key personnel will remain in senior management or advisory positions with the combined company. The determination as to whe</w:t>
      </w:r>
      <w:r>
        <w:rPr>
          <w:sz w:val="20"/>
          <w:szCs w:val="20"/>
        </w:rPr>
        <w:t>ther any of our key personnel will remain with the combined company will be made at the time of our initial business combination.</w:t>
      </w:r>
    </w:p>
    <w:p w14:paraId="57B04C8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175DB0F" w14:textId="77777777" w:rsidR="00000000" w:rsidRDefault="00087966">
      <w:pPr>
        <w:pStyle w:val="a3"/>
        <w:spacing w:before="0" w:beforeAutospacing="0" w:after="0" w:afterAutospacing="0"/>
        <w:ind w:firstLine="720"/>
        <w:jc w:val="both"/>
        <w:divId w:val="1595479706"/>
        <w:rPr>
          <w:sz w:val="20"/>
          <w:szCs w:val="20"/>
        </w:rPr>
      </w:pPr>
      <w:r>
        <w:rPr>
          <w:sz w:val="20"/>
          <w:szCs w:val="20"/>
        </w:rPr>
        <w:t>Following our initial business combination, we may seek to recruit additional managers to supplement the incumbent managemen</w:t>
      </w:r>
      <w:r>
        <w:rPr>
          <w:sz w:val="20"/>
          <w:szCs w:val="20"/>
        </w:rPr>
        <w:t>t of the target business. We cannot assure you that we will have the ability to recruit additional managers, or that additional managers will have the requisite skills, knowledge or experience necessary to enhance the incumbent management.</w:t>
      </w:r>
    </w:p>
    <w:p w14:paraId="41619628" w14:textId="77777777" w:rsidR="00000000" w:rsidRDefault="00087966">
      <w:pPr>
        <w:pStyle w:val="a3"/>
        <w:spacing w:before="0" w:beforeAutospacing="0" w:after="0" w:afterAutospacing="0"/>
        <w:jc w:val="both"/>
        <w:divId w:val="1595479706"/>
        <w:rPr>
          <w:sz w:val="20"/>
          <w:szCs w:val="20"/>
        </w:rPr>
      </w:pPr>
      <w:r>
        <w:rPr>
          <w:sz w:val="20"/>
          <w:szCs w:val="20"/>
        </w:rPr>
        <w:t> </w:t>
      </w:r>
    </w:p>
    <w:p w14:paraId="57CA4FDA" w14:textId="77777777" w:rsidR="00000000" w:rsidRDefault="00087966">
      <w:pPr>
        <w:pStyle w:val="a3"/>
        <w:spacing w:before="0" w:beforeAutospacing="0" w:after="0" w:afterAutospacing="0"/>
        <w:jc w:val="both"/>
        <w:divId w:val="1595479706"/>
        <w:rPr>
          <w:sz w:val="20"/>
          <w:szCs w:val="20"/>
        </w:rPr>
      </w:pPr>
      <w:r>
        <w:rPr>
          <w:b/>
          <w:bCs/>
          <w:sz w:val="20"/>
          <w:szCs w:val="20"/>
        </w:rPr>
        <w:t>Stockholders M</w:t>
      </w:r>
      <w:r>
        <w:rPr>
          <w:b/>
          <w:bCs/>
          <w:sz w:val="20"/>
          <w:szCs w:val="20"/>
        </w:rPr>
        <w:t>ay Not Have the Ability to Approve Our Initial Business Combination</w:t>
      </w:r>
    </w:p>
    <w:p w14:paraId="0766377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76983F9" w14:textId="77777777" w:rsidR="00000000" w:rsidRDefault="00087966">
      <w:pPr>
        <w:pStyle w:val="a3"/>
        <w:spacing w:before="0" w:beforeAutospacing="0" w:after="0" w:afterAutospacing="0"/>
        <w:ind w:firstLine="720"/>
        <w:jc w:val="both"/>
        <w:divId w:val="1595479706"/>
        <w:rPr>
          <w:sz w:val="20"/>
          <w:szCs w:val="20"/>
        </w:rPr>
      </w:pPr>
      <w:r>
        <w:rPr>
          <w:sz w:val="20"/>
          <w:szCs w:val="20"/>
        </w:rPr>
        <w:t>We may conduct redemptions without a stockholder vote pursuant to the tender offer rules of the SEC. However, we will seek stockholder approval if it is required by law or applicable sto</w:t>
      </w:r>
      <w:r>
        <w:rPr>
          <w:sz w:val="20"/>
          <w:szCs w:val="20"/>
        </w:rPr>
        <w:t xml:space="preserve">ck exchange rule (as is the case in the Near Business Combination, as currently contemplated), or we may decide to seek stockholder approval for business or other legal reasons. Presented in the table below is a graphic explanation of the types of initial </w:t>
      </w:r>
      <w:r>
        <w:rPr>
          <w:sz w:val="20"/>
          <w:szCs w:val="20"/>
        </w:rPr>
        <w:t>business combinations we may consider and whether stockholder approval is currently required under Delaware law for each such transaction.</w:t>
      </w:r>
    </w:p>
    <w:p w14:paraId="25F8E1D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34"/>
      </w:tblGrid>
      <w:tr w:rsidR="00000000" w14:paraId="65A9202A" w14:textId="77777777">
        <w:trPr>
          <w:divId w:val="1595479706"/>
        </w:trPr>
        <w:tc>
          <w:tcPr>
            <w:tcW w:w="4500" w:type="pct"/>
            <w:tcBorders>
              <w:bottom w:val="single" w:sz="12" w:space="0" w:color="000000"/>
            </w:tcBorders>
            <w:vAlign w:val="bottom"/>
            <w:hideMark/>
          </w:tcPr>
          <w:p w14:paraId="57FBDA3A" w14:textId="77777777" w:rsidR="00000000" w:rsidRDefault="00087966">
            <w:pPr>
              <w:rPr>
                <w:rFonts w:eastAsia="Times New Roman"/>
                <w:sz w:val="20"/>
                <w:szCs w:val="20"/>
              </w:rPr>
            </w:pPr>
            <w:r>
              <w:rPr>
                <w:rFonts w:eastAsia="Times New Roman"/>
                <w:b/>
                <w:bCs/>
                <w:sz w:val="20"/>
                <w:szCs w:val="20"/>
              </w:rPr>
              <w:t>Type of Transaction</w:t>
            </w:r>
          </w:p>
        </w:tc>
        <w:tc>
          <w:tcPr>
            <w:tcW w:w="50" w:type="pct"/>
            <w:noWrap/>
            <w:vAlign w:val="bottom"/>
            <w:hideMark/>
          </w:tcPr>
          <w:p w14:paraId="73EFD1F6" w14:textId="77777777" w:rsidR="00000000" w:rsidRDefault="00087966">
            <w:pPr>
              <w:jc w:val="center"/>
              <w:rPr>
                <w:rFonts w:eastAsia="Times New Roman"/>
                <w:sz w:val="20"/>
                <w:szCs w:val="20"/>
              </w:rPr>
            </w:pPr>
            <w:r>
              <w:rPr>
                <w:rFonts w:eastAsia="Times New Roman"/>
                <w:sz w:val="20"/>
                <w:szCs w:val="20"/>
              </w:rPr>
              <w:t> </w:t>
            </w:r>
          </w:p>
        </w:tc>
        <w:tc>
          <w:tcPr>
            <w:tcW w:w="450" w:type="pct"/>
            <w:tcBorders>
              <w:bottom w:val="single" w:sz="12" w:space="0" w:color="000000"/>
            </w:tcBorders>
            <w:vAlign w:val="bottom"/>
            <w:hideMark/>
          </w:tcPr>
          <w:p w14:paraId="5256C3FA" w14:textId="77777777" w:rsidR="00000000" w:rsidRDefault="00087966">
            <w:pPr>
              <w:jc w:val="center"/>
              <w:rPr>
                <w:rFonts w:eastAsia="Times New Roman"/>
                <w:sz w:val="20"/>
                <w:szCs w:val="20"/>
              </w:rPr>
            </w:pPr>
            <w:r>
              <w:rPr>
                <w:rFonts w:eastAsia="Times New Roman"/>
                <w:b/>
                <w:bCs/>
                <w:sz w:val="20"/>
                <w:szCs w:val="20"/>
              </w:rPr>
              <w:t>Whether</w:t>
            </w:r>
            <w:r>
              <w:rPr>
                <w:rFonts w:eastAsia="Times New Roman"/>
                <w:b/>
                <w:bCs/>
                <w:sz w:val="20"/>
                <w:szCs w:val="20"/>
              </w:rPr>
              <w:br/>
              <w:t>Stockholder</w:t>
            </w:r>
            <w:r>
              <w:rPr>
                <w:rFonts w:eastAsia="Times New Roman"/>
                <w:b/>
                <w:bCs/>
                <w:sz w:val="20"/>
                <w:szCs w:val="20"/>
              </w:rPr>
              <w:br/>
              <w:t>Approval is</w:t>
            </w:r>
            <w:r>
              <w:rPr>
                <w:rFonts w:eastAsia="Times New Roman"/>
                <w:b/>
                <w:bCs/>
                <w:sz w:val="20"/>
                <w:szCs w:val="20"/>
              </w:rPr>
              <w:br/>
              <w:t>Required</w:t>
            </w:r>
          </w:p>
        </w:tc>
      </w:tr>
      <w:tr w:rsidR="00000000" w14:paraId="392E8DC6" w14:textId="77777777">
        <w:trPr>
          <w:divId w:val="1595479706"/>
        </w:trPr>
        <w:tc>
          <w:tcPr>
            <w:tcW w:w="0" w:type="auto"/>
            <w:shd w:val="clear" w:color="auto" w:fill="CCEEFF"/>
            <w:hideMark/>
          </w:tcPr>
          <w:p w14:paraId="2443DD00" w14:textId="77777777" w:rsidR="00000000" w:rsidRDefault="00087966">
            <w:pPr>
              <w:rPr>
                <w:rFonts w:eastAsia="Times New Roman"/>
                <w:sz w:val="20"/>
                <w:szCs w:val="20"/>
              </w:rPr>
            </w:pPr>
            <w:r>
              <w:rPr>
                <w:rFonts w:eastAsia="Times New Roman"/>
                <w:sz w:val="20"/>
                <w:szCs w:val="20"/>
              </w:rPr>
              <w:t>Purchase of assets</w:t>
            </w:r>
          </w:p>
        </w:tc>
        <w:tc>
          <w:tcPr>
            <w:tcW w:w="0" w:type="auto"/>
            <w:shd w:val="clear" w:color="auto" w:fill="CCEEFF"/>
            <w:noWrap/>
            <w:vAlign w:val="bottom"/>
            <w:hideMark/>
          </w:tcPr>
          <w:p w14:paraId="5A82187F"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4BF2B5A0" w14:textId="77777777" w:rsidR="00000000" w:rsidRDefault="00087966">
            <w:pPr>
              <w:jc w:val="center"/>
              <w:rPr>
                <w:rFonts w:eastAsia="Times New Roman"/>
                <w:sz w:val="20"/>
                <w:szCs w:val="20"/>
              </w:rPr>
            </w:pPr>
            <w:r>
              <w:rPr>
                <w:rFonts w:eastAsia="Times New Roman"/>
                <w:sz w:val="20"/>
                <w:szCs w:val="20"/>
              </w:rPr>
              <w:t>No</w:t>
            </w:r>
          </w:p>
        </w:tc>
      </w:tr>
      <w:tr w:rsidR="00000000" w14:paraId="535A89ED" w14:textId="77777777">
        <w:trPr>
          <w:divId w:val="1595479706"/>
        </w:trPr>
        <w:tc>
          <w:tcPr>
            <w:tcW w:w="0" w:type="auto"/>
            <w:vAlign w:val="bottom"/>
            <w:hideMark/>
          </w:tcPr>
          <w:p w14:paraId="4A01A5D1" w14:textId="77777777" w:rsidR="00000000" w:rsidRDefault="00087966">
            <w:pPr>
              <w:rPr>
                <w:rFonts w:eastAsia="Times New Roman"/>
                <w:sz w:val="20"/>
                <w:szCs w:val="20"/>
              </w:rPr>
            </w:pPr>
            <w:r>
              <w:rPr>
                <w:rFonts w:eastAsia="Times New Roman"/>
                <w:sz w:val="20"/>
                <w:szCs w:val="20"/>
              </w:rPr>
              <w:t> </w:t>
            </w:r>
          </w:p>
        </w:tc>
        <w:tc>
          <w:tcPr>
            <w:tcW w:w="0" w:type="auto"/>
            <w:noWrap/>
            <w:vAlign w:val="bottom"/>
            <w:hideMark/>
          </w:tcPr>
          <w:p w14:paraId="3C43284E" w14:textId="77777777" w:rsidR="00000000" w:rsidRDefault="00087966">
            <w:pPr>
              <w:jc w:val="both"/>
              <w:rPr>
                <w:rFonts w:eastAsia="Times New Roman"/>
                <w:sz w:val="20"/>
                <w:szCs w:val="20"/>
              </w:rPr>
            </w:pPr>
            <w:r>
              <w:rPr>
                <w:rFonts w:eastAsia="Times New Roman"/>
                <w:sz w:val="20"/>
                <w:szCs w:val="20"/>
              </w:rPr>
              <w:t> </w:t>
            </w:r>
          </w:p>
        </w:tc>
        <w:tc>
          <w:tcPr>
            <w:tcW w:w="0" w:type="auto"/>
            <w:vAlign w:val="bottom"/>
            <w:hideMark/>
          </w:tcPr>
          <w:p w14:paraId="776E08F5" w14:textId="77777777" w:rsidR="00000000" w:rsidRDefault="00087966">
            <w:pPr>
              <w:jc w:val="center"/>
              <w:rPr>
                <w:rFonts w:eastAsia="Times New Roman"/>
                <w:sz w:val="20"/>
                <w:szCs w:val="20"/>
              </w:rPr>
            </w:pPr>
            <w:r>
              <w:rPr>
                <w:rFonts w:eastAsia="Times New Roman"/>
                <w:sz w:val="20"/>
                <w:szCs w:val="20"/>
              </w:rPr>
              <w:t> </w:t>
            </w:r>
          </w:p>
        </w:tc>
      </w:tr>
      <w:tr w:rsidR="00000000" w14:paraId="455BFF60" w14:textId="77777777">
        <w:trPr>
          <w:divId w:val="1595479706"/>
        </w:trPr>
        <w:tc>
          <w:tcPr>
            <w:tcW w:w="0" w:type="auto"/>
            <w:shd w:val="clear" w:color="auto" w:fill="CCEEFF"/>
            <w:vAlign w:val="bottom"/>
            <w:hideMark/>
          </w:tcPr>
          <w:p w14:paraId="536A2ABA" w14:textId="77777777" w:rsidR="00000000" w:rsidRDefault="00087966">
            <w:pPr>
              <w:rPr>
                <w:rFonts w:eastAsia="Times New Roman"/>
                <w:sz w:val="20"/>
                <w:szCs w:val="20"/>
              </w:rPr>
            </w:pPr>
            <w:r>
              <w:rPr>
                <w:rFonts w:eastAsia="Times New Roman"/>
                <w:sz w:val="20"/>
                <w:szCs w:val="20"/>
              </w:rPr>
              <w:t>Purchase of stock of target not involving a merger with the company</w:t>
            </w:r>
          </w:p>
        </w:tc>
        <w:tc>
          <w:tcPr>
            <w:tcW w:w="0" w:type="auto"/>
            <w:shd w:val="clear" w:color="auto" w:fill="CCEEFF"/>
            <w:noWrap/>
            <w:vAlign w:val="bottom"/>
            <w:hideMark/>
          </w:tcPr>
          <w:p w14:paraId="2AF61569"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3DA02FF1" w14:textId="77777777" w:rsidR="00000000" w:rsidRDefault="00087966">
            <w:pPr>
              <w:jc w:val="center"/>
              <w:rPr>
                <w:rFonts w:eastAsia="Times New Roman"/>
                <w:sz w:val="20"/>
                <w:szCs w:val="20"/>
              </w:rPr>
            </w:pPr>
            <w:r>
              <w:rPr>
                <w:rFonts w:eastAsia="Times New Roman"/>
                <w:sz w:val="20"/>
                <w:szCs w:val="20"/>
              </w:rPr>
              <w:t>No</w:t>
            </w:r>
          </w:p>
        </w:tc>
      </w:tr>
      <w:tr w:rsidR="00000000" w14:paraId="58D11AD6" w14:textId="77777777">
        <w:trPr>
          <w:divId w:val="1595479706"/>
        </w:trPr>
        <w:tc>
          <w:tcPr>
            <w:tcW w:w="0" w:type="auto"/>
            <w:vAlign w:val="bottom"/>
            <w:hideMark/>
          </w:tcPr>
          <w:p w14:paraId="7560E302" w14:textId="77777777" w:rsidR="00000000" w:rsidRDefault="00087966">
            <w:pPr>
              <w:rPr>
                <w:rFonts w:eastAsia="Times New Roman"/>
                <w:sz w:val="20"/>
                <w:szCs w:val="20"/>
              </w:rPr>
            </w:pPr>
            <w:r>
              <w:rPr>
                <w:rFonts w:eastAsia="Times New Roman"/>
                <w:sz w:val="20"/>
                <w:szCs w:val="20"/>
              </w:rPr>
              <w:t> </w:t>
            </w:r>
          </w:p>
        </w:tc>
        <w:tc>
          <w:tcPr>
            <w:tcW w:w="0" w:type="auto"/>
            <w:noWrap/>
            <w:vAlign w:val="bottom"/>
            <w:hideMark/>
          </w:tcPr>
          <w:p w14:paraId="20F1BB77" w14:textId="77777777" w:rsidR="00000000" w:rsidRDefault="00087966">
            <w:pPr>
              <w:jc w:val="both"/>
              <w:rPr>
                <w:rFonts w:eastAsia="Times New Roman"/>
                <w:sz w:val="20"/>
                <w:szCs w:val="20"/>
              </w:rPr>
            </w:pPr>
            <w:r>
              <w:rPr>
                <w:rFonts w:eastAsia="Times New Roman"/>
                <w:sz w:val="20"/>
                <w:szCs w:val="20"/>
              </w:rPr>
              <w:t> </w:t>
            </w:r>
          </w:p>
        </w:tc>
        <w:tc>
          <w:tcPr>
            <w:tcW w:w="0" w:type="auto"/>
            <w:vAlign w:val="bottom"/>
            <w:hideMark/>
          </w:tcPr>
          <w:p w14:paraId="74B181E5" w14:textId="77777777" w:rsidR="00000000" w:rsidRDefault="00087966">
            <w:pPr>
              <w:jc w:val="center"/>
              <w:rPr>
                <w:rFonts w:eastAsia="Times New Roman"/>
                <w:sz w:val="20"/>
                <w:szCs w:val="20"/>
              </w:rPr>
            </w:pPr>
            <w:r>
              <w:rPr>
                <w:rFonts w:eastAsia="Times New Roman"/>
                <w:sz w:val="20"/>
                <w:szCs w:val="20"/>
              </w:rPr>
              <w:t> </w:t>
            </w:r>
          </w:p>
        </w:tc>
      </w:tr>
      <w:tr w:rsidR="00000000" w14:paraId="0882DF42" w14:textId="77777777">
        <w:trPr>
          <w:divId w:val="1595479706"/>
        </w:trPr>
        <w:tc>
          <w:tcPr>
            <w:tcW w:w="0" w:type="auto"/>
            <w:shd w:val="clear" w:color="auto" w:fill="CCEEFF"/>
            <w:vAlign w:val="bottom"/>
            <w:hideMark/>
          </w:tcPr>
          <w:p w14:paraId="68FF6C44" w14:textId="77777777" w:rsidR="00000000" w:rsidRDefault="00087966">
            <w:pPr>
              <w:rPr>
                <w:rFonts w:eastAsia="Times New Roman"/>
                <w:sz w:val="20"/>
                <w:szCs w:val="20"/>
              </w:rPr>
            </w:pPr>
            <w:r>
              <w:rPr>
                <w:rFonts w:eastAsia="Times New Roman"/>
                <w:sz w:val="20"/>
                <w:szCs w:val="20"/>
              </w:rPr>
              <w:t>Merger of target into a subsidiary of the company</w:t>
            </w:r>
          </w:p>
        </w:tc>
        <w:tc>
          <w:tcPr>
            <w:tcW w:w="0" w:type="auto"/>
            <w:shd w:val="clear" w:color="auto" w:fill="CCEEFF"/>
            <w:noWrap/>
            <w:vAlign w:val="bottom"/>
            <w:hideMark/>
          </w:tcPr>
          <w:p w14:paraId="29E95574"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77801A6E" w14:textId="77777777" w:rsidR="00000000" w:rsidRDefault="00087966">
            <w:pPr>
              <w:jc w:val="center"/>
              <w:rPr>
                <w:rFonts w:eastAsia="Times New Roman"/>
                <w:sz w:val="20"/>
                <w:szCs w:val="20"/>
              </w:rPr>
            </w:pPr>
            <w:r>
              <w:rPr>
                <w:rFonts w:eastAsia="Times New Roman"/>
                <w:sz w:val="20"/>
                <w:szCs w:val="20"/>
              </w:rPr>
              <w:t>No</w:t>
            </w:r>
          </w:p>
        </w:tc>
      </w:tr>
      <w:tr w:rsidR="00000000" w14:paraId="64443AA1" w14:textId="77777777">
        <w:trPr>
          <w:divId w:val="1595479706"/>
        </w:trPr>
        <w:tc>
          <w:tcPr>
            <w:tcW w:w="0" w:type="auto"/>
            <w:vAlign w:val="bottom"/>
            <w:hideMark/>
          </w:tcPr>
          <w:p w14:paraId="1FBB8CAB" w14:textId="77777777" w:rsidR="00000000" w:rsidRDefault="00087966">
            <w:pPr>
              <w:rPr>
                <w:rFonts w:eastAsia="Times New Roman"/>
                <w:sz w:val="20"/>
                <w:szCs w:val="20"/>
              </w:rPr>
            </w:pPr>
            <w:r>
              <w:rPr>
                <w:rFonts w:eastAsia="Times New Roman"/>
                <w:sz w:val="20"/>
                <w:szCs w:val="20"/>
              </w:rPr>
              <w:t> </w:t>
            </w:r>
          </w:p>
        </w:tc>
        <w:tc>
          <w:tcPr>
            <w:tcW w:w="0" w:type="auto"/>
            <w:noWrap/>
            <w:vAlign w:val="bottom"/>
            <w:hideMark/>
          </w:tcPr>
          <w:p w14:paraId="79103D9B" w14:textId="77777777" w:rsidR="00000000" w:rsidRDefault="00087966">
            <w:pPr>
              <w:jc w:val="both"/>
              <w:rPr>
                <w:rFonts w:eastAsia="Times New Roman"/>
                <w:sz w:val="20"/>
                <w:szCs w:val="20"/>
              </w:rPr>
            </w:pPr>
            <w:r>
              <w:rPr>
                <w:rFonts w:eastAsia="Times New Roman"/>
                <w:sz w:val="20"/>
                <w:szCs w:val="20"/>
              </w:rPr>
              <w:t> </w:t>
            </w:r>
          </w:p>
        </w:tc>
        <w:tc>
          <w:tcPr>
            <w:tcW w:w="0" w:type="auto"/>
            <w:vAlign w:val="bottom"/>
            <w:hideMark/>
          </w:tcPr>
          <w:p w14:paraId="7F185A11" w14:textId="77777777" w:rsidR="00000000" w:rsidRDefault="00087966">
            <w:pPr>
              <w:jc w:val="center"/>
              <w:rPr>
                <w:rFonts w:eastAsia="Times New Roman"/>
                <w:sz w:val="20"/>
                <w:szCs w:val="20"/>
              </w:rPr>
            </w:pPr>
            <w:r>
              <w:rPr>
                <w:rFonts w:eastAsia="Times New Roman"/>
                <w:sz w:val="20"/>
                <w:szCs w:val="20"/>
              </w:rPr>
              <w:t> </w:t>
            </w:r>
          </w:p>
        </w:tc>
      </w:tr>
      <w:tr w:rsidR="00000000" w14:paraId="3DA682A5" w14:textId="77777777">
        <w:trPr>
          <w:divId w:val="1595479706"/>
        </w:trPr>
        <w:tc>
          <w:tcPr>
            <w:tcW w:w="0" w:type="auto"/>
            <w:shd w:val="clear" w:color="auto" w:fill="CCEEFF"/>
            <w:vAlign w:val="bottom"/>
            <w:hideMark/>
          </w:tcPr>
          <w:p w14:paraId="288A2774" w14:textId="77777777" w:rsidR="00000000" w:rsidRDefault="00087966">
            <w:pPr>
              <w:rPr>
                <w:rFonts w:eastAsia="Times New Roman"/>
                <w:sz w:val="20"/>
                <w:szCs w:val="20"/>
              </w:rPr>
            </w:pPr>
            <w:r>
              <w:rPr>
                <w:rFonts w:eastAsia="Times New Roman"/>
                <w:sz w:val="20"/>
                <w:szCs w:val="20"/>
              </w:rPr>
              <w:t>Merger of the company with a target</w:t>
            </w:r>
          </w:p>
        </w:tc>
        <w:tc>
          <w:tcPr>
            <w:tcW w:w="0" w:type="auto"/>
            <w:shd w:val="clear" w:color="auto" w:fill="CCEEFF"/>
            <w:noWrap/>
            <w:vAlign w:val="bottom"/>
            <w:hideMark/>
          </w:tcPr>
          <w:p w14:paraId="5718555F"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14:paraId="5B8FFB3F" w14:textId="77777777" w:rsidR="00000000" w:rsidRDefault="00087966">
            <w:pPr>
              <w:jc w:val="center"/>
              <w:rPr>
                <w:rFonts w:eastAsia="Times New Roman"/>
                <w:sz w:val="20"/>
                <w:szCs w:val="20"/>
              </w:rPr>
            </w:pPr>
            <w:r>
              <w:rPr>
                <w:rFonts w:eastAsia="Times New Roman"/>
                <w:sz w:val="20"/>
                <w:szCs w:val="20"/>
              </w:rPr>
              <w:t>Yes</w:t>
            </w:r>
          </w:p>
        </w:tc>
      </w:tr>
    </w:tbl>
    <w:p w14:paraId="37EEB6D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BE9AAE7"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Under Nasdaq’s listing </w:t>
      </w:r>
      <w:r>
        <w:rPr>
          <w:sz w:val="20"/>
          <w:szCs w:val="20"/>
        </w:rPr>
        <w:t>rules, stockholder approval would be required for our initial business combination if, for example:</w:t>
      </w:r>
    </w:p>
    <w:p w14:paraId="2E4E345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371F183" w14:textId="77777777">
        <w:trPr>
          <w:divId w:val="1595479706"/>
          <w:tblCellSpacing w:w="0" w:type="dxa"/>
        </w:trPr>
        <w:tc>
          <w:tcPr>
            <w:tcW w:w="720" w:type="dxa"/>
            <w:hideMark/>
          </w:tcPr>
          <w:p w14:paraId="093BA277" w14:textId="77777777" w:rsidR="00000000" w:rsidRDefault="00087966">
            <w:pPr>
              <w:rPr>
                <w:rFonts w:eastAsia="Times New Roman"/>
                <w:sz w:val="20"/>
                <w:szCs w:val="20"/>
              </w:rPr>
            </w:pPr>
            <w:r>
              <w:rPr>
                <w:rFonts w:eastAsia="Times New Roman"/>
                <w:sz w:val="20"/>
                <w:szCs w:val="20"/>
              </w:rPr>
              <w:t> </w:t>
            </w:r>
          </w:p>
        </w:tc>
        <w:tc>
          <w:tcPr>
            <w:tcW w:w="360" w:type="dxa"/>
            <w:hideMark/>
          </w:tcPr>
          <w:p w14:paraId="4FD45811"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0435DCB" w14:textId="77777777" w:rsidR="00000000" w:rsidRDefault="00087966">
            <w:pPr>
              <w:jc w:val="both"/>
              <w:rPr>
                <w:rFonts w:eastAsia="Times New Roman"/>
                <w:sz w:val="20"/>
                <w:szCs w:val="20"/>
              </w:rPr>
            </w:pPr>
            <w:r>
              <w:rPr>
                <w:rFonts w:eastAsia="Times New Roman"/>
                <w:sz w:val="20"/>
                <w:szCs w:val="20"/>
              </w:rPr>
              <w:t>we issue shares of Class A common stock that will be equal to or in excess of 20% of the number of shares of our Class A common stock then outstanding</w:t>
            </w:r>
            <w:r>
              <w:rPr>
                <w:rFonts w:eastAsia="Times New Roman"/>
                <w:sz w:val="20"/>
                <w:szCs w:val="20"/>
              </w:rPr>
              <w:t>;</w:t>
            </w:r>
          </w:p>
        </w:tc>
      </w:tr>
    </w:tbl>
    <w:p w14:paraId="554B1457" w14:textId="77777777" w:rsidR="00000000" w:rsidRDefault="00087966">
      <w:pPr>
        <w:pStyle w:val="a3"/>
        <w:spacing w:before="0" w:beforeAutospacing="0" w:after="0" w:afterAutospacing="0"/>
        <w:jc w:val="both"/>
        <w:divId w:val="1595479706"/>
        <w:rPr>
          <w:sz w:val="20"/>
          <w:szCs w:val="20"/>
        </w:rPr>
      </w:pPr>
      <w:r>
        <w:rPr>
          <w:sz w:val="20"/>
          <w:szCs w:val="20"/>
        </w:rPr>
        <w:t> </w:t>
      </w:r>
    </w:p>
    <w:p w14:paraId="3C584112" w14:textId="77777777" w:rsidR="00000000" w:rsidRDefault="00087966">
      <w:pPr>
        <w:pStyle w:val="a3"/>
        <w:spacing w:before="0" w:beforeAutospacing="0" w:after="0" w:afterAutospacing="0"/>
        <w:jc w:val="center"/>
        <w:divId w:val="481699222"/>
        <w:rPr>
          <w:sz w:val="20"/>
          <w:szCs w:val="20"/>
        </w:rPr>
      </w:pPr>
      <w:r>
        <w:rPr>
          <w:sz w:val="20"/>
          <w:szCs w:val="20"/>
        </w:rPr>
        <w:t>2</w:t>
      </w:r>
      <w:r>
        <w:rPr>
          <w:sz w:val="20"/>
          <w:szCs w:val="20"/>
        </w:rPr>
        <w:t>0</w:t>
      </w:r>
    </w:p>
    <w:p w14:paraId="20C525DC" w14:textId="77777777" w:rsidR="00000000" w:rsidRDefault="00087966">
      <w:pPr>
        <w:pStyle w:val="a3"/>
        <w:spacing w:before="0" w:beforeAutospacing="0" w:after="0" w:afterAutospacing="0"/>
        <w:divId w:val="1827822565"/>
        <w:rPr>
          <w:sz w:val="20"/>
          <w:szCs w:val="20"/>
        </w:rPr>
      </w:pPr>
      <w:r>
        <w:rPr>
          <w:sz w:val="20"/>
          <w:szCs w:val="20"/>
        </w:rPr>
        <w:t> </w:t>
      </w:r>
    </w:p>
    <w:p w14:paraId="464A25FD"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46E3733" w14:textId="77777777">
        <w:trPr>
          <w:divId w:val="1595479706"/>
          <w:tblCellSpacing w:w="0" w:type="dxa"/>
        </w:trPr>
        <w:tc>
          <w:tcPr>
            <w:tcW w:w="720" w:type="dxa"/>
            <w:hideMark/>
          </w:tcPr>
          <w:p w14:paraId="25A0362D" w14:textId="77777777" w:rsidR="00000000" w:rsidRDefault="00087966">
            <w:pPr>
              <w:rPr>
                <w:rFonts w:eastAsia="Times New Roman"/>
                <w:sz w:val="20"/>
                <w:szCs w:val="20"/>
              </w:rPr>
            </w:pPr>
            <w:r>
              <w:rPr>
                <w:rFonts w:eastAsia="Times New Roman"/>
                <w:sz w:val="20"/>
                <w:szCs w:val="20"/>
              </w:rPr>
              <w:t> </w:t>
            </w:r>
          </w:p>
        </w:tc>
        <w:tc>
          <w:tcPr>
            <w:tcW w:w="360" w:type="dxa"/>
            <w:hideMark/>
          </w:tcPr>
          <w:p w14:paraId="0E4B18F8"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209938B" w14:textId="77777777" w:rsidR="00000000" w:rsidRDefault="00087966">
            <w:pPr>
              <w:jc w:val="both"/>
              <w:rPr>
                <w:rFonts w:eastAsia="Times New Roman"/>
                <w:sz w:val="20"/>
                <w:szCs w:val="20"/>
              </w:rPr>
            </w:pPr>
            <w:r>
              <w:rPr>
                <w:rFonts w:eastAsia="Times New Roman"/>
                <w:sz w:val="20"/>
                <w:szCs w:val="20"/>
              </w:rPr>
              <w:t>any of our directors, officers or substantial security holders (as defined by Nasdaq rules) has a 5% or greater interest, directly or indirectly, in the target business or assets to be acquired and if the number of shares of common stock to be issued, or i</w:t>
            </w:r>
            <w:r>
              <w:rPr>
                <w:rFonts w:eastAsia="Times New Roman"/>
                <w:sz w:val="20"/>
                <w:szCs w:val="20"/>
              </w:rPr>
              <w:t xml:space="preserve">f the number of shares of common stock into which the securities may be convertible or exercisable, exceeds either (a) 1% of the number of shares of common stock or 1% of the voting power outstanding before the issuance in the case of any of our directors </w:t>
            </w:r>
            <w:r>
              <w:rPr>
                <w:rFonts w:eastAsia="Times New Roman"/>
                <w:sz w:val="20"/>
                <w:szCs w:val="20"/>
              </w:rPr>
              <w:t xml:space="preserve">and officers or (b) 5% of the number of shares of common stock or 5% of the voting power outstanding before the issuance in the case of any substantial security holders; </w:t>
            </w:r>
          </w:p>
        </w:tc>
      </w:tr>
    </w:tbl>
    <w:p w14:paraId="43489B89"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3E026FB" w14:textId="77777777">
        <w:trPr>
          <w:divId w:val="1595479706"/>
          <w:tblCellSpacing w:w="0" w:type="dxa"/>
        </w:trPr>
        <w:tc>
          <w:tcPr>
            <w:tcW w:w="720" w:type="dxa"/>
            <w:hideMark/>
          </w:tcPr>
          <w:p w14:paraId="5383A1EC" w14:textId="77777777" w:rsidR="00000000" w:rsidRDefault="00087966">
            <w:pPr>
              <w:rPr>
                <w:rFonts w:eastAsia="Times New Roman"/>
                <w:sz w:val="20"/>
                <w:szCs w:val="20"/>
              </w:rPr>
            </w:pPr>
            <w:r>
              <w:rPr>
                <w:rFonts w:eastAsia="Times New Roman"/>
                <w:sz w:val="20"/>
                <w:szCs w:val="20"/>
              </w:rPr>
              <w:t> </w:t>
            </w:r>
          </w:p>
        </w:tc>
        <w:tc>
          <w:tcPr>
            <w:tcW w:w="360" w:type="dxa"/>
            <w:hideMark/>
          </w:tcPr>
          <w:p w14:paraId="7BE7BBB0"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41850CB" w14:textId="77777777" w:rsidR="00000000" w:rsidRDefault="00087966">
            <w:pPr>
              <w:jc w:val="both"/>
              <w:rPr>
                <w:rFonts w:eastAsia="Times New Roman"/>
                <w:sz w:val="20"/>
                <w:szCs w:val="20"/>
              </w:rPr>
            </w:pPr>
            <w:r>
              <w:rPr>
                <w:rFonts w:eastAsia="Times New Roman"/>
                <w:sz w:val="20"/>
                <w:szCs w:val="20"/>
              </w:rPr>
              <w:t>the issuance or potential issuance of common stock will result in our undergoi</w:t>
            </w:r>
            <w:r>
              <w:rPr>
                <w:rFonts w:eastAsia="Times New Roman"/>
                <w:sz w:val="20"/>
                <w:szCs w:val="20"/>
              </w:rPr>
              <w:t>ng a change of control; or</w:t>
            </w:r>
          </w:p>
        </w:tc>
      </w:tr>
    </w:tbl>
    <w:p w14:paraId="39443D9B"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C62C910" w14:textId="77777777">
        <w:trPr>
          <w:divId w:val="1595479706"/>
        </w:trPr>
        <w:tc>
          <w:tcPr>
            <w:tcW w:w="720" w:type="dxa"/>
            <w:hideMark/>
          </w:tcPr>
          <w:p w14:paraId="09FC35A9" w14:textId="77777777" w:rsidR="00000000" w:rsidRDefault="00087966">
            <w:pPr>
              <w:rPr>
                <w:rFonts w:eastAsia="Times New Roman"/>
                <w:sz w:val="20"/>
                <w:szCs w:val="20"/>
              </w:rPr>
            </w:pPr>
            <w:r>
              <w:rPr>
                <w:rFonts w:eastAsia="Times New Roman"/>
                <w:sz w:val="20"/>
                <w:szCs w:val="20"/>
              </w:rPr>
              <w:t> </w:t>
            </w:r>
          </w:p>
        </w:tc>
        <w:tc>
          <w:tcPr>
            <w:tcW w:w="360" w:type="dxa"/>
            <w:hideMark/>
          </w:tcPr>
          <w:p w14:paraId="2BA33969"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FDE40A5" w14:textId="77777777" w:rsidR="00000000" w:rsidRDefault="00087966">
            <w:pPr>
              <w:jc w:val="both"/>
              <w:rPr>
                <w:rFonts w:eastAsia="Times New Roman"/>
                <w:sz w:val="20"/>
                <w:szCs w:val="20"/>
              </w:rPr>
            </w:pPr>
            <w:r>
              <w:rPr>
                <w:rFonts w:eastAsia="Times New Roman"/>
                <w:sz w:val="20"/>
                <w:szCs w:val="20"/>
              </w:rPr>
              <w:t>in connection with the Second Extension, stockholders holding 9,786,530 public shares exercised their right to redeem their shares for a pro rata portion of the funds in the trust account. As a result, approximately $101 m</w:t>
            </w:r>
            <w:r>
              <w:rPr>
                <w:rFonts w:eastAsia="Times New Roman"/>
                <w:sz w:val="20"/>
                <w:szCs w:val="20"/>
              </w:rPr>
              <w:t>illion (approximately $10.32 per public share) was removed from the trust account to pay such holders and approximately $6.376 million remained in the trust account. Following the redemptions, the Company has 617,864 public shares outstanding.</w:t>
            </w:r>
          </w:p>
        </w:tc>
      </w:tr>
    </w:tbl>
    <w:p w14:paraId="74C863D2" w14:textId="77777777" w:rsidR="00000000" w:rsidRDefault="00087966">
      <w:pPr>
        <w:pStyle w:val="a3"/>
        <w:spacing w:before="0" w:beforeAutospacing="0" w:after="0" w:afterAutospacing="0"/>
        <w:divId w:val="1595479706"/>
        <w:rPr>
          <w:sz w:val="20"/>
          <w:szCs w:val="20"/>
        </w:rPr>
      </w:pPr>
      <w:r>
        <w:rPr>
          <w:sz w:val="20"/>
          <w:szCs w:val="20"/>
        </w:rPr>
        <w:t> </w:t>
      </w:r>
    </w:p>
    <w:p w14:paraId="46AA569D" w14:textId="77777777" w:rsidR="00000000" w:rsidRDefault="00087966">
      <w:pPr>
        <w:pStyle w:val="a3"/>
        <w:spacing w:before="0" w:beforeAutospacing="0" w:after="0" w:afterAutospacing="0"/>
        <w:ind w:firstLine="720"/>
        <w:jc w:val="both"/>
        <w:divId w:val="1595479706"/>
        <w:rPr>
          <w:sz w:val="20"/>
          <w:szCs w:val="20"/>
        </w:rPr>
      </w:pPr>
      <w:r>
        <w:rPr>
          <w:sz w:val="20"/>
          <w:szCs w:val="20"/>
        </w:rPr>
        <w:t>We may al</w:t>
      </w:r>
      <w:r>
        <w:rPr>
          <w:sz w:val="20"/>
          <w:szCs w:val="20"/>
        </w:rPr>
        <w:t>so elect to seek to further extend the deadline by which we must consummate our initial business combination. Such an extension requires the approval of our public stockholders to amend our amended and restated certificate of incorporation, who will be pro</w:t>
      </w:r>
      <w:r>
        <w:rPr>
          <w:sz w:val="20"/>
          <w:szCs w:val="20"/>
        </w:rPr>
        <w:t>vided the opportunity at that time to redeem all or a portion their shares (which would likely have a material adverse effect on the amount held in our trust account and other adverse effects on our Company, such as our ability to maintain our listing on N</w:t>
      </w:r>
      <w:r>
        <w:rPr>
          <w:sz w:val="20"/>
          <w:szCs w:val="20"/>
        </w:rPr>
        <w:t>asdaq).</w:t>
      </w:r>
    </w:p>
    <w:p w14:paraId="0FC9B176" w14:textId="77777777" w:rsidR="00000000" w:rsidRDefault="00087966">
      <w:pPr>
        <w:pStyle w:val="a3"/>
        <w:spacing w:before="0" w:beforeAutospacing="0" w:after="0" w:afterAutospacing="0"/>
        <w:jc w:val="both"/>
        <w:divId w:val="1595479706"/>
        <w:rPr>
          <w:sz w:val="20"/>
          <w:szCs w:val="20"/>
        </w:rPr>
      </w:pPr>
      <w:r>
        <w:rPr>
          <w:sz w:val="20"/>
          <w:szCs w:val="20"/>
        </w:rPr>
        <w:t> </w:t>
      </w:r>
    </w:p>
    <w:p w14:paraId="47A9A8F9" w14:textId="77777777" w:rsidR="00000000" w:rsidRDefault="00087966">
      <w:pPr>
        <w:pStyle w:val="a3"/>
        <w:spacing w:before="0" w:beforeAutospacing="0" w:after="0" w:afterAutospacing="0"/>
        <w:jc w:val="both"/>
        <w:divId w:val="1595479706"/>
        <w:rPr>
          <w:sz w:val="20"/>
          <w:szCs w:val="20"/>
        </w:rPr>
      </w:pPr>
      <w:r>
        <w:rPr>
          <w:b/>
          <w:bCs/>
          <w:sz w:val="20"/>
          <w:szCs w:val="20"/>
        </w:rPr>
        <w:t>Permitted Purchases of Our Securities</w:t>
      </w:r>
    </w:p>
    <w:p w14:paraId="52C43FA2"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4DCA0843"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If we seek stockholder approval </w:t>
      </w:r>
      <w:r>
        <w:rPr>
          <w:sz w:val="20"/>
          <w:szCs w:val="20"/>
        </w:rPr>
        <w:t xml:space="preserve">of our initial business combination and we do not conduct redemptions in connection with our initial business combination pursuant to the tender offer rules, our sponsor, initial stockholders, directors, officers, advisors or their affiliates may purchase </w:t>
      </w:r>
      <w:r>
        <w:rPr>
          <w:sz w:val="20"/>
          <w:szCs w:val="20"/>
        </w:rPr>
        <w:t>public shares or public warrants in privately-negotiated transactions or in the open market either prior to or following the completion of our initial business combination. There is no limit on the number of shares or warrants our initial stockholders, dir</w:t>
      </w:r>
      <w:r>
        <w:rPr>
          <w:sz w:val="20"/>
          <w:szCs w:val="20"/>
        </w:rPr>
        <w:t>ectors, officers, advisors or their affiliates may purchase in such transactions, subject to compliance with applicable law and Nasdaq rules. However, they have no current commitments, plans or intentions to engage in such transactions and have not formula</w:t>
      </w:r>
      <w:r>
        <w:rPr>
          <w:sz w:val="20"/>
          <w:szCs w:val="20"/>
        </w:rPr>
        <w:t>ted any terms or conditions for any such transactions. If they engage in such transactions, they will not make any such purchases when they are in possession of any material non-public information not disclosed to the seller or if such purchases are prohib</w:t>
      </w:r>
      <w:r>
        <w:rPr>
          <w:sz w:val="20"/>
          <w:szCs w:val="20"/>
        </w:rPr>
        <w:t>ited by Regulation M under the Exchange Act. We do not currently anticipate that such purchases, if any, would constitute a tender offer subject to the tender offer rules under the Exchange Act or a going-private transaction subject to the going-private ru</w:t>
      </w:r>
      <w:r>
        <w:rPr>
          <w:sz w:val="20"/>
          <w:szCs w:val="20"/>
        </w:rPr>
        <w:t>les under the Exchange Act; however, if the purchasers determine at the time of any such purchases that the purchases are subject to such rules, the purchasers will comply with such rules. Any such purchases will be reported pursuant to Section 13 and Sect</w:t>
      </w:r>
      <w:r>
        <w:rPr>
          <w:sz w:val="20"/>
          <w:szCs w:val="20"/>
        </w:rPr>
        <w:t>ion 16 of the Exchange Act to the extent such purchasers are subject to such reporting requirements. None of the funds held in the trust account will be used to purchase shares or public warrants in such transactions prior to completion of our initial busi</w:t>
      </w:r>
      <w:r>
        <w:rPr>
          <w:sz w:val="20"/>
          <w:szCs w:val="20"/>
        </w:rPr>
        <w:t>ness combination.</w:t>
      </w:r>
    </w:p>
    <w:p w14:paraId="5AABC71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B015B2E"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The purpose of any such purchases </w:t>
      </w:r>
      <w:r>
        <w:rPr>
          <w:sz w:val="20"/>
          <w:szCs w:val="20"/>
        </w:rPr>
        <w:t>of shares could be to vote such shares in favor of the initial business combination and thereby increase the likelihood of obtaining stockholder approval of the initial business combination or to satisfy a closing condition in an agreement with a target th</w:t>
      </w:r>
      <w:r>
        <w:rPr>
          <w:sz w:val="20"/>
          <w:szCs w:val="20"/>
        </w:rPr>
        <w:t>at requires us to have a minimum net worth or a certain amount of cash at the closing of our initial business combination, where it appears that such requirement would otherwise not be met. The purpose of any such purchases of public warrants could be to r</w:t>
      </w:r>
      <w:r>
        <w:rPr>
          <w:sz w:val="20"/>
          <w:szCs w:val="20"/>
        </w:rPr>
        <w:t xml:space="preserve">educe the number of public warrants outstanding or to vote such warrants on any matters submitted to the warrant holders for approval in connection with our initial business combination. Any such purchases of our securities may result in the completion of </w:t>
      </w:r>
      <w:r>
        <w:rPr>
          <w:sz w:val="20"/>
          <w:szCs w:val="20"/>
        </w:rPr>
        <w:t xml:space="preserve">our initial business combination that may not otherwise have been possible. In addition, if such purchases are made, the public “float” of our shares of Class A common stock or warrants may be reduced and the number of beneficial holders of our securities </w:t>
      </w:r>
      <w:r>
        <w:rPr>
          <w:sz w:val="20"/>
          <w:szCs w:val="20"/>
        </w:rPr>
        <w:t>may be reduced, which may make it difficult to maintain or obtain the quotation, listing or trading of our securities on a national securities exchange.</w:t>
      </w:r>
    </w:p>
    <w:p w14:paraId="4E13B26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4B0DAB5" w14:textId="77777777" w:rsidR="00000000" w:rsidRDefault="00087966">
      <w:pPr>
        <w:pStyle w:val="a3"/>
        <w:spacing w:before="0" w:beforeAutospacing="0" w:after="0" w:afterAutospacing="0"/>
        <w:ind w:firstLine="720"/>
        <w:jc w:val="both"/>
        <w:divId w:val="1595479706"/>
        <w:rPr>
          <w:sz w:val="20"/>
          <w:szCs w:val="20"/>
        </w:rPr>
      </w:pPr>
      <w:r>
        <w:rPr>
          <w:sz w:val="20"/>
          <w:szCs w:val="20"/>
        </w:rPr>
        <w:t>Our sponsor, officers, directors and/or any of their affiliates anticipate that they may identify the</w:t>
      </w:r>
      <w:r>
        <w:rPr>
          <w:sz w:val="20"/>
          <w:szCs w:val="20"/>
        </w:rPr>
        <w:t xml:space="preserve"> stockholders with whom our sponsor, officers, directors or their affiliates may pursue privately-negotiated purchases by either the stockholders contacting us directly or by our receipt of redemption requests tendered by stockholders following our mailing</w:t>
      </w:r>
      <w:r>
        <w:rPr>
          <w:sz w:val="20"/>
          <w:szCs w:val="20"/>
        </w:rPr>
        <w:t xml:space="preserve"> of proxy materials in connection with our initial business combination. To the extent that our sponsor, officers, directors, advisors or their affiliates enter into a private purchase, they would identify and contact only potential selling stockholders wh</w:t>
      </w:r>
      <w:r>
        <w:rPr>
          <w:sz w:val="20"/>
          <w:szCs w:val="20"/>
        </w:rPr>
        <w:t>o have expressed their election to redeem their shares for a pro rata share of the trust account or vote against our initial business combination, whether or not such stockholder has already submitted a proxy with respect to our initial business combinatio</w:t>
      </w:r>
      <w:r>
        <w:rPr>
          <w:sz w:val="20"/>
          <w:szCs w:val="20"/>
        </w:rPr>
        <w:t xml:space="preserve">n. Such persons would select the stockholders from whom to acquire shares based on the number of shares available, the negotiated price per share and such other factors as any such person may deem relevant at the time of purchase. The price per share paid </w:t>
      </w:r>
      <w:r>
        <w:rPr>
          <w:sz w:val="20"/>
          <w:szCs w:val="20"/>
        </w:rPr>
        <w:t>in any such transaction may be different than the amount per share a public stockholder would receive if it elected to redeem its shares in connection with our initial business combination. Our sponsor, officers, directors, advisors or their affiliates wil</w:t>
      </w:r>
      <w:r>
        <w:rPr>
          <w:sz w:val="20"/>
          <w:szCs w:val="20"/>
        </w:rPr>
        <w:t>l only purchase shares if such purchases comply with Regulation M under the Exchange Act and the other federal securities laws.</w:t>
      </w:r>
    </w:p>
    <w:p w14:paraId="6FC34D2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273FDF4" w14:textId="77777777" w:rsidR="00000000" w:rsidRDefault="00087966">
      <w:pPr>
        <w:pStyle w:val="a3"/>
        <w:spacing w:before="0" w:beforeAutospacing="0" w:after="0" w:afterAutospacing="0"/>
        <w:jc w:val="center"/>
        <w:divId w:val="1631127653"/>
        <w:rPr>
          <w:sz w:val="20"/>
          <w:szCs w:val="20"/>
        </w:rPr>
      </w:pPr>
      <w:r>
        <w:rPr>
          <w:sz w:val="20"/>
          <w:szCs w:val="20"/>
        </w:rPr>
        <w:t>2</w:t>
      </w:r>
      <w:r>
        <w:rPr>
          <w:sz w:val="20"/>
          <w:szCs w:val="20"/>
        </w:rPr>
        <w:t>1</w:t>
      </w:r>
    </w:p>
    <w:p w14:paraId="26E24E63" w14:textId="77777777" w:rsidR="00000000" w:rsidRDefault="00087966">
      <w:pPr>
        <w:pStyle w:val="a3"/>
        <w:spacing w:before="0" w:beforeAutospacing="0" w:after="0" w:afterAutospacing="0"/>
        <w:divId w:val="514733187"/>
        <w:rPr>
          <w:sz w:val="20"/>
          <w:szCs w:val="20"/>
        </w:rPr>
      </w:pPr>
      <w:r>
        <w:rPr>
          <w:sz w:val="20"/>
          <w:szCs w:val="20"/>
        </w:rPr>
        <w:t> </w:t>
      </w:r>
    </w:p>
    <w:p w14:paraId="52E5F02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A3AC6E2" w14:textId="77777777" w:rsidR="00000000" w:rsidRDefault="00087966">
      <w:pPr>
        <w:pStyle w:val="a3"/>
        <w:spacing w:before="0" w:beforeAutospacing="0" w:after="0" w:afterAutospacing="0"/>
        <w:ind w:firstLine="720"/>
        <w:jc w:val="both"/>
        <w:divId w:val="1595479706"/>
        <w:rPr>
          <w:sz w:val="20"/>
          <w:szCs w:val="20"/>
        </w:rPr>
      </w:pPr>
      <w:r>
        <w:rPr>
          <w:sz w:val="20"/>
          <w:szCs w:val="20"/>
        </w:rPr>
        <w:t>Any purchases by our sponsor, officers, directors and/or their affiliates who are affiliated purchasers under Rule 10b-</w:t>
      </w:r>
      <w:r>
        <w:rPr>
          <w:sz w:val="20"/>
          <w:szCs w:val="20"/>
        </w:rPr>
        <w:t>18 under the Exchange Act will be made only to the extent such purchases are able to be made in compliance with Rule 10b-18, which is a safe harbor from liability for manipulation under Section 9(a)(2) and Rule 10b-5 of the Exchange Act. Rule 10b-18 has ce</w:t>
      </w:r>
      <w:r>
        <w:rPr>
          <w:sz w:val="20"/>
          <w:szCs w:val="20"/>
        </w:rPr>
        <w:t>rtain technical requirements that must be complied with in order for the safe harbor to be available to the purchaser. Our sponsor, officers, directors and/or their affiliates will not make purchases of common stock if the purchases would violate Section 9</w:t>
      </w:r>
      <w:r>
        <w:rPr>
          <w:sz w:val="20"/>
          <w:szCs w:val="20"/>
        </w:rPr>
        <w:t>(a)(2) or Rule 10b-5 of the Exchange Act. Any such purchases will be reported pursuant to Section 13 and Section 16 of the Exchange Act to the extent such purchases are subject to such reporting requirements.</w:t>
      </w:r>
    </w:p>
    <w:p w14:paraId="1BECA73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0D7BE06" w14:textId="77777777" w:rsidR="00000000" w:rsidRDefault="00087966">
      <w:pPr>
        <w:pStyle w:val="a3"/>
        <w:spacing w:before="0" w:beforeAutospacing="0" w:after="0" w:afterAutospacing="0"/>
        <w:ind w:firstLine="720"/>
        <w:jc w:val="both"/>
        <w:divId w:val="1595479706"/>
        <w:rPr>
          <w:sz w:val="20"/>
          <w:szCs w:val="20"/>
        </w:rPr>
      </w:pPr>
      <w:r>
        <w:rPr>
          <w:sz w:val="20"/>
          <w:szCs w:val="20"/>
        </w:rPr>
        <w:t>See “Near Business Combination” above for mor</w:t>
      </w:r>
      <w:r>
        <w:rPr>
          <w:sz w:val="20"/>
          <w:szCs w:val="20"/>
        </w:rPr>
        <w:t>e information regarding such purchases in the Near Business Combination.</w:t>
      </w:r>
    </w:p>
    <w:p w14:paraId="4FA1CC3D" w14:textId="77777777" w:rsidR="00000000" w:rsidRDefault="00087966">
      <w:pPr>
        <w:pStyle w:val="a3"/>
        <w:spacing w:before="0" w:beforeAutospacing="0" w:after="0" w:afterAutospacing="0"/>
        <w:jc w:val="both"/>
        <w:divId w:val="1595479706"/>
        <w:rPr>
          <w:sz w:val="20"/>
          <w:szCs w:val="20"/>
        </w:rPr>
      </w:pPr>
      <w:r>
        <w:rPr>
          <w:sz w:val="20"/>
          <w:szCs w:val="20"/>
        </w:rPr>
        <w:t> </w:t>
      </w:r>
    </w:p>
    <w:p w14:paraId="0D2514C2" w14:textId="77777777" w:rsidR="00000000" w:rsidRDefault="00087966">
      <w:pPr>
        <w:pStyle w:val="a3"/>
        <w:spacing w:before="0" w:beforeAutospacing="0" w:after="0" w:afterAutospacing="0"/>
        <w:jc w:val="both"/>
        <w:divId w:val="1595479706"/>
        <w:rPr>
          <w:sz w:val="20"/>
          <w:szCs w:val="20"/>
        </w:rPr>
      </w:pPr>
      <w:r>
        <w:rPr>
          <w:b/>
          <w:bCs/>
          <w:sz w:val="20"/>
          <w:szCs w:val="20"/>
        </w:rPr>
        <w:t>Redemption Rights for Public Stockholders upon Completion of our Initial Business Combination</w:t>
      </w:r>
    </w:p>
    <w:p w14:paraId="629A0CB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AE70287" w14:textId="77777777" w:rsidR="00000000" w:rsidRDefault="00087966">
      <w:pPr>
        <w:pStyle w:val="a3"/>
        <w:spacing w:before="0" w:beforeAutospacing="0" w:after="0" w:afterAutospacing="0"/>
        <w:ind w:firstLine="720"/>
        <w:jc w:val="both"/>
        <w:divId w:val="1595479706"/>
        <w:rPr>
          <w:sz w:val="20"/>
          <w:szCs w:val="20"/>
        </w:rPr>
      </w:pPr>
      <w:r>
        <w:rPr>
          <w:sz w:val="20"/>
          <w:szCs w:val="20"/>
        </w:rPr>
        <w:t>We will provide our public stockholders with the opportunity to redeem all or a porti</w:t>
      </w:r>
      <w:r>
        <w:rPr>
          <w:sz w:val="20"/>
          <w:szCs w:val="20"/>
        </w:rPr>
        <w:t>on of their shares of Class A common stock upon the completion of our initial business combination, such as the Near Business Combination, at a per-share price, payable in cash, equal to the aggregate amount then on deposit in the trust account as of two b</w:t>
      </w:r>
      <w:r>
        <w:rPr>
          <w:sz w:val="20"/>
          <w:szCs w:val="20"/>
        </w:rPr>
        <w:t>usiness days prior to the consummation of the initial business combination including interest earned on the funds held in the trust account and not previously released to us to pay our taxes, divided by the number of then outstanding public shares, subject</w:t>
      </w:r>
      <w:r>
        <w:rPr>
          <w:sz w:val="20"/>
          <w:szCs w:val="20"/>
        </w:rPr>
        <w:t xml:space="preserve"> to the limitations described herein. As of December 31, 2022, interest in the aggregate amount of $579,359 had been drawn to pay tax obligations. The amount in the trust account, as of March 14, 2023, was $10.47 per public share (prior to any additional p</w:t>
      </w:r>
      <w:r>
        <w:rPr>
          <w:sz w:val="20"/>
          <w:szCs w:val="20"/>
        </w:rPr>
        <w:t>ermitted withdrawals to pay taxes). The per-share amount we will distribute to investors who properly redeem their shares will not be reduced by deferred underwriting commissions we will pay to the underwriters. Our sponsor, officers and directors have ent</w:t>
      </w:r>
      <w:r>
        <w:rPr>
          <w:sz w:val="20"/>
          <w:szCs w:val="20"/>
        </w:rPr>
        <w:t>ered into a letter agreement with us, pursuant to which they have agreed to waive their redemption rights with respect to any founder shares and any public shares held by them in connection with the completion of our initial business combination.</w:t>
      </w:r>
    </w:p>
    <w:p w14:paraId="1B58CF6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919A4DE" w14:textId="77777777" w:rsidR="00000000" w:rsidRDefault="00087966">
      <w:pPr>
        <w:pStyle w:val="a3"/>
        <w:spacing w:before="0" w:beforeAutospacing="0" w:after="0" w:afterAutospacing="0"/>
        <w:ind w:firstLine="720"/>
        <w:jc w:val="both"/>
        <w:divId w:val="1595479706"/>
        <w:rPr>
          <w:sz w:val="20"/>
          <w:szCs w:val="20"/>
        </w:rPr>
      </w:pPr>
      <w:r>
        <w:rPr>
          <w:sz w:val="20"/>
          <w:szCs w:val="20"/>
        </w:rPr>
        <w:t>See “Ne</w:t>
      </w:r>
      <w:r>
        <w:rPr>
          <w:sz w:val="20"/>
          <w:szCs w:val="20"/>
        </w:rPr>
        <w:t>ar Business Combination” above for more information on the additional agreements entered into in connection with the Near Business Combination.</w:t>
      </w:r>
    </w:p>
    <w:p w14:paraId="27D6BB8E" w14:textId="77777777" w:rsidR="00000000" w:rsidRDefault="00087966">
      <w:pPr>
        <w:pStyle w:val="a3"/>
        <w:spacing w:before="0" w:beforeAutospacing="0" w:after="0" w:afterAutospacing="0"/>
        <w:jc w:val="both"/>
        <w:divId w:val="1595479706"/>
        <w:rPr>
          <w:sz w:val="20"/>
          <w:szCs w:val="20"/>
        </w:rPr>
      </w:pPr>
      <w:r>
        <w:rPr>
          <w:sz w:val="20"/>
          <w:szCs w:val="20"/>
        </w:rPr>
        <w:t> </w:t>
      </w:r>
    </w:p>
    <w:p w14:paraId="73E6076E" w14:textId="77777777" w:rsidR="00000000" w:rsidRDefault="00087966">
      <w:pPr>
        <w:pStyle w:val="a3"/>
        <w:spacing w:before="0" w:beforeAutospacing="0" w:after="0" w:afterAutospacing="0"/>
        <w:jc w:val="both"/>
        <w:divId w:val="1595479706"/>
        <w:rPr>
          <w:sz w:val="20"/>
          <w:szCs w:val="20"/>
        </w:rPr>
      </w:pPr>
      <w:r>
        <w:rPr>
          <w:b/>
          <w:bCs/>
          <w:sz w:val="20"/>
          <w:szCs w:val="20"/>
        </w:rPr>
        <w:t>Manner of Conducting Redemptions</w:t>
      </w:r>
    </w:p>
    <w:p w14:paraId="5AB806C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0E948B9"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will provide our public stockholders with the opportunity to redeem all </w:t>
      </w:r>
      <w:r>
        <w:rPr>
          <w:sz w:val="20"/>
          <w:szCs w:val="20"/>
        </w:rPr>
        <w:t xml:space="preserve">or a portion of their public shares upon the completion of our initial business combination either (i) in connection with a stockholder meeting called to approve the initial business combination, as currently contemplated for purposes of the Near Business </w:t>
      </w:r>
      <w:r>
        <w:rPr>
          <w:sz w:val="20"/>
          <w:szCs w:val="20"/>
        </w:rPr>
        <w:t>Combination, or (ii) without a stockholder vote by means of a tender offer, if the Near Business Combination is not consummated or is otherwise restructured. The decision as to whether we will seek stockholder approval of a proposed initial business combin</w:t>
      </w:r>
      <w:r>
        <w:rPr>
          <w:sz w:val="20"/>
          <w:szCs w:val="20"/>
        </w:rPr>
        <w:t>ation or conduct a tender offer will be made by us, solely in our discretion, and will be based on a variety of factors such as the timing of the transaction and whether the terms of the transaction would require us to seek stockholder approval under appli</w:t>
      </w:r>
      <w:r>
        <w:rPr>
          <w:sz w:val="20"/>
          <w:szCs w:val="20"/>
        </w:rPr>
        <w:t>cable law or stock exchange listing requirements.</w:t>
      </w:r>
    </w:p>
    <w:p w14:paraId="7097DD2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D0B7231" w14:textId="77777777" w:rsidR="00000000" w:rsidRDefault="00087966">
      <w:pPr>
        <w:pStyle w:val="a3"/>
        <w:spacing w:before="0" w:beforeAutospacing="0" w:after="0" w:afterAutospacing="0"/>
        <w:ind w:firstLine="720"/>
        <w:jc w:val="both"/>
        <w:divId w:val="1595479706"/>
        <w:rPr>
          <w:sz w:val="20"/>
          <w:szCs w:val="20"/>
        </w:rPr>
      </w:pPr>
      <w:r>
        <w:rPr>
          <w:sz w:val="20"/>
          <w:szCs w:val="20"/>
        </w:rPr>
        <w:t>Asset acquisitions and stock purchases would not typically require stockholder approval while direct mergers with our company where we do not survive and any transactions where we issue more than 20% of o</w:t>
      </w:r>
      <w:r>
        <w:rPr>
          <w:sz w:val="20"/>
          <w:szCs w:val="20"/>
        </w:rPr>
        <w:t>ur outstanding common stock or seek to amend our amended and restated certificate of incorporation would require stockholder approval. So long as we obtain and maintain a listing for our securities on Nasdaq, we will be required to comply with Nasdaq’s sto</w:t>
      </w:r>
      <w:r>
        <w:rPr>
          <w:sz w:val="20"/>
          <w:szCs w:val="20"/>
        </w:rPr>
        <w:t>ckholder approval rules.</w:t>
      </w:r>
    </w:p>
    <w:p w14:paraId="0B2879A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ACEAEF7"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The requirement that we provide </w:t>
      </w:r>
      <w:r>
        <w:rPr>
          <w:sz w:val="20"/>
          <w:szCs w:val="20"/>
        </w:rPr>
        <w:t>our public stockholders with the opportunity to redeem their public shares by one of the two methods listed above are contained in provisions of our amended and restated certificate of incorporation and apply whether or not we maintain our registration und</w:t>
      </w:r>
      <w:r>
        <w:rPr>
          <w:sz w:val="20"/>
          <w:szCs w:val="20"/>
        </w:rPr>
        <w:t>er the Exchange Act or our listing on Nasdaq. Such provisions may be amended if approved by holders of 65% of our common stock entitled to vote thereon.</w:t>
      </w:r>
    </w:p>
    <w:p w14:paraId="561B0A4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66629BF" w14:textId="77777777" w:rsidR="00000000" w:rsidRDefault="00087966">
      <w:pPr>
        <w:pStyle w:val="a3"/>
        <w:spacing w:before="0" w:beforeAutospacing="0" w:after="0" w:afterAutospacing="0"/>
        <w:jc w:val="center"/>
        <w:divId w:val="394088803"/>
        <w:rPr>
          <w:sz w:val="20"/>
          <w:szCs w:val="20"/>
        </w:rPr>
      </w:pPr>
      <w:r>
        <w:rPr>
          <w:sz w:val="20"/>
          <w:szCs w:val="20"/>
        </w:rPr>
        <w:t>2</w:t>
      </w:r>
      <w:r>
        <w:rPr>
          <w:sz w:val="20"/>
          <w:szCs w:val="20"/>
        </w:rPr>
        <w:t>2</w:t>
      </w:r>
    </w:p>
    <w:p w14:paraId="785C6A10" w14:textId="77777777" w:rsidR="00000000" w:rsidRDefault="00087966">
      <w:pPr>
        <w:pStyle w:val="a3"/>
        <w:spacing w:before="0" w:beforeAutospacing="0" w:after="0" w:afterAutospacing="0"/>
        <w:divId w:val="1534465052"/>
        <w:rPr>
          <w:sz w:val="20"/>
          <w:szCs w:val="20"/>
        </w:rPr>
      </w:pPr>
      <w:r>
        <w:rPr>
          <w:sz w:val="20"/>
          <w:szCs w:val="20"/>
        </w:rPr>
        <w:t> </w:t>
      </w:r>
    </w:p>
    <w:p w14:paraId="0C5DD45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6A6B524" w14:textId="77777777" w:rsidR="00000000" w:rsidRDefault="00087966">
      <w:pPr>
        <w:pStyle w:val="a3"/>
        <w:spacing w:before="0" w:beforeAutospacing="0" w:after="0" w:afterAutospacing="0"/>
        <w:ind w:firstLine="720"/>
        <w:jc w:val="both"/>
        <w:divId w:val="1595479706"/>
        <w:rPr>
          <w:sz w:val="20"/>
          <w:szCs w:val="20"/>
        </w:rPr>
      </w:pPr>
      <w:r>
        <w:rPr>
          <w:sz w:val="20"/>
          <w:szCs w:val="20"/>
        </w:rPr>
        <w:t>If we provide our public stockholders with the opportunity to redeem their public shares in co</w:t>
      </w:r>
      <w:r>
        <w:rPr>
          <w:sz w:val="20"/>
          <w:szCs w:val="20"/>
        </w:rPr>
        <w:t>nnection with a stockholder meeting, we will:</w:t>
      </w:r>
    </w:p>
    <w:p w14:paraId="447FE2C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5448803" w14:textId="77777777">
        <w:trPr>
          <w:divId w:val="1595479706"/>
          <w:tblCellSpacing w:w="0" w:type="dxa"/>
        </w:trPr>
        <w:tc>
          <w:tcPr>
            <w:tcW w:w="720" w:type="dxa"/>
            <w:hideMark/>
          </w:tcPr>
          <w:p w14:paraId="792B7E59" w14:textId="77777777" w:rsidR="00000000" w:rsidRDefault="00087966">
            <w:pPr>
              <w:rPr>
                <w:rFonts w:eastAsia="Times New Roman"/>
                <w:sz w:val="20"/>
                <w:szCs w:val="20"/>
              </w:rPr>
            </w:pPr>
            <w:r>
              <w:rPr>
                <w:rFonts w:eastAsia="Times New Roman"/>
                <w:sz w:val="20"/>
                <w:szCs w:val="20"/>
              </w:rPr>
              <w:t> </w:t>
            </w:r>
          </w:p>
        </w:tc>
        <w:tc>
          <w:tcPr>
            <w:tcW w:w="360" w:type="dxa"/>
            <w:hideMark/>
          </w:tcPr>
          <w:p w14:paraId="149B13EC"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1C57F451" w14:textId="77777777" w:rsidR="00000000" w:rsidRDefault="00087966">
            <w:pPr>
              <w:jc w:val="both"/>
              <w:rPr>
                <w:rFonts w:eastAsia="Times New Roman"/>
                <w:sz w:val="20"/>
                <w:szCs w:val="20"/>
              </w:rPr>
            </w:pPr>
            <w:r>
              <w:rPr>
                <w:rFonts w:eastAsia="Times New Roman"/>
                <w:sz w:val="20"/>
                <w:szCs w:val="20"/>
              </w:rPr>
              <w:t>conduct the redemptions in conjunction with a proxy solicitation pursuant to Regulation 14A of the Exchange Act, which regulates the solicitation of proxies, and not pursuant to the tender offer rules, an</w:t>
            </w:r>
            <w:r>
              <w:rPr>
                <w:rFonts w:eastAsia="Times New Roman"/>
                <w:sz w:val="20"/>
                <w:szCs w:val="20"/>
              </w:rPr>
              <w:t>d</w:t>
            </w:r>
          </w:p>
        </w:tc>
      </w:tr>
      <w:tr w:rsidR="00000000" w14:paraId="594939C0" w14:textId="77777777">
        <w:trPr>
          <w:divId w:val="1595479706"/>
          <w:tblCellSpacing w:w="0" w:type="dxa"/>
        </w:trPr>
        <w:tc>
          <w:tcPr>
            <w:tcW w:w="0" w:type="auto"/>
            <w:hideMark/>
          </w:tcPr>
          <w:p w14:paraId="6122CAF5" w14:textId="77777777" w:rsidR="00000000" w:rsidRDefault="00087966">
            <w:pPr>
              <w:rPr>
                <w:rFonts w:eastAsia="Times New Roman"/>
                <w:sz w:val="20"/>
                <w:szCs w:val="20"/>
              </w:rPr>
            </w:pPr>
            <w:r>
              <w:rPr>
                <w:rFonts w:eastAsia="Times New Roman"/>
                <w:sz w:val="20"/>
                <w:szCs w:val="20"/>
              </w:rPr>
              <w:t> </w:t>
            </w:r>
          </w:p>
        </w:tc>
        <w:tc>
          <w:tcPr>
            <w:tcW w:w="0" w:type="auto"/>
            <w:hideMark/>
          </w:tcPr>
          <w:p w14:paraId="0ED0FA30"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021ACD79" w14:textId="77777777" w:rsidR="00000000" w:rsidRDefault="00087966">
            <w:pPr>
              <w:jc w:val="both"/>
              <w:rPr>
                <w:rFonts w:eastAsia="Times New Roman"/>
                <w:sz w:val="20"/>
                <w:szCs w:val="20"/>
              </w:rPr>
            </w:pPr>
            <w:r>
              <w:rPr>
                <w:rFonts w:eastAsia="Times New Roman"/>
                <w:sz w:val="20"/>
                <w:szCs w:val="20"/>
              </w:rPr>
              <w:t> </w:t>
            </w:r>
          </w:p>
        </w:tc>
      </w:tr>
      <w:tr w:rsidR="00000000" w14:paraId="0A24CAEA" w14:textId="77777777">
        <w:trPr>
          <w:divId w:val="1595479706"/>
          <w:tblCellSpacing w:w="0" w:type="dxa"/>
        </w:trPr>
        <w:tc>
          <w:tcPr>
            <w:tcW w:w="0" w:type="auto"/>
            <w:hideMark/>
          </w:tcPr>
          <w:p w14:paraId="69396DB1" w14:textId="77777777" w:rsidR="00000000" w:rsidRDefault="00087966">
            <w:pPr>
              <w:rPr>
                <w:rFonts w:eastAsia="Times New Roman"/>
                <w:sz w:val="20"/>
                <w:szCs w:val="20"/>
              </w:rPr>
            </w:pPr>
            <w:r>
              <w:rPr>
                <w:rFonts w:eastAsia="Times New Roman"/>
                <w:sz w:val="20"/>
                <w:szCs w:val="20"/>
              </w:rPr>
              <w:t> </w:t>
            </w:r>
          </w:p>
        </w:tc>
        <w:tc>
          <w:tcPr>
            <w:tcW w:w="0" w:type="auto"/>
            <w:hideMark/>
          </w:tcPr>
          <w:p w14:paraId="5B320234"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88B7C1A" w14:textId="77777777" w:rsidR="00000000" w:rsidRDefault="00087966">
            <w:pPr>
              <w:jc w:val="both"/>
              <w:rPr>
                <w:rFonts w:eastAsia="Times New Roman"/>
                <w:sz w:val="20"/>
                <w:szCs w:val="20"/>
              </w:rPr>
            </w:pPr>
            <w:r>
              <w:rPr>
                <w:rFonts w:eastAsia="Times New Roman"/>
                <w:sz w:val="20"/>
                <w:szCs w:val="20"/>
              </w:rPr>
              <w:t>file proxy materials with the SEC.</w:t>
            </w:r>
          </w:p>
        </w:tc>
      </w:tr>
    </w:tbl>
    <w:p w14:paraId="408921D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7E3FCBC"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If we seek stockholder approval, </w:t>
      </w:r>
      <w:r>
        <w:rPr>
          <w:sz w:val="20"/>
          <w:szCs w:val="20"/>
        </w:rPr>
        <w:t>as we currently contemplate seeking for the Near Business Combination, we will complete our initial business combination only if a majority of the outstanding shares of common stock voted are voted in favor of the initial business combination. A quorum for</w:t>
      </w:r>
      <w:r>
        <w:rPr>
          <w:sz w:val="20"/>
          <w:szCs w:val="20"/>
        </w:rPr>
        <w:t xml:space="preserve"> such meeting will consist of the holders present in person or by proxy of shares of outstanding capital stock of the Company representing a majority of the voting power of all outstanding shares of capital stock of the Company entitled to vote at such mee</w:t>
      </w:r>
      <w:r>
        <w:rPr>
          <w:sz w:val="20"/>
          <w:szCs w:val="20"/>
        </w:rPr>
        <w:t>ting. Our initial stockholders will count towards this quorum and, pursuant to the letter agreement, our sponsor, officers and directors have agreed to vote their founder shares and any public shares purchased during or after our initial public offering (i</w:t>
      </w:r>
      <w:r>
        <w:rPr>
          <w:sz w:val="20"/>
          <w:szCs w:val="20"/>
        </w:rPr>
        <w:t xml:space="preserve">ncluding in open market and privately-negotiated transactions) in favor of our initial business combination. For purposes of seeking approval of the majority of our outstanding shares of common stock voted, non-votes will have no effect on the approval of </w:t>
      </w:r>
      <w:r>
        <w:rPr>
          <w:sz w:val="20"/>
          <w:szCs w:val="20"/>
        </w:rPr>
        <w:t>our initial business combination once a quorum is obtained. As a result of the aggregate redemptions of public shares in connection with the First Extension and the Second Extension and the number of outstanding founder shares held by our initial stockhold</w:t>
      </w:r>
      <w:r>
        <w:rPr>
          <w:sz w:val="20"/>
          <w:szCs w:val="20"/>
        </w:rPr>
        <w:t>ers, we do not require the vote of the holders of any of the public shares sold in our initial public offering to be voted in favor of an initial business combination in order to have our initial business combination approved, as the founder shares constit</w:t>
      </w:r>
      <w:r>
        <w:rPr>
          <w:sz w:val="20"/>
          <w:szCs w:val="20"/>
        </w:rPr>
        <w:t xml:space="preserve">ute more than a majority of the total outstanding shares of common stock. We intend to give not less than 10 days’ nor more than 60 days’ prior written notice of any such meeting, if required, at which a vote shall be taken to approve our initial business </w:t>
      </w:r>
      <w:r>
        <w:rPr>
          <w:sz w:val="20"/>
          <w:szCs w:val="20"/>
        </w:rPr>
        <w:t>combination. These quorum and voting thresholds, and the voting agreements of our initial stockholders, may make it more likely that we will consummate our initial business combination. Each public stockholder may elect to redeem its public shares irrespec</w:t>
      </w:r>
      <w:r>
        <w:rPr>
          <w:sz w:val="20"/>
          <w:szCs w:val="20"/>
        </w:rPr>
        <w:t>tive of whether they vote for or against the proposed transaction or whether they were a stockholder on the record date for the stockholder meeting held to approve the proposed transaction.</w:t>
      </w:r>
    </w:p>
    <w:p w14:paraId="3063AB0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AA46F72" w14:textId="77777777" w:rsidR="00000000" w:rsidRDefault="00087966">
      <w:pPr>
        <w:pStyle w:val="a3"/>
        <w:spacing w:before="0" w:beforeAutospacing="0" w:after="0" w:afterAutospacing="0"/>
        <w:ind w:firstLine="720"/>
        <w:jc w:val="both"/>
        <w:divId w:val="1595479706"/>
        <w:rPr>
          <w:sz w:val="20"/>
          <w:szCs w:val="20"/>
        </w:rPr>
      </w:pPr>
      <w:r>
        <w:rPr>
          <w:sz w:val="20"/>
          <w:szCs w:val="20"/>
        </w:rPr>
        <w:t>If a stockholder vote is not required and we do not decide to ho</w:t>
      </w:r>
      <w:r>
        <w:rPr>
          <w:sz w:val="20"/>
          <w:szCs w:val="20"/>
        </w:rPr>
        <w:t>ld a stockholder vote for business or other legal reasons, we will:</w:t>
      </w:r>
    </w:p>
    <w:p w14:paraId="1154750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EAD4125" w14:textId="77777777">
        <w:trPr>
          <w:divId w:val="1595479706"/>
          <w:tblCellSpacing w:w="0" w:type="dxa"/>
        </w:trPr>
        <w:tc>
          <w:tcPr>
            <w:tcW w:w="720" w:type="dxa"/>
            <w:hideMark/>
          </w:tcPr>
          <w:p w14:paraId="701B71AD" w14:textId="77777777" w:rsidR="00000000" w:rsidRDefault="00087966">
            <w:pPr>
              <w:rPr>
                <w:rFonts w:eastAsia="Times New Roman"/>
                <w:sz w:val="20"/>
                <w:szCs w:val="20"/>
              </w:rPr>
            </w:pPr>
            <w:r>
              <w:rPr>
                <w:rFonts w:eastAsia="Times New Roman"/>
                <w:sz w:val="20"/>
                <w:szCs w:val="20"/>
              </w:rPr>
              <w:t> </w:t>
            </w:r>
          </w:p>
        </w:tc>
        <w:tc>
          <w:tcPr>
            <w:tcW w:w="360" w:type="dxa"/>
            <w:hideMark/>
          </w:tcPr>
          <w:p w14:paraId="67E4E0A6"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528B223C" w14:textId="77777777" w:rsidR="00000000" w:rsidRDefault="00087966">
            <w:pPr>
              <w:jc w:val="both"/>
              <w:rPr>
                <w:rFonts w:eastAsia="Times New Roman"/>
                <w:sz w:val="20"/>
                <w:szCs w:val="20"/>
              </w:rPr>
            </w:pPr>
            <w:r>
              <w:rPr>
                <w:rFonts w:eastAsia="Times New Roman"/>
                <w:sz w:val="20"/>
                <w:szCs w:val="20"/>
              </w:rPr>
              <w:t>conduct the redemptions pursuant to Rule 13e-4 and Regulation 14E of the Exchange Act, which regulate issuer tender offers, and</w:t>
            </w:r>
          </w:p>
        </w:tc>
      </w:tr>
    </w:tbl>
    <w:p w14:paraId="17A9111E"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EA0B68A" w14:textId="77777777">
        <w:trPr>
          <w:divId w:val="1595479706"/>
          <w:tblCellSpacing w:w="0" w:type="dxa"/>
        </w:trPr>
        <w:tc>
          <w:tcPr>
            <w:tcW w:w="720" w:type="dxa"/>
            <w:hideMark/>
          </w:tcPr>
          <w:p w14:paraId="4C027C39" w14:textId="77777777" w:rsidR="00000000" w:rsidRDefault="00087966">
            <w:pPr>
              <w:rPr>
                <w:rFonts w:eastAsia="Times New Roman"/>
                <w:sz w:val="20"/>
                <w:szCs w:val="20"/>
              </w:rPr>
            </w:pPr>
            <w:r>
              <w:rPr>
                <w:rFonts w:eastAsia="Times New Roman"/>
                <w:sz w:val="20"/>
                <w:szCs w:val="20"/>
              </w:rPr>
              <w:t> </w:t>
            </w:r>
          </w:p>
        </w:tc>
        <w:tc>
          <w:tcPr>
            <w:tcW w:w="360" w:type="dxa"/>
            <w:hideMark/>
          </w:tcPr>
          <w:p w14:paraId="166465C2"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4A08F28" w14:textId="77777777" w:rsidR="00000000" w:rsidRDefault="00087966">
            <w:pPr>
              <w:jc w:val="both"/>
              <w:rPr>
                <w:rFonts w:eastAsia="Times New Roman"/>
                <w:sz w:val="20"/>
                <w:szCs w:val="20"/>
              </w:rPr>
            </w:pPr>
            <w:r>
              <w:rPr>
                <w:rFonts w:eastAsia="Times New Roman"/>
                <w:sz w:val="20"/>
                <w:szCs w:val="20"/>
              </w:rPr>
              <w:t xml:space="preserve">file tender offer documents with the SEC prior </w:t>
            </w:r>
            <w:r>
              <w:rPr>
                <w:rFonts w:eastAsia="Times New Roman"/>
                <w:sz w:val="20"/>
                <w:szCs w:val="20"/>
              </w:rPr>
              <w:t>to completing our initial business combination, which contain substantially the same financial and other information about the initial business combination and the redemption rights as is required under Regulation 14A of the Exchange Act, which regulates t</w:t>
            </w:r>
            <w:r>
              <w:rPr>
                <w:rFonts w:eastAsia="Times New Roman"/>
                <w:sz w:val="20"/>
                <w:szCs w:val="20"/>
              </w:rPr>
              <w:t>he solicitation of proxies.</w:t>
            </w:r>
          </w:p>
        </w:tc>
      </w:tr>
    </w:tbl>
    <w:p w14:paraId="3687B12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EA35FDD"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In the event we conduct </w:t>
      </w:r>
      <w:r>
        <w:rPr>
          <w:sz w:val="20"/>
          <w:szCs w:val="20"/>
        </w:rPr>
        <w:t>redemptions pursuant to the tender offer rules, our offer to redeem will remain open for at least 20 business days, in accordance with Rule 14e-1(a) under the Exchange Act, and we will not be permitted to complete our initial business combination until the</w:t>
      </w:r>
      <w:r>
        <w:rPr>
          <w:sz w:val="20"/>
          <w:szCs w:val="20"/>
        </w:rPr>
        <w:t xml:space="preserve"> expiration of the tender offer period. In addition, the tender offer will be conditioned on public stockholders not tendering more than a specified number of public shares, which number will be based on the requirement that we will only redeem our public </w:t>
      </w:r>
      <w:r>
        <w:rPr>
          <w:sz w:val="20"/>
          <w:szCs w:val="20"/>
        </w:rPr>
        <w:t xml:space="preserve">shares so long as (after such redemption) our net tangible assets will be at least $5,000,001 either immediately prior to or upon consummation of our initial business combination and after payment of deferred underwriter’s fees and commissions (so that we </w:t>
      </w:r>
      <w:r>
        <w:rPr>
          <w:sz w:val="20"/>
          <w:szCs w:val="20"/>
        </w:rPr>
        <w:t>are not subject to the SEC’s “penny stock” rules) or any greater net tangible asset or cash requirement that may be contained in the agreement relating to our initial business combination. If public stockholders tender more shares than we have offered to p</w:t>
      </w:r>
      <w:r>
        <w:rPr>
          <w:sz w:val="20"/>
          <w:szCs w:val="20"/>
        </w:rPr>
        <w:t>urchase, we will withdraw the tender offer and not complete the initial business combination.</w:t>
      </w:r>
    </w:p>
    <w:p w14:paraId="2CA1541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423AFAD"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Upon the public announcement of our initial business combination, if we elect to conduct redemptions pursuant to the tender offer rules, we or our sponsor will </w:t>
      </w:r>
      <w:r>
        <w:rPr>
          <w:sz w:val="20"/>
          <w:szCs w:val="20"/>
        </w:rPr>
        <w:t>terminate any plan established in accordance with Rule 10b5-1 to purchase shares of our Class A common stock in the open market, in order to comply with Rule 14e-5 under the Exchange Act.</w:t>
      </w:r>
    </w:p>
    <w:p w14:paraId="281757F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2966996" w14:textId="77777777" w:rsidR="00000000" w:rsidRDefault="00087966">
      <w:pPr>
        <w:pStyle w:val="a3"/>
        <w:spacing w:before="0" w:beforeAutospacing="0" w:after="0" w:afterAutospacing="0"/>
        <w:jc w:val="center"/>
        <w:divId w:val="468674154"/>
        <w:rPr>
          <w:sz w:val="20"/>
          <w:szCs w:val="20"/>
        </w:rPr>
      </w:pPr>
      <w:r>
        <w:rPr>
          <w:sz w:val="20"/>
          <w:szCs w:val="20"/>
        </w:rPr>
        <w:t>2</w:t>
      </w:r>
      <w:r>
        <w:rPr>
          <w:sz w:val="20"/>
          <w:szCs w:val="20"/>
        </w:rPr>
        <w:t>3</w:t>
      </w:r>
    </w:p>
    <w:p w14:paraId="7F5D6493" w14:textId="77777777" w:rsidR="00000000" w:rsidRDefault="00087966">
      <w:pPr>
        <w:pStyle w:val="a3"/>
        <w:spacing w:before="0" w:beforeAutospacing="0" w:after="0" w:afterAutospacing="0"/>
        <w:divId w:val="170729738"/>
        <w:rPr>
          <w:sz w:val="20"/>
          <w:szCs w:val="20"/>
        </w:rPr>
      </w:pPr>
      <w:r>
        <w:rPr>
          <w:sz w:val="20"/>
          <w:szCs w:val="20"/>
        </w:rPr>
        <w:t> </w:t>
      </w:r>
    </w:p>
    <w:p w14:paraId="3CE8476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606FDF9" w14:textId="77777777" w:rsidR="00000000" w:rsidRDefault="00087966">
      <w:pPr>
        <w:pStyle w:val="a3"/>
        <w:spacing w:before="0" w:beforeAutospacing="0" w:after="0" w:afterAutospacing="0"/>
        <w:ind w:firstLine="720"/>
        <w:jc w:val="both"/>
        <w:divId w:val="1595479706"/>
        <w:rPr>
          <w:sz w:val="20"/>
          <w:szCs w:val="20"/>
        </w:rPr>
      </w:pPr>
      <w:r>
        <w:rPr>
          <w:sz w:val="20"/>
          <w:szCs w:val="20"/>
        </w:rPr>
        <w:t>We intend to require our public stockholders seeking to exe</w:t>
      </w:r>
      <w:r>
        <w:rPr>
          <w:sz w:val="20"/>
          <w:szCs w:val="20"/>
        </w:rPr>
        <w:t>rcise their redemption rights, whether they are record holders or hold their shares in “street name,” to, at the holder’s option, either deliver their stock certificates to our transfer agent or deliver their shares to our transfer agent electronically usi</w:t>
      </w:r>
      <w:r>
        <w:rPr>
          <w:sz w:val="20"/>
          <w:szCs w:val="20"/>
        </w:rPr>
        <w:t>ng the DWAC system, prior to the date set forth in the proxy materials or tender offer documents, as applicable. In the case of proxy materials, this date may be up to two business days prior to the vote on the proposal to approve the initial business comb</w:t>
      </w:r>
      <w:r>
        <w:rPr>
          <w:sz w:val="20"/>
          <w:szCs w:val="20"/>
        </w:rPr>
        <w:t>ination. In addition, if we conduct redemptions in connection with a stockholder vote, we intend to require a public stockholder seeking redemption of its public shares to also submit a written request for redemption to our transfer agent two business days</w:t>
      </w:r>
      <w:r>
        <w:rPr>
          <w:sz w:val="20"/>
          <w:szCs w:val="20"/>
        </w:rPr>
        <w:t xml:space="preserve"> prior to the vote in which the name of the beneficial owner of such shares is included. The proxy materials or tender offer documents, as applicable, that we will furnish to holders of our public shares in connection with our initial business combination </w:t>
      </w:r>
      <w:r>
        <w:rPr>
          <w:sz w:val="20"/>
          <w:szCs w:val="20"/>
        </w:rPr>
        <w:t>will indicate whether we are requiring public stockholders to satisfy such delivery requirements. We believe that this will allow our transfer agent to efficiently process any redemptions without the need for further communication or action from the redeem</w:t>
      </w:r>
      <w:r>
        <w:rPr>
          <w:sz w:val="20"/>
          <w:szCs w:val="20"/>
        </w:rPr>
        <w:t>ing public stockholders, which could delay redemptions and result in additional administrative cost. If the proposed initial business combination is not approved and we continue to search for a target company, we will promptly return any certificates or sh</w:t>
      </w:r>
      <w:r>
        <w:rPr>
          <w:sz w:val="20"/>
          <w:szCs w:val="20"/>
        </w:rPr>
        <w:t>ares delivered by public stockholders who elected to redeem their shares.</w:t>
      </w:r>
    </w:p>
    <w:p w14:paraId="454A19F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6D2F0C5" w14:textId="77777777" w:rsidR="00000000" w:rsidRDefault="00087966">
      <w:pPr>
        <w:pStyle w:val="a3"/>
        <w:spacing w:before="0" w:beforeAutospacing="0" w:after="0" w:afterAutospacing="0"/>
        <w:ind w:firstLine="720"/>
        <w:jc w:val="both"/>
        <w:divId w:val="1595479706"/>
        <w:rPr>
          <w:sz w:val="20"/>
          <w:szCs w:val="20"/>
        </w:rPr>
      </w:pPr>
      <w:r>
        <w:rPr>
          <w:sz w:val="20"/>
          <w:szCs w:val="20"/>
        </w:rPr>
        <w:t>Our amended and restated certificate of incorporation provides that we will only redeem our public shares so long as (after such redemption) our net tangible assets will be at leas</w:t>
      </w:r>
      <w:r>
        <w:rPr>
          <w:sz w:val="20"/>
          <w:szCs w:val="20"/>
        </w:rPr>
        <w:t>t $5,000,001 either immediately prior to or upon consummation of our initial business combination and after payment of deferred underwriter’s fees and commissions (so that we are not subject to the SEC’s “penny stock” rules) or any greater net tangible ass</w:t>
      </w:r>
      <w:r>
        <w:rPr>
          <w:sz w:val="20"/>
          <w:szCs w:val="20"/>
        </w:rPr>
        <w:t xml:space="preserve">et or cash requirement which may be contained in the agreement relating to our initial business combination. For example, the proposed initial business combination may require: (i) cash consideration to be paid to the target or its owners, (ii) cash to be </w:t>
      </w:r>
      <w:r>
        <w:rPr>
          <w:sz w:val="20"/>
          <w:szCs w:val="20"/>
        </w:rPr>
        <w:t>transferred to the target for working capital or other general corporate purposes or (iii) the retention of cash to satisfy other conditions in accordance with the terms of the proposed initial business combination. In the event the aggregate cash consider</w:t>
      </w:r>
      <w:r>
        <w:rPr>
          <w:sz w:val="20"/>
          <w:szCs w:val="20"/>
        </w:rPr>
        <w:t>ation we would be required to pay for all shares of Class A common stock that are validly submitted for redemption plus any amount required to satisfy cash conditions pursuant to the terms of the proposed initial business combination exceed the aggregate a</w:t>
      </w:r>
      <w:r>
        <w:rPr>
          <w:sz w:val="20"/>
          <w:szCs w:val="20"/>
        </w:rPr>
        <w:t>mount of cash available to us, we will not complete the initial business combination or redeem any shares, and all shares of Class A common stock submitted for redemption will be returned to the holders thereof.</w:t>
      </w:r>
    </w:p>
    <w:p w14:paraId="256B9FD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CDEDE22"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See “Near Business Combination” above for </w:t>
      </w:r>
      <w:r>
        <w:rPr>
          <w:sz w:val="20"/>
          <w:szCs w:val="20"/>
        </w:rPr>
        <w:t>more information on the additional agreements entered into in connection with the Near Business Combination and “Combination Period and Extensions” above for more information on the redemptions in connection with the extensions. </w:t>
      </w:r>
    </w:p>
    <w:p w14:paraId="7CFC839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E50E509" w14:textId="77777777" w:rsidR="00000000" w:rsidRDefault="00087966">
      <w:pPr>
        <w:pStyle w:val="a3"/>
        <w:spacing w:before="0" w:beforeAutospacing="0" w:after="0" w:afterAutospacing="0"/>
        <w:jc w:val="both"/>
        <w:divId w:val="1595479706"/>
        <w:rPr>
          <w:sz w:val="20"/>
          <w:szCs w:val="20"/>
        </w:rPr>
      </w:pPr>
      <w:r>
        <w:rPr>
          <w:b/>
          <w:bCs/>
          <w:sz w:val="20"/>
          <w:szCs w:val="20"/>
        </w:rPr>
        <w:t>Limitation on Redemption</w:t>
      </w:r>
      <w:r>
        <w:rPr>
          <w:b/>
          <w:bCs/>
          <w:sz w:val="20"/>
          <w:szCs w:val="20"/>
        </w:rPr>
        <w:t xml:space="preserve"> upon Completion of our Initial Business Combination if we Seek Stockholder Approval</w:t>
      </w:r>
    </w:p>
    <w:p w14:paraId="006F787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F6E34BE" w14:textId="77777777" w:rsidR="00000000" w:rsidRDefault="00087966">
      <w:pPr>
        <w:pStyle w:val="a3"/>
        <w:spacing w:before="0" w:beforeAutospacing="0" w:after="0" w:afterAutospacing="0"/>
        <w:ind w:firstLine="720"/>
        <w:jc w:val="both"/>
        <w:divId w:val="1595479706"/>
        <w:rPr>
          <w:sz w:val="20"/>
          <w:szCs w:val="20"/>
        </w:rPr>
      </w:pPr>
      <w:r>
        <w:rPr>
          <w:sz w:val="20"/>
          <w:szCs w:val="20"/>
        </w:rPr>
        <w:t>Notwithstanding the foregoing, if we seek stockholder approval of our initial business combination and we do not conduct redemptions in connection with our initial busin</w:t>
      </w:r>
      <w:r>
        <w:rPr>
          <w:sz w:val="20"/>
          <w:szCs w:val="20"/>
        </w:rPr>
        <w:t>ess combination pursuant to the tender offer rules, our amended and restated certificate of incorporation provides that a public stockholder, together with any affiliate of such stockholder or any other person with whom such stockholder is acting in concer</w:t>
      </w:r>
      <w:r>
        <w:rPr>
          <w:sz w:val="20"/>
          <w:szCs w:val="20"/>
        </w:rPr>
        <w:t>t or as a “group” (as defined under Section 13 of the Exchange Act), will be restricted from seeking redemption rights with respect to more than an aggregate of 15% of the shares sold in our initial public offering (the “Excess Shares”). Such restriction s</w:t>
      </w:r>
      <w:r>
        <w:rPr>
          <w:sz w:val="20"/>
          <w:szCs w:val="20"/>
        </w:rPr>
        <w:t>hall also be applicable to our affiliates. We believe this restriction will discourage stockholders from accumulating large blocks of shares, and subsequent attempts by such holders to use their ability to exercise their redemption rights against a propose</w:t>
      </w:r>
      <w:r>
        <w:rPr>
          <w:sz w:val="20"/>
          <w:szCs w:val="20"/>
        </w:rPr>
        <w:t>d initial business combination as a means to force us or our management to purchase their shares at a significant premium to the then-current market price or on other undesirable terms. Absent this provision, a public stockholder holding more than an aggre</w:t>
      </w:r>
      <w:r>
        <w:rPr>
          <w:sz w:val="20"/>
          <w:szCs w:val="20"/>
        </w:rPr>
        <w:t>gate of 15% of the shares sold in our initial public offering could threaten to exercise its redemption rights if such holder’s shares are not purchased by us or our management at a premium to the then-current market price or on other undesirable terms. By</w:t>
      </w:r>
      <w:r>
        <w:rPr>
          <w:sz w:val="20"/>
          <w:szCs w:val="20"/>
        </w:rPr>
        <w:t xml:space="preserve"> limiting our stockholders’ ability to redeem no more than 15% of the shares sold in our initial public offering without our prior consent, we believe we will limit the ability of a small group of stockholders to unreasonably attempt to block our ability t</w:t>
      </w:r>
      <w:r>
        <w:rPr>
          <w:sz w:val="20"/>
          <w:szCs w:val="20"/>
        </w:rPr>
        <w:t>o complete our initial business combination, particularly in connection with an initial business combination with a target that requires as a closing condition that we have a minimum net worth or a certain amount of cash. However, we would not be restricti</w:t>
      </w:r>
      <w:r>
        <w:rPr>
          <w:sz w:val="20"/>
          <w:szCs w:val="20"/>
        </w:rPr>
        <w:t>ng our stockholders’ ability to vote all of their shares (including Excess Shares) for or against our initial business combination.</w:t>
      </w:r>
    </w:p>
    <w:p w14:paraId="51EA34FD" w14:textId="77777777" w:rsidR="00000000" w:rsidRDefault="00087966">
      <w:pPr>
        <w:pStyle w:val="a3"/>
        <w:spacing w:before="0" w:beforeAutospacing="0" w:after="0" w:afterAutospacing="0"/>
        <w:jc w:val="both"/>
        <w:divId w:val="1595479706"/>
        <w:rPr>
          <w:sz w:val="20"/>
          <w:szCs w:val="20"/>
        </w:rPr>
      </w:pPr>
      <w:r>
        <w:rPr>
          <w:sz w:val="20"/>
          <w:szCs w:val="20"/>
        </w:rPr>
        <w:t> </w:t>
      </w:r>
    </w:p>
    <w:p w14:paraId="20FFBCA8" w14:textId="77777777" w:rsidR="00000000" w:rsidRDefault="00087966">
      <w:pPr>
        <w:pStyle w:val="a3"/>
        <w:spacing w:before="0" w:beforeAutospacing="0" w:after="0" w:afterAutospacing="0"/>
        <w:jc w:val="center"/>
        <w:divId w:val="266542331"/>
        <w:rPr>
          <w:sz w:val="20"/>
          <w:szCs w:val="20"/>
        </w:rPr>
      </w:pPr>
      <w:r>
        <w:rPr>
          <w:sz w:val="20"/>
          <w:szCs w:val="20"/>
        </w:rPr>
        <w:t>2</w:t>
      </w:r>
      <w:r>
        <w:rPr>
          <w:sz w:val="20"/>
          <w:szCs w:val="20"/>
        </w:rPr>
        <w:t>4</w:t>
      </w:r>
    </w:p>
    <w:p w14:paraId="0DF53E58" w14:textId="77777777" w:rsidR="00000000" w:rsidRDefault="00087966">
      <w:pPr>
        <w:pStyle w:val="a3"/>
        <w:spacing w:before="0" w:beforeAutospacing="0" w:after="0" w:afterAutospacing="0"/>
        <w:divId w:val="1587424938"/>
        <w:rPr>
          <w:sz w:val="20"/>
          <w:szCs w:val="20"/>
        </w:rPr>
      </w:pPr>
      <w:r>
        <w:rPr>
          <w:sz w:val="20"/>
          <w:szCs w:val="20"/>
        </w:rPr>
        <w:t> </w:t>
      </w:r>
    </w:p>
    <w:p w14:paraId="14656A1F" w14:textId="77777777" w:rsidR="00000000" w:rsidRDefault="00087966">
      <w:pPr>
        <w:pStyle w:val="a3"/>
        <w:spacing w:before="0" w:beforeAutospacing="0" w:after="0" w:afterAutospacing="0"/>
        <w:jc w:val="both"/>
        <w:divId w:val="1595479706"/>
        <w:rPr>
          <w:sz w:val="20"/>
          <w:szCs w:val="20"/>
        </w:rPr>
      </w:pPr>
      <w:r>
        <w:rPr>
          <w:sz w:val="20"/>
          <w:szCs w:val="20"/>
        </w:rPr>
        <w:t> </w:t>
      </w:r>
    </w:p>
    <w:p w14:paraId="11A4EAED" w14:textId="77777777" w:rsidR="00000000" w:rsidRDefault="00087966">
      <w:pPr>
        <w:pStyle w:val="a3"/>
        <w:spacing w:before="0" w:beforeAutospacing="0" w:after="0" w:afterAutospacing="0"/>
        <w:jc w:val="both"/>
        <w:divId w:val="1595479706"/>
        <w:rPr>
          <w:sz w:val="20"/>
          <w:szCs w:val="20"/>
        </w:rPr>
      </w:pPr>
      <w:r>
        <w:rPr>
          <w:b/>
          <w:bCs/>
          <w:sz w:val="20"/>
          <w:szCs w:val="20"/>
        </w:rPr>
        <w:t xml:space="preserve">Delivering Stock Certificates in Connection </w:t>
      </w:r>
      <w:r>
        <w:rPr>
          <w:b/>
          <w:bCs/>
          <w:sz w:val="20"/>
          <w:szCs w:val="20"/>
        </w:rPr>
        <w:t>with the Exercise of Redemption Rights</w:t>
      </w:r>
    </w:p>
    <w:p w14:paraId="7ED53A6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52E2CA7" w14:textId="77777777" w:rsidR="00000000" w:rsidRDefault="00087966">
      <w:pPr>
        <w:pStyle w:val="a3"/>
        <w:spacing w:before="0" w:beforeAutospacing="0" w:after="0" w:afterAutospacing="0"/>
        <w:ind w:firstLine="720"/>
        <w:jc w:val="both"/>
        <w:divId w:val="1595479706"/>
        <w:rPr>
          <w:sz w:val="20"/>
          <w:szCs w:val="20"/>
        </w:rPr>
      </w:pPr>
      <w:r>
        <w:rPr>
          <w:sz w:val="20"/>
          <w:szCs w:val="20"/>
        </w:rPr>
        <w:t>As described above, we intend to require our public stockholders seeking to exercise their redemption rights, whether they are record holders or hold their shares in “street name,” to, at the holder’s option, either</w:t>
      </w:r>
      <w:r>
        <w:rPr>
          <w:sz w:val="20"/>
          <w:szCs w:val="20"/>
        </w:rPr>
        <w:t xml:space="preserve"> deliver their stock certificates to our transfer agent or deliver their shares to our transfer agent electronically using the DWAC system, prior to the date set forth in the proxy materials or tender offer documents, as applicable. In the case of proxy ma</w:t>
      </w:r>
      <w:r>
        <w:rPr>
          <w:sz w:val="20"/>
          <w:szCs w:val="20"/>
        </w:rPr>
        <w:t>terials, this date may be up to two business days prior to the vote on the proposal to approve the initial business combination. In addition, if we conduct redemptions in connection with a stockholder vote, we intend to require a public stockholder seeking</w:t>
      </w:r>
      <w:r>
        <w:rPr>
          <w:sz w:val="20"/>
          <w:szCs w:val="20"/>
        </w:rPr>
        <w:t xml:space="preserve"> redemption of its public shares to also submit a written request for redemption to our transfer agent two business days prior to the vote in which the name of the beneficial owner of such shares is included. The proxy materials or tender offer documents, </w:t>
      </w:r>
      <w:r>
        <w:rPr>
          <w:sz w:val="20"/>
          <w:szCs w:val="20"/>
        </w:rPr>
        <w:t>as applicable, that we will furnish to holders of our public shares in connection with our initial business combination will indicate whether we are requiring public stockholders to satisfy such delivery requirements. Accordingly, a public stockholder woul</w:t>
      </w:r>
      <w:r>
        <w:rPr>
          <w:sz w:val="20"/>
          <w:szCs w:val="20"/>
        </w:rPr>
        <w:t>d have up to two business days prior to the vote on the initial business combination if we distribute proxy materials, or from the time we send out our tender offer materials until the close of the tender offer period, as applicable, to submit or tender it</w:t>
      </w:r>
      <w:r>
        <w:rPr>
          <w:sz w:val="20"/>
          <w:szCs w:val="20"/>
        </w:rPr>
        <w:t>s shares if it wishes to seek to exercise its redemption rights. In the event that a stockholder fails to comply with these or any other procedures disclosed in the proxy or tender offer materials, as applicable, its shares may not be redeemed. Given the r</w:t>
      </w:r>
      <w:r>
        <w:rPr>
          <w:sz w:val="20"/>
          <w:szCs w:val="20"/>
        </w:rPr>
        <w:t>elatively short exercise period, it is advisable for stockholders to use electronic delivery of their public shares.</w:t>
      </w:r>
    </w:p>
    <w:p w14:paraId="6773D52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1C58592" w14:textId="77777777" w:rsidR="00000000" w:rsidRDefault="00087966">
      <w:pPr>
        <w:pStyle w:val="a3"/>
        <w:spacing w:before="0" w:beforeAutospacing="0" w:after="0" w:afterAutospacing="0"/>
        <w:ind w:firstLine="720"/>
        <w:jc w:val="both"/>
        <w:divId w:val="1595479706"/>
        <w:rPr>
          <w:sz w:val="20"/>
          <w:szCs w:val="20"/>
        </w:rPr>
      </w:pPr>
      <w:r>
        <w:rPr>
          <w:sz w:val="20"/>
          <w:szCs w:val="20"/>
        </w:rPr>
        <w:t>There is a nominal cost associated with the above-referenced process and the act of certificating the shares or delivering them through t</w:t>
      </w:r>
      <w:r>
        <w:rPr>
          <w:sz w:val="20"/>
          <w:szCs w:val="20"/>
        </w:rPr>
        <w:t>he DWAC System. The transfer agent will typically charge the broker submitting or tendering shares a fee and it would be up to the broker whether or not to pass this cost on to the redeeming holder. However, this fee would be incurred regardless of whether</w:t>
      </w:r>
      <w:r>
        <w:rPr>
          <w:sz w:val="20"/>
          <w:szCs w:val="20"/>
        </w:rPr>
        <w:t xml:space="preserve"> or not we require holders seeking to exercise redemption rights to submit or tender their shares. The need to deliver shares is a requirement of exercising redemption rights regardless of the timing of when such delivery must be effectuated.</w:t>
      </w:r>
    </w:p>
    <w:p w14:paraId="71A21FA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3A56644" w14:textId="77777777" w:rsidR="00000000" w:rsidRDefault="00087966">
      <w:pPr>
        <w:pStyle w:val="a3"/>
        <w:spacing w:before="0" w:beforeAutospacing="0" w:after="0" w:afterAutospacing="0"/>
        <w:ind w:firstLine="720"/>
        <w:jc w:val="both"/>
        <w:divId w:val="1595479706"/>
        <w:rPr>
          <w:sz w:val="20"/>
          <w:szCs w:val="20"/>
        </w:rPr>
      </w:pPr>
      <w:r>
        <w:rPr>
          <w:sz w:val="20"/>
          <w:szCs w:val="20"/>
        </w:rPr>
        <w:t>Any request</w:t>
      </w:r>
      <w:r>
        <w:rPr>
          <w:sz w:val="20"/>
          <w:szCs w:val="20"/>
        </w:rPr>
        <w:t xml:space="preserve"> to redeem such shares, once made, may be withdrawn at any time up to the date set forth in the proxy materials or tender offer documents, as applicable. Furthermore, if a holder of a public share delivered its certificate in connection with an election of</w:t>
      </w:r>
      <w:r>
        <w:rPr>
          <w:sz w:val="20"/>
          <w:szCs w:val="20"/>
        </w:rPr>
        <w:t xml:space="preserve"> redemption rights and subsequently decides prior to the applicable date not to elect to exercise such rights, such holder may simply request that the transfer agent return the certificate (physically or electronically). It is anticipated that the funds to</w:t>
      </w:r>
      <w:r>
        <w:rPr>
          <w:sz w:val="20"/>
          <w:szCs w:val="20"/>
        </w:rPr>
        <w:t xml:space="preserve"> be distributed to holders of our public shares electing to redeem their shares will be distributed promptly after the completion of our initial business combination.</w:t>
      </w:r>
    </w:p>
    <w:p w14:paraId="2B5130D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4CAB457" w14:textId="77777777" w:rsidR="00000000" w:rsidRDefault="00087966">
      <w:pPr>
        <w:pStyle w:val="a3"/>
        <w:spacing w:before="0" w:beforeAutospacing="0" w:after="0" w:afterAutospacing="0"/>
        <w:ind w:firstLine="720"/>
        <w:jc w:val="both"/>
        <w:divId w:val="1595479706"/>
        <w:rPr>
          <w:sz w:val="20"/>
          <w:szCs w:val="20"/>
        </w:rPr>
      </w:pPr>
      <w:r>
        <w:rPr>
          <w:sz w:val="20"/>
          <w:szCs w:val="20"/>
        </w:rPr>
        <w:t>If our initial business combination is not approved or completed for any reason, then o</w:t>
      </w:r>
      <w:r>
        <w:rPr>
          <w:sz w:val="20"/>
          <w:szCs w:val="20"/>
        </w:rPr>
        <w:t>ur public stockholders who elected to exercise their redemption rights would not be entitled to redeem their shares for the applicable pro rata share of the trust account. In such case, we will promptly return any certificates delivered by public holders w</w:t>
      </w:r>
      <w:r>
        <w:rPr>
          <w:sz w:val="20"/>
          <w:szCs w:val="20"/>
        </w:rPr>
        <w:t>ho elected to redeem their shares.</w:t>
      </w:r>
    </w:p>
    <w:p w14:paraId="4F75557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35C39E6" w14:textId="77777777" w:rsidR="00000000" w:rsidRDefault="00087966">
      <w:pPr>
        <w:pStyle w:val="a3"/>
        <w:spacing w:before="0" w:beforeAutospacing="0" w:after="0" w:afterAutospacing="0"/>
        <w:ind w:firstLine="720"/>
        <w:jc w:val="both"/>
        <w:divId w:val="1595479706"/>
        <w:rPr>
          <w:sz w:val="20"/>
          <w:szCs w:val="20"/>
        </w:rPr>
      </w:pPr>
      <w:r>
        <w:rPr>
          <w:sz w:val="20"/>
          <w:szCs w:val="20"/>
        </w:rPr>
        <w:t>If the Near Business Combination is not completed, we may continue to try to complete an initial business combination with a different target by April 11, 2023, or a later date if we decide to extend the Combination Per</w:t>
      </w:r>
      <w:r>
        <w:rPr>
          <w:sz w:val="20"/>
          <w:szCs w:val="20"/>
        </w:rPr>
        <w:t>iod.</w:t>
      </w:r>
    </w:p>
    <w:p w14:paraId="642628EF" w14:textId="77777777" w:rsidR="00000000" w:rsidRDefault="00087966">
      <w:pPr>
        <w:pStyle w:val="a3"/>
        <w:spacing w:before="0" w:beforeAutospacing="0" w:after="0" w:afterAutospacing="0"/>
        <w:jc w:val="both"/>
        <w:divId w:val="1595479706"/>
        <w:rPr>
          <w:sz w:val="20"/>
          <w:szCs w:val="20"/>
        </w:rPr>
      </w:pPr>
      <w:r>
        <w:rPr>
          <w:sz w:val="20"/>
          <w:szCs w:val="20"/>
        </w:rPr>
        <w:t> </w:t>
      </w:r>
    </w:p>
    <w:p w14:paraId="26FD46BF" w14:textId="77777777" w:rsidR="00000000" w:rsidRDefault="00087966">
      <w:pPr>
        <w:pStyle w:val="a3"/>
        <w:spacing w:before="0" w:beforeAutospacing="0" w:after="0" w:afterAutospacing="0"/>
        <w:jc w:val="both"/>
        <w:divId w:val="1595479706"/>
        <w:rPr>
          <w:sz w:val="20"/>
          <w:szCs w:val="20"/>
        </w:rPr>
      </w:pPr>
      <w:r>
        <w:rPr>
          <w:b/>
          <w:bCs/>
          <w:sz w:val="20"/>
          <w:szCs w:val="20"/>
        </w:rPr>
        <w:t>Redemption of Public Shares and Liquidation if no Initial Business Combination</w:t>
      </w:r>
    </w:p>
    <w:p w14:paraId="5D8FD2C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195B10C" w14:textId="77777777" w:rsidR="00000000" w:rsidRDefault="00087966">
      <w:pPr>
        <w:pStyle w:val="a3"/>
        <w:spacing w:before="0" w:beforeAutospacing="0" w:after="0" w:afterAutospacing="0"/>
        <w:ind w:firstLine="720"/>
        <w:jc w:val="both"/>
        <w:divId w:val="1595479706"/>
        <w:rPr>
          <w:sz w:val="20"/>
          <w:szCs w:val="20"/>
        </w:rPr>
      </w:pPr>
      <w:r>
        <w:rPr>
          <w:sz w:val="20"/>
          <w:szCs w:val="20"/>
        </w:rPr>
        <w:t>Our amended and restated certificate of incorporation provides that we will have only until April 11, 2023 to complete our initial business combination. If we are unabl</w:t>
      </w:r>
      <w:r>
        <w:rPr>
          <w:sz w:val="20"/>
          <w:szCs w:val="20"/>
        </w:rPr>
        <w:t>e to complete our initial business combination within the Combination Period, we will: (i) cease all operations except for the purpose of winding up, (ii) as promptly as reasonably possible but not more than 10 business days thereafter, redeem the public s</w:t>
      </w:r>
      <w:r>
        <w:rPr>
          <w:sz w:val="20"/>
          <w:szCs w:val="20"/>
        </w:rPr>
        <w:t>hares, at a per-share price, payable in cash, equal to the aggregate amount then on deposit in the trust account including interest earned on the funds held in the trust account and not previously released to us to pay our taxes (less up to $100,000 of int</w:t>
      </w:r>
      <w:r>
        <w:rPr>
          <w:sz w:val="20"/>
          <w:szCs w:val="20"/>
        </w:rPr>
        <w:t>erest to pay dissolution expenses), divided by the number of then outstanding public shares, which redemption will completely extinguish public stockholders’ rights as stockholders (including the right to receive further liquidating distributions, if any),</w:t>
      </w:r>
      <w:r>
        <w:rPr>
          <w:sz w:val="20"/>
          <w:szCs w:val="20"/>
        </w:rPr>
        <w:t xml:space="preserve"> and (iii) as promptly as reasonably possible following such redemption, subject to the approval of our remaining stockholders and our board of directors, liquidate and dissolve, subject in each case to our obligations under Delaware law to provide for cla</w:t>
      </w:r>
      <w:r>
        <w:rPr>
          <w:sz w:val="20"/>
          <w:szCs w:val="20"/>
        </w:rPr>
        <w:t>ims of creditors and the requirements of other applicable law. There will be no redemption rights or liquidating distributions with respect to our warrants, which will expire worthless if we fail to complete our initial business combination within the Comb</w:t>
      </w:r>
      <w:r>
        <w:rPr>
          <w:sz w:val="20"/>
          <w:szCs w:val="20"/>
        </w:rPr>
        <w:t>ination Period.</w:t>
      </w:r>
    </w:p>
    <w:p w14:paraId="16B5FF4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F0E8860" w14:textId="77777777" w:rsidR="00000000" w:rsidRDefault="00087966">
      <w:pPr>
        <w:pStyle w:val="a3"/>
        <w:spacing w:before="0" w:beforeAutospacing="0" w:after="0" w:afterAutospacing="0"/>
        <w:ind w:firstLine="720"/>
        <w:jc w:val="both"/>
        <w:divId w:val="1595479706"/>
        <w:rPr>
          <w:sz w:val="20"/>
          <w:szCs w:val="20"/>
        </w:rPr>
      </w:pPr>
      <w:r>
        <w:rPr>
          <w:sz w:val="20"/>
          <w:szCs w:val="20"/>
        </w:rPr>
        <w:t>On August 16, 2022, the Inflation Reduction Act of 2022 (the “IR Act”) was signed into federal law. The IR Act provides for, among other things, a new U.S. federal 1% excise tax on certain repurchases (including redemptions) of stock by p</w:t>
      </w:r>
      <w:r>
        <w:rPr>
          <w:sz w:val="20"/>
          <w:szCs w:val="20"/>
        </w:rPr>
        <w:t>ublicly traded domestic (i.e., U.S.) corporations and certain domestic subsidiaries of publicly traded foreign corporations. The excise tax is imposed on the repurchasing corporation itself, not its stockholders from which shares are repurchased. The amoun</w:t>
      </w:r>
      <w:r>
        <w:rPr>
          <w:sz w:val="20"/>
          <w:szCs w:val="20"/>
        </w:rPr>
        <w:t>t of the excise tax is generally 1% of the fair market value of the shares repurchased at the time of the repurchase. However, for purposes of calculating the excise tax, repurchasing corporations are permitted to net the fair market value of certain new s</w:t>
      </w:r>
      <w:r>
        <w:rPr>
          <w:sz w:val="20"/>
          <w:szCs w:val="20"/>
        </w:rPr>
        <w:t>tock issuances against the fair market value of stock repurchases during the same taxable year. In addition, certain exceptions apply to the excise tax. The U.S. Department of the Treasury (the “Treasury”) has been given authority to provide regulations an</w:t>
      </w:r>
      <w:r>
        <w:rPr>
          <w:sz w:val="20"/>
          <w:szCs w:val="20"/>
        </w:rPr>
        <w:t>d other guidance to carry out and prevent the abuse or avoidance of the excise tax. The IR Act applies only to repurchases that occur after December 31, 2022.</w:t>
      </w:r>
    </w:p>
    <w:p w14:paraId="4B92BF50" w14:textId="77777777" w:rsidR="00000000" w:rsidRDefault="00087966">
      <w:pPr>
        <w:pStyle w:val="a3"/>
        <w:spacing w:before="0" w:beforeAutospacing="0" w:after="0" w:afterAutospacing="0"/>
        <w:jc w:val="both"/>
        <w:divId w:val="1595479706"/>
        <w:rPr>
          <w:sz w:val="20"/>
          <w:szCs w:val="20"/>
        </w:rPr>
      </w:pPr>
      <w:r>
        <w:rPr>
          <w:sz w:val="20"/>
          <w:szCs w:val="20"/>
        </w:rPr>
        <w:t> </w:t>
      </w:r>
    </w:p>
    <w:p w14:paraId="57C2443E" w14:textId="77777777" w:rsidR="00000000" w:rsidRDefault="00087966">
      <w:pPr>
        <w:pStyle w:val="a3"/>
        <w:spacing w:before="0" w:beforeAutospacing="0" w:after="0" w:afterAutospacing="0"/>
        <w:ind w:firstLine="720"/>
        <w:jc w:val="both"/>
        <w:divId w:val="1595479706"/>
        <w:rPr>
          <w:sz w:val="20"/>
          <w:szCs w:val="20"/>
        </w:rPr>
      </w:pPr>
      <w:r>
        <w:rPr>
          <w:sz w:val="20"/>
          <w:szCs w:val="20"/>
        </w:rPr>
        <w:t>Any redemption or other repurchase that occurs after December 31, 2022, in connection with an e</w:t>
      </w:r>
      <w:r>
        <w:rPr>
          <w:sz w:val="20"/>
          <w:szCs w:val="20"/>
        </w:rPr>
        <w:t xml:space="preserve">xtension, a business combination or otherwise, may be subject to the excise tax. Whether and to what extent we would be subject to the excise tax in connection with the Second Extension or the Near Business Combination would depend on a number of factors, </w:t>
      </w:r>
      <w:r>
        <w:rPr>
          <w:sz w:val="20"/>
          <w:szCs w:val="20"/>
        </w:rPr>
        <w:t>including (i) the fair market value of the redemptions and repurchases in connection with the Second Redemption or the Near Business Combination, (ii) the structure of the Near Business Combination, (iii) the nature and amount of any “PIPE” or other equity</w:t>
      </w:r>
      <w:r>
        <w:rPr>
          <w:sz w:val="20"/>
          <w:szCs w:val="20"/>
        </w:rPr>
        <w:t xml:space="preserve"> issuances in connection with the Near Business Combination (or otherwise issued not in connection with the Second Extension but issued within the same taxable year of the Near Business Combination) and (iv) the content of regulations and other guidance fr</w:t>
      </w:r>
      <w:r>
        <w:rPr>
          <w:sz w:val="20"/>
          <w:szCs w:val="20"/>
        </w:rPr>
        <w:t>om the Treasury. In addition, because the excise tax would be payable by us and not by the redeeming holder, the mechanics of any required payment of the excise tax have not been determined. The foregoing could cause a reduction in the cash available on ha</w:t>
      </w:r>
      <w:r>
        <w:rPr>
          <w:sz w:val="20"/>
          <w:szCs w:val="20"/>
        </w:rPr>
        <w:t>nd to complete the Near Business Combination and in our ability to complete the Near Business Combination.</w:t>
      </w:r>
    </w:p>
    <w:p w14:paraId="52C0D2B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A61A328" w14:textId="77777777" w:rsidR="00000000" w:rsidRDefault="00087966">
      <w:pPr>
        <w:pStyle w:val="a3"/>
        <w:spacing w:before="0" w:beforeAutospacing="0" w:after="0" w:afterAutospacing="0"/>
        <w:jc w:val="center"/>
        <w:divId w:val="1306548414"/>
        <w:rPr>
          <w:sz w:val="20"/>
          <w:szCs w:val="20"/>
        </w:rPr>
      </w:pPr>
      <w:r>
        <w:rPr>
          <w:sz w:val="20"/>
          <w:szCs w:val="20"/>
        </w:rPr>
        <w:t>2</w:t>
      </w:r>
      <w:r>
        <w:rPr>
          <w:sz w:val="20"/>
          <w:szCs w:val="20"/>
        </w:rPr>
        <w:t>5</w:t>
      </w:r>
    </w:p>
    <w:p w14:paraId="1EBD1119" w14:textId="77777777" w:rsidR="00000000" w:rsidRDefault="00087966">
      <w:pPr>
        <w:pStyle w:val="a3"/>
        <w:spacing w:before="0" w:beforeAutospacing="0" w:after="0" w:afterAutospacing="0"/>
        <w:divId w:val="538975275"/>
        <w:rPr>
          <w:sz w:val="20"/>
          <w:szCs w:val="20"/>
        </w:rPr>
      </w:pPr>
      <w:r>
        <w:rPr>
          <w:sz w:val="20"/>
          <w:szCs w:val="20"/>
        </w:rPr>
        <w:t> </w:t>
      </w:r>
    </w:p>
    <w:p w14:paraId="56459E3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7D344F3"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Our sponsor, officers and </w:t>
      </w:r>
      <w:r>
        <w:rPr>
          <w:sz w:val="20"/>
          <w:szCs w:val="20"/>
        </w:rPr>
        <w:t>directors have entered into a letter agreement with us, pursuant to which they have waived their rights to liquidating distributions from the trust account with respect to any founder shares held by them if we fail to complete our initial business combinat</w:t>
      </w:r>
      <w:r>
        <w:rPr>
          <w:sz w:val="20"/>
          <w:szCs w:val="20"/>
        </w:rPr>
        <w:t>ion within the Combination Period. However, if our sponsor, officers or directors acquire public shares, they will be entitled to liquidating distributions from the trust account with respect to such public shares if we fail to complete our initial busines</w:t>
      </w:r>
      <w:r>
        <w:rPr>
          <w:sz w:val="20"/>
          <w:szCs w:val="20"/>
        </w:rPr>
        <w:t>s combination within the Combination Period.</w:t>
      </w:r>
    </w:p>
    <w:p w14:paraId="0F08F51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5B06DBE" w14:textId="77777777" w:rsidR="00000000" w:rsidRDefault="00087966">
      <w:pPr>
        <w:pStyle w:val="a3"/>
        <w:spacing w:before="0" w:beforeAutospacing="0" w:after="0" w:afterAutospacing="0"/>
        <w:ind w:firstLine="720"/>
        <w:jc w:val="both"/>
        <w:divId w:val="1595479706"/>
        <w:rPr>
          <w:sz w:val="20"/>
          <w:szCs w:val="20"/>
        </w:rPr>
      </w:pPr>
      <w:r>
        <w:rPr>
          <w:sz w:val="20"/>
          <w:szCs w:val="20"/>
        </w:rPr>
        <w:t>Our sponsor, officers and directors have agreed, pursuant to a written agreement with us, that they will not propose any amendment to our amended and restated certificate of incorporation to (A) modify the sub</w:t>
      </w:r>
      <w:r>
        <w:rPr>
          <w:sz w:val="20"/>
          <w:szCs w:val="20"/>
        </w:rPr>
        <w:t>stance or timing of our obligation to provide for the redemption of our public shares in connection with an initial business combination or to redeem 100% of our public shares if we do not complete our initial business combination within the Combination Pe</w:t>
      </w:r>
      <w:r>
        <w:rPr>
          <w:sz w:val="20"/>
          <w:szCs w:val="20"/>
        </w:rPr>
        <w:t>riod or (B) with respect to any other provisions relating to stockholders’ rights or pre-initial business combination activity, unless we provide our public stockholders with the opportunity to redeem their shares of Class A common stock upon approval of a</w:t>
      </w:r>
      <w:r>
        <w:rPr>
          <w:sz w:val="20"/>
          <w:szCs w:val="20"/>
        </w:rPr>
        <w:t xml:space="preserve">ny such amendment at a per-share price, payable in cash, equal to the aggregate amount then on deposit in the trust account including interest earned on the funds held in the trust account and not previously released to us to pay our taxes, divided by the </w:t>
      </w:r>
      <w:r>
        <w:rPr>
          <w:sz w:val="20"/>
          <w:szCs w:val="20"/>
        </w:rPr>
        <w:t>number of then outstanding public shares. However, we will only redeem our public shares so long as (after such redemption) our net tangible assets will be at least $5,000,001 either immediately prior to or upon consummation of our initial business combina</w:t>
      </w:r>
      <w:r>
        <w:rPr>
          <w:sz w:val="20"/>
          <w:szCs w:val="20"/>
        </w:rPr>
        <w:t>tion and after payment of deferred underwriter’s fees and commissions (so that we are not subject to the SEC’s “penny stock” rules). If this optional redemption right is exercised with respect to an excessive number of public shares such that we cannot sat</w:t>
      </w:r>
      <w:r>
        <w:rPr>
          <w:sz w:val="20"/>
          <w:szCs w:val="20"/>
        </w:rPr>
        <w:t>isfy the net tangible asset requirement (described above), we would not proceed with the amendment or the related redemption of our public shares at such time.</w:t>
      </w:r>
    </w:p>
    <w:p w14:paraId="3C6EF6C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7FEFC14" w14:textId="77777777" w:rsidR="00000000" w:rsidRDefault="00087966">
      <w:pPr>
        <w:pStyle w:val="a3"/>
        <w:spacing w:before="0" w:beforeAutospacing="0" w:after="0" w:afterAutospacing="0"/>
        <w:ind w:firstLine="720"/>
        <w:jc w:val="both"/>
        <w:divId w:val="1595479706"/>
        <w:rPr>
          <w:sz w:val="20"/>
          <w:szCs w:val="20"/>
        </w:rPr>
      </w:pPr>
      <w:r>
        <w:rPr>
          <w:sz w:val="20"/>
          <w:szCs w:val="20"/>
        </w:rPr>
        <w:t>We expect to use the amounts held outside the trust account ($101,161 as of December 31, 2022)</w:t>
      </w:r>
      <w:r>
        <w:rPr>
          <w:sz w:val="20"/>
          <w:szCs w:val="20"/>
        </w:rPr>
        <w:t xml:space="preserve"> to pay for all costs and expenses associated with implementing our plan of dissolution, as well as payments to any creditors, if we do not complete an initial business combination within the Combination Period although we cannot assure you that there will</w:t>
      </w:r>
      <w:r>
        <w:rPr>
          <w:sz w:val="20"/>
          <w:szCs w:val="20"/>
        </w:rPr>
        <w:t xml:space="preserve"> be sufficient funds for such purpose. We will depend on sufficient interest being earned on the proceeds held in the trust account to pay any tax obligations we may owe. However, if those funds are not sufficient to cover the costs and expenses associated</w:t>
      </w:r>
      <w:r>
        <w:rPr>
          <w:sz w:val="20"/>
          <w:szCs w:val="20"/>
        </w:rPr>
        <w:t xml:space="preserve"> with implementing our plan of dissolution, to the extent that there is any interest accrued in the trust account not required to pay taxes on interest income earned on the trust account balance, we may request the trustee to release to us an additional am</w:t>
      </w:r>
      <w:r>
        <w:rPr>
          <w:sz w:val="20"/>
          <w:szCs w:val="20"/>
        </w:rPr>
        <w:t>ount of up to $100,000 of such accrued interest to pay those costs and expenses.</w:t>
      </w:r>
    </w:p>
    <w:p w14:paraId="5C194A6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1493C85" w14:textId="77777777" w:rsidR="00000000" w:rsidRDefault="00087966">
      <w:pPr>
        <w:pStyle w:val="a3"/>
        <w:spacing w:before="0" w:beforeAutospacing="0" w:after="0" w:afterAutospacing="0"/>
        <w:ind w:firstLine="720"/>
        <w:jc w:val="both"/>
        <w:divId w:val="1595479706"/>
        <w:rPr>
          <w:sz w:val="20"/>
          <w:szCs w:val="20"/>
        </w:rPr>
      </w:pPr>
      <w:r>
        <w:rPr>
          <w:sz w:val="20"/>
          <w:szCs w:val="20"/>
        </w:rPr>
        <w:t>If we were to expend all of the net proceeds of our initial public offering and the sale of the private placement warrants, other than the proceeds deposited in the trust ac</w:t>
      </w:r>
      <w:r>
        <w:rPr>
          <w:sz w:val="20"/>
          <w:szCs w:val="20"/>
        </w:rPr>
        <w:t>count, and without taking into account interest, if any, earned on the trust account, the per-share redemption amount received by stockholders upon our dissolution would be approximately $10.00. The proceeds deposited in the trust account could, however, b</w:t>
      </w:r>
      <w:r>
        <w:rPr>
          <w:sz w:val="20"/>
          <w:szCs w:val="20"/>
        </w:rPr>
        <w:t xml:space="preserve">ecome subject to the claims of our creditors which would have higher priority than the claims of our public stockholders. We cannot assure you that the actual per-share redemption amount received by stockholders will not be substantially less than $10.00. </w:t>
      </w:r>
      <w:r>
        <w:rPr>
          <w:sz w:val="20"/>
          <w:szCs w:val="20"/>
        </w:rPr>
        <w:t xml:space="preserve">Under Section 281(b) of the DGCL, our plan of dissolution must provide for all claims against us to be paid in full or make provision for payments to be made in full, as applicable, if there are sufficient assets. These claims must be paid or provided for </w:t>
      </w:r>
      <w:r>
        <w:rPr>
          <w:sz w:val="20"/>
          <w:szCs w:val="20"/>
        </w:rPr>
        <w:t>before we make any distribution of our remaining assets to our stockholders. While we intend to pay such amounts, if any, we cannot assure you that we will have funds sufficient to pay or provide for all creditors’ claims.</w:t>
      </w:r>
    </w:p>
    <w:p w14:paraId="01A39D0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CCAC4F0" w14:textId="77777777" w:rsidR="00000000" w:rsidRDefault="00087966">
      <w:pPr>
        <w:pStyle w:val="a3"/>
        <w:spacing w:before="0" w:beforeAutospacing="0" w:after="0" w:afterAutospacing="0"/>
        <w:ind w:firstLine="720"/>
        <w:jc w:val="both"/>
        <w:divId w:val="1595479706"/>
        <w:rPr>
          <w:sz w:val="20"/>
          <w:szCs w:val="20"/>
        </w:rPr>
      </w:pPr>
      <w:r>
        <w:rPr>
          <w:sz w:val="20"/>
          <w:szCs w:val="20"/>
        </w:rPr>
        <w:t>Although we seek to have all ve</w:t>
      </w:r>
      <w:r>
        <w:rPr>
          <w:sz w:val="20"/>
          <w:szCs w:val="20"/>
        </w:rPr>
        <w:t>ndors, service providers, prospective target businesses and other entities with which we do business execute agreements with us waiving any right, title, interest or claim of any kind in or to any monies held in the trust account for the benefit of our pub</w:t>
      </w:r>
      <w:r>
        <w:rPr>
          <w:sz w:val="20"/>
          <w:szCs w:val="20"/>
        </w:rPr>
        <w:t>lic stockholders, such parties may not execute such agreements or even if they execute such agreements, they may not be prevented from bringing claims against the trust account, including, but not limited to, fraudulent inducement, breach of fiduciary resp</w:t>
      </w:r>
      <w:r>
        <w:rPr>
          <w:sz w:val="20"/>
          <w:szCs w:val="20"/>
        </w:rPr>
        <w:t>onsibility or other similar claims, as well as claims challenging the enforceability of the waiver, in each case in order to gain advantage with respect to a claim against our assets, including the funds held in the trust account. If any third party refuse</w:t>
      </w:r>
      <w:r>
        <w:rPr>
          <w:sz w:val="20"/>
          <w:szCs w:val="20"/>
        </w:rPr>
        <w:t xml:space="preserve">s to enter into an agreement waiving such claims to the monies held in the trust account, our management will consider whether competitive alternatives are reasonably available to the Company, and will only enter into an agreement with such third party if </w:t>
      </w:r>
      <w:r>
        <w:rPr>
          <w:sz w:val="20"/>
          <w:szCs w:val="20"/>
        </w:rPr>
        <w:t xml:space="preserve">our management believes that such third party’s engagement would be in the best interests of the Company under the circumstances. Examples of possible instances where we may engage a third party that refuses to execute a waiver include the engagement of a </w:t>
      </w:r>
      <w:r>
        <w:rPr>
          <w:sz w:val="20"/>
          <w:szCs w:val="20"/>
        </w:rPr>
        <w:t>third-party consultant whose particular expertise or skills are believed by management to be significantly superior to those of other consultants that would agree to execute a waiver or in cases where management is unable to find a service provider willing</w:t>
      </w:r>
      <w:r>
        <w:rPr>
          <w:sz w:val="20"/>
          <w:szCs w:val="20"/>
        </w:rPr>
        <w:t xml:space="preserve"> to execute a waiver. Marcum and the underwriters of our initial public offering will not execute agreements with us waiving such claims to the monies held in the trust account.</w:t>
      </w:r>
    </w:p>
    <w:p w14:paraId="09F2376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C4363EC" w14:textId="77777777" w:rsidR="00000000" w:rsidRDefault="00087966">
      <w:pPr>
        <w:pStyle w:val="a3"/>
        <w:spacing w:before="0" w:beforeAutospacing="0" w:after="0" w:afterAutospacing="0"/>
        <w:jc w:val="center"/>
        <w:divId w:val="942347023"/>
        <w:rPr>
          <w:sz w:val="20"/>
          <w:szCs w:val="20"/>
        </w:rPr>
      </w:pPr>
      <w:r>
        <w:rPr>
          <w:sz w:val="20"/>
          <w:szCs w:val="20"/>
        </w:rPr>
        <w:t>2</w:t>
      </w:r>
      <w:r>
        <w:rPr>
          <w:sz w:val="20"/>
          <w:szCs w:val="20"/>
        </w:rPr>
        <w:t>6</w:t>
      </w:r>
    </w:p>
    <w:p w14:paraId="305D2CDA" w14:textId="77777777" w:rsidR="00000000" w:rsidRDefault="00087966">
      <w:pPr>
        <w:pStyle w:val="a3"/>
        <w:spacing w:before="0" w:beforeAutospacing="0" w:after="0" w:afterAutospacing="0"/>
        <w:divId w:val="972977086"/>
        <w:rPr>
          <w:sz w:val="20"/>
          <w:szCs w:val="20"/>
        </w:rPr>
      </w:pPr>
      <w:r>
        <w:rPr>
          <w:sz w:val="20"/>
          <w:szCs w:val="20"/>
        </w:rPr>
        <w:t> </w:t>
      </w:r>
    </w:p>
    <w:p w14:paraId="018E720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0BA21CE" w14:textId="77777777" w:rsidR="00000000" w:rsidRDefault="00087966">
      <w:pPr>
        <w:pStyle w:val="a3"/>
        <w:spacing w:before="0" w:beforeAutospacing="0" w:after="0" w:afterAutospacing="0"/>
        <w:ind w:firstLine="720"/>
        <w:jc w:val="both"/>
        <w:divId w:val="1595479706"/>
        <w:rPr>
          <w:sz w:val="20"/>
          <w:szCs w:val="20"/>
        </w:rPr>
      </w:pPr>
      <w:r>
        <w:rPr>
          <w:sz w:val="20"/>
          <w:szCs w:val="20"/>
        </w:rPr>
        <w:t>In addition, there is no guarantee that such entities will agree to w</w:t>
      </w:r>
      <w:r>
        <w:rPr>
          <w:sz w:val="20"/>
          <w:szCs w:val="20"/>
        </w:rPr>
        <w:t xml:space="preserve">aive any claims they may have in the future as a result of, or arising out of, any negotiations, contracts or agreements with us and will not seek recourse against the trust account for any reason. Upon redemption of our public shares, if we are unable to </w:t>
      </w:r>
      <w:r>
        <w:rPr>
          <w:sz w:val="20"/>
          <w:szCs w:val="20"/>
        </w:rPr>
        <w:t>complete our initial business combination within the prescribed timeframe, or upon the exercise of a redemption right in connection with our initial business combination, we will be required to provide for payment of claims of creditors that were not waive</w:t>
      </w:r>
      <w:r>
        <w:rPr>
          <w:sz w:val="20"/>
          <w:szCs w:val="20"/>
        </w:rPr>
        <w:t>d that may be brought against us within the 10 years following redemption. Accordingly, the per-share redemption amount received by public stockholders could be less than the $10.47 per share held in the trust account as of March 14, 2023, due to claims of</w:t>
      </w:r>
      <w:r>
        <w:rPr>
          <w:sz w:val="20"/>
          <w:szCs w:val="20"/>
        </w:rPr>
        <w:t xml:space="preserve"> such creditors. Pursuant to the letter agreement, our sponsor agreed that it will be liable to us if and to the extent any claims by a third party for services rendered or products sold to us, or a prospective target business with which we have entered in</w:t>
      </w:r>
      <w:r>
        <w:rPr>
          <w:sz w:val="20"/>
          <w:szCs w:val="20"/>
        </w:rPr>
        <w:t>to a written letter of intent, confidentiality or similar agreement or business combination agreement, reduce the amount of funds in the trust account to below the lesser of (i) $10.00 per public share and (ii) the actual amount per public share held in th</w:t>
      </w:r>
      <w:r>
        <w:rPr>
          <w:sz w:val="20"/>
          <w:szCs w:val="20"/>
        </w:rPr>
        <w:t>e trust account as of the date of the liquidation of the trust account, if less than $10.00 per share due to reductions in the value of the trust assets, less taxes payable; provided that such liability will not apply to any claims by a third party or pros</w:t>
      </w:r>
      <w:r>
        <w:rPr>
          <w:sz w:val="20"/>
          <w:szCs w:val="20"/>
        </w:rPr>
        <w:t>pective target business who executed a waiver of any and all rights to the monies held in the trust account (whether or not such waiver is enforceable) nor will it apply to any claims under our indemnity of the underwriters of our initial public offering a</w:t>
      </w:r>
      <w:r>
        <w:rPr>
          <w:sz w:val="20"/>
          <w:szCs w:val="20"/>
        </w:rPr>
        <w:t>gainst certain liabilities, including liabilities under the Securities Act. However, we have not asked our sponsor to reserve for such indemnification obligations, nor have we independently verified whether our sponsor has sufficient funds to satisfy their</w:t>
      </w:r>
      <w:r>
        <w:rPr>
          <w:sz w:val="20"/>
          <w:szCs w:val="20"/>
        </w:rPr>
        <w:t xml:space="preserve"> indemnity obligations, and believe that our sponsor’s only assets are securities of our company. Therefore, we cannot assure you that our sponsor would be able to satisfy those obligations. As a result, if any such claims were successfully made against th</w:t>
      </w:r>
      <w:r>
        <w:rPr>
          <w:sz w:val="20"/>
          <w:szCs w:val="20"/>
        </w:rPr>
        <w:t>e trust account, the funds available for our initial business combination and redemptions could be reduced to less than $10.00 per public share. In such event, we may not be able to complete our initial business combination, and you would receive such less</w:t>
      </w:r>
      <w:r>
        <w:rPr>
          <w:sz w:val="20"/>
          <w:szCs w:val="20"/>
        </w:rPr>
        <w:t>er amount per share in connection with any redemption of your public shares. None of our officers or directors will indemnify us for claims by third parties, including, without limitation, claims by vendors and prospective target businesses.</w:t>
      </w:r>
    </w:p>
    <w:p w14:paraId="0FAFC7D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5912BAF" w14:textId="77777777" w:rsidR="00000000" w:rsidRDefault="00087966">
      <w:pPr>
        <w:pStyle w:val="a3"/>
        <w:spacing w:before="0" w:beforeAutospacing="0" w:after="0" w:afterAutospacing="0"/>
        <w:ind w:firstLine="720"/>
        <w:jc w:val="both"/>
        <w:divId w:val="1595479706"/>
        <w:rPr>
          <w:sz w:val="20"/>
          <w:szCs w:val="20"/>
        </w:rPr>
      </w:pPr>
      <w:r>
        <w:rPr>
          <w:sz w:val="20"/>
          <w:szCs w:val="20"/>
        </w:rPr>
        <w:t>In the event</w:t>
      </w:r>
      <w:r>
        <w:rPr>
          <w:sz w:val="20"/>
          <w:szCs w:val="20"/>
        </w:rPr>
        <w:t xml:space="preserve"> that the proceeds in the trust account are reduced below (i) $10.00 per public share or (ii) such lesser amount per public share held in the trust account as of the date of the liquidation of the trust account, due to reductions in value of the trust asse</w:t>
      </w:r>
      <w:r>
        <w:rPr>
          <w:sz w:val="20"/>
          <w:szCs w:val="20"/>
        </w:rPr>
        <w:t>ts, in each case net of the amount of interest which may be withdrawn to pay taxes, and our sponsor asserts that it is unable to satisfy its indemnification obligations or that it has no indemnification obligations related to a particular claim, our indepe</w:t>
      </w:r>
      <w:r>
        <w:rPr>
          <w:sz w:val="20"/>
          <w:szCs w:val="20"/>
        </w:rPr>
        <w:t>ndent directors would determine whether to take legal action against our sponsor to enforce its indemnification obligations. While we currently expect that our independent directors would take legal action on our behalf against our sponsor to enforce its i</w:t>
      </w:r>
      <w:r>
        <w:rPr>
          <w:sz w:val="20"/>
          <w:szCs w:val="20"/>
        </w:rPr>
        <w:t>ndemnification obligations to us, it is possible that our independent directors in exercising their business judgment may choose not to do so if, for example, the cost of such legal action is deemed by the independent directors to be too high relative to t</w:t>
      </w:r>
      <w:r>
        <w:rPr>
          <w:sz w:val="20"/>
          <w:szCs w:val="20"/>
        </w:rPr>
        <w:t>he amount recoverable or if the independent directors determine that a favorable outcome is not likely. We have not asked our sponsor to reserve for such indemnification obligations and we cannot assure you that our sponsor would be able to satisfy those o</w:t>
      </w:r>
      <w:r>
        <w:rPr>
          <w:sz w:val="20"/>
          <w:szCs w:val="20"/>
        </w:rPr>
        <w:t>bligations, and believe that our sponsor’s only assets are securities of our company. Accordingly, we cannot assure you that due to claims of creditors the actual value of the per-share redemption price will not be less than $10.00 per public share.</w:t>
      </w:r>
    </w:p>
    <w:p w14:paraId="0D45D07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A5B0A52" w14:textId="77777777" w:rsidR="00000000" w:rsidRDefault="00087966">
      <w:pPr>
        <w:pStyle w:val="a3"/>
        <w:spacing w:before="0" w:beforeAutospacing="0" w:after="0" w:afterAutospacing="0"/>
        <w:ind w:firstLine="720"/>
        <w:jc w:val="both"/>
        <w:divId w:val="1595479706"/>
        <w:rPr>
          <w:sz w:val="20"/>
          <w:szCs w:val="20"/>
        </w:rPr>
      </w:pPr>
      <w:r>
        <w:rPr>
          <w:sz w:val="20"/>
          <w:szCs w:val="20"/>
        </w:rPr>
        <w:t>We s</w:t>
      </w:r>
      <w:r>
        <w:rPr>
          <w:sz w:val="20"/>
          <w:szCs w:val="20"/>
        </w:rPr>
        <w:t>eek to reduce the possibility that our sponsor will have to indemnify the trust account due to claims of creditors by endeavoring to have all vendors, service providers, prospective target businesses or other entities with which we do business execute agre</w:t>
      </w:r>
      <w:r>
        <w:rPr>
          <w:sz w:val="20"/>
          <w:szCs w:val="20"/>
        </w:rPr>
        <w:t>ements with us waiving any right, title, interest or claim of any kind in or to monies held in the trust account. Our sponsor will also not be liable as to any claims under our indemnity of the underwriters of our initial public offering against certain li</w:t>
      </w:r>
      <w:r>
        <w:rPr>
          <w:sz w:val="20"/>
          <w:szCs w:val="20"/>
        </w:rPr>
        <w:t>abilities, including liabilities under the Securities Act. We may have access to use the amounts held outside the trust account ($101,161 as of December 31, 2022, net of accrued offering costs) to pay any such potential claims (including costs and expenses</w:t>
      </w:r>
      <w:r>
        <w:rPr>
          <w:sz w:val="20"/>
          <w:szCs w:val="20"/>
        </w:rPr>
        <w:t xml:space="preserve"> incurred in connection with our liquidation, currently estimated to be no more than approximately $100,000) but these amounts may be spent on expenses incurred as a result of being a public company or due diligence expenses on prospective business combina</w:t>
      </w:r>
      <w:r>
        <w:rPr>
          <w:sz w:val="20"/>
          <w:szCs w:val="20"/>
        </w:rPr>
        <w:t>tion candidates. In the event that we liquidate and it is subsequently determined that the reserve for claims and liabilities is insufficient, stockholders who received funds from our trust account could be liable for claims made by creditors</w:t>
      </w:r>
    </w:p>
    <w:p w14:paraId="21A7C24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BD428FB" w14:textId="77777777" w:rsidR="00000000" w:rsidRDefault="00087966">
      <w:pPr>
        <w:pStyle w:val="a3"/>
        <w:spacing w:before="0" w:beforeAutospacing="0" w:after="0" w:afterAutospacing="0"/>
        <w:jc w:val="center"/>
        <w:divId w:val="1835027290"/>
        <w:rPr>
          <w:sz w:val="20"/>
          <w:szCs w:val="20"/>
        </w:rPr>
      </w:pPr>
      <w:r>
        <w:rPr>
          <w:sz w:val="20"/>
          <w:szCs w:val="20"/>
        </w:rPr>
        <w:t>2</w:t>
      </w:r>
      <w:r>
        <w:rPr>
          <w:sz w:val="20"/>
          <w:szCs w:val="20"/>
        </w:rPr>
        <w:t>7</w:t>
      </w:r>
    </w:p>
    <w:p w14:paraId="5534F834" w14:textId="77777777" w:rsidR="00000000" w:rsidRDefault="00087966">
      <w:pPr>
        <w:pStyle w:val="a3"/>
        <w:spacing w:before="0" w:beforeAutospacing="0" w:after="0" w:afterAutospacing="0"/>
        <w:divId w:val="1514371285"/>
        <w:rPr>
          <w:sz w:val="20"/>
          <w:szCs w:val="20"/>
        </w:rPr>
      </w:pPr>
      <w:r>
        <w:rPr>
          <w:sz w:val="20"/>
          <w:szCs w:val="20"/>
        </w:rPr>
        <w:t> </w:t>
      </w:r>
    </w:p>
    <w:p w14:paraId="6C22C69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D2A928A" w14:textId="77777777" w:rsidR="00000000" w:rsidRDefault="00087966">
      <w:pPr>
        <w:pStyle w:val="a3"/>
        <w:spacing w:before="0" w:beforeAutospacing="0" w:after="0" w:afterAutospacing="0"/>
        <w:ind w:firstLine="720"/>
        <w:jc w:val="both"/>
        <w:divId w:val="1595479706"/>
        <w:rPr>
          <w:sz w:val="20"/>
          <w:szCs w:val="20"/>
        </w:rPr>
      </w:pPr>
      <w:r>
        <w:rPr>
          <w:sz w:val="20"/>
          <w:szCs w:val="20"/>
        </w:rPr>
        <w:t>Unde</w:t>
      </w:r>
      <w:r>
        <w:rPr>
          <w:sz w:val="20"/>
          <w:szCs w:val="20"/>
        </w:rPr>
        <w:t>r the DGCL, stockholders may be held liable for claims by third parties against a corporation to the extent of distributions received by them in a dissolution. The pro rata portion of our trust account distributed to our public stockholders upon the redemp</w:t>
      </w:r>
      <w:r>
        <w:rPr>
          <w:sz w:val="20"/>
          <w:szCs w:val="20"/>
        </w:rPr>
        <w:t>tion of our public shares in the event we do not complete our initial business combination within the Combination Period may be considered a liquidating distribution under Delaware law. If the corporation complies with certain procedures set forth in Secti</w:t>
      </w:r>
      <w:r>
        <w:rPr>
          <w:sz w:val="20"/>
          <w:szCs w:val="20"/>
        </w:rPr>
        <w:t>on 280 of the DGCL intended to ensure that it makes reasonable provision for all claims against it, including a 60-day notice period during which any third-party claims can be brought against the corporation, a 90-day period during which the corporation ma</w:t>
      </w:r>
      <w:r>
        <w:rPr>
          <w:sz w:val="20"/>
          <w:szCs w:val="20"/>
        </w:rPr>
        <w:t>y reject any claims brought, and an additional 150-day waiting period before any liquidating distributions are made to stockholders, any liability of stockholders with respect to a liquidating distribution is limited to the lesser of such stockholder’s pro</w:t>
      </w:r>
      <w:r>
        <w:rPr>
          <w:sz w:val="20"/>
          <w:szCs w:val="20"/>
        </w:rPr>
        <w:t xml:space="preserve"> rata share of the claim or the amount distributed to the stockholder, and any liability of the stockholder would be barred after the third anniversary of the dissolution.</w:t>
      </w:r>
    </w:p>
    <w:p w14:paraId="3544646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BCD1DC3" w14:textId="77777777" w:rsidR="00000000" w:rsidRDefault="00087966">
      <w:pPr>
        <w:pStyle w:val="a3"/>
        <w:spacing w:before="0" w:beforeAutospacing="0" w:after="0" w:afterAutospacing="0"/>
        <w:ind w:firstLine="720"/>
        <w:jc w:val="both"/>
        <w:divId w:val="1595479706"/>
        <w:rPr>
          <w:sz w:val="20"/>
          <w:szCs w:val="20"/>
        </w:rPr>
      </w:pPr>
      <w:r>
        <w:rPr>
          <w:sz w:val="20"/>
          <w:szCs w:val="20"/>
        </w:rPr>
        <w:t>Furthermore, if the pro rata </w:t>
      </w:r>
      <w:r>
        <w:rPr>
          <w:sz w:val="20"/>
          <w:szCs w:val="20"/>
        </w:rPr>
        <w:t xml:space="preserve">portion of our trust account distributed to our public stockholders upon the redemption of our public shares in the event we do not complete our initial business combination within the Combination Period, is not considered a liquidating distribution under </w:t>
      </w:r>
      <w:r>
        <w:rPr>
          <w:sz w:val="20"/>
          <w:szCs w:val="20"/>
        </w:rPr>
        <w:t>Delaware law and such redemption distribution is deemed to be unlawful (potentially due to the imposition of legal proceedings that a party may bring or due to other circumstances that are currently unknown), then pursuant to Section 174 of the DGCL, the s</w:t>
      </w:r>
      <w:r>
        <w:rPr>
          <w:sz w:val="20"/>
          <w:szCs w:val="20"/>
        </w:rPr>
        <w:t>tatute of limitations for claims of creditors could then be six years after the unlawful redemption distribution, instead of three years, as in the case of a liquidating distribution. If we are unable to complete our initial business combination within the</w:t>
      </w:r>
      <w:r>
        <w:rPr>
          <w:sz w:val="20"/>
          <w:szCs w:val="20"/>
        </w:rPr>
        <w:t xml:space="preserve"> Combination Period, we will: (i) cease all operations except for the purpose of winding up, (ii) as promptly as reasonably possible but not more than 10 business days thereafter, redeem the public shares, at a per-share price, payable in cash, equal to th</w:t>
      </w:r>
      <w:r>
        <w:rPr>
          <w:sz w:val="20"/>
          <w:szCs w:val="20"/>
        </w:rPr>
        <w:t>e aggregate amount then on deposit in the trust account, including interest earned on the funds held in the trust account and not previously released to us to pay our taxes (less up to $100,000 of interest to pay dissolution expenses), divided by the numbe</w:t>
      </w:r>
      <w:r>
        <w:rPr>
          <w:sz w:val="20"/>
          <w:szCs w:val="20"/>
        </w:rPr>
        <w:t xml:space="preserve">r of then outstanding public shares, which redemption will completely extinguish public stockholders’ rights as stockholders (including the right to receive further liquidating distributions, if any), and (iii) as promptly as reasonably possible following </w:t>
      </w:r>
      <w:r>
        <w:rPr>
          <w:sz w:val="20"/>
          <w:szCs w:val="20"/>
        </w:rPr>
        <w:t>such redemption, subject to the approval of our remaining stockholders and our board of directors, liquidate and dissolve, subject in each case to our obligations under Delaware law to provide for claims of creditors and the requirements of other applicabl</w:t>
      </w:r>
      <w:r>
        <w:rPr>
          <w:sz w:val="20"/>
          <w:szCs w:val="20"/>
        </w:rPr>
        <w:t>e law. Accordingly, it is our intention to redeem our public shares as soon as reasonably possible following our 27th month and, therefore, we do not intend to comply with those procedures. As such, our stockholders could potentially be liable for any clai</w:t>
      </w:r>
      <w:r>
        <w:rPr>
          <w:sz w:val="20"/>
          <w:szCs w:val="20"/>
        </w:rPr>
        <w:t>ms to the extent of distributions received by them (but no more) and any liability of our stockholders may extend well beyond the third anniversary of such date.</w:t>
      </w:r>
    </w:p>
    <w:p w14:paraId="26FB80D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98B222F" w14:textId="77777777" w:rsidR="00000000" w:rsidRDefault="00087966">
      <w:pPr>
        <w:pStyle w:val="a3"/>
        <w:spacing w:before="0" w:beforeAutospacing="0" w:after="0" w:afterAutospacing="0"/>
        <w:ind w:firstLine="720"/>
        <w:jc w:val="both"/>
        <w:divId w:val="1595479706"/>
        <w:rPr>
          <w:sz w:val="20"/>
          <w:szCs w:val="20"/>
        </w:rPr>
      </w:pPr>
      <w:r>
        <w:rPr>
          <w:sz w:val="20"/>
          <w:szCs w:val="20"/>
        </w:rPr>
        <w:t>Because we will not be complying with Section 280, Section 281(b) of the DGCL requires us to</w:t>
      </w:r>
      <w:r>
        <w:rPr>
          <w:sz w:val="20"/>
          <w:szCs w:val="20"/>
        </w:rPr>
        <w:t xml:space="preserve"> adopt a plan, based on facts known to us at such time that will provide for our payment of all existing and pending claims or claims that may be potentially brought against us within the subsequent 10 years. However, because we are a blank check company, </w:t>
      </w:r>
      <w:r>
        <w:rPr>
          <w:sz w:val="20"/>
          <w:szCs w:val="20"/>
        </w:rPr>
        <w:t>rather than an operating company, and our operations will be limited to searching for prospective target businesses to acquire, the only likely claims to arise would be from our vendors (such as lawyers, investment bankers, etc.) or prospective target busi</w:t>
      </w:r>
      <w:r>
        <w:rPr>
          <w:sz w:val="20"/>
          <w:szCs w:val="20"/>
        </w:rPr>
        <w:t>nesses. As described above, pursuant to the obligation contained in our underwriting agreement, we seek to have all vendors, service providers, prospective target businesses or other entities with which we do business execute agreements with us waiving any</w:t>
      </w:r>
      <w:r>
        <w:rPr>
          <w:sz w:val="20"/>
          <w:szCs w:val="20"/>
        </w:rPr>
        <w:t xml:space="preserve"> right, title, interest or claim of any kind in or to any monies held in the trust account. As a result of this obligation, the claims that could be made against us are significantly limited and the likelihood that any claim that would result in any liabil</w:t>
      </w:r>
      <w:r>
        <w:rPr>
          <w:sz w:val="20"/>
          <w:szCs w:val="20"/>
        </w:rPr>
        <w:t>ity extending to the trust account is remote. Further, our sponsor may be liable only to the extent necessary to ensure that the amounts in the trust account are not reduced below (i) $10.00 per public share or (ii) such lesser amount per public share held</w:t>
      </w:r>
      <w:r>
        <w:rPr>
          <w:sz w:val="20"/>
          <w:szCs w:val="20"/>
        </w:rPr>
        <w:t xml:space="preserve"> in the trust account as of the date of the liquidation of the trust account, due to reductions in value of the trust assets, in each case net of the amount of interest released to us to pay taxes and will not be liable as to any claims under our indemnity</w:t>
      </w:r>
      <w:r>
        <w:rPr>
          <w:sz w:val="20"/>
          <w:szCs w:val="20"/>
        </w:rPr>
        <w:t xml:space="preserve"> of the underwriters of our initial public offering against certain liabilities, including liabilities under the Securities Act. In the event that an executed waiver is deemed to be unenforceable against a third party, our sponsor will not be responsible t</w:t>
      </w:r>
      <w:r>
        <w:rPr>
          <w:sz w:val="20"/>
          <w:szCs w:val="20"/>
        </w:rPr>
        <w:t>o the extent of any liability for such third-party claims.</w:t>
      </w:r>
    </w:p>
    <w:p w14:paraId="09AB29A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6690D69" w14:textId="77777777" w:rsidR="00000000" w:rsidRDefault="00087966">
      <w:pPr>
        <w:pStyle w:val="a3"/>
        <w:spacing w:before="0" w:beforeAutospacing="0" w:after="0" w:afterAutospacing="0"/>
        <w:jc w:val="center"/>
        <w:divId w:val="647250427"/>
        <w:rPr>
          <w:sz w:val="20"/>
          <w:szCs w:val="20"/>
        </w:rPr>
      </w:pPr>
      <w:r>
        <w:rPr>
          <w:sz w:val="20"/>
          <w:szCs w:val="20"/>
        </w:rPr>
        <w:t>2</w:t>
      </w:r>
      <w:r>
        <w:rPr>
          <w:sz w:val="20"/>
          <w:szCs w:val="20"/>
        </w:rPr>
        <w:t>8</w:t>
      </w:r>
    </w:p>
    <w:p w14:paraId="07343BA8" w14:textId="77777777" w:rsidR="00000000" w:rsidRDefault="00087966">
      <w:pPr>
        <w:pStyle w:val="a3"/>
        <w:spacing w:before="0" w:beforeAutospacing="0" w:after="0" w:afterAutospacing="0"/>
        <w:divId w:val="1748455779"/>
        <w:rPr>
          <w:sz w:val="20"/>
          <w:szCs w:val="20"/>
        </w:rPr>
      </w:pPr>
      <w:r>
        <w:rPr>
          <w:sz w:val="20"/>
          <w:szCs w:val="20"/>
        </w:rPr>
        <w:t> </w:t>
      </w:r>
    </w:p>
    <w:p w14:paraId="79E14C9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343E4F1" w14:textId="77777777" w:rsidR="00000000" w:rsidRDefault="00087966">
      <w:pPr>
        <w:pStyle w:val="a3"/>
        <w:spacing w:before="0" w:beforeAutospacing="0" w:after="0" w:afterAutospacing="0"/>
        <w:ind w:firstLine="720"/>
        <w:jc w:val="both"/>
        <w:divId w:val="1595479706"/>
        <w:rPr>
          <w:sz w:val="20"/>
          <w:szCs w:val="20"/>
        </w:rPr>
      </w:pPr>
      <w:r>
        <w:rPr>
          <w:sz w:val="20"/>
          <w:szCs w:val="20"/>
        </w:rPr>
        <w:t>If we file a bankruptcy petition or an involuntary bankruptcy petition is filed against us that is not dismissed, the proceeds held in the trust account could be subject to applicable bank</w:t>
      </w:r>
      <w:r>
        <w:rPr>
          <w:sz w:val="20"/>
          <w:szCs w:val="20"/>
        </w:rPr>
        <w:t>ruptcy law, and may be included in our bankruptcy estate and subject to the claims of third parties with priority over the claims of our stockholders. To the extent any bankruptcy claims deplete the trust account, we cannot assure you we will be able to re</w:t>
      </w:r>
      <w:r>
        <w:rPr>
          <w:sz w:val="20"/>
          <w:szCs w:val="20"/>
        </w:rPr>
        <w:t>turn $10.00 per share to our public stockholders. Additionally, if we file a bankruptcy petition or an involuntary bankruptcy petition is filed against us that is not dismissed, any distributions received by stockholders could be viewed under applicable de</w:t>
      </w:r>
      <w:r>
        <w:rPr>
          <w:sz w:val="20"/>
          <w:szCs w:val="20"/>
        </w:rPr>
        <w:t>btor/creditor and/or bankruptcy laws as either a “preferential transfer” or a “fraudulent conveyance.” As a result, a bankruptcy court could seek to recover some or all amounts received by our stockholders. Furthermore, our board of directors may be viewed</w:t>
      </w:r>
      <w:r>
        <w:rPr>
          <w:sz w:val="20"/>
          <w:szCs w:val="20"/>
        </w:rPr>
        <w:t xml:space="preserve"> as having breached its fiduciary duty to our creditors and/or may have acted in bad faith, thereby exposing itself and our company to claims of punitive damages, by paying public stockholders from the trust account prior to addressing the claims of credit</w:t>
      </w:r>
      <w:r>
        <w:rPr>
          <w:sz w:val="20"/>
          <w:szCs w:val="20"/>
        </w:rPr>
        <w:t>ors. We cannot assure you that claims will not be brought against us for these reasons.</w:t>
      </w:r>
    </w:p>
    <w:p w14:paraId="6EB2D24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D3A011A" w14:textId="77777777" w:rsidR="00000000" w:rsidRDefault="00087966">
      <w:pPr>
        <w:pStyle w:val="a3"/>
        <w:spacing w:before="0" w:beforeAutospacing="0" w:after="0" w:afterAutospacing="0"/>
        <w:ind w:firstLine="720"/>
        <w:jc w:val="both"/>
        <w:divId w:val="1595479706"/>
        <w:rPr>
          <w:sz w:val="20"/>
          <w:szCs w:val="20"/>
        </w:rPr>
      </w:pPr>
      <w:r>
        <w:rPr>
          <w:sz w:val="20"/>
          <w:szCs w:val="20"/>
        </w:rPr>
        <w:t>Our public stockholders will be entitled to receive funds from the trust account only upon the earlier to occur of: (i) the completion of our initial business combina</w:t>
      </w:r>
      <w:r>
        <w:rPr>
          <w:sz w:val="20"/>
          <w:szCs w:val="20"/>
        </w:rPr>
        <w:t xml:space="preserve">tion, (ii) the redemption of any public shares properly submitted in connection with a stockholder vote to amend any provisions of our amended and restated certificate of incorporation to (A) modify the substance or timing of our obligation to provide for </w:t>
      </w:r>
      <w:r>
        <w:rPr>
          <w:sz w:val="20"/>
          <w:szCs w:val="20"/>
        </w:rPr>
        <w:t>the redemption of our public shares in connection with an initial business combination or to redeem 100% of our public shares if we do not complete our initial business combination within the Combination Period or (B) with respect to any other provisions r</w:t>
      </w:r>
      <w:r>
        <w:rPr>
          <w:sz w:val="20"/>
          <w:szCs w:val="20"/>
        </w:rPr>
        <w:t>elating to stockholders’ rights or pre-initial business combination activity, and (iii) the redemption of all of our public shares if we are unable to complete our business combination within the Combination Period, subject to applicable law. In no other c</w:t>
      </w:r>
      <w:r>
        <w:rPr>
          <w:sz w:val="20"/>
          <w:szCs w:val="20"/>
        </w:rPr>
        <w:t>ircumstances will a stockholder have any right or interest of any kind to or in the trust account. In the event we seek stockholder approval in connection with our initial business combination, a stockholder’s voting in connection with the initial business</w:t>
      </w:r>
      <w:r>
        <w:rPr>
          <w:sz w:val="20"/>
          <w:szCs w:val="20"/>
        </w:rPr>
        <w:t xml:space="preserve"> combination alone will not result in a stockholder’s redeeming its shares to us for an applicable pro rata share of the trust account. Such stockholder must have also exercised its redemption rights as described above. These provisions of our amended and </w:t>
      </w:r>
      <w:r>
        <w:rPr>
          <w:sz w:val="20"/>
          <w:szCs w:val="20"/>
        </w:rPr>
        <w:t>restated certificate of incorporation, like all provisions of our amended and restated certificate of incorporation, may be amended with a stockholder vote.</w:t>
      </w:r>
    </w:p>
    <w:p w14:paraId="1549207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16FE6F3" w14:textId="77777777" w:rsidR="00000000" w:rsidRDefault="00087966">
      <w:pPr>
        <w:pStyle w:val="a3"/>
        <w:spacing w:before="0" w:beforeAutospacing="0" w:after="0" w:afterAutospacing="0"/>
        <w:ind w:firstLine="720"/>
        <w:jc w:val="both"/>
        <w:divId w:val="1595479706"/>
        <w:rPr>
          <w:sz w:val="20"/>
          <w:szCs w:val="20"/>
        </w:rPr>
      </w:pPr>
      <w:r>
        <w:rPr>
          <w:sz w:val="20"/>
          <w:szCs w:val="20"/>
        </w:rPr>
        <w:t>We may, however, elect to seek to further extend the deadline by which we must consummate our ini</w:t>
      </w:r>
      <w:r>
        <w:rPr>
          <w:sz w:val="20"/>
          <w:szCs w:val="20"/>
        </w:rPr>
        <w:t>tial business combination. Such an extension requires the approval of our public stockholders, who will be provided the opportunity to at that time to redeem all or a portion their shares (which would likely have a material adverse effect on the amount hel</w:t>
      </w:r>
      <w:r>
        <w:rPr>
          <w:sz w:val="20"/>
          <w:szCs w:val="20"/>
        </w:rPr>
        <w:t>d in our trust account and other adverse effects on our Company, such as our ability to maintain our listing on Nasdaq). Our sponsor may also explore transactions under which it would sell its interest in our Company to another management team.</w:t>
      </w:r>
    </w:p>
    <w:p w14:paraId="2CFBD112" w14:textId="77777777" w:rsidR="00000000" w:rsidRDefault="00087966">
      <w:pPr>
        <w:pStyle w:val="a3"/>
        <w:spacing w:before="0" w:beforeAutospacing="0" w:after="0" w:afterAutospacing="0"/>
        <w:jc w:val="both"/>
        <w:divId w:val="1595479706"/>
        <w:rPr>
          <w:sz w:val="20"/>
          <w:szCs w:val="20"/>
        </w:rPr>
      </w:pPr>
      <w:r>
        <w:rPr>
          <w:sz w:val="20"/>
          <w:szCs w:val="20"/>
        </w:rPr>
        <w:t> </w:t>
      </w:r>
    </w:p>
    <w:p w14:paraId="53905C61" w14:textId="77777777" w:rsidR="00000000" w:rsidRDefault="00087966">
      <w:pPr>
        <w:pStyle w:val="a3"/>
        <w:spacing w:before="0" w:beforeAutospacing="0" w:after="0" w:afterAutospacing="0"/>
        <w:jc w:val="both"/>
        <w:divId w:val="1595479706"/>
        <w:rPr>
          <w:sz w:val="20"/>
          <w:szCs w:val="20"/>
        </w:rPr>
      </w:pPr>
      <w:r>
        <w:rPr>
          <w:b/>
          <w:bCs/>
          <w:sz w:val="20"/>
          <w:szCs w:val="20"/>
        </w:rPr>
        <w:t>Competiti</w:t>
      </w:r>
      <w:r>
        <w:rPr>
          <w:b/>
          <w:bCs/>
          <w:sz w:val="20"/>
          <w:szCs w:val="20"/>
        </w:rPr>
        <w:t>on</w:t>
      </w:r>
    </w:p>
    <w:p w14:paraId="6434E1F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BCD6359" w14:textId="77777777" w:rsidR="00000000" w:rsidRDefault="00087966">
      <w:pPr>
        <w:pStyle w:val="a3"/>
        <w:spacing w:before="0" w:beforeAutospacing="0" w:after="0" w:afterAutospacing="0"/>
        <w:ind w:firstLine="720"/>
        <w:jc w:val="both"/>
        <w:divId w:val="1595479706"/>
        <w:rPr>
          <w:sz w:val="20"/>
          <w:szCs w:val="20"/>
        </w:rPr>
      </w:pPr>
      <w:r>
        <w:rPr>
          <w:sz w:val="20"/>
          <w:szCs w:val="20"/>
        </w:rPr>
        <w:t>In identifying, evaluating and selecting a target business for our initial business combination, such as Near, we encounter competition from other entities having a business objective similar to ours, including other blank check companies, private equ</w:t>
      </w:r>
      <w:r>
        <w:rPr>
          <w:sz w:val="20"/>
          <w:szCs w:val="20"/>
        </w:rPr>
        <w:t xml:space="preserve">ity groups and leveraged buyout funds, public companies and operating businesses seeking strategic business combinations. Many of these entities are well established and have extensive experience identifying and effecting business combinations directly or </w:t>
      </w:r>
      <w:r>
        <w:rPr>
          <w:sz w:val="20"/>
          <w:szCs w:val="20"/>
        </w:rPr>
        <w:t>through affiliates. Moreover, many of these competitors possess greater financial, technical, human and other resources than we do. Our ability to acquire larger target businesses will be limited by our available financial resources. This inherent limitati</w:t>
      </w:r>
      <w:r>
        <w:rPr>
          <w:sz w:val="20"/>
          <w:szCs w:val="20"/>
        </w:rPr>
        <w:t>on gives others an advantage in pursuing the initial business combination of a target business. Furthermore, our obligation to pay cash in connection with our public stockholders who exercise their redemption rights may reduce the resources available to us</w:t>
      </w:r>
      <w:r>
        <w:rPr>
          <w:sz w:val="20"/>
          <w:szCs w:val="20"/>
        </w:rPr>
        <w:t xml:space="preserve"> for our initial business combination and our outstanding warrants, and the future dilution they potentially represent, may not be viewed favorably by certain target businesses. Either of these factors may place us at a competitive disadvantage in successf</w:t>
      </w:r>
      <w:r>
        <w:rPr>
          <w:sz w:val="20"/>
          <w:szCs w:val="20"/>
        </w:rPr>
        <w:t>ully negotiating an initial business combination.</w:t>
      </w:r>
    </w:p>
    <w:p w14:paraId="71692405" w14:textId="77777777" w:rsidR="00000000" w:rsidRDefault="00087966">
      <w:pPr>
        <w:pStyle w:val="a3"/>
        <w:spacing w:before="0" w:beforeAutospacing="0" w:after="0" w:afterAutospacing="0"/>
        <w:jc w:val="both"/>
        <w:divId w:val="1595479706"/>
        <w:rPr>
          <w:sz w:val="20"/>
          <w:szCs w:val="20"/>
        </w:rPr>
      </w:pPr>
      <w:r>
        <w:rPr>
          <w:sz w:val="20"/>
          <w:szCs w:val="20"/>
        </w:rPr>
        <w:t> </w:t>
      </w:r>
    </w:p>
    <w:p w14:paraId="6997DA16" w14:textId="77777777" w:rsidR="00000000" w:rsidRDefault="00087966">
      <w:pPr>
        <w:pStyle w:val="a3"/>
        <w:spacing w:before="0" w:beforeAutospacing="0" w:after="0" w:afterAutospacing="0"/>
        <w:jc w:val="center"/>
        <w:divId w:val="1706640721"/>
        <w:rPr>
          <w:sz w:val="20"/>
          <w:szCs w:val="20"/>
        </w:rPr>
      </w:pPr>
      <w:r>
        <w:rPr>
          <w:sz w:val="20"/>
          <w:szCs w:val="20"/>
        </w:rPr>
        <w:t>2</w:t>
      </w:r>
      <w:r>
        <w:rPr>
          <w:sz w:val="20"/>
          <w:szCs w:val="20"/>
        </w:rPr>
        <w:t>9</w:t>
      </w:r>
    </w:p>
    <w:p w14:paraId="01966B04" w14:textId="77777777" w:rsidR="00000000" w:rsidRDefault="00087966">
      <w:pPr>
        <w:pStyle w:val="a3"/>
        <w:spacing w:before="0" w:beforeAutospacing="0" w:after="0" w:afterAutospacing="0"/>
        <w:divId w:val="1633904131"/>
        <w:rPr>
          <w:sz w:val="20"/>
          <w:szCs w:val="20"/>
        </w:rPr>
      </w:pPr>
      <w:r>
        <w:rPr>
          <w:sz w:val="20"/>
          <w:szCs w:val="20"/>
        </w:rPr>
        <w:t> </w:t>
      </w:r>
    </w:p>
    <w:p w14:paraId="029436F3" w14:textId="77777777" w:rsidR="00000000" w:rsidRDefault="00087966">
      <w:pPr>
        <w:pStyle w:val="a3"/>
        <w:spacing w:before="0" w:beforeAutospacing="0" w:after="0" w:afterAutospacing="0"/>
        <w:jc w:val="both"/>
        <w:divId w:val="1595479706"/>
        <w:rPr>
          <w:sz w:val="20"/>
          <w:szCs w:val="20"/>
        </w:rPr>
      </w:pPr>
      <w:r>
        <w:rPr>
          <w:sz w:val="20"/>
          <w:szCs w:val="20"/>
        </w:rPr>
        <w:t> </w:t>
      </w:r>
    </w:p>
    <w:p w14:paraId="0B0CA820" w14:textId="77777777" w:rsidR="00000000" w:rsidRDefault="00087966">
      <w:pPr>
        <w:pStyle w:val="a3"/>
        <w:spacing w:before="0" w:beforeAutospacing="0" w:after="0" w:afterAutospacing="0"/>
        <w:jc w:val="both"/>
        <w:divId w:val="1595479706"/>
        <w:rPr>
          <w:sz w:val="20"/>
          <w:szCs w:val="20"/>
        </w:rPr>
      </w:pPr>
      <w:r>
        <w:rPr>
          <w:b/>
          <w:bCs/>
          <w:sz w:val="20"/>
          <w:szCs w:val="20"/>
        </w:rPr>
        <w:t>Indemnity</w:t>
      </w:r>
    </w:p>
    <w:p w14:paraId="7F9A9A2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9193A35"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Our sponsor has agreed that it will be liable to us if and to the extent any claims by a third party for services rendered or products sold to us, or a prospective target business with </w:t>
      </w:r>
      <w:r>
        <w:rPr>
          <w:sz w:val="20"/>
          <w:szCs w:val="20"/>
        </w:rPr>
        <w:t>which we have entered into a written letter of intent, confidentiality or similar agreement or business combination agreement, reduce the amount of funds in the trust account to below the lesser of (i) $10.00 per public share and (ii) the actual amount per</w:t>
      </w:r>
      <w:r>
        <w:rPr>
          <w:sz w:val="20"/>
          <w:szCs w:val="20"/>
        </w:rPr>
        <w:t xml:space="preserve"> public share held in the trust account as of the date of the liquidation of the trust account, if less than $10.00 per share due to reductions in the value of the trust assets, less taxes payable; provided that such liability will not apply to any claims </w:t>
      </w:r>
      <w:r>
        <w:rPr>
          <w:sz w:val="20"/>
          <w:szCs w:val="20"/>
        </w:rPr>
        <w:t xml:space="preserve">by a third party or prospective target business who executed a waiver of any and all rights to the monies held in the trust account (whether or not such waiver is enforceable), nor will it apply to any claims under our indemnity of the underwriters of our </w:t>
      </w:r>
      <w:r>
        <w:rPr>
          <w:sz w:val="20"/>
          <w:szCs w:val="20"/>
        </w:rPr>
        <w:t>initial public offering against certain liabilities, including liabilities under the Securities Act. However, we have not asked our sponsor to reserve for such indemnification obligations, nor have we independently verified whether our sponsor has sufficie</w:t>
      </w:r>
      <w:r>
        <w:rPr>
          <w:sz w:val="20"/>
          <w:szCs w:val="20"/>
        </w:rPr>
        <w:t>nt funds to satisfy its indemnity obligations, and believe that our sponsor’s only assets are securities of our company. Therefore, we cannot assure you that our sponsor would be able to satisfy those obligations. None of our officers or directors will ind</w:t>
      </w:r>
      <w:r>
        <w:rPr>
          <w:sz w:val="20"/>
          <w:szCs w:val="20"/>
        </w:rPr>
        <w:t>emnify us for claims by third parties, including, without limitation, claims by vendors and prospective target businesses.</w:t>
      </w:r>
    </w:p>
    <w:p w14:paraId="07DAFB38" w14:textId="77777777" w:rsidR="00000000" w:rsidRDefault="00087966">
      <w:pPr>
        <w:pStyle w:val="a3"/>
        <w:spacing w:before="0" w:beforeAutospacing="0" w:after="0" w:afterAutospacing="0"/>
        <w:jc w:val="both"/>
        <w:divId w:val="1595479706"/>
        <w:rPr>
          <w:sz w:val="20"/>
          <w:szCs w:val="20"/>
        </w:rPr>
      </w:pPr>
      <w:r>
        <w:rPr>
          <w:sz w:val="20"/>
          <w:szCs w:val="20"/>
        </w:rPr>
        <w:t> </w:t>
      </w:r>
    </w:p>
    <w:p w14:paraId="76E43F66" w14:textId="77777777" w:rsidR="00000000" w:rsidRDefault="00087966">
      <w:pPr>
        <w:pStyle w:val="a3"/>
        <w:spacing w:before="0" w:beforeAutospacing="0" w:after="0" w:afterAutospacing="0"/>
        <w:jc w:val="both"/>
        <w:divId w:val="1595479706"/>
        <w:rPr>
          <w:sz w:val="20"/>
          <w:szCs w:val="20"/>
        </w:rPr>
      </w:pPr>
      <w:r>
        <w:rPr>
          <w:b/>
          <w:bCs/>
          <w:sz w:val="20"/>
          <w:szCs w:val="20"/>
        </w:rPr>
        <w:t>Employees</w:t>
      </w:r>
    </w:p>
    <w:p w14:paraId="2D6124C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2CC3EA9"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have four officers. These </w:t>
      </w:r>
      <w:r>
        <w:rPr>
          <w:sz w:val="20"/>
          <w:szCs w:val="20"/>
        </w:rPr>
        <w:t xml:space="preserve">individuals are not obligated to devote any specific number of hours to our matters but they devote as much of their time as they deem necessary to our affairs until we have completed our initial business combination. The amount of time they devote in any </w:t>
      </w:r>
      <w:r>
        <w:rPr>
          <w:sz w:val="20"/>
          <w:szCs w:val="20"/>
        </w:rPr>
        <w:t>time period varies based on the stage of the initial business combination process we are in.</w:t>
      </w:r>
    </w:p>
    <w:p w14:paraId="708C897F" w14:textId="77777777" w:rsidR="00000000" w:rsidRDefault="00087966">
      <w:pPr>
        <w:pStyle w:val="a3"/>
        <w:spacing w:before="0" w:beforeAutospacing="0" w:after="0" w:afterAutospacing="0"/>
        <w:jc w:val="both"/>
        <w:divId w:val="1595479706"/>
        <w:rPr>
          <w:sz w:val="20"/>
          <w:szCs w:val="20"/>
        </w:rPr>
      </w:pPr>
      <w:r>
        <w:rPr>
          <w:sz w:val="20"/>
          <w:szCs w:val="20"/>
        </w:rPr>
        <w:t> </w:t>
      </w:r>
    </w:p>
    <w:p w14:paraId="5A83BE81" w14:textId="77777777" w:rsidR="00000000" w:rsidRDefault="00087966">
      <w:pPr>
        <w:pStyle w:val="a3"/>
        <w:spacing w:before="0" w:beforeAutospacing="0" w:after="0" w:afterAutospacing="0"/>
        <w:jc w:val="both"/>
        <w:divId w:val="1595479706"/>
        <w:rPr>
          <w:sz w:val="20"/>
          <w:szCs w:val="20"/>
        </w:rPr>
      </w:pPr>
      <w:r>
        <w:rPr>
          <w:b/>
          <w:bCs/>
          <w:sz w:val="20"/>
          <w:szCs w:val="20"/>
        </w:rPr>
        <w:t>Periodic Reporting and Financial Information</w:t>
      </w:r>
    </w:p>
    <w:p w14:paraId="0B3044E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5CF9321" w14:textId="77777777" w:rsidR="00000000" w:rsidRDefault="00087966">
      <w:pPr>
        <w:pStyle w:val="a3"/>
        <w:spacing w:before="0" w:beforeAutospacing="0" w:after="0" w:afterAutospacing="0"/>
        <w:ind w:firstLine="720"/>
        <w:jc w:val="both"/>
        <w:divId w:val="1595479706"/>
        <w:rPr>
          <w:sz w:val="20"/>
          <w:szCs w:val="20"/>
        </w:rPr>
      </w:pPr>
      <w:r>
        <w:rPr>
          <w:sz w:val="20"/>
          <w:szCs w:val="20"/>
        </w:rPr>
        <w:t>We have registered our units, Class A common stock and warrants under the Exchange Act and have reporting obligati</w:t>
      </w:r>
      <w:r>
        <w:rPr>
          <w:sz w:val="20"/>
          <w:szCs w:val="20"/>
        </w:rPr>
        <w:t>ons, including the requirement that we file annual, quarterly and current reports with the SEC. In accordance with the requirements of the Exchange Act, our annual reports contain financial statements audited and reported on by our independent registered p</w:t>
      </w:r>
      <w:r>
        <w:rPr>
          <w:sz w:val="20"/>
          <w:szCs w:val="20"/>
        </w:rPr>
        <w:t>ublic accountants.</w:t>
      </w:r>
    </w:p>
    <w:p w14:paraId="174C2A9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00A8EE9" w14:textId="77777777" w:rsidR="00000000" w:rsidRDefault="00087966">
      <w:pPr>
        <w:pStyle w:val="a3"/>
        <w:spacing w:before="0" w:beforeAutospacing="0" w:after="0" w:afterAutospacing="0"/>
        <w:ind w:firstLine="720"/>
        <w:jc w:val="both"/>
        <w:divId w:val="1595479706"/>
        <w:rPr>
          <w:sz w:val="20"/>
          <w:szCs w:val="20"/>
        </w:rPr>
      </w:pPr>
      <w:r>
        <w:rPr>
          <w:sz w:val="20"/>
          <w:szCs w:val="20"/>
        </w:rPr>
        <w:t>We will provide stockholders with audited financial statements of the prospective target business as part of the proxy solicitation materials, such as the Near Registration Statement, or tender offer documents sent to stockholders to a</w:t>
      </w:r>
      <w:r>
        <w:rPr>
          <w:sz w:val="20"/>
          <w:szCs w:val="20"/>
        </w:rPr>
        <w:t xml:space="preserve">ssist them in assessing the target business. In all likelihood, these financial statements will need to be prepared in accordance with, or reconciled to, GAAP or IFRS, depending on the circumstances, and the historical financial statements may be required </w:t>
      </w:r>
      <w:r>
        <w:rPr>
          <w:sz w:val="20"/>
          <w:szCs w:val="20"/>
        </w:rPr>
        <w:t>to be audited in accordance with the standards of the PCAOB. These financial statement requirements may limit the pool of potential targets we may conduct an initial business combination with because some targets may be unable to provide such statements in</w:t>
      </w:r>
      <w:r>
        <w:rPr>
          <w:sz w:val="20"/>
          <w:szCs w:val="20"/>
        </w:rPr>
        <w:t xml:space="preserve"> time for us to disclose such statements in accordance with federal proxy rules and complete our initial business combination within the prescribed time frame. We cannot assure you that any particular target business identified by us as a potential busines</w:t>
      </w:r>
      <w:r>
        <w:rPr>
          <w:sz w:val="20"/>
          <w:szCs w:val="20"/>
        </w:rPr>
        <w:t>s combination candidate will have financial statements prepared in accordance with GAAP or that the potential target business will be able to prepare its financial statements in accordance with the requirements outlined above. To the extent that these requ</w:t>
      </w:r>
      <w:r>
        <w:rPr>
          <w:sz w:val="20"/>
          <w:szCs w:val="20"/>
        </w:rPr>
        <w:t>irements cannot be met, we may not be able to acquire the proposed target business. While this may limit the pool of potential business combination candidates, we do not believe that this limitation will be material.</w:t>
      </w:r>
    </w:p>
    <w:p w14:paraId="1019795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C516370" w14:textId="77777777" w:rsidR="00000000" w:rsidRDefault="00087966">
      <w:pPr>
        <w:pStyle w:val="a3"/>
        <w:spacing w:before="0" w:beforeAutospacing="0" w:after="0" w:afterAutospacing="0"/>
        <w:ind w:firstLine="720"/>
        <w:jc w:val="both"/>
        <w:divId w:val="1595479706"/>
        <w:rPr>
          <w:sz w:val="20"/>
          <w:szCs w:val="20"/>
        </w:rPr>
      </w:pPr>
      <w:r>
        <w:rPr>
          <w:sz w:val="20"/>
          <w:szCs w:val="20"/>
        </w:rPr>
        <w:t>We are required to evaluate our inter</w:t>
      </w:r>
      <w:r>
        <w:rPr>
          <w:sz w:val="20"/>
          <w:szCs w:val="20"/>
        </w:rPr>
        <w:t>nal control over financial reporting as of December 31, 2022 as required by the Sarbanes-Oxley Act. Only in the event we are deemed to be a large accelerated filer or an accelerated filer, and no longer qualify as an emerging growth company, will we be req</w:t>
      </w:r>
      <w:r>
        <w:rPr>
          <w:sz w:val="20"/>
          <w:szCs w:val="20"/>
        </w:rPr>
        <w:t>uired to have our internal control procedures audited by our independent registered public accounting firm. A target company may not be in compliance with the provisions of the Sarbanes-Oxley Act regarding adequacy of their internal controls. The developme</w:t>
      </w:r>
      <w:r>
        <w:rPr>
          <w:sz w:val="20"/>
          <w:szCs w:val="20"/>
        </w:rPr>
        <w:t>nt of the internal controls of any such entity to achieve compliance with the Sarbanes-Oxley Act may increase the time and costs necessary to complete any such business combination. We have filed a Registration Statement on Form 8-A with the SEC to volunta</w:t>
      </w:r>
      <w:r>
        <w:rPr>
          <w:sz w:val="20"/>
          <w:szCs w:val="20"/>
        </w:rPr>
        <w:t>rily register our securities under Section 12 of the Exchange Act. As a result, we are subject to the rules and regulations promulgated under the Exchange Act. We have no current intention of filing a Form 15 to suspend our reporting or other obligations u</w:t>
      </w:r>
      <w:r>
        <w:rPr>
          <w:sz w:val="20"/>
          <w:szCs w:val="20"/>
        </w:rPr>
        <w:t>nder the Exchange Act prior or subsequent to the consummation of our initial business combination.</w:t>
      </w:r>
    </w:p>
    <w:p w14:paraId="19608F3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861F390"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will remain an emerging growth company until the earlier of (1) the last day of the fiscal year (a) ending after January 11, 2026, (b) in which we have </w:t>
      </w:r>
      <w:r>
        <w:rPr>
          <w:sz w:val="20"/>
          <w:szCs w:val="20"/>
        </w:rPr>
        <w:t>total annual gross revenue of at least $1.235 billion, or (c)  in which we are deemed to be a large accelerated filer, which means the market value of our shares of Class A common stock that are held by non-affiliates exceeds $700 million as of the prior J</w:t>
      </w:r>
      <w:r>
        <w:rPr>
          <w:sz w:val="20"/>
          <w:szCs w:val="20"/>
        </w:rPr>
        <w:t>une 30, and (2) the date on which we have issued more than $1.0 billion in non-convertible debt during the prior three-year period.</w:t>
      </w:r>
    </w:p>
    <w:p w14:paraId="50C9ADF5" w14:textId="77777777" w:rsidR="00000000" w:rsidRDefault="00087966">
      <w:pPr>
        <w:pStyle w:val="a3"/>
        <w:spacing w:before="0" w:beforeAutospacing="0" w:after="0" w:afterAutospacing="0"/>
        <w:jc w:val="both"/>
        <w:divId w:val="1595479706"/>
        <w:rPr>
          <w:sz w:val="20"/>
          <w:szCs w:val="20"/>
        </w:rPr>
      </w:pPr>
      <w:r>
        <w:rPr>
          <w:sz w:val="20"/>
          <w:szCs w:val="20"/>
        </w:rPr>
        <w:t> </w:t>
      </w:r>
    </w:p>
    <w:p w14:paraId="64237741" w14:textId="77777777" w:rsidR="00000000" w:rsidRDefault="00087966">
      <w:pPr>
        <w:pStyle w:val="a3"/>
        <w:spacing w:before="0" w:beforeAutospacing="0" w:after="0" w:afterAutospacing="0"/>
        <w:jc w:val="center"/>
        <w:divId w:val="652297893"/>
        <w:rPr>
          <w:sz w:val="20"/>
          <w:szCs w:val="20"/>
        </w:rPr>
      </w:pPr>
      <w:r>
        <w:rPr>
          <w:sz w:val="20"/>
          <w:szCs w:val="20"/>
        </w:rPr>
        <w:t>3</w:t>
      </w:r>
      <w:r>
        <w:rPr>
          <w:sz w:val="20"/>
          <w:szCs w:val="20"/>
        </w:rPr>
        <w:t>0</w:t>
      </w:r>
    </w:p>
    <w:p w14:paraId="3FA2DDFE" w14:textId="77777777" w:rsidR="00000000" w:rsidRDefault="00087966">
      <w:pPr>
        <w:pStyle w:val="a3"/>
        <w:spacing w:before="0" w:beforeAutospacing="0" w:after="0" w:afterAutospacing="0"/>
        <w:divId w:val="978192602"/>
        <w:rPr>
          <w:sz w:val="20"/>
          <w:szCs w:val="20"/>
        </w:rPr>
      </w:pPr>
      <w:r>
        <w:rPr>
          <w:sz w:val="20"/>
          <w:szCs w:val="20"/>
        </w:rPr>
        <w:t> </w:t>
      </w:r>
    </w:p>
    <w:p w14:paraId="662B29E5" w14:textId="77777777" w:rsidR="00000000" w:rsidRDefault="00087966">
      <w:pPr>
        <w:pStyle w:val="a3"/>
        <w:spacing w:before="0" w:beforeAutospacing="0" w:after="0" w:afterAutospacing="0"/>
        <w:jc w:val="both"/>
        <w:divId w:val="1595479706"/>
        <w:rPr>
          <w:sz w:val="20"/>
          <w:szCs w:val="20"/>
        </w:rPr>
      </w:pPr>
      <w:r>
        <w:rPr>
          <w:sz w:val="20"/>
          <w:szCs w:val="20"/>
        </w:rPr>
        <w:t> </w:t>
      </w:r>
    </w:p>
    <w:p w14:paraId="20F3211E" w14:textId="77777777" w:rsidR="00000000" w:rsidRDefault="00087966">
      <w:pPr>
        <w:pStyle w:val="a3"/>
        <w:spacing w:before="0" w:beforeAutospacing="0" w:after="0" w:afterAutospacing="0"/>
        <w:jc w:val="both"/>
        <w:divId w:val="1595479706"/>
        <w:rPr>
          <w:sz w:val="20"/>
          <w:szCs w:val="20"/>
        </w:rPr>
      </w:pPr>
      <w:r>
        <w:rPr>
          <w:b/>
          <w:bCs/>
          <w:sz w:val="20"/>
          <w:szCs w:val="20"/>
        </w:rPr>
        <w:t>Item 1A.  Risk Factors.</w:t>
      </w:r>
    </w:p>
    <w:p w14:paraId="2A4A3718" w14:textId="77777777" w:rsidR="00000000" w:rsidRDefault="00087966">
      <w:pPr>
        <w:pStyle w:val="a3"/>
        <w:spacing w:before="0" w:beforeAutospacing="0" w:after="0" w:afterAutospacing="0"/>
        <w:jc w:val="both"/>
        <w:divId w:val="1595479706"/>
        <w:rPr>
          <w:sz w:val="20"/>
          <w:szCs w:val="20"/>
        </w:rPr>
      </w:pPr>
      <w:r>
        <w:rPr>
          <w:sz w:val="20"/>
          <w:szCs w:val="20"/>
        </w:rPr>
        <w:t> </w:t>
      </w:r>
    </w:p>
    <w:p w14:paraId="7C305A39"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As a smaller reporting company under Rule 12b-2 of the Exchange Act, we are not required </w:t>
      </w:r>
      <w:r>
        <w:rPr>
          <w:sz w:val="20"/>
          <w:szCs w:val="20"/>
        </w:rPr>
        <w:t>to include risk factors in this Report. However, below is a partial list of material risks, uncertainties and other factors that could have a material effect on the Company and its operations:</w:t>
      </w:r>
    </w:p>
    <w:p w14:paraId="660239FC"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5CEB846" w14:textId="77777777">
        <w:trPr>
          <w:divId w:val="1595479706"/>
          <w:tblCellSpacing w:w="0" w:type="dxa"/>
        </w:trPr>
        <w:tc>
          <w:tcPr>
            <w:tcW w:w="720" w:type="dxa"/>
            <w:hideMark/>
          </w:tcPr>
          <w:p w14:paraId="7E776D5B" w14:textId="77777777" w:rsidR="00000000" w:rsidRDefault="00087966">
            <w:pPr>
              <w:rPr>
                <w:rFonts w:eastAsia="Times New Roman"/>
                <w:sz w:val="20"/>
                <w:szCs w:val="20"/>
              </w:rPr>
            </w:pPr>
            <w:r>
              <w:rPr>
                <w:rFonts w:eastAsia="Times New Roman"/>
                <w:sz w:val="20"/>
                <w:szCs w:val="20"/>
              </w:rPr>
              <w:t> </w:t>
            </w:r>
          </w:p>
        </w:tc>
        <w:tc>
          <w:tcPr>
            <w:tcW w:w="360" w:type="dxa"/>
            <w:hideMark/>
          </w:tcPr>
          <w:p w14:paraId="46AB4314"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3393C65" w14:textId="77777777" w:rsidR="00000000" w:rsidRDefault="00087966">
            <w:pPr>
              <w:jc w:val="both"/>
              <w:rPr>
                <w:rFonts w:eastAsia="Times New Roman"/>
                <w:sz w:val="20"/>
                <w:szCs w:val="20"/>
              </w:rPr>
            </w:pPr>
            <w:r>
              <w:rPr>
                <w:rFonts w:eastAsia="Times New Roman"/>
                <w:sz w:val="20"/>
                <w:szCs w:val="20"/>
              </w:rPr>
              <w:t>we are a blank check company with no revenue or basis to evaluate our ability to select a suitable business target;</w:t>
            </w:r>
          </w:p>
        </w:tc>
      </w:tr>
    </w:tbl>
    <w:p w14:paraId="56801724"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ED0C436" w14:textId="77777777">
        <w:trPr>
          <w:divId w:val="1595479706"/>
          <w:tblCellSpacing w:w="0" w:type="dxa"/>
        </w:trPr>
        <w:tc>
          <w:tcPr>
            <w:tcW w:w="720" w:type="dxa"/>
            <w:hideMark/>
          </w:tcPr>
          <w:p w14:paraId="0B04A562" w14:textId="77777777" w:rsidR="00000000" w:rsidRDefault="00087966">
            <w:pPr>
              <w:rPr>
                <w:rFonts w:eastAsia="Times New Roman"/>
                <w:sz w:val="20"/>
                <w:szCs w:val="20"/>
              </w:rPr>
            </w:pPr>
            <w:r>
              <w:rPr>
                <w:rFonts w:eastAsia="Times New Roman"/>
                <w:sz w:val="20"/>
                <w:szCs w:val="20"/>
              </w:rPr>
              <w:t> </w:t>
            </w:r>
          </w:p>
        </w:tc>
        <w:tc>
          <w:tcPr>
            <w:tcW w:w="360" w:type="dxa"/>
            <w:hideMark/>
          </w:tcPr>
          <w:p w14:paraId="4C496A41"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77E2EA8" w14:textId="77777777" w:rsidR="00000000" w:rsidRDefault="00087966">
            <w:pPr>
              <w:jc w:val="both"/>
              <w:rPr>
                <w:rFonts w:eastAsia="Times New Roman"/>
                <w:sz w:val="20"/>
                <w:szCs w:val="20"/>
              </w:rPr>
            </w:pPr>
            <w:r>
              <w:rPr>
                <w:rFonts w:eastAsia="Times New Roman"/>
                <w:sz w:val="20"/>
                <w:szCs w:val="20"/>
              </w:rPr>
              <w:t>we may not be able to select an appropriate target business or businesses and complete our initial business combination in the prescr</w:t>
            </w:r>
            <w:r>
              <w:rPr>
                <w:rFonts w:eastAsia="Times New Roman"/>
                <w:sz w:val="20"/>
                <w:szCs w:val="20"/>
              </w:rPr>
              <w:t xml:space="preserve">ibed time frame, including the Near Business Combination; </w:t>
            </w:r>
          </w:p>
        </w:tc>
      </w:tr>
    </w:tbl>
    <w:p w14:paraId="2A043C03"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50BF007" w14:textId="77777777">
        <w:trPr>
          <w:divId w:val="1595479706"/>
          <w:tblCellSpacing w:w="0" w:type="dxa"/>
        </w:trPr>
        <w:tc>
          <w:tcPr>
            <w:tcW w:w="720" w:type="dxa"/>
            <w:hideMark/>
          </w:tcPr>
          <w:p w14:paraId="7F7F043F" w14:textId="77777777" w:rsidR="00000000" w:rsidRDefault="00087966">
            <w:pPr>
              <w:rPr>
                <w:rFonts w:eastAsia="Times New Roman"/>
                <w:sz w:val="20"/>
                <w:szCs w:val="20"/>
              </w:rPr>
            </w:pPr>
            <w:r>
              <w:rPr>
                <w:rFonts w:eastAsia="Times New Roman"/>
                <w:sz w:val="20"/>
                <w:szCs w:val="20"/>
              </w:rPr>
              <w:t> </w:t>
            </w:r>
          </w:p>
        </w:tc>
        <w:tc>
          <w:tcPr>
            <w:tcW w:w="360" w:type="dxa"/>
            <w:hideMark/>
          </w:tcPr>
          <w:p w14:paraId="46D2D7D4"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1AEAC12" w14:textId="77777777" w:rsidR="00000000" w:rsidRDefault="00087966">
            <w:pPr>
              <w:jc w:val="both"/>
              <w:rPr>
                <w:rFonts w:eastAsia="Times New Roman"/>
                <w:sz w:val="20"/>
                <w:szCs w:val="20"/>
              </w:rPr>
            </w:pPr>
            <w:r>
              <w:rPr>
                <w:rFonts w:eastAsia="Times New Roman"/>
                <w:sz w:val="20"/>
                <w:szCs w:val="20"/>
              </w:rPr>
              <w:t xml:space="preserve">our expectations around the performance of a prospective target business or businesses, such as Near, may not be realized; </w:t>
            </w:r>
          </w:p>
        </w:tc>
      </w:tr>
    </w:tbl>
    <w:p w14:paraId="76040CF0"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8C20237" w14:textId="77777777">
        <w:trPr>
          <w:divId w:val="1595479706"/>
          <w:tblCellSpacing w:w="0" w:type="dxa"/>
        </w:trPr>
        <w:tc>
          <w:tcPr>
            <w:tcW w:w="720" w:type="dxa"/>
            <w:hideMark/>
          </w:tcPr>
          <w:p w14:paraId="14714F92" w14:textId="77777777" w:rsidR="00000000" w:rsidRDefault="00087966">
            <w:pPr>
              <w:rPr>
                <w:rFonts w:eastAsia="Times New Roman"/>
                <w:sz w:val="20"/>
                <w:szCs w:val="20"/>
              </w:rPr>
            </w:pPr>
            <w:r>
              <w:rPr>
                <w:rFonts w:eastAsia="Times New Roman"/>
                <w:sz w:val="20"/>
                <w:szCs w:val="20"/>
              </w:rPr>
              <w:t> </w:t>
            </w:r>
          </w:p>
        </w:tc>
        <w:tc>
          <w:tcPr>
            <w:tcW w:w="360" w:type="dxa"/>
            <w:hideMark/>
          </w:tcPr>
          <w:p w14:paraId="5A065B98"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0F4C1F7" w14:textId="77777777" w:rsidR="00000000" w:rsidRDefault="00087966">
            <w:pPr>
              <w:jc w:val="both"/>
              <w:rPr>
                <w:rFonts w:eastAsia="Times New Roman"/>
                <w:sz w:val="20"/>
                <w:szCs w:val="20"/>
              </w:rPr>
            </w:pPr>
            <w:r>
              <w:rPr>
                <w:rFonts w:eastAsia="Times New Roman"/>
                <w:sz w:val="20"/>
                <w:szCs w:val="20"/>
              </w:rPr>
              <w:t>we may not be successful in retaining or recruiting require</w:t>
            </w:r>
            <w:r>
              <w:rPr>
                <w:rFonts w:eastAsia="Times New Roman"/>
                <w:sz w:val="20"/>
                <w:szCs w:val="20"/>
              </w:rPr>
              <w:t xml:space="preserve">d officers, key employees or directors following our initial business combination; </w:t>
            </w:r>
          </w:p>
        </w:tc>
      </w:tr>
    </w:tbl>
    <w:p w14:paraId="15DBB786"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6EECEA1" w14:textId="77777777">
        <w:trPr>
          <w:divId w:val="1595479706"/>
          <w:tblCellSpacing w:w="0" w:type="dxa"/>
        </w:trPr>
        <w:tc>
          <w:tcPr>
            <w:tcW w:w="720" w:type="dxa"/>
            <w:hideMark/>
          </w:tcPr>
          <w:p w14:paraId="291C445B" w14:textId="77777777" w:rsidR="00000000" w:rsidRDefault="00087966">
            <w:pPr>
              <w:rPr>
                <w:rFonts w:eastAsia="Times New Roman"/>
                <w:sz w:val="20"/>
                <w:szCs w:val="20"/>
              </w:rPr>
            </w:pPr>
            <w:r>
              <w:rPr>
                <w:rFonts w:eastAsia="Times New Roman"/>
                <w:sz w:val="20"/>
                <w:szCs w:val="20"/>
              </w:rPr>
              <w:t> </w:t>
            </w:r>
          </w:p>
        </w:tc>
        <w:tc>
          <w:tcPr>
            <w:tcW w:w="360" w:type="dxa"/>
            <w:hideMark/>
          </w:tcPr>
          <w:p w14:paraId="3C772522"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1D86D88" w14:textId="77777777" w:rsidR="00000000" w:rsidRDefault="00087966">
            <w:pPr>
              <w:jc w:val="both"/>
              <w:rPr>
                <w:rFonts w:eastAsia="Times New Roman"/>
                <w:sz w:val="20"/>
                <w:szCs w:val="20"/>
              </w:rPr>
            </w:pPr>
            <w:r>
              <w:rPr>
                <w:rFonts w:eastAsia="Times New Roman"/>
                <w:sz w:val="20"/>
                <w:szCs w:val="20"/>
              </w:rPr>
              <w:t>our officers and directors may have difficulties allocating their time between the Company and other businesses and may potentially have conflicts of interest with our business or in approving our initial business combination;</w:t>
            </w:r>
          </w:p>
        </w:tc>
      </w:tr>
    </w:tbl>
    <w:p w14:paraId="3279B04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83128D9" w14:textId="77777777">
        <w:trPr>
          <w:divId w:val="1595479706"/>
          <w:tblCellSpacing w:w="0" w:type="dxa"/>
        </w:trPr>
        <w:tc>
          <w:tcPr>
            <w:tcW w:w="720" w:type="dxa"/>
            <w:hideMark/>
          </w:tcPr>
          <w:p w14:paraId="016BAF8B" w14:textId="77777777" w:rsidR="00000000" w:rsidRDefault="00087966">
            <w:pPr>
              <w:rPr>
                <w:rFonts w:eastAsia="Times New Roman"/>
                <w:sz w:val="20"/>
                <w:szCs w:val="20"/>
              </w:rPr>
            </w:pPr>
            <w:r>
              <w:rPr>
                <w:rFonts w:eastAsia="Times New Roman"/>
                <w:sz w:val="20"/>
                <w:szCs w:val="20"/>
              </w:rPr>
              <w:t> </w:t>
            </w:r>
          </w:p>
        </w:tc>
        <w:tc>
          <w:tcPr>
            <w:tcW w:w="360" w:type="dxa"/>
            <w:hideMark/>
          </w:tcPr>
          <w:p w14:paraId="1B3A19A0" w14:textId="77777777" w:rsidR="00000000" w:rsidRDefault="00087966">
            <w:pPr>
              <w:jc w:val="both"/>
              <w:rPr>
                <w:rFonts w:eastAsia="Times New Roman"/>
                <w:sz w:val="20"/>
                <w:szCs w:val="20"/>
              </w:rPr>
            </w:pPr>
            <w:r>
              <w:rPr>
                <w:rFonts w:eastAsia="Times New Roman"/>
                <w:sz w:val="20"/>
                <w:szCs w:val="20"/>
              </w:rPr>
              <w:t>●</w:t>
            </w:r>
          </w:p>
        </w:tc>
        <w:tc>
          <w:tcPr>
            <w:tcW w:w="0" w:type="auto"/>
            <w:tcMar>
              <w:top w:w="0" w:type="dxa"/>
              <w:left w:w="0" w:type="dxa"/>
              <w:bottom w:w="60" w:type="dxa"/>
              <w:right w:w="0" w:type="dxa"/>
            </w:tcMar>
            <w:hideMark/>
          </w:tcPr>
          <w:p w14:paraId="1EF5D676" w14:textId="77777777" w:rsidR="00000000" w:rsidRDefault="00087966">
            <w:pPr>
              <w:jc w:val="both"/>
              <w:rPr>
                <w:rFonts w:eastAsia="Times New Roman"/>
                <w:sz w:val="20"/>
                <w:szCs w:val="20"/>
              </w:rPr>
            </w:pPr>
            <w:r>
              <w:rPr>
                <w:rFonts w:eastAsia="Times New Roman"/>
                <w:sz w:val="20"/>
                <w:szCs w:val="20"/>
              </w:rPr>
              <w:t xml:space="preserve">we may not be able to </w:t>
            </w:r>
            <w:r>
              <w:rPr>
                <w:rFonts w:eastAsia="Times New Roman"/>
                <w:sz w:val="20"/>
                <w:szCs w:val="20"/>
              </w:rPr>
              <w:t>obtain additional financing to complete our initial business combination, including the Near Business Combination, or reduce the number of shareholders requesting redemption;</w:t>
            </w:r>
          </w:p>
        </w:tc>
      </w:tr>
    </w:tbl>
    <w:p w14:paraId="70F8E2F6"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EA4DC30" w14:textId="77777777">
        <w:trPr>
          <w:divId w:val="1595479706"/>
          <w:tblCellSpacing w:w="0" w:type="dxa"/>
        </w:trPr>
        <w:tc>
          <w:tcPr>
            <w:tcW w:w="720" w:type="dxa"/>
            <w:hideMark/>
          </w:tcPr>
          <w:p w14:paraId="1727DC86" w14:textId="77777777" w:rsidR="00000000" w:rsidRDefault="00087966">
            <w:pPr>
              <w:rPr>
                <w:rFonts w:eastAsia="Times New Roman"/>
                <w:sz w:val="20"/>
                <w:szCs w:val="20"/>
              </w:rPr>
            </w:pPr>
            <w:r>
              <w:rPr>
                <w:rFonts w:eastAsia="Times New Roman"/>
                <w:sz w:val="20"/>
                <w:szCs w:val="20"/>
              </w:rPr>
              <w:t> </w:t>
            </w:r>
          </w:p>
        </w:tc>
        <w:tc>
          <w:tcPr>
            <w:tcW w:w="360" w:type="dxa"/>
            <w:hideMark/>
          </w:tcPr>
          <w:p w14:paraId="6F43BC8B" w14:textId="77777777" w:rsidR="00000000" w:rsidRDefault="00087966">
            <w:pPr>
              <w:jc w:val="both"/>
              <w:rPr>
                <w:rFonts w:eastAsia="Times New Roman"/>
                <w:sz w:val="20"/>
                <w:szCs w:val="20"/>
              </w:rPr>
            </w:pPr>
            <w:r>
              <w:rPr>
                <w:rFonts w:eastAsia="Times New Roman"/>
                <w:sz w:val="20"/>
                <w:szCs w:val="20"/>
              </w:rPr>
              <w:t>●</w:t>
            </w:r>
          </w:p>
        </w:tc>
        <w:tc>
          <w:tcPr>
            <w:tcW w:w="0" w:type="auto"/>
            <w:tcMar>
              <w:top w:w="0" w:type="dxa"/>
              <w:left w:w="0" w:type="dxa"/>
              <w:bottom w:w="60" w:type="dxa"/>
              <w:right w:w="0" w:type="dxa"/>
            </w:tcMar>
            <w:hideMark/>
          </w:tcPr>
          <w:p w14:paraId="14A525B9" w14:textId="77777777" w:rsidR="00000000" w:rsidRDefault="00087966">
            <w:pPr>
              <w:jc w:val="both"/>
              <w:rPr>
                <w:rFonts w:eastAsia="Times New Roman"/>
                <w:sz w:val="20"/>
                <w:szCs w:val="20"/>
              </w:rPr>
            </w:pPr>
            <w:r>
              <w:rPr>
                <w:rFonts w:eastAsia="Times New Roman"/>
                <w:sz w:val="20"/>
                <w:szCs w:val="20"/>
              </w:rPr>
              <w:t>we may issue our shares to investors in connection with our initial busine</w:t>
            </w:r>
            <w:r>
              <w:rPr>
                <w:rFonts w:eastAsia="Times New Roman"/>
                <w:sz w:val="20"/>
                <w:szCs w:val="20"/>
              </w:rPr>
              <w:t>ss combination at a price that is less than the prevailing market price of our shares at that time;</w:t>
            </w:r>
          </w:p>
        </w:tc>
      </w:tr>
    </w:tbl>
    <w:p w14:paraId="359FD6D5"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2BE79E3" w14:textId="77777777">
        <w:trPr>
          <w:divId w:val="1595479706"/>
          <w:tblCellSpacing w:w="0" w:type="dxa"/>
        </w:trPr>
        <w:tc>
          <w:tcPr>
            <w:tcW w:w="720" w:type="dxa"/>
            <w:hideMark/>
          </w:tcPr>
          <w:p w14:paraId="50018876" w14:textId="77777777" w:rsidR="00000000" w:rsidRDefault="00087966">
            <w:pPr>
              <w:rPr>
                <w:rFonts w:eastAsia="Times New Roman"/>
                <w:sz w:val="20"/>
                <w:szCs w:val="20"/>
              </w:rPr>
            </w:pPr>
            <w:r>
              <w:rPr>
                <w:rFonts w:eastAsia="Times New Roman"/>
                <w:sz w:val="20"/>
                <w:szCs w:val="20"/>
              </w:rPr>
              <w:t> </w:t>
            </w:r>
          </w:p>
        </w:tc>
        <w:tc>
          <w:tcPr>
            <w:tcW w:w="360" w:type="dxa"/>
            <w:hideMark/>
          </w:tcPr>
          <w:p w14:paraId="65DD03F6"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AEDE030" w14:textId="77777777" w:rsidR="00000000" w:rsidRDefault="00087966">
            <w:pPr>
              <w:jc w:val="both"/>
              <w:rPr>
                <w:rFonts w:eastAsia="Times New Roman"/>
                <w:sz w:val="20"/>
                <w:szCs w:val="20"/>
              </w:rPr>
            </w:pPr>
            <w:r>
              <w:rPr>
                <w:rFonts w:eastAsia="Times New Roman"/>
                <w:sz w:val="20"/>
                <w:szCs w:val="20"/>
              </w:rPr>
              <w:t>you may not be given the opportunity to choose the initial business target or to vote on the initial business combination;</w:t>
            </w:r>
          </w:p>
        </w:tc>
      </w:tr>
    </w:tbl>
    <w:p w14:paraId="2056DB66"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2D60F3B" w14:textId="77777777">
        <w:trPr>
          <w:divId w:val="1595479706"/>
          <w:tblCellSpacing w:w="0" w:type="dxa"/>
        </w:trPr>
        <w:tc>
          <w:tcPr>
            <w:tcW w:w="720" w:type="dxa"/>
            <w:hideMark/>
          </w:tcPr>
          <w:p w14:paraId="3F2B9B0A" w14:textId="77777777" w:rsidR="00000000" w:rsidRDefault="00087966">
            <w:pPr>
              <w:rPr>
                <w:rFonts w:eastAsia="Times New Roman"/>
                <w:sz w:val="20"/>
                <w:szCs w:val="20"/>
              </w:rPr>
            </w:pPr>
            <w:r>
              <w:rPr>
                <w:rFonts w:eastAsia="Times New Roman"/>
                <w:sz w:val="20"/>
                <w:szCs w:val="20"/>
              </w:rPr>
              <w:t> </w:t>
            </w:r>
          </w:p>
        </w:tc>
        <w:tc>
          <w:tcPr>
            <w:tcW w:w="360" w:type="dxa"/>
            <w:hideMark/>
          </w:tcPr>
          <w:p w14:paraId="06E7B750"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2702207" w14:textId="77777777" w:rsidR="00000000" w:rsidRDefault="00087966">
            <w:pPr>
              <w:jc w:val="both"/>
              <w:rPr>
                <w:rFonts w:eastAsia="Times New Roman"/>
                <w:sz w:val="20"/>
                <w:szCs w:val="20"/>
              </w:rPr>
            </w:pPr>
            <w:r>
              <w:rPr>
                <w:rFonts w:eastAsia="Times New Roman"/>
                <w:sz w:val="20"/>
                <w:szCs w:val="20"/>
              </w:rPr>
              <w:t>trust account funds</w:t>
            </w:r>
            <w:r>
              <w:rPr>
                <w:rFonts w:eastAsia="Times New Roman"/>
                <w:sz w:val="20"/>
                <w:szCs w:val="20"/>
              </w:rPr>
              <w:t xml:space="preserve"> may not be protected against third party claims or bankruptcy;</w:t>
            </w:r>
          </w:p>
        </w:tc>
      </w:tr>
    </w:tbl>
    <w:p w14:paraId="0913161E"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812435C" w14:textId="77777777">
        <w:trPr>
          <w:divId w:val="1595479706"/>
          <w:tblCellSpacing w:w="0" w:type="dxa"/>
        </w:trPr>
        <w:tc>
          <w:tcPr>
            <w:tcW w:w="720" w:type="dxa"/>
            <w:hideMark/>
          </w:tcPr>
          <w:p w14:paraId="3C44328C" w14:textId="77777777" w:rsidR="00000000" w:rsidRDefault="00087966">
            <w:pPr>
              <w:rPr>
                <w:rFonts w:eastAsia="Times New Roman"/>
                <w:sz w:val="20"/>
                <w:szCs w:val="20"/>
              </w:rPr>
            </w:pPr>
            <w:r>
              <w:rPr>
                <w:rFonts w:eastAsia="Times New Roman"/>
                <w:sz w:val="20"/>
                <w:szCs w:val="20"/>
              </w:rPr>
              <w:t> </w:t>
            </w:r>
          </w:p>
        </w:tc>
        <w:tc>
          <w:tcPr>
            <w:tcW w:w="360" w:type="dxa"/>
            <w:hideMark/>
          </w:tcPr>
          <w:p w14:paraId="1F5400CC"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4AF6713" w14:textId="77777777" w:rsidR="00000000" w:rsidRDefault="00087966">
            <w:pPr>
              <w:jc w:val="both"/>
              <w:rPr>
                <w:rFonts w:eastAsia="Times New Roman"/>
                <w:sz w:val="20"/>
                <w:szCs w:val="20"/>
              </w:rPr>
            </w:pPr>
            <w:r>
              <w:rPr>
                <w:rFonts w:eastAsia="Times New Roman"/>
                <w:sz w:val="20"/>
                <w:szCs w:val="20"/>
              </w:rPr>
              <w:t>an active market for our public securities may not develop and you will have limited liquidity and trading;</w:t>
            </w:r>
          </w:p>
        </w:tc>
      </w:tr>
    </w:tbl>
    <w:p w14:paraId="3FAED2D9"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8451075" w14:textId="77777777">
        <w:trPr>
          <w:divId w:val="1595479706"/>
          <w:tblCellSpacing w:w="0" w:type="dxa"/>
        </w:trPr>
        <w:tc>
          <w:tcPr>
            <w:tcW w:w="720" w:type="dxa"/>
            <w:hideMark/>
          </w:tcPr>
          <w:p w14:paraId="30DBB20A" w14:textId="77777777" w:rsidR="00000000" w:rsidRDefault="00087966">
            <w:pPr>
              <w:rPr>
                <w:rFonts w:eastAsia="Times New Roman"/>
                <w:sz w:val="20"/>
                <w:szCs w:val="20"/>
              </w:rPr>
            </w:pPr>
            <w:r>
              <w:rPr>
                <w:rFonts w:eastAsia="Times New Roman"/>
                <w:sz w:val="20"/>
                <w:szCs w:val="20"/>
              </w:rPr>
              <w:t> </w:t>
            </w:r>
          </w:p>
        </w:tc>
        <w:tc>
          <w:tcPr>
            <w:tcW w:w="360" w:type="dxa"/>
            <w:hideMark/>
          </w:tcPr>
          <w:p w14:paraId="7749EFFD"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A88AC40" w14:textId="77777777" w:rsidR="00000000" w:rsidRDefault="00087966">
            <w:pPr>
              <w:jc w:val="both"/>
              <w:rPr>
                <w:rFonts w:eastAsia="Times New Roman"/>
                <w:sz w:val="20"/>
                <w:szCs w:val="20"/>
              </w:rPr>
            </w:pPr>
            <w:r>
              <w:rPr>
                <w:rFonts w:eastAsia="Times New Roman"/>
                <w:sz w:val="20"/>
                <w:szCs w:val="20"/>
              </w:rPr>
              <w:t>the availability to us of funds from interest income on the trust account balance may be insufficient to operate our business prior to the bu</w:t>
            </w:r>
            <w:r>
              <w:rPr>
                <w:rFonts w:eastAsia="Times New Roman"/>
                <w:sz w:val="20"/>
                <w:szCs w:val="20"/>
              </w:rPr>
              <w:t>siness combination;</w:t>
            </w:r>
          </w:p>
        </w:tc>
      </w:tr>
    </w:tbl>
    <w:p w14:paraId="2C951FFD"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C75B323" w14:textId="77777777">
        <w:trPr>
          <w:divId w:val="1595479706"/>
          <w:tblCellSpacing w:w="0" w:type="dxa"/>
        </w:trPr>
        <w:tc>
          <w:tcPr>
            <w:tcW w:w="720" w:type="dxa"/>
            <w:hideMark/>
          </w:tcPr>
          <w:p w14:paraId="6FF8EB53" w14:textId="77777777" w:rsidR="00000000" w:rsidRDefault="00087966">
            <w:pPr>
              <w:rPr>
                <w:rFonts w:eastAsia="Times New Roman"/>
                <w:sz w:val="20"/>
                <w:szCs w:val="20"/>
              </w:rPr>
            </w:pPr>
            <w:r>
              <w:rPr>
                <w:rFonts w:eastAsia="Times New Roman"/>
                <w:sz w:val="20"/>
                <w:szCs w:val="20"/>
              </w:rPr>
              <w:t> </w:t>
            </w:r>
          </w:p>
        </w:tc>
        <w:tc>
          <w:tcPr>
            <w:tcW w:w="360" w:type="dxa"/>
            <w:hideMark/>
          </w:tcPr>
          <w:p w14:paraId="3B68B4C1"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AEB35A4" w14:textId="77777777" w:rsidR="00000000" w:rsidRDefault="00087966">
            <w:pPr>
              <w:jc w:val="both"/>
              <w:rPr>
                <w:rFonts w:eastAsia="Times New Roman"/>
                <w:sz w:val="20"/>
                <w:szCs w:val="20"/>
              </w:rPr>
            </w:pPr>
            <w:r>
              <w:rPr>
                <w:rFonts w:eastAsia="Times New Roman"/>
                <w:sz w:val="20"/>
                <w:szCs w:val="20"/>
              </w:rPr>
              <w:t>our financial performance following a business combination with an entity may be negatively affected by their lack of an established record of revenue, cash flows and experienced management;</w:t>
            </w:r>
          </w:p>
        </w:tc>
      </w:tr>
      <w:tr w:rsidR="00000000" w14:paraId="20530B10" w14:textId="77777777">
        <w:trPr>
          <w:divId w:val="1595479706"/>
          <w:tblCellSpacing w:w="0" w:type="dxa"/>
        </w:trPr>
        <w:tc>
          <w:tcPr>
            <w:tcW w:w="0" w:type="auto"/>
            <w:hideMark/>
          </w:tcPr>
          <w:p w14:paraId="7A662864"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C288D13"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7AB8D868" w14:textId="77777777" w:rsidR="00000000" w:rsidRDefault="00087966">
            <w:pPr>
              <w:jc w:val="both"/>
              <w:rPr>
                <w:rFonts w:eastAsia="Times New Roman"/>
                <w:sz w:val="20"/>
                <w:szCs w:val="20"/>
              </w:rPr>
            </w:pPr>
            <w:r>
              <w:rPr>
                <w:rFonts w:eastAsia="Times New Roman"/>
                <w:sz w:val="20"/>
                <w:szCs w:val="20"/>
              </w:rPr>
              <w:t> </w:t>
            </w:r>
          </w:p>
        </w:tc>
      </w:tr>
      <w:tr w:rsidR="00000000" w14:paraId="49C24E0B" w14:textId="77777777">
        <w:trPr>
          <w:divId w:val="1595479706"/>
          <w:tblCellSpacing w:w="0" w:type="dxa"/>
        </w:trPr>
        <w:tc>
          <w:tcPr>
            <w:tcW w:w="0" w:type="auto"/>
            <w:hideMark/>
          </w:tcPr>
          <w:p w14:paraId="2CDC3344"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6A77200"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0CD299E" w14:textId="77777777" w:rsidR="00000000" w:rsidRDefault="00087966">
            <w:pPr>
              <w:jc w:val="both"/>
              <w:rPr>
                <w:rFonts w:eastAsia="Times New Roman"/>
                <w:sz w:val="20"/>
                <w:szCs w:val="20"/>
              </w:rPr>
            </w:pPr>
            <w:r>
              <w:rPr>
                <w:rFonts w:eastAsia="Times New Roman"/>
                <w:sz w:val="20"/>
                <w:szCs w:val="20"/>
              </w:rPr>
              <w:t>risks and uncertainties related to the software and technology industries;</w:t>
            </w:r>
          </w:p>
        </w:tc>
      </w:tr>
    </w:tbl>
    <w:p w14:paraId="3E38C5F3"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351A230" w14:textId="77777777">
        <w:trPr>
          <w:divId w:val="1595479706"/>
          <w:tblCellSpacing w:w="0" w:type="dxa"/>
        </w:trPr>
        <w:tc>
          <w:tcPr>
            <w:tcW w:w="720" w:type="dxa"/>
            <w:hideMark/>
          </w:tcPr>
          <w:p w14:paraId="230EDFD5" w14:textId="77777777" w:rsidR="00000000" w:rsidRDefault="00087966">
            <w:pPr>
              <w:rPr>
                <w:rFonts w:eastAsia="Times New Roman"/>
                <w:sz w:val="20"/>
                <w:szCs w:val="20"/>
              </w:rPr>
            </w:pPr>
            <w:r>
              <w:rPr>
                <w:rFonts w:eastAsia="Times New Roman"/>
                <w:sz w:val="20"/>
                <w:szCs w:val="20"/>
              </w:rPr>
              <w:t> </w:t>
            </w:r>
          </w:p>
        </w:tc>
        <w:tc>
          <w:tcPr>
            <w:tcW w:w="360" w:type="dxa"/>
            <w:hideMark/>
          </w:tcPr>
          <w:p w14:paraId="0CADBF15"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0882DCC" w14:textId="77777777" w:rsidR="00000000" w:rsidRDefault="00087966">
            <w:pPr>
              <w:jc w:val="both"/>
              <w:rPr>
                <w:rFonts w:eastAsia="Times New Roman"/>
                <w:sz w:val="20"/>
                <w:szCs w:val="20"/>
              </w:rPr>
            </w:pPr>
            <w:r>
              <w:rPr>
                <w:rFonts w:eastAsia="Times New Roman"/>
                <w:sz w:val="20"/>
                <w:szCs w:val="20"/>
              </w:rPr>
              <w:t>there may be more competition to find an attractive target for an initial business combination, which could increase the costs associated with completing our initial business</w:t>
            </w:r>
            <w:r>
              <w:rPr>
                <w:rFonts w:eastAsia="Times New Roman"/>
                <w:sz w:val="20"/>
                <w:szCs w:val="20"/>
              </w:rPr>
              <w:t xml:space="preserve"> combination and may result in our inability to find a suitable target;</w:t>
            </w:r>
          </w:p>
        </w:tc>
      </w:tr>
    </w:tbl>
    <w:p w14:paraId="6DC7ABF5"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676C905" w14:textId="77777777">
        <w:trPr>
          <w:divId w:val="1595479706"/>
          <w:tblCellSpacing w:w="0" w:type="dxa"/>
        </w:trPr>
        <w:tc>
          <w:tcPr>
            <w:tcW w:w="720" w:type="dxa"/>
            <w:hideMark/>
          </w:tcPr>
          <w:p w14:paraId="201CB4E7" w14:textId="77777777" w:rsidR="00000000" w:rsidRDefault="00087966">
            <w:pPr>
              <w:rPr>
                <w:rFonts w:eastAsia="Times New Roman"/>
                <w:sz w:val="20"/>
                <w:szCs w:val="20"/>
              </w:rPr>
            </w:pPr>
            <w:r>
              <w:rPr>
                <w:rFonts w:eastAsia="Times New Roman"/>
                <w:sz w:val="20"/>
                <w:szCs w:val="20"/>
              </w:rPr>
              <w:t> </w:t>
            </w:r>
          </w:p>
        </w:tc>
        <w:tc>
          <w:tcPr>
            <w:tcW w:w="360" w:type="dxa"/>
            <w:hideMark/>
          </w:tcPr>
          <w:p w14:paraId="0854B373"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474F8BA" w14:textId="77777777" w:rsidR="00000000" w:rsidRDefault="00087966">
            <w:pPr>
              <w:jc w:val="both"/>
              <w:rPr>
                <w:rFonts w:eastAsia="Times New Roman"/>
                <w:sz w:val="20"/>
                <w:szCs w:val="20"/>
              </w:rPr>
            </w:pPr>
            <w:r>
              <w:rPr>
                <w:rFonts w:eastAsia="Times New Roman"/>
                <w:sz w:val="20"/>
                <w:szCs w:val="20"/>
              </w:rPr>
              <w:t>changes in the market for directors and officers liability insurance could make it more difficult and more expensive for us to negotiate and complete an initial business combina</w:t>
            </w:r>
            <w:r>
              <w:rPr>
                <w:rFonts w:eastAsia="Times New Roman"/>
                <w:sz w:val="20"/>
                <w:szCs w:val="20"/>
              </w:rPr>
              <w:t>tion;</w:t>
            </w:r>
          </w:p>
        </w:tc>
      </w:tr>
    </w:tbl>
    <w:p w14:paraId="160A894E"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CC5A9B0" w14:textId="77777777">
        <w:trPr>
          <w:divId w:val="1595479706"/>
          <w:tblCellSpacing w:w="0" w:type="dxa"/>
        </w:trPr>
        <w:tc>
          <w:tcPr>
            <w:tcW w:w="720" w:type="dxa"/>
            <w:hideMark/>
          </w:tcPr>
          <w:p w14:paraId="2D422990" w14:textId="77777777" w:rsidR="00000000" w:rsidRDefault="00087966">
            <w:pPr>
              <w:rPr>
                <w:rFonts w:eastAsia="Times New Roman"/>
                <w:sz w:val="20"/>
                <w:szCs w:val="20"/>
              </w:rPr>
            </w:pPr>
            <w:r>
              <w:rPr>
                <w:rFonts w:eastAsia="Times New Roman"/>
                <w:sz w:val="20"/>
                <w:szCs w:val="20"/>
              </w:rPr>
              <w:t> </w:t>
            </w:r>
          </w:p>
        </w:tc>
        <w:tc>
          <w:tcPr>
            <w:tcW w:w="360" w:type="dxa"/>
            <w:hideMark/>
          </w:tcPr>
          <w:p w14:paraId="5E4143F1"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8D84B19" w14:textId="77777777" w:rsidR="00000000" w:rsidRDefault="00087966">
            <w:pPr>
              <w:jc w:val="both"/>
              <w:rPr>
                <w:rFonts w:eastAsia="Times New Roman"/>
                <w:sz w:val="20"/>
                <w:szCs w:val="20"/>
              </w:rPr>
            </w:pPr>
            <w:r>
              <w:rPr>
                <w:rFonts w:eastAsia="Times New Roman"/>
                <w:sz w:val="20"/>
                <w:szCs w:val="20"/>
              </w:rPr>
              <w:t>our ability to consummate an initial business combination, such as the Near Business Combination, may be adversely affected by economic uncertainty and volatility in the financial markets;</w:t>
            </w:r>
          </w:p>
        </w:tc>
      </w:tr>
    </w:tbl>
    <w:p w14:paraId="760BBA33"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p w14:paraId="3AF31AB5" w14:textId="77777777" w:rsidR="00000000" w:rsidRDefault="00087966">
      <w:pPr>
        <w:pStyle w:val="a3"/>
        <w:spacing w:before="0" w:beforeAutospacing="0" w:after="0" w:afterAutospacing="0"/>
        <w:jc w:val="center"/>
        <w:divId w:val="1669017003"/>
        <w:rPr>
          <w:sz w:val="20"/>
          <w:szCs w:val="20"/>
        </w:rPr>
      </w:pPr>
      <w:r>
        <w:rPr>
          <w:sz w:val="20"/>
          <w:szCs w:val="20"/>
        </w:rPr>
        <w:t>3</w:t>
      </w:r>
      <w:r>
        <w:rPr>
          <w:sz w:val="20"/>
          <w:szCs w:val="20"/>
        </w:rPr>
        <w:t>1</w:t>
      </w:r>
    </w:p>
    <w:p w14:paraId="1B54660D" w14:textId="77777777" w:rsidR="00000000" w:rsidRDefault="00087966">
      <w:pPr>
        <w:pStyle w:val="a3"/>
        <w:spacing w:before="0" w:beforeAutospacing="0" w:after="0" w:afterAutospacing="0"/>
        <w:divId w:val="276761672"/>
        <w:rPr>
          <w:sz w:val="20"/>
          <w:szCs w:val="20"/>
        </w:rPr>
      </w:pPr>
      <w:r>
        <w:rPr>
          <w:sz w:val="20"/>
          <w:szCs w:val="20"/>
        </w:rPr>
        <w:t> </w:t>
      </w:r>
    </w:p>
    <w:p w14:paraId="0FDBC177"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54D9963" w14:textId="77777777">
        <w:trPr>
          <w:divId w:val="1595479706"/>
          <w:tblCellSpacing w:w="0" w:type="dxa"/>
        </w:trPr>
        <w:tc>
          <w:tcPr>
            <w:tcW w:w="720" w:type="dxa"/>
            <w:hideMark/>
          </w:tcPr>
          <w:p w14:paraId="7C99A34E" w14:textId="77777777" w:rsidR="00000000" w:rsidRDefault="00087966">
            <w:pPr>
              <w:rPr>
                <w:rFonts w:eastAsia="Times New Roman"/>
                <w:sz w:val="20"/>
                <w:szCs w:val="20"/>
              </w:rPr>
            </w:pPr>
            <w:r>
              <w:rPr>
                <w:rFonts w:eastAsia="Times New Roman"/>
                <w:sz w:val="20"/>
                <w:szCs w:val="20"/>
              </w:rPr>
              <w:t> </w:t>
            </w:r>
          </w:p>
        </w:tc>
        <w:tc>
          <w:tcPr>
            <w:tcW w:w="360" w:type="dxa"/>
            <w:hideMark/>
          </w:tcPr>
          <w:p w14:paraId="2D1AE691"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C0C0CA2" w14:textId="77777777" w:rsidR="00000000" w:rsidRDefault="00087966">
            <w:pPr>
              <w:jc w:val="both"/>
              <w:rPr>
                <w:rFonts w:eastAsia="Times New Roman"/>
                <w:sz w:val="20"/>
                <w:szCs w:val="20"/>
              </w:rPr>
            </w:pPr>
            <w:r>
              <w:rPr>
                <w:rFonts w:eastAsia="Times New Roman"/>
                <w:sz w:val="20"/>
                <w:szCs w:val="20"/>
              </w:rPr>
              <w:t xml:space="preserve">we may engage one or more of our underwriters or one </w:t>
            </w:r>
            <w:r>
              <w:rPr>
                <w:rFonts w:eastAsia="Times New Roman"/>
                <w:sz w:val="20"/>
                <w:szCs w:val="20"/>
              </w:rPr>
              <w:t>of their respective affiliates to provide additional services to us after the initial public offering, which may include acting as a financial advisor in connection with an initial business combination or as placement agent in connection with a related fin</w:t>
            </w:r>
            <w:r>
              <w:rPr>
                <w:rFonts w:eastAsia="Times New Roman"/>
                <w:sz w:val="20"/>
                <w:szCs w:val="20"/>
              </w:rPr>
              <w:t>ancing transaction. Our underwriters are entitled to receive deferred underwriting commissions that will be released from the trust account only upon a completion of an initial business combination. These financial incentives may cause them to have potenti</w:t>
            </w:r>
            <w:r>
              <w:rPr>
                <w:rFonts w:eastAsia="Times New Roman"/>
                <w:sz w:val="20"/>
                <w:szCs w:val="20"/>
              </w:rPr>
              <w:t>al conflicts of interest in rendering any such additional services to us after the initial public offering, including, for example, in connection with the sourcing and consummation of an initial business combination;</w:t>
            </w:r>
          </w:p>
        </w:tc>
      </w:tr>
    </w:tbl>
    <w:p w14:paraId="3D025297"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08478F9" w14:textId="77777777">
        <w:trPr>
          <w:divId w:val="1595479706"/>
          <w:tblCellSpacing w:w="0" w:type="dxa"/>
        </w:trPr>
        <w:tc>
          <w:tcPr>
            <w:tcW w:w="720" w:type="dxa"/>
            <w:hideMark/>
          </w:tcPr>
          <w:p w14:paraId="1D274CCA" w14:textId="77777777" w:rsidR="00000000" w:rsidRDefault="00087966">
            <w:pPr>
              <w:rPr>
                <w:rFonts w:eastAsia="Times New Roman"/>
                <w:sz w:val="20"/>
                <w:szCs w:val="20"/>
              </w:rPr>
            </w:pPr>
            <w:r>
              <w:rPr>
                <w:rFonts w:eastAsia="Times New Roman"/>
                <w:sz w:val="20"/>
                <w:szCs w:val="20"/>
              </w:rPr>
              <w:t> </w:t>
            </w:r>
          </w:p>
        </w:tc>
        <w:tc>
          <w:tcPr>
            <w:tcW w:w="360" w:type="dxa"/>
            <w:hideMark/>
          </w:tcPr>
          <w:p w14:paraId="07B9A45F"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7E392D2" w14:textId="77777777" w:rsidR="00000000" w:rsidRDefault="00087966">
            <w:pPr>
              <w:jc w:val="both"/>
              <w:rPr>
                <w:rFonts w:eastAsia="Times New Roman"/>
                <w:sz w:val="20"/>
                <w:szCs w:val="20"/>
              </w:rPr>
            </w:pPr>
            <w:r>
              <w:rPr>
                <w:rFonts w:eastAsia="Times New Roman"/>
                <w:sz w:val="20"/>
                <w:szCs w:val="20"/>
              </w:rPr>
              <w:t>we may attempt to complete our i</w:t>
            </w:r>
            <w:r>
              <w:rPr>
                <w:rFonts w:eastAsia="Times New Roman"/>
                <w:sz w:val="20"/>
                <w:szCs w:val="20"/>
              </w:rPr>
              <w:t>nitial business combination with a private company, such as Near, about which little information is available, which may result in a business combination with a company that is not as profitable as we suspected, if at all;</w:t>
            </w:r>
          </w:p>
        </w:tc>
      </w:tr>
    </w:tbl>
    <w:p w14:paraId="2521DDDF"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0126ABD" w14:textId="77777777">
        <w:trPr>
          <w:divId w:val="1595479706"/>
          <w:tblCellSpacing w:w="0" w:type="dxa"/>
        </w:trPr>
        <w:tc>
          <w:tcPr>
            <w:tcW w:w="720" w:type="dxa"/>
            <w:hideMark/>
          </w:tcPr>
          <w:p w14:paraId="1F497FC4" w14:textId="77777777" w:rsidR="00000000" w:rsidRDefault="00087966">
            <w:pPr>
              <w:rPr>
                <w:rFonts w:eastAsia="Times New Roman"/>
                <w:sz w:val="20"/>
                <w:szCs w:val="20"/>
              </w:rPr>
            </w:pPr>
            <w:r>
              <w:rPr>
                <w:rFonts w:eastAsia="Times New Roman"/>
                <w:sz w:val="20"/>
                <w:szCs w:val="20"/>
              </w:rPr>
              <w:t> </w:t>
            </w:r>
          </w:p>
        </w:tc>
        <w:tc>
          <w:tcPr>
            <w:tcW w:w="360" w:type="dxa"/>
            <w:hideMark/>
          </w:tcPr>
          <w:p w14:paraId="61B74E2E"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503F1B98" w14:textId="77777777" w:rsidR="00000000" w:rsidRDefault="00087966">
            <w:pPr>
              <w:jc w:val="both"/>
              <w:rPr>
                <w:rFonts w:eastAsia="Times New Roman"/>
                <w:sz w:val="20"/>
                <w:szCs w:val="20"/>
              </w:rPr>
            </w:pPr>
            <w:r>
              <w:rPr>
                <w:rFonts w:eastAsia="Times New Roman"/>
                <w:sz w:val="20"/>
                <w:szCs w:val="20"/>
              </w:rPr>
              <w:t xml:space="preserve">our warrants are accounted for as derivative liabilities and are recorded at fair value upon issuance with changes in fair value each period reported in earnings, which may have an adverse effect on the market price of our common stock or may make it more </w:t>
            </w:r>
            <w:r>
              <w:rPr>
                <w:rFonts w:eastAsia="Times New Roman"/>
                <w:sz w:val="20"/>
                <w:szCs w:val="20"/>
              </w:rPr>
              <w:t>difficult for us to consummate an initial business combination;</w:t>
            </w:r>
          </w:p>
        </w:tc>
      </w:tr>
    </w:tbl>
    <w:p w14:paraId="7D95AA4D"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A1DDC2F" w14:textId="77777777">
        <w:trPr>
          <w:divId w:val="1595479706"/>
          <w:tblCellSpacing w:w="0" w:type="dxa"/>
        </w:trPr>
        <w:tc>
          <w:tcPr>
            <w:tcW w:w="720" w:type="dxa"/>
            <w:hideMark/>
          </w:tcPr>
          <w:p w14:paraId="71B33D69" w14:textId="77777777" w:rsidR="00000000" w:rsidRDefault="00087966">
            <w:pPr>
              <w:rPr>
                <w:rFonts w:eastAsia="Times New Roman"/>
                <w:sz w:val="20"/>
                <w:szCs w:val="20"/>
              </w:rPr>
            </w:pPr>
            <w:r>
              <w:rPr>
                <w:rFonts w:eastAsia="Times New Roman"/>
                <w:sz w:val="20"/>
                <w:szCs w:val="20"/>
              </w:rPr>
              <w:t> </w:t>
            </w:r>
          </w:p>
        </w:tc>
        <w:tc>
          <w:tcPr>
            <w:tcW w:w="360" w:type="dxa"/>
            <w:hideMark/>
          </w:tcPr>
          <w:p w14:paraId="0447E5A7"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5541D88F" w14:textId="77777777" w:rsidR="00000000" w:rsidRDefault="00087966">
            <w:pPr>
              <w:jc w:val="both"/>
              <w:rPr>
                <w:rFonts w:eastAsia="Times New Roman"/>
                <w:sz w:val="20"/>
                <w:szCs w:val="20"/>
              </w:rPr>
            </w:pPr>
            <w:r>
              <w:rPr>
                <w:rFonts w:eastAsia="Times New Roman"/>
                <w:sz w:val="20"/>
                <w:szCs w:val="20"/>
              </w:rPr>
              <w:t>since our initial stockholders will lose their entire investment in us if our initial business combination is not completed (other than with respect to any public shares they may acquir</w:t>
            </w:r>
            <w:r>
              <w:rPr>
                <w:rFonts w:eastAsia="Times New Roman"/>
                <w:sz w:val="20"/>
                <w:szCs w:val="20"/>
              </w:rPr>
              <w:t>e during or after the initial public offering), and because our sponsor, officers and directors may profit substantially even under circumstances in which our public stockholders would experience losses in connection with their investment, a conflict of in</w:t>
            </w:r>
            <w:r>
              <w:rPr>
                <w:rFonts w:eastAsia="Times New Roman"/>
                <w:sz w:val="20"/>
                <w:szCs w:val="20"/>
              </w:rPr>
              <w:t>terest may arise in determining whether a particular business combination target is appropriate for our initial business combination;</w:t>
            </w:r>
          </w:p>
        </w:tc>
      </w:tr>
    </w:tbl>
    <w:p w14:paraId="4694E90A"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786FE88D" w14:textId="77777777">
        <w:trPr>
          <w:divId w:val="1595479706"/>
          <w:tblCellSpacing w:w="0" w:type="dxa"/>
        </w:trPr>
        <w:tc>
          <w:tcPr>
            <w:tcW w:w="720" w:type="dxa"/>
            <w:hideMark/>
          </w:tcPr>
          <w:p w14:paraId="59BD0909" w14:textId="77777777" w:rsidR="00000000" w:rsidRDefault="00087966">
            <w:pPr>
              <w:rPr>
                <w:rFonts w:eastAsia="Times New Roman"/>
                <w:sz w:val="20"/>
                <w:szCs w:val="20"/>
              </w:rPr>
            </w:pPr>
            <w:r>
              <w:rPr>
                <w:rFonts w:eastAsia="Times New Roman"/>
                <w:sz w:val="20"/>
                <w:szCs w:val="20"/>
              </w:rPr>
              <w:t> </w:t>
            </w:r>
          </w:p>
        </w:tc>
        <w:tc>
          <w:tcPr>
            <w:tcW w:w="360" w:type="dxa"/>
            <w:hideMark/>
          </w:tcPr>
          <w:p w14:paraId="44108765"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9270176" w14:textId="77777777" w:rsidR="00000000" w:rsidRDefault="00087966">
            <w:pPr>
              <w:rPr>
                <w:rFonts w:eastAsia="Times New Roman"/>
                <w:sz w:val="20"/>
                <w:szCs w:val="20"/>
              </w:rPr>
            </w:pPr>
            <w:r>
              <w:rPr>
                <w:rFonts w:eastAsia="Times New Roman"/>
                <w:sz w:val="20"/>
                <w:szCs w:val="20"/>
              </w:rPr>
              <w:t>changes in laws or regulations or how such laws or regulations are interpreted or applied, or a failure to comply w</w:t>
            </w:r>
            <w:r>
              <w:rPr>
                <w:rFonts w:eastAsia="Times New Roman"/>
                <w:sz w:val="20"/>
                <w:szCs w:val="20"/>
              </w:rPr>
              <w:t>ith any laws or regulations, may adversely affect our business, including our ability to negotiate and complete our initial business combination, and results of operations;</w:t>
            </w:r>
          </w:p>
        </w:tc>
      </w:tr>
    </w:tbl>
    <w:p w14:paraId="78395D8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D1EE1E8" w14:textId="77777777">
        <w:trPr>
          <w:divId w:val="1595479706"/>
          <w:tblCellSpacing w:w="0" w:type="dxa"/>
        </w:trPr>
        <w:tc>
          <w:tcPr>
            <w:tcW w:w="720" w:type="dxa"/>
            <w:hideMark/>
          </w:tcPr>
          <w:p w14:paraId="4BC540D5" w14:textId="77777777" w:rsidR="00000000" w:rsidRDefault="00087966">
            <w:pPr>
              <w:rPr>
                <w:rFonts w:eastAsia="Times New Roman"/>
                <w:sz w:val="20"/>
                <w:szCs w:val="20"/>
              </w:rPr>
            </w:pPr>
            <w:r>
              <w:rPr>
                <w:rFonts w:eastAsia="Times New Roman"/>
                <w:sz w:val="20"/>
                <w:szCs w:val="20"/>
              </w:rPr>
              <w:t> </w:t>
            </w:r>
          </w:p>
        </w:tc>
        <w:tc>
          <w:tcPr>
            <w:tcW w:w="360" w:type="dxa"/>
            <w:hideMark/>
          </w:tcPr>
          <w:p w14:paraId="695507EA"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E1D825B" w14:textId="77777777" w:rsidR="00000000" w:rsidRDefault="00087966">
            <w:pPr>
              <w:jc w:val="both"/>
              <w:rPr>
                <w:rFonts w:eastAsia="Times New Roman"/>
                <w:sz w:val="20"/>
                <w:szCs w:val="20"/>
              </w:rPr>
            </w:pPr>
            <w:r>
              <w:rPr>
                <w:rFonts w:eastAsia="Times New Roman"/>
                <w:sz w:val="20"/>
                <w:szCs w:val="20"/>
              </w:rPr>
              <w:t>the value of the founder shares following completion of our initial business</w:t>
            </w:r>
            <w:r>
              <w:rPr>
                <w:rFonts w:eastAsia="Times New Roman"/>
                <w:sz w:val="20"/>
                <w:szCs w:val="20"/>
              </w:rPr>
              <w:t xml:space="preserve"> combination is likely to be substantially higher than the nominal price paid for them, even if the trading price of our common stock at such time is substantially less than $10.00 per share; </w:t>
            </w:r>
          </w:p>
        </w:tc>
      </w:tr>
    </w:tbl>
    <w:p w14:paraId="34CD5D12" w14:textId="77777777" w:rsidR="00000000" w:rsidRDefault="00087966">
      <w:pPr>
        <w:pStyle w:val="a3"/>
        <w:spacing w:before="0" w:beforeAutospacing="0" w:after="0" w:afterAutospacing="0"/>
        <w:ind w:left="144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35B0B99" w14:textId="77777777">
        <w:trPr>
          <w:divId w:val="1595479706"/>
          <w:tblCellSpacing w:w="0" w:type="dxa"/>
        </w:trPr>
        <w:tc>
          <w:tcPr>
            <w:tcW w:w="720" w:type="dxa"/>
            <w:hideMark/>
          </w:tcPr>
          <w:p w14:paraId="45784292" w14:textId="77777777" w:rsidR="00000000" w:rsidRDefault="00087966">
            <w:pPr>
              <w:rPr>
                <w:rFonts w:eastAsia="Times New Roman"/>
                <w:sz w:val="20"/>
                <w:szCs w:val="20"/>
              </w:rPr>
            </w:pPr>
            <w:r>
              <w:rPr>
                <w:rFonts w:eastAsia="Times New Roman"/>
                <w:sz w:val="20"/>
                <w:szCs w:val="20"/>
              </w:rPr>
              <w:t> </w:t>
            </w:r>
          </w:p>
        </w:tc>
        <w:tc>
          <w:tcPr>
            <w:tcW w:w="360" w:type="dxa"/>
            <w:hideMark/>
          </w:tcPr>
          <w:p w14:paraId="319EBC5F"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1AD607B" w14:textId="77777777" w:rsidR="00000000" w:rsidRDefault="00087966">
            <w:pPr>
              <w:jc w:val="both"/>
              <w:rPr>
                <w:rFonts w:eastAsia="Times New Roman"/>
                <w:sz w:val="20"/>
                <w:szCs w:val="20"/>
              </w:rPr>
            </w:pPr>
            <w:r>
              <w:rPr>
                <w:rFonts w:eastAsia="Times New Roman"/>
                <w:sz w:val="20"/>
                <w:szCs w:val="20"/>
              </w:rPr>
              <w:t>resources could be wasted in researching acquisitions that are not completed, which could materially adversely affect subsequent attempts to locate and acquire or merge with another business. If we have not completed our initial business combination within</w:t>
            </w:r>
            <w:r>
              <w:rPr>
                <w:rFonts w:eastAsia="Times New Roman"/>
                <w:sz w:val="20"/>
                <w:szCs w:val="20"/>
              </w:rPr>
              <w:t xml:space="preserve"> the Combination Period, our public stockholders may receive only approximately $10.00 per share, or less than such amount in certain circumstances, on the liquidation of our trust account and our warrants will expire worthless;</w:t>
            </w:r>
          </w:p>
        </w:tc>
      </w:tr>
    </w:tbl>
    <w:p w14:paraId="36D8E046"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165FF2D" w14:textId="77777777">
        <w:trPr>
          <w:divId w:val="1595479706"/>
          <w:tblCellSpacing w:w="0" w:type="dxa"/>
        </w:trPr>
        <w:tc>
          <w:tcPr>
            <w:tcW w:w="720" w:type="dxa"/>
            <w:hideMark/>
          </w:tcPr>
          <w:p w14:paraId="3920A24A" w14:textId="77777777" w:rsidR="00000000" w:rsidRDefault="00087966">
            <w:pPr>
              <w:rPr>
                <w:rFonts w:eastAsia="Times New Roman"/>
                <w:sz w:val="20"/>
                <w:szCs w:val="20"/>
              </w:rPr>
            </w:pPr>
            <w:r>
              <w:rPr>
                <w:rFonts w:eastAsia="Times New Roman"/>
                <w:sz w:val="20"/>
                <w:szCs w:val="20"/>
              </w:rPr>
              <w:t> </w:t>
            </w:r>
          </w:p>
        </w:tc>
        <w:tc>
          <w:tcPr>
            <w:tcW w:w="360" w:type="dxa"/>
            <w:hideMark/>
          </w:tcPr>
          <w:p w14:paraId="33FEC7F3"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504991AA" w14:textId="77777777" w:rsidR="00000000" w:rsidRDefault="00087966">
            <w:pPr>
              <w:jc w:val="both"/>
              <w:rPr>
                <w:rFonts w:eastAsia="Times New Roman"/>
                <w:sz w:val="20"/>
                <w:szCs w:val="20"/>
              </w:rPr>
            </w:pPr>
            <w:r>
              <w:rPr>
                <w:rFonts w:eastAsia="Times New Roman"/>
                <w:sz w:val="20"/>
                <w:szCs w:val="20"/>
              </w:rPr>
              <w:t>in March 2022, the S</w:t>
            </w:r>
            <w:r>
              <w:rPr>
                <w:rFonts w:eastAsia="Times New Roman"/>
                <w:sz w:val="20"/>
                <w:szCs w:val="20"/>
              </w:rPr>
              <w:t xml:space="preserve">EC issued proposed rules relating to certain activities of SPACs. Certain of the procedures that we, a potential business combination target, or others may determine to undertake in connection with such proposals may increase our costs and the time needed </w:t>
            </w:r>
            <w:r>
              <w:rPr>
                <w:rFonts w:eastAsia="Times New Roman"/>
                <w:sz w:val="20"/>
                <w:szCs w:val="20"/>
              </w:rPr>
              <w:t>to complete our initial business combination and may constrain the circumstances under which we could complete an initial business combination. The need for compliance with such proposals may cause us to liquidate the funds in the trust account or liquidat</w:t>
            </w:r>
            <w:r>
              <w:rPr>
                <w:rFonts w:eastAsia="Times New Roman"/>
                <w:sz w:val="20"/>
                <w:szCs w:val="20"/>
              </w:rPr>
              <w:t>e the Company at an earlier time than we might otherwise choose;</w:t>
            </w:r>
          </w:p>
        </w:tc>
      </w:tr>
    </w:tbl>
    <w:p w14:paraId="30FB21B6"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2A1E76D" w14:textId="77777777">
        <w:trPr>
          <w:divId w:val="1595479706"/>
          <w:tblCellSpacing w:w="0" w:type="dxa"/>
        </w:trPr>
        <w:tc>
          <w:tcPr>
            <w:tcW w:w="720" w:type="dxa"/>
            <w:hideMark/>
          </w:tcPr>
          <w:p w14:paraId="2D491E15" w14:textId="77777777" w:rsidR="00000000" w:rsidRDefault="00087966">
            <w:pPr>
              <w:rPr>
                <w:rFonts w:eastAsia="Times New Roman"/>
                <w:sz w:val="20"/>
                <w:szCs w:val="20"/>
              </w:rPr>
            </w:pPr>
            <w:r>
              <w:rPr>
                <w:rFonts w:eastAsia="Times New Roman"/>
                <w:sz w:val="20"/>
                <w:szCs w:val="20"/>
              </w:rPr>
              <w:t> </w:t>
            </w:r>
          </w:p>
        </w:tc>
        <w:tc>
          <w:tcPr>
            <w:tcW w:w="360" w:type="dxa"/>
            <w:hideMark/>
          </w:tcPr>
          <w:p w14:paraId="6913D2BC"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8885E99" w14:textId="77777777" w:rsidR="00000000" w:rsidRDefault="00087966">
            <w:pPr>
              <w:jc w:val="both"/>
              <w:rPr>
                <w:rFonts w:eastAsia="Times New Roman"/>
                <w:sz w:val="20"/>
                <w:szCs w:val="20"/>
              </w:rPr>
            </w:pPr>
            <w:r>
              <w:rPr>
                <w:rFonts w:eastAsia="Times New Roman"/>
                <w:sz w:val="20"/>
                <w:szCs w:val="20"/>
              </w:rPr>
              <w:t>if we are deemed to be an investment company for purposes of the Investment Company Act, we would be required to institute burdensome compliance requirements and our activities would b</w:t>
            </w:r>
            <w:r>
              <w:rPr>
                <w:rFonts w:eastAsia="Times New Roman"/>
                <w:sz w:val="20"/>
                <w:szCs w:val="20"/>
              </w:rPr>
              <w:t>e severely restricted. As a result, in such circumstances, unless we are able to modify our activities so that we would not be deemed an investment company, we may abandon our efforts to complete an initial business combination and instead liquidate the Co</w:t>
            </w:r>
            <w:r>
              <w:rPr>
                <w:rFonts w:eastAsia="Times New Roman"/>
                <w:sz w:val="20"/>
                <w:szCs w:val="20"/>
              </w:rPr>
              <w:t>mpany;</w:t>
            </w:r>
          </w:p>
        </w:tc>
      </w:tr>
    </w:tbl>
    <w:p w14:paraId="78382440"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159935E" w14:textId="77777777">
        <w:trPr>
          <w:divId w:val="1595479706"/>
          <w:tblCellSpacing w:w="0" w:type="dxa"/>
        </w:trPr>
        <w:tc>
          <w:tcPr>
            <w:tcW w:w="720" w:type="dxa"/>
            <w:hideMark/>
          </w:tcPr>
          <w:p w14:paraId="1CD39B6C" w14:textId="77777777" w:rsidR="00000000" w:rsidRDefault="00087966">
            <w:pPr>
              <w:rPr>
                <w:rFonts w:eastAsia="Times New Roman"/>
                <w:sz w:val="20"/>
                <w:szCs w:val="20"/>
              </w:rPr>
            </w:pPr>
            <w:r>
              <w:rPr>
                <w:rFonts w:eastAsia="Times New Roman"/>
                <w:sz w:val="20"/>
                <w:szCs w:val="20"/>
              </w:rPr>
              <w:t> </w:t>
            </w:r>
          </w:p>
        </w:tc>
        <w:tc>
          <w:tcPr>
            <w:tcW w:w="360" w:type="dxa"/>
            <w:hideMark/>
          </w:tcPr>
          <w:p w14:paraId="7CFE2E8F"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E4D2A39" w14:textId="77777777" w:rsidR="00000000" w:rsidRDefault="00087966">
            <w:pPr>
              <w:jc w:val="both"/>
              <w:rPr>
                <w:rFonts w:eastAsia="Times New Roman"/>
                <w:sz w:val="20"/>
                <w:szCs w:val="20"/>
              </w:rPr>
            </w:pPr>
            <w:r>
              <w:rPr>
                <w:rFonts w:eastAsia="Times New Roman"/>
                <w:sz w:val="20"/>
                <w:szCs w:val="20"/>
              </w:rPr>
              <w:t xml:space="preserve">to mitigate the risk that we might be deemed to be an investment company for purposes of the Investment Company Act, on January 11, 2023, we liquidated the investments held in the trust account and instead hold the funds in the trust account </w:t>
            </w:r>
            <w:r>
              <w:rPr>
                <w:rFonts w:eastAsia="Times New Roman"/>
                <w:sz w:val="20"/>
                <w:szCs w:val="20"/>
              </w:rPr>
              <w:t xml:space="preserve">in an interest bearing demand deposit account until the earlier of the consummation of our initial business combination or our liquidation. As a result, following the liquidation of investments in the trust account, we likely will receive less interest on </w:t>
            </w:r>
            <w:r>
              <w:rPr>
                <w:rFonts w:eastAsia="Times New Roman"/>
                <w:sz w:val="20"/>
                <w:szCs w:val="20"/>
              </w:rPr>
              <w:t>the funds held in the trust account, which would likely reduce the dollar amount our public stockholders would receive upon any redemption or liquidation of the Company;</w:t>
            </w:r>
          </w:p>
        </w:tc>
      </w:tr>
      <w:tr w:rsidR="00000000" w14:paraId="13303C89" w14:textId="77777777">
        <w:trPr>
          <w:divId w:val="1595479706"/>
          <w:tblCellSpacing w:w="0" w:type="dxa"/>
        </w:trPr>
        <w:tc>
          <w:tcPr>
            <w:tcW w:w="0" w:type="auto"/>
            <w:hideMark/>
          </w:tcPr>
          <w:p w14:paraId="54773BA3" w14:textId="77777777" w:rsidR="00000000" w:rsidRDefault="00087966">
            <w:pPr>
              <w:rPr>
                <w:rFonts w:eastAsia="Times New Roman"/>
                <w:sz w:val="20"/>
                <w:szCs w:val="20"/>
              </w:rPr>
            </w:pPr>
            <w:r>
              <w:rPr>
                <w:rFonts w:eastAsia="Times New Roman"/>
                <w:sz w:val="20"/>
                <w:szCs w:val="20"/>
              </w:rPr>
              <w:t> </w:t>
            </w:r>
          </w:p>
        </w:tc>
        <w:tc>
          <w:tcPr>
            <w:tcW w:w="0" w:type="auto"/>
            <w:hideMark/>
          </w:tcPr>
          <w:p w14:paraId="7D37C8C8"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601EA86D" w14:textId="77777777" w:rsidR="00000000" w:rsidRDefault="00087966">
            <w:pPr>
              <w:jc w:val="both"/>
              <w:rPr>
                <w:rFonts w:eastAsia="Times New Roman"/>
                <w:sz w:val="20"/>
                <w:szCs w:val="20"/>
              </w:rPr>
            </w:pPr>
            <w:r>
              <w:rPr>
                <w:rFonts w:eastAsia="Times New Roman"/>
                <w:sz w:val="20"/>
                <w:szCs w:val="20"/>
              </w:rPr>
              <w:t> </w:t>
            </w:r>
          </w:p>
        </w:tc>
      </w:tr>
      <w:tr w:rsidR="00000000" w14:paraId="19B8D63B" w14:textId="77777777">
        <w:trPr>
          <w:divId w:val="1595479706"/>
          <w:tblCellSpacing w:w="0" w:type="dxa"/>
        </w:trPr>
        <w:tc>
          <w:tcPr>
            <w:tcW w:w="0" w:type="auto"/>
            <w:hideMark/>
          </w:tcPr>
          <w:p w14:paraId="3C8F0C91"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56E1E460"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3031E94" w14:textId="77777777" w:rsidR="00000000" w:rsidRDefault="00087966">
            <w:pPr>
              <w:jc w:val="both"/>
              <w:rPr>
                <w:rFonts w:eastAsia="Times New Roman"/>
                <w:sz w:val="20"/>
                <w:szCs w:val="20"/>
              </w:rPr>
            </w:pPr>
            <w:r>
              <w:rPr>
                <w:rFonts w:eastAsia="Times New Roman"/>
                <w:sz w:val="20"/>
                <w:szCs w:val="20"/>
              </w:rPr>
              <w:t>we may potentially be subject to U.S. </w:t>
            </w:r>
            <w:r>
              <w:rPr>
                <w:rFonts w:eastAsia="Times New Roman"/>
                <w:sz w:val="20"/>
                <w:szCs w:val="20"/>
              </w:rPr>
              <w:t>foreign investment regulations which may impose conditions on or limit certain investors’ ability to purchase our securities or otherwise participate in the Business Combination, potentially making the securities less attractive to investors. Our future in</w:t>
            </w:r>
            <w:r>
              <w:rPr>
                <w:rFonts w:eastAsia="Times New Roman"/>
                <w:sz w:val="20"/>
                <w:szCs w:val="20"/>
              </w:rPr>
              <w:t>vestments in U.S. companies may also be subject to U.S. foreign investment regulations;</w:t>
            </w:r>
          </w:p>
        </w:tc>
      </w:tr>
    </w:tbl>
    <w:p w14:paraId="62FF4D54" w14:textId="77777777" w:rsidR="00000000" w:rsidRDefault="00087966">
      <w:pPr>
        <w:pStyle w:val="a3"/>
        <w:spacing w:before="0" w:beforeAutospacing="0" w:after="0" w:afterAutospacing="0"/>
        <w:divId w:val="1595479706"/>
        <w:rPr>
          <w:sz w:val="20"/>
          <w:szCs w:val="20"/>
        </w:rPr>
      </w:pPr>
      <w:r>
        <w:rPr>
          <w:sz w:val="20"/>
          <w:szCs w:val="20"/>
        </w:rPr>
        <w:t> </w:t>
      </w:r>
    </w:p>
    <w:p w14:paraId="77467CAF" w14:textId="77777777" w:rsidR="00000000" w:rsidRDefault="00087966">
      <w:pPr>
        <w:pStyle w:val="a3"/>
        <w:spacing w:before="0" w:beforeAutospacing="0" w:after="0" w:afterAutospacing="0"/>
        <w:jc w:val="center"/>
        <w:divId w:val="701631940"/>
        <w:rPr>
          <w:sz w:val="20"/>
          <w:szCs w:val="20"/>
        </w:rPr>
      </w:pPr>
      <w:r>
        <w:rPr>
          <w:sz w:val="20"/>
          <w:szCs w:val="20"/>
        </w:rPr>
        <w:t>3</w:t>
      </w:r>
      <w:r>
        <w:rPr>
          <w:sz w:val="20"/>
          <w:szCs w:val="20"/>
        </w:rPr>
        <w:t>2</w:t>
      </w:r>
    </w:p>
    <w:p w14:paraId="662A385D" w14:textId="77777777" w:rsidR="00000000" w:rsidRDefault="00087966">
      <w:pPr>
        <w:pStyle w:val="a3"/>
        <w:spacing w:before="0" w:beforeAutospacing="0" w:after="0" w:afterAutospacing="0"/>
        <w:divId w:val="619645773"/>
        <w:rPr>
          <w:sz w:val="20"/>
          <w:szCs w:val="20"/>
        </w:rPr>
      </w:pPr>
      <w:r>
        <w:rPr>
          <w:sz w:val="20"/>
          <w:szCs w:val="20"/>
        </w:rPr>
        <w:t> </w:t>
      </w:r>
    </w:p>
    <w:p w14:paraId="7CC12C1C"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F0ABDC4" w14:textId="77777777">
        <w:trPr>
          <w:divId w:val="1595479706"/>
          <w:tblCellSpacing w:w="0" w:type="dxa"/>
        </w:trPr>
        <w:tc>
          <w:tcPr>
            <w:tcW w:w="720" w:type="dxa"/>
            <w:hideMark/>
          </w:tcPr>
          <w:p w14:paraId="19C636B2" w14:textId="77777777" w:rsidR="00000000" w:rsidRDefault="00087966">
            <w:pPr>
              <w:rPr>
                <w:rFonts w:eastAsia="Times New Roman"/>
                <w:sz w:val="20"/>
                <w:szCs w:val="20"/>
              </w:rPr>
            </w:pPr>
            <w:r>
              <w:rPr>
                <w:rFonts w:eastAsia="Times New Roman"/>
                <w:sz w:val="20"/>
                <w:szCs w:val="20"/>
              </w:rPr>
              <w:t> </w:t>
            </w:r>
          </w:p>
        </w:tc>
        <w:tc>
          <w:tcPr>
            <w:tcW w:w="360" w:type="dxa"/>
            <w:hideMark/>
          </w:tcPr>
          <w:p w14:paraId="642CFC57"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CD97FDB" w14:textId="77777777" w:rsidR="00000000" w:rsidRDefault="00087966">
            <w:pPr>
              <w:jc w:val="both"/>
              <w:rPr>
                <w:rFonts w:eastAsia="Times New Roman"/>
                <w:sz w:val="20"/>
                <w:szCs w:val="20"/>
              </w:rPr>
            </w:pPr>
            <w:r>
              <w:rPr>
                <w:rFonts w:eastAsia="Times New Roman"/>
                <w:sz w:val="20"/>
                <w:szCs w:val="20"/>
              </w:rPr>
              <w:t>we may not be able to complete an initial business combination with certain potential target companies, including Near, if a proposed transaction with the</w:t>
            </w:r>
            <w:r>
              <w:rPr>
                <w:rFonts w:eastAsia="Times New Roman"/>
                <w:sz w:val="20"/>
                <w:szCs w:val="20"/>
              </w:rPr>
              <w:t xml:space="preserve"> target company may be subject to review or approval by regulatory authorities pursuant to certain U.S. or foreign laws or regulations, including the Committee on Foreign Investment in the United States;</w:t>
            </w:r>
          </w:p>
        </w:tc>
      </w:tr>
    </w:tbl>
    <w:p w14:paraId="4A1ECD70"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095EC34" w14:textId="77777777">
        <w:trPr>
          <w:divId w:val="1595479706"/>
          <w:tblCellSpacing w:w="0" w:type="dxa"/>
        </w:trPr>
        <w:tc>
          <w:tcPr>
            <w:tcW w:w="720" w:type="dxa"/>
            <w:hideMark/>
          </w:tcPr>
          <w:p w14:paraId="1ABC153C" w14:textId="77777777" w:rsidR="00000000" w:rsidRDefault="00087966">
            <w:pPr>
              <w:rPr>
                <w:rFonts w:eastAsia="Times New Roman"/>
                <w:sz w:val="20"/>
                <w:szCs w:val="20"/>
              </w:rPr>
            </w:pPr>
            <w:r>
              <w:rPr>
                <w:rFonts w:eastAsia="Times New Roman"/>
                <w:sz w:val="20"/>
                <w:szCs w:val="20"/>
              </w:rPr>
              <w:t> </w:t>
            </w:r>
          </w:p>
        </w:tc>
        <w:tc>
          <w:tcPr>
            <w:tcW w:w="360" w:type="dxa"/>
            <w:hideMark/>
          </w:tcPr>
          <w:p w14:paraId="3C876694" w14:textId="77777777" w:rsidR="00000000" w:rsidRDefault="00087966">
            <w:pPr>
              <w:jc w:val="both"/>
              <w:rPr>
                <w:rFonts w:eastAsia="Times New Roman"/>
                <w:sz w:val="20"/>
                <w:szCs w:val="20"/>
              </w:rPr>
            </w:pPr>
            <w:r>
              <w:rPr>
                <w:rFonts w:eastAsia="Times New Roman"/>
                <w:sz w:val="20"/>
                <w:szCs w:val="20"/>
              </w:rPr>
              <w:t>●</w:t>
            </w:r>
          </w:p>
        </w:tc>
        <w:tc>
          <w:tcPr>
            <w:tcW w:w="0" w:type="auto"/>
            <w:tcMar>
              <w:top w:w="0" w:type="dxa"/>
              <w:left w:w="0" w:type="dxa"/>
              <w:bottom w:w="60" w:type="dxa"/>
              <w:right w:w="0" w:type="dxa"/>
            </w:tcMar>
            <w:hideMark/>
          </w:tcPr>
          <w:p w14:paraId="3177160E" w14:textId="77777777" w:rsidR="00000000" w:rsidRDefault="00087966">
            <w:pPr>
              <w:jc w:val="both"/>
              <w:rPr>
                <w:rFonts w:eastAsia="Times New Roman"/>
                <w:sz w:val="20"/>
                <w:szCs w:val="20"/>
              </w:rPr>
            </w:pPr>
            <w:r>
              <w:rPr>
                <w:rFonts w:eastAsia="Times New Roman"/>
                <w:sz w:val="20"/>
                <w:szCs w:val="20"/>
              </w:rPr>
              <w:t>recent increases in inflation and interest ra</w:t>
            </w:r>
            <w:r>
              <w:rPr>
                <w:rFonts w:eastAsia="Times New Roman"/>
                <w:sz w:val="20"/>
                <w:szCs w:val="20"/>
              </w:rPr>
              <w:t>tes in the United States and elsewhere could make it more difficult for us to consummate an initial business combination;</w:t>
            </w:r>
          </w:p>
        </w:tc>
      </w:tr>
    </w:tbl>
    <w:p w14:paraId="52936DEB"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208752E" w14:textId="77777777">
        <w:trPr>
          <w:divId w:val="1595479706"/>
          <w:tblCellSpacing w:w="0" w:type="dxa"/>
        </w:trPr>
        <w:tc>
          <w:tcPr>
            <w:tcW w:w="720" w:type="dxa"/>
            <w:hideMark/>
          </w:tcPr>
          <w:p w14:paraId="7CECA0D7" w14:textId="77777777" w:rsidR="00000000" w:rsidRDefault="00087966">
            <w:pPr>
              <w:rPr>
                <w:rFonts w:eastAsia="Times New Roman"/>
                <w:sz w:val="20"/>
                <w:szCs w:val="20"/>
              </w:rPr>
            </w:pPr>
            <w:r>
              <w:rPr>
                <w:rFonts w:eastAsia="Times New Roman"/>
                <w:sz w:val="20"/>
                <w:szCs w:val="20"/>
              </w:rPr>
              <w:t> </w:t>
            </w:r>
          </w:p>
        </w:tc>
        <w:tc>
          <w:tcPr>
            <w:tcW w:w="360" w:type="dxa"/>
            <w:hideMark/>
          </w:tcPr>
          <w:p w14:paraId="1CE35B75" w14:textId="77777777" w:rsidR="00000000" w:rsidRDefault="00087966">
            <w:pPr>
              <w:jc w:val="both"/>
              <w:rPr>
                <w:rFonts w:eastAsia="Times New Roman"/>
                <w:sz w:val="20"/>
                <w:szCs w:val="20"/>
              </w:rPr>
            </w:pPr>
            <w:r>
              <w:rPr>
                <w:rFonts w:eastAsia="Times New Roman"/>
                <w:sz w:val="20"/>
                <w:szCs w:val="20"/>
              </w:rPr>
              <w:t>●</w:t>
            </w:r>
          </w:p>
        </w:tc>
        <w:tc>
          <w:tcPr>
            <w:tcW w:w="0" w:type="auto"/>
            <w:tcMar>
              <w:top w:w="0" w:type="dxa"/>
              <w:left w:w="0" w:type="dxa"/>
              <w:bottom w:w="60" w:type="dxa"/>
              <w:right w:w="0" w:type="dxa"/>
            </w:tcMar>
            <w:hideMark/>
          </w:tcPr>
          <w:p w14:paraId="59385B03" w14:textId="77777777" w:rsidR="00000000" w:rsidRDefault="00087966">
            <w:pPr>
              <w:jc w:val="both"/>
              <w:rPr>
                <w:rFonts w:eastAsia="Times New Roman"/>
                <w:sz w:val="20"/>
                <w:szCs w:val="20"/>
              </w:rPr>
            </w:pPr>
            <w:r>
              <w:rPr>
                <w:rFonts w:eastAsia="Times New Roman"/>
                <w:sz w:val="20"/>
                <w:szCs w:val="20"/>
              </w:rPr>
              <w:t>military conflict in Ukraine or elsewhere may lead to increased price volatility for publicly traded securities, which could make it more difficult for us to consummate an initial business combination;</w:t>
            </w:r>
          </w:p>
        </w:tc>
      </w:tr>
      <w:tr w:rsidR="00000000" w14:paraId="04A56119" w14:textId="77777777">
        <w:trPr>
          <w:divId w:val="1595479706"/>
          <w:tblCellSpacing w:w="0" w:type="dxa"/>
        </w:trPr>
        <w:tc>
          <w:tcPr>
            <w:tcW w:w="0" w:type="auto"/>
            <w:hideMark/>
          </w:tcPr>
          <w:p w14:paraId="79843F8C" w14:textId="77777777" w:rsidR="00000000" w:rsidRDefault="00087966">
            <w:pPr>
              <w:rPr>
                <w:rFonts w:eastAsia="Times New Roman"/>
                <w:sz w:val="20"/>
                <w:szCs w:val="20"/>
              </w:rPr>
            </w:pPr>
            <w:r>
              <w:rPr>
                <w:rFonts w:eastAsia="Times New Roman"/>
                <w:sz w:val="20"/>
                <w:szCs w:val="20"/>
              </w:rPr>
              <w:t> </w:t>
            </w:r>
          </w:p>
        </w:tc>
        <w:tc>
          <w:tcPr>
            <w:tcW w:w="0" w:type="auto"/>
            <w:hideMark/>
          </w:tcPr>
          <w:p w14:paraId="6186D5E5" w14:textId="77777777" w:rsidR="00000000" w:rsidRDefault="00087966">
            <w:pPr>
              <w:jc w:val="both"/>
              <w:rPr>
                <w:rFonts w:eastAsia="Times New Roman"/>
                <w:sz w:val="20"/>
                <w:szCs w:val="20"/>
              </w:rPr>
            </w:pPr>
            <w:r>
              <w:rPr>
                <w:rFonts w:eastAsia="Times New Roman"/>
                <w:sz w:val="20"/>
                <w:szCs w:val="20"/>
              </w:rPr>
              <w:t> </w:t>
            </w:r>
          </w:p>
        </w:tc>
        <w:tc>
          <w:tcPr>
            <w:tcW w:w="0" w:type="auto"/>
            <w:tcMar>
              <w:top w:w="0" w:type="dxa"/>
              <w:left w:w="0" w:type="dxa"/>
              <w:bottom w:w="60" w:type="dxa"/>
              <w:right w:w="0" w:type="dxa"/>
            </w:tcMar>
            <w:hideMark/>
          </w:tcPr>
          <w:p w14:paraId="0CC88BBC" w14:textId="77777777" w:rsidR="00000000" w:rsidRDefault="00087966">
            <w:pPr>
              <w:jc w:val="both"/>
              <w:rPr>
                <w:rFonts w:eastAsia="Times New Roman"/>
                <w:sz w:val="20"/>
                <w:szCs w:val="20"/>
              </w:rPr>
            </w:pPr>
            <w:r>
              <w:rPr>
                <w:rFonts w:eastAsia="Times New Roman"/>
                <w:sz w:val="20"/>
                <w:szCs w:val="20"/>
              </w:rPr>
              <w:t> </w:t>
            </w:r>
          </w:p>
        </w:tc>
      </w:tr>
      <w:tr w:rsidR="00000000" w14:paraId="0DB26CCA" w14:textId="77777777">
        <w:trPr>
          <w:divId w:val="1595479706"/>
          <w:tblCellSpacing w:w="0" w:type="dxa"/>
        </w:trPr>
        <w:tc>
          <w:tcPr>
            <w:tcW w:w="0" w:type="auto"/>
            <w:hideMark/>
          </w:tcPr>
          <w:p w14:paraId="578ABF97" w14:textId="77777777" w:rsidR="00000000" w:rsidRDefault="00087966">
            <w:pPr>
              <w:rPr>
                <w:rFonts w:eastAsia="Times New Roman"/>
                <w:sz w:val="20"/>
                <w:szCs w:val="20"/>
              </w:rPr>
            </w:pPr>
            <w:r>
              <w:rPr>
                <w:rFonts w:eastAsia="Times New Roman"/>
                <w:sz w:val="20"/>
                <w:szCs w:val="20"/>
              </w:rPr>
              <w:t> </w:t>
            </w:r>
          </w:p>
        </w:tc>
        <w:tc>
          <w:tcPr>
            <w:tcW w:w="0" w:type="auto"/>
            <w:hideMark/>
          </w:tcPr>
          <w:p w14:paraId="00E4F6F3" w14:textId="77777777" w:rsidR="00000000" w:rsidRDefault="00087966">
            <w:pPr>
              <w:jc w:val="both"/>
              <w:rPr>
                <w:rFonts w:eastAsia="Times New Roman"/>
                <w:sz w:val="20"/>
                <w:szCs w:val="20"/>
              </w:rPr>
            </w:pPr>
            <w:r>
              <w:rPr>
                <w:rFonts w:eastAsia="Times New Roman"/>
                <w:sz w:val="20"/>
                <w:szCs w:val="20"/>
              </w:rPr>
              <w:t>●</w:t>
            </w:r>
          </w:p>
        </w:tc>
        <w:tc>
          <w:tcPr>
            <w:tcW w:w="0" w:type="auto"/>
            <w:tcMar>
              <w:top w:w="0" w:type="dxa"/>
              <w:left w:w="0" w:type="dxa"/>
              <w:bottom w:w="60" w:type="dxa"/>
              <w:right w:w="0" w:type="dxa"/>
            </w:tcMar>
            <w:hideMark/>
          </w:tcPr>
          <w:p w14:paraId="6AE27BC0" w14:textId="77777777" w:rsidR="00000000" w:rsidRDefault="00087966">
            <w:pPr>
              <w:jc w:val="both"/>
              <w:rPr>
                <w:rFonts w:eastAsia="Times New Roman"/>
                <w:sz w:val="20"/>
                <w:szCs w:val="20"/>
              </w:rPr>
            </w:pPr>
            <w:r>
              <w:rPr>
                <w:rFonts w:eastAsia="Times New Roman"/>
                <w:sz w:val="20"/>
                <w:szCs w:val="20"/>
              </w:rPr>
              <w:t>a 1% U.S. federal excise tax may be impose</w:t>
            </w:r>
            <w:r>
              <w:rPr>
                <w:rFonts w:eastAsia="Times New Roman"/>
                <w:sz w:val="20"/>
                <w:szCs w:val="20"/>
              </w:rPr>
              <w:t xml:space="preserve">d on us in connection with our redemptions of shares in connection with a business combination or other stockholder vote pursuant to which stockholders would have a right to submit their shares for redemption; </w:t>
            </w:r>
          </w:p>
        </w:tc>
      </w:tr>
    </w:tbl>
    <w:p w14:paraId="11043FF3"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4875CCA" w14:textId="77777777">
        <w:trPr>
          <w:divId w:val="1595479706"/>
          <w:tblCellSpacing w:w="0" w:type="dxa"/>
        </w:trPr>
        <w:tc>
          <w:tcPr>
            <w:tcW w:w="720" w:type="dxa"/>
            <w:hideMark/>
          </w:tcPr>
          <w:p w14:paraId="6B161A74" w14:textId="77777777" w:rsidR="00000000" w:rsidRDefault="00087966">
            <w:pPr>
              <w:rPr>
                <w:rFonts w:eastAsia="Times New Roman"/>
                <w:sz w:val="20"/>
                <w:szCs w:val="20"/>
              </w:rPr>
            </w:pPr>
            <w:r>
              <w:rPr>
                <w:rFonts w:eastAsia="Times New Roman"/>
                <w:sz w:val="20"/>
                <w:szCs w:val="20"/>
              </w:rPr>
              <w:t> </w:t>
            </w:r>
          </w:p>
        </w:tc>
        <w:tc>
          <w:tcPr>
            <w:tcW w:w="360" w:type="dxa"/>
            <w:hideMark/>
          </w:tcPr>
          <w:p w14:paraId="4A01B16D"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E0081FB" w14:textId="77777777" w:rsidR="00000000" w:rsidRDefault="00087966">
            <w:pPr>
              <w:jc w:val="both"/>
              <w:rPr>
                <w:rFonts w:eastAsia="Times New Roman"/>
                <w:sz w:val="20"/>
                <w:szCs w:val="20"/>
              </w:rPr>
            </w:pPr>
            <w:r>
              <w:rPr>
                <w:rFonts w:eastAsia="Times New Roman"/>
                <w:sz w:val="20"/>
                <w:szCs w:val="20"/>
              </w:rPr>
              <w:t>there is substantial doubt about our a</w:t>
            </w:r>
            <w:r>
              <w:rPr>
                <w:rFonts w:eastAsia="Times New Roman"/>
                <w:sz w:val="20"/>
                <w:szCs w:val="20"/>
              </w:rPr>
              <w:t>bility to continue as a “going concern”; and</w:t>
            </w:r>
          </w:p>
        </w:tc>
      </w:tr>
    </w:tbl>
    <w:p w14:paraId="47FF8CB8"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929BA9E" w14:textId="77777777">
        <w:trPr>
          <w:divId w:val="1595479706"/>
          <w:tblCellSpacing w:w="0" w:type="dxa"/>
        </w:trPr>
        <w:tc>
          <w:tcPr>
            <w:tcW w:w="720" w:type="dxa"/>
            <w:hideMark/>
          </w:tcPr>
          <w:p w14:paraId="31C658CB" w14:textId="77777777" w:rsidR="00000000" w:rsidRDefault="00087966">
            <w:pPr>
              <w:rPr>
                <w:rFonts w:eastAsia="Times New Roman"/>
                <w:sz w:val="20"/>
                <w:szCs w:val="20"/>
              </w:rPr>
            </w:pPr>
            <w:r>
              <w:rPr>
                <w:rFonts w:eastAsia="Times New Roman"/>
                <w:sz w:val="20"/>
                <w:szCs w:val="20"/>
              </w:rPr>
              <w:t> </w:t>
            </w:r>
          </w:p>
        </w:tc>
        <w:tc>
          <w:tcPr>
            <w:tcW w:w="360" w:type="dxa"/>
            <w:hideMark/>
          </w:tcPr>
          <w:p w14:paraId="21493771"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10E0BFC6" w14:textId="77777777" w:rsidR="00000000" w:rsidRDefault="00087966">
            <w:pPr>
              <w:jc w:val="both"/>
              <w:rPr>
                <w:rFonts w:eastAsia="Times New Roman"/>
                <w:sz w:val="20"/>
                <w:szCs w:val="20"/>
              </w:rPr>
            </w:pPr>
            <w:r>
              <w:rPr>
                <w:rFonts w:eastAsia="Times New Roman"/>
                <w:sz w:val="20"/>
                <w:szCs w:val="20"/>
              </w:rPr>
              <w:t>we have identified a material weakness in our internal control over financial reporting as of December 31, 2022. If we are unable to develop and maintain an effective system of internal control over financial reporting, we may not be able to accurately rep</w:t>
            </w:r>
            <w:r>
              <w:rPr>
                <w:rFonts w:eastAsia="Times New Roman"/>
                <w:sz w:val="20"/>
                <w:szCs w:val="20"/>
              </w:rPr>
              <w:t>ort our financial results in a timely manner, which may adversely affect investor confidence in us and materially and adversely affect our business and operating results.</w:t>
            </w:r>
          </w:p>
        </w:tc>
      </w:tr>
    </w:tbl>
    <w:p w14:paraId="70E8EEE6" w14:textId="77777777" w:rsidR="00000000" w:rsidRDefault="00087966">
      <w:pPr>
        <w:pStyle w:val="a3"/>
        <w:spacing w:before="0" w:beforeAutospacing="0" w:after="0" w:afterAutospacing="0"/>
        <w:jc w:val="both"/>
        <w:divId w:val="1595479706"/>
        <w:rPr>
          <w:sz w:val="20"/>
          <w:szCs w:val="20"/>
        </w:rPr>
      </w:pPr>
      <w:r>
        <w:rPr>
          <w:sz w:val="20"/>
          <w:szCs w:val="20"/>
        </w:rPr>
        <w:t> </w:t>
      </w:r>
    </w:p>
    <w:p w14:paraId="3321F3E7" w14:textId="77777777" w:rsidR="00000000" w:rsidRDefault="00087966">
      <w:pPr>
        <w:pStyle w:val="a3"/>
        <w:spacing w:before="0" w:beforeAutospacing="0" w:after="0" w:afterAutospacing="0"/>
        <w:ind w:firstLine="720"/>
        <w:jc w:val="both"/>
        <w:divId w:val="1595479706"/>
        <w:rPr>
          <w:sz w:val="20"/>
          <w:szCs w:val="20"/>
        </w:rPr>
      </w:pPr>
      <w:r>
        <w:rPr>
          <w:b/>
          <w:bCs/>
          <w:i/>
          <w:iCs/>
          <w:sz w:val="20"/>
          <w:szCs w:val="20"/>
        </w:rPr>
        <w:t>We currently maintain all of our working capital cash and cash equivalents with on</w:t>
      </w:r>
      <w:r>
        <w:rPr>
          <w:b/>
          <w:bCs/>
          <w:i/>
          <w:iCs/>
          <w:sz w:val="20"/>
          <w:szCs w:val="20"/>
        </w:rPr>
        <w:t>e financial institution and, therefore, our cash and cash equivalents could be adversely affected if the financial institution in which we hold our cash and cash equivalents fails.</w:t>
      </w:r>
    </w:p>
    <w:p w14:paraId="3896B29F" w14:textId="77777777" w:rsidR="00000000" w:rsidRDefault="00087966">
      <w:pPr>
        <w:pStyle w:val="a3"/>
        <w:spacing w:before="0" w:beforeAutospacing="0" w:after="0" w:afterAutospacing="0"/>
        <w:jc w:val="both"/>
        <w:divId w:val="1595479706"/>
        <w:rPr>
          <w:sz w:val="20"/>
          <w:szCs w:val="20"/>
        </w:rPr>
      </w:pPr>
      <w:r>
        <w:rPr>
          <w:sz w:val="20"/>
          <w:szCs w:val="20"/>
        </w:rPr>
        <w:t> </w:t>
      </w:r>
    </w:p>
    <w:p w14:paraId="084F3F1A"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currently maintain </w:t>
      </w:r>
      <w:r>
        <w:rPr>
          <w:sz w:val="20"/>
          <w:szCs w:val="20"/>
        </w:rPr>
        <w:t>all of our working capital cash and cash equivalents with one financial institution. At the current time, our cash balance with such financial institution is below the Federal Deposit Insurance Corporation insurance (“FDIC Insurance”) limit. As a result of</w:t>
      </w:r>
      <w:r>
        <w:rPr>
          <w:sz w:val="20"/>
          <w:szCs w:val="20"/>
        </w:rPr>
        <w:t xml:space="preserve"> the recent inability of certain businesses with accounts at Silicon Valley Bank to gain access to their deposits and the greater focus on the concerns of potential failures of other financial institutions, in the future, we may consider diversifying a por</w:t>
      </w:r>
      <w:r>
        <w:rPr>
          <w:sz w:val="20"/>
          <w:szCs w:val="20"/>
        </w:rPr>
        <w:t>tion of our cash and cash equivalents with other financial institutions in order to reduce the risks associated with maintaining all of our cash and cash equivalents at one financial institution. Notwithstanding the foregoing, the failure of one or more of</w:t>
      </w:r>
      <w:r>
        <w:rPr>
          <w:sz w:val="20"/>
          <w:szCs w:val="20"/>
        </w:rPr>
        <w:t xml:space="preserve"> the financial institutions in which our cash and cash equivalents are held, the resulting inability for us to obtain the return of our funds from any of those financial institutions, or any other adverse condition suffered by any of those financial instit</w:t>
      </w:r>
      <w:r>
        <w:rPr>
          <w:sz w:val="20"/>
          <w:szCs w:val="20"/>
        </w:rPr>
        <w:t>utions, could impact access to our cash or cash equivalents and could adversely impact our operating liquidity and financial performance.</w:t>
      </w:r>
    </w:p>
    <w:p w14:paraId="63348AE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1C1C48A" w14:textId="77777777" w:rsidR="00000000" w:rsidRDefault="00087966">
      <w:pPr>
        <w:pStyle w:val="a3"/>
        <w:spacing w:before="0" w:beforeAutospacing="0" w:after="0" w:afterAutospacing="0"/>
        <w:ind w:firstLine="720"/>
        <w:jc w:val="both"/>
        <w:divId w:val="1595479706"/>
        <w:rPr>
          <w:sz w:val="20"/>
          <w:szCs w:val="20"/>
        </w:rPr>
      </w:pPr>
      <w:r>
        <w:rPr>
          <w:sz w:val="20"/>
          <w:szCs w:val="20"/>
        </w:rPr>
        <w:t>For the complete list of risks relating to our operations, see the section titled “Risk Factors” contained in our IP</w:t>
      </w:r>
      <w:r>
        <w:rPr>
          <w:sz w:val="20"/>
          <w:szCs w:val="20"/>
        </w:rPr>
        <w:t>O Registration Statement,(ii) Annual Report on Form 10-K for the year ended December 31, 2021, as filed with the SEC on April 12, 2022, (iii) Quarterly Report on Form 10-Q for the quarter ended March 31, 2022, as filed with the SEC on May 16, 2022, (iv) Qu</w:t>
      </w:r>
      <w:r>
        <w:rPr>
          <w:sz w:val="20"/>
          <w:szCs w:val="20"/>
        </w:rPr>
        <w:t>arterly Report on Form 10-Q for the quarter ended June 30, 2022, as filed with the SEC on August 16, 2022, and (v) the Definitive Proxy Statement on Schedule 14A filed in connection with the Second Extension, as filed with the SEC on December 19, 2022. Any</w:t>
      </w:r>
      <w:r>
        <w:rPr>
          <w:sz w:val="20"/>
          <w:szCs w:val="20"/>
        </w:rPr>
        <w:t xml:space="preserve"> of these factors could result in a significant or material adverse effect on our results of operations or financial condition. Additional risks could arise that may also affect our business or ability to consummate an initial business combination. We may </w:t>
      </w:r>
      <w:r>
        <w:rPr>
          <w:sz w:val="20"/>
          <w:szCs w:val="20"/>
        </w:rPr>
        <w:t>disclose changes to such risk factors or disclose additional risk factors from time to time in our future filings with the SEC.</w:t>
      </w:r>
    </w:p>
    <w:p w14:paraId="319DCF4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E26AFD7" w14:textId="77777777" w:rsidR="00000000" w:rsidRDefault="00087966">
      <w:pPr>
        <w:pStyle w:val="a3"/>
        <w:spacing w:before="0" w:beforeAutospacing="0" w:after="0" w:afterAutospacing="0"/>
        <w:ind w:firstLine="720"/>
        <w:jc w:val="both"/>
        <w:divId w:val="1595479706"/>
        <w:rPr>
          <w:sz w:val="20"/>
          <w:szCs w:val="20"/>
        </w:rPr>
      </w:pPr>
      <w:r>
        <w:rPr>
          <w:sz w:val="20"/>
          <w:szCs w:val="20"/>
        </w:rPr>
        <w:t>For risks related to Near and the Near Business Combination, please see the Near Registration Statement.</w:t>
      </w:r>
    </w:p>
    <w:p w14:paraId="7D34900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486ADAA" w14:textId="77777777" w:rsidR="00000000" w:rsidRDefault="00087966">
      <w:pPr>
        <w:pStyle w:val="a3"/>
        <w:spacing w:before="0" w:beforeAutospacing="0" w:after="0" w:afterAutospacing="0"/>
        <w:jc w:val="both"/>
        <w:divId w:val="1595479706"/>
        <w:rPr>
          <w:sz w:val="20"/>
          <w:szCs w:val="20"/>
        </w:rPr>
      </w:pPr>
      <w:r>
        <w:rPr>
          <w:b/>
          <w:bCs/>
          <w:sz w:val="20"/>
          <w:szCs w:val="20"/>
        </w:rPr>
        <w:t>Item 1B. Unresolved</w:t>
      </w:r>
      <w:r>
        <w:rPr>
          <w:b/>
          <w:bCs/>
          <w:sz w:val="20"/>
          <w:szCs w:val="20"/>
        </w:rPr>
        <w:t xml:space="preserve"> Staff Comments.</w:t>
      </w:r>
    </w:p>
    <w:p w14:paraId="1DC15177" w14:textId="77777777" w:rsidR="00000000" w:rsidRDefault="00087966">
      <w:pPr>
        <w:pStyle w:val="a3"/>
        <w:spacing w:before="0" w:beforeAutospacing="0" w:after="0" w:afterAutospacing="0"/>
        <w:jc w:val="both"/>
        <w:divId w:val="1595479706"/>
        <w:rPr>
          <w:sz w:val="20"/>
          <w:szCs w:val="20"/>
        </w:rPr>
      </w:pPr>
      <w:r>
        <w:rPr>
          <w:sz w:val="20"/>
          <w:szCs w:val="20"/>
        </w:rPr>
        <w:t> </w:t>
      </w:r>
    </w:p>
    <w:p w14:paraId="1C5EFBA1" w14:textId="77777777" w:rsidR="00000000" w:rsidRDefault="00087966">
      <w:pPr>
        <w:pStyle w:val="a3"/>
        <w:spacing w:before="0" w:beforeAutospacing="0" w:after="0" w:afterAutospacing="0"/>
        <w:ind w:firstLine="720"/>
        <w:jc w:val="both"/>
        <w:divId w:val="1595479706"/>
        <w:rPr>
          <w:sz w:val="20"/>
          <w:szCs w:val="20"/>
        </w:rPr>
      </w:pPr>
      <w:r>
        <w:rPr>
          <w:sz w:val="20"/>
          <w:szCs w:val="20"/>
        </w:rPr>
        <w:t>Not applicable.</w:t>
      </w:r>
    </w:p>
    <w:p w14:paraId="02E80837" w14:textId="77777777" w:rsidR="00000000" w:rsidRDefault="00087966">
      <w:pPr>
        <w:pStyle w:val="a3"/>
        <w:spacing w:before="0" w:beforeAutospacing="0" w:after="0" w:afterAutospacing="0"/>
        <w:ind w:left="720"/>
        <w:jc w:val="both"/>
        <w:divId w:val="1595479706"/>
        <w:rPr>
          <w:sz w:val="20"/>
          <w:szCs w:val="20"/>
        </w:rPr>
      </w:pPr>
      <w:r>
        <w:rPr>
          <w:sz w:val="20"/>
          <w:szCs w:val="20"/>
        </w:rPr>
        <w:t> </w:t>
      </w:r>
    </w:p>
    <w:p w14:paraId="1A8FC65A" w14:textId="77777777" w:rsidR="00000000" w:rsidRDefault="00087966">
      <w:pPr>
        <w:pStyle w:val="a3"/>
        <w:spacing w:before="0" w:beforeAutospacing="0" w:after="0" w:afterAutospacing="0"/>
        <w:jc w:val="both"/>
        <w:divId w:val="1595479706"/>
        <w:rPr>
          <w:sz w:val="20"/>
          <w:szCs w:val="20"/>
        </w:rPr>
      </w:pPr>
      <w:r>
        <w:rPr>
          <w:b/>
          <w:bCs/>
          <w:sz w:val="20"/>
          <w:szCs w:val="20"/>
        </w:rPr>
        <w:t>Item 2. Properties.</w:t>
      </w:r>
    </w:p>
    <w:p w14:paraId="18B9302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37947A0"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Our executive offices are </w:t>
      </w:r>
      <w:r>
        <w:rPr>
          <w:sz w:val="20"/>
          <w:szCs w:val="20"/>
        </w:rPr>
        <w:t>located at 1096 Keeler Avenue, Berkeley CA 94708, and our telephone number is (650) 246-9907. Our executive offices are provided to us by an affiliate of Arjun Divecha, our Special Advisor, at no charge, until such time as we may enter into lease for offic</w:t>
      </w:r>
      <w:r>
        <w:rPr>
          <w:sz w:val="20"/>
          <w:szCs w:val="20"/>
        </w:rPr>
        <w:t>e space with an unaffiliated third party. We consider our current office space adequate for our current operations.</w:t>
      </w:r>
    </w:p>
    <w:p w14:paraId="2EBD777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59D5F8F" w14:textId="77777777" w:rsidR="00000000" w:rsidRDefault="00087966">
      <w:pPr>
        <w:pStyle w:val="a3"/>
        <w:spacing w:before="0" w:beforeAutospacing="0" w:after="0" w:afterAutospacing="0"/>
        <w:jc w:val="both"/>
        <w:divId w:val="1595479706"/>
        <w:rPr>
          <w:sz w:val="20"/>
          <w:szCs w:val="20"/>
        </w:rPr>
      </w:pPr>
      <w:r>
        <w:rPr>
          <w:b/>
          <w:bCs/>
          <w:sz w:val="20"/>
          <w:szCs w:val="20"/>
        </w:rPr>
        <w:t>Item 3. Legal Proceedings.</w:t>
      </w:r>
    </w:p>
    <w:p w14:paraId="7167BB6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38E3391" w14:textId="77777777" w:rsidR="00000000" w:rsidRDefault="00087966">
      <w:pPr>
        <w:pStyle w:val="a3"/>
        <w:spacing w:before="0" w:beforeAutospacing="0" w:after="0" w:afterAutospacing="0"/>
        <w:ind w:firstLine="720"/>
        <w:jc w:val="both"/>
        <w:divId w:val="1595479706"/>
        <w:rPr>
          <w:sz w:val="20"/>
          <w:szCs w:val="20"/>
        </w:rPr>
      </w:pPr>
      <w:r>
        <w:rPr>
          <w:sz w:val="20"/>
          <w:szCs w:val="20"/>
        </w:rPr>
        <w:t>To the knowledge of our management team, there is no litigation currently pending or contemplated against us,</w:t>
      </w:r>
      <w:r>
        <w:rPr>
          <w:sz w:val="20"/>
          <w:szCs w:val="20"/>
        </w:rPr>
        <w:t xml:space="preserve"> any of our officers or directors in their capacity as such or against any of our property.</w:t>
      </w:r>
    </w:p>
    <w:p w14:paraId="715D1BF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C06A7DA" w14:textId="77777777" w:rsidR="00000000" w:rsidRDefault="00087966">
      <w:pPr>
        <w:pStyle w:val="a3"/>
        <w:spacing w:before="0" w:beforeAutospacing="0" w:after="0" w:afterAutospacing="0"/>
        <w:jc w:val="both"/>
        <w:divId w:val="1595479706"/>
        <w:rPr>
          <w:sz w:val="20"/>
          <w:szCs w:val="20"/>
        </w:rPr>
      </w:pPr>
      <w:r>
        <w:rPr>
          <w:b/>
          <w:bCs/>
          <w:sz w:val="20"/>
          <w:szCs w:val="20"/>
        </w:rPr>
        <w:t>Item 4. Mine Safety Disclosures.</w:t>
      </w:r>
    </w:p>
    <w:p w14:paraId="466216DC" w14:textId="77777777" w:rsidR="00000000" w:rsidRDefault="00087966">
      <w:pPr>
        <w:pStyle w:val="a3"/>
        <w:spacing w:before="0" w:beforeAutospacing="0" w:after="0" w:afterAutospacing="0"/>
        <w:jc w:val="both"/>
        <w:divId w:val="1595479706"/>
        <w:rPr>
          <w:sz w:val="20"/>
          <w:szCs w:val="20"/>
        </w:rPr>
      </w:pPr>
      <w:r>
        <w:rPr>
          <w:sz w:val="20"/>
          <w:szCs w:val="20"/>
        </w:rPr>
        <w:t> </w:t>
      </w:r>
    </w:p>
    <w:p w14:paraId="3C13C665" w14:textId="77777777" w:rsidR="00000000" w:rsidRDefault="00087966">
      <w:pPr>
        <w:pStyle w:val="a3"/>
        <w:spacing w:before="0" w:beforeAutospacing="0" w:after="0" w:afterAutospacing="0"/>
        <w:ind w:firstLine="720"/>
        <w:jc w:val="both"/>
        <w:divId w:val="1595479706"/>
        <w:rPr>
          <w:sz w:val="20"/>
          <w:szCs w:val="20"/>
        </w:rPr>
      </w:pPr>
      <w:r>
        <w:rPr>
          <w:sz w:val="20"/>
          <w:szCs w:val="20"/>
        </w:rPr>
        <w:t>Not applicable.</w:t>
      </w:r>
    </w:p>
    <w:p w14:paraId="5DAEEDA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AE0EFA6" w14:textId="77777777" w:rsidR="00000000" w:rsidRDefault="00087966">
      <w:pPr>
        <w:pStyle w:val="a3"/>
        <w:spacing w:before="0" w:beforeAutospacing="0" w:after="0" w:afterAutospacing="0"/>
        <w:jc w:val="center"/>
        <w:divId w:val="1156997486"/>
        <w:rPr>
          <w:sz w:val="20"/>
          <w:szCs w:val="20"/>
        </w:rPr>
      </w:pPr>
      <w:r>
        <w:rPr>
          <w:sz w:val="20"/>
          <w:szCs w:val="20"/>
        </w:rPr>
        <w:t>3</w:t>
      </w:r>
      <w:r>
        <w:rPr>
          <w:sz w:val="20"/>
          <w:szCs w:val="20"/>
        </w:rPr>
        <w:t>3</w:t>
      </w:r>
    </w:p>
    <w:p w14:paraId="42567910" w14:textId="77777777" w:rsidR="00000000" w:rsidRDefault="00087966">
      <w:pPr>
        <w:pStyle w:val="a3"/>
        <w:spacing w:before="0" w:beforeAutospacing="0" w:after="0" w:afterAutospacing="0"/>
        <w:divId w:val="1744796237"/>
        <w:rPr>
          <w:sz w:val="20"/>
          <w:szCs w:val="20"/>
        </w:rPr>
      </w:pPr>
      <w:r>
        <w:rPr>
          <w:sz w:val="20"/>
          <w:szCs w:val="20"/>
        </w:rPr>
        <w:t> </w:t>
      </w:r>
    </w:p>
    <w:p w14:paraId="0A6F38C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7E1D53A" w14:textId="77777777" w:rsidR="00000000" w:rsidRDefault="00087966">
      <w:pPr>
        <w:pStyle w:val="a3"/>
        <w:spacing w:before="0" w:beforeAutospacing="0" w:after="0" w:afterAutospacing="0"/>
        <w:jc w:val="center"/>
        <w:divId w:val="1595479706"/>
        <w:rPr>
          <w:sz w:val="20"/>
          <w:szCs w:val="20"/>
        </w:rPr>
      </w:pPr>
      <w:r>
        <w:rPr>
          <w:b/>
          <w:bCs/>
          <w:sz w:val="20"/>
          <w:szCs w:val="20"/>
        </w:rPr>
        <w:t>PART II</w:t>
      </w:r>
    </w:p>
    <w:p w14:paraId="5DBDEEFB"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5A85F603" w14:textId="77777777" w:rsidR="00000000" w:rsidRDefault="00087966">
      <w:pPr>
        <w:pStyle w:val="a3"/>
        <w:spacing w:before="0" w:beforeAutospacing="0" w:after="0" w:afterAutospacing="0"/>
        <w:jc w:val="both"/>
        <w:divId w:val="1595479706"/>
        <w:rPr>
          <w:sz w:val="20"/>
          <w:szCs w:val="20"/>
        </w:rPr>
      </w:pPr>
      <w:r>
        <w:rPr>
          <w:b/>
          <w:bCs/>
          <w:sz w:val="20"/>
          <w:szCs w:val="20"/>
        </w:rPr>
        <w:t>Item 5. Market for Registrant’s Common Equity, Related Stockholder Matters, and Issuer Purch</w:t>
      </w:r>
      <w:r>
        <w:rPr>
          <w:b/>
          <w:bCs/>
          <w:sz w:val="20"/>
          <w:szCs w:val="20"/>
        </w:rPr>
        <w:t>ases of Equity Securities.</w:t>
      </w:r>
    </w:p>
    <w:p w14:paraId="603BC155"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156C2869" w14:textId="77777777">
        <w:trPr>
          <w:divId w:val="1595479706"/>
        </w:trPr>
        <w:tc>
          <w:tcPr>
            <w:tcW w:w="360" w:type="dxa"/>
            <w:hideMark/>
          </w:tcPr>
          <w:p w14:paraId="6F74B776"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6BAF250C" w14:textId="77777777" w:rsidR="00000000" w:rsidRDefault="00087966">
            <w:pPr>
              <w:jc w:val="both"/>
              <w:rPr>
                <w:rFonts w:eastAsia="Times New Roman"/>
                <w:sz w:val="20"/>
                <w:szCs w:val="20"/>
              </w:rPr>
            </w:pPr>
            <w:r>
              <w:rPr>
                <w:rFonts w:eastAsia="Times New Roman"/>
                <w:b/>
                <w:bCs/>
                <w:sz w:val="20"/>
                <w:szCs w:val="20"/>
              </w:rPr>
              <w:t>(a)</w:t>
            </w:r>
          </w:p>
        </w:tc>
        <w:tc>
          <w:tcPr>
            <w:tcW w:w="0" w:type="auto"/>
            <w:hideMark/>
          </w:tcPr>
          <w:p w14:paraId="392D2EE0" w14:textId="77777777" w:rsidR="00000000" w:rsidRDefault="00087966">
            <w:pPr>
              <w:jc w:val="both"/>
              <w:rPr>
                <w:rFonts w:eastAsia="Times New Roman"/>
                <w:sz w:val="20"/>
                <w:szCs w:val="20"/>
              </w:rPr>
            </w:pPr>
            <w:r>
              <w:rPr>
                <w:rFonts w:eastAsia="Times New Roman"/>
                <w:b/>
                <w:bCs/>
                <w:sz w:val="20"/>
                <w:szCs w:val="20"/>
              </w:rPr>
              <w:t>Market Information</w:t>
            </w:r>
          </w:p>
        </w:tc>
      </w:tr>
    </w:tbl>
    <w:p w14:paraId="7157003C" w14:textId="77777777" w:rsidR="00000000" w:rsidRDefault="00087966">
      <w:pPr>
        <w:pStyle w:val="a3"/>
        <w:spacing w:before="0" w:beforeAutospacing="0" w:after="0" w:afterAutospacing="0"/>
        <w:jc w:val="both"/>
        <w:divId w:val="1595479706"/>
        <w:rPr>
          <w:sz w:val="20"/>
          <w:szCs w:val="20"/>
        </w:rPr>
      </w:pPr>
      <w:r>
        <w:rPr>
          <w:sz w:val="20"/>
          <w:szCs w:val="20"/>
        </w:rPr>
        <w:t> </w:t>
      </w:r>
    </w:p>
    <w:p w14:paraId="31B0F190"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Our units, public shares and </w:t>
      </w:r>
      <w:r>
        <w:rPr>
          <w:sz w:val="20"/>
          <w:szCs w:val="20"/>
        </w:rPr>
        <w:t>public warrants are each traded on Nasdaq under the symbols INKAU, INKA and INKAW, respectively. Our units commenced public trading on January 7, 2021, and our public shares and public warrants commenced separate public trading on March 1, 2021.</w:t>
      </w:r>
    </w:p>
    <w:p w14:paraId="6C2FED3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11108FE8" w14:textId="77777777">
        <w:trPr>
          <w:divId w:val="1595479706"/>
        </w:trPr>
        <w:tc>
          <w:tcPr>
            <w:tcW w:w="360" w:type="dxa"/>
            <w:hideMark/>
          </w:tcPr>
          <w:p w14:paraId="05AC30E6"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39DC99D5" w14:textId="77777777" w:rsidR="00000000" w:rsidRDefault="00087966">
            <w:pPr>
              <w:jc w:val="both"/>
              <w:rPr>
                <w:rFonts w:eastAsia="Times New Roman"/>
                <w:sz w:val="20"/>
                <w:szCs w:val="20"/>
              </w:rPr>
            </w:pPr>
            <w:r>
              <w:rPr>
                <w:rFonts w:eastAsia="Times New Roman"/>
                <w:b/>
                <w:bCs/>
                <w:sz w:val="20"/>
                <w:szCs w:val="20"/>
              </w:rPr>
              <w:t>(b)</w:t>
            </w:r>
          </w:p>
        </w:tc>
        <w:tc>
          <w:tcPr>
            <w:tcW w:w="0" w:type="auto"/>
            <w:hideMark/>
          </w:tcPr>
          <w:p w14:paraId="5F0655A5" w14:textId="77777777" w:rsidR="00000000" w:rsidRDefault="00087966">
            <w:pPr>
              <w:jc w:val="both"/>
              <w:rPr>
                <w:rFonts w:eastAsia="Times New Roman"/>
                <w:sz w:val="20"/>
                <w:szCs w:val="20"/>
              </w:rPr>
            </w:pPr>
            <w:r>
              <w:rPr>
                <w:rFonts w:eastAsia="Times New Roman"/>
                <w:b/>
                <w:bCs/>
                <w:sz w:val="20"/>
                <w:szCs w:val="20"/>
              </w:rPr>
              <w:t>Ho</w:t>
            </w:r>
            <w:r>
              <w:rPr>
                <w:rFonts w:eastAsia="Times New Roman"/>
                <w:b/>
                <w:bCs/>
                <w:sz w:val="20"/>
                <w:szCs w:val="20"/>
              </w:rPr>
              <w:t>lders</w:t>
            </w:r>
          </w:p>
        </w:tc>
      </w:tr>
    </w:tbl>
    <w:p w14:paraId="436D7F83" w14:textId="77777777" w:rsidR="00000000" w:rsidRDefault="00087966">
      <w:pPr>
        <w:pStyle w:val="a3"/>
        <w:spacing w:before="0" w:beforeAutospacing="0" w:after="0" w:afterAutospacing="0"/>
        <w:jc w:val="both"/>
        <w:divId w:val="1595479706"/>
        <w:rPr>
          <w:sz w:val="20"/>
          <w:szCs w:val="20"/>
        </w:rPr>
      </w:pPr>
      <w:r>
        <w:rPr>
          <w:sz w:val="20"/>
          <w:szCs w:val="20"/>
        </w:rPr>
        <w:t> </w:t>
      </w:r>
    </w:p>
    <w:p w14:paraId="5AC1A253" w14:textId="77777777" w:rsidR="00000000" w:rsidRDefault="00087966">
      <w:pPr>
        <w:pStyle w:val="a3"/>
        <w:spacing w:before="0" w:beforeAutospacing="0" w:after="0" w:afterAutospacing="0"/>
        <w:ind w:firstLine="720"/>
        <w:jc w:val="both"/>
        <w:divId w:val="1595479706"/>
        <w:rPr>
          <w:sz w:val="20"/>
          <w:szCs w:val="20"/>
        </w:rPr>
      </w:pPr>
      <w:r>
        <w:rPr>
          <w:sz w:val="20"/>
          <w:szCs w:val="20"/>
        </w:rPr>
        <w:t>On March 14, 2023, there was 1 holder of record of our units, 1 holder of record of our shares of Class A common stock, 4 holders of record of our shares of Class B common stock and 2 holders of record of our warrants.</w:t>
      </w:r>
    </w:p>
    <w:p w14:paraId="517D2CE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47DFFF9" w14:textId="77777777">
        <w:trPr>
          <w:divId w:val="1595479706"/>
        </w:trPr>
        <w:tc>
          <w:tcPr>
            <w:tcW w:w="360" w:type="dxa"/>
            <w:hideMark/>
          </w:tcPr>
          <w:p w14:paraId="4A30A98E"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47E58E4B" w14:textId="77777777" w:rsidR="00000000" w:rsidRDefault="00087966">
            <w:pPr>
              <w:jc w:val="both"/>
              <w:rPr>
                <w:rFonts w:eastAsia="Times New Roman"/>
                <w:sz w:val="20"/>
                <w:szCs w:val="20"/>
              </w:rPr>
            </w:pPr>
            <w:r>
              <w:rPr>
                <w:rFonts w:eastAsia="Times New Roman"/>
                <w:b/>
                <w:bCs/>
                <w:sz w:val="20"/>
                <w:szCs w:val="20"/>
              </w:rPr>
              <w:t>(c)</w:t>
            </w:r>
          </w:p>
        </w:tc>
        <w:tc>
          <w:tcPr>
            <w:tcW w:w="0" w:type="auto"/>
            <w:hideMark/>
          </w:tcPr>
          <w:p w14:paraId="4C90A7B1" w14:textId="77777777" w:rsidR="00000000" w:rsidRDefault="00087966">
            <w:pPr>
              <w:jc w:val="both"/>
              <w:rPr>
                <w:rFonts w:eastAsia="Times New Roman"/>
                <w:sz w:val="20"/>
                <w:szCs w:val="20"/>
              </w:rPr>
            </w:pPr>
            <w:r>
              <w:rPr>
                <w:rFonts w:eastAsia="Times New Roman"/>
                <w:b/>
                <w:bCs/>
                <w:sz w:val="20"/>
                <w:szCs w:val="20"/>
              </w:rPr>
              <w:t>Dividends</w:t>
            </w:r>
          </w:p>
        </w:tc>
      </w:tr>
    </w:tbl>
    <w:p w14:paraId="50D1E905" w14:textId="77777777" w:rsidR="00000000" w:rsidRDefault="00087966">
      <w:pPr>
        <w:pStyle w:val="a3"/>
        <w:spacing w:before="0" w:beforeAutospacing="0" w:after="0" w:afterAutospacing="0"/>
        <w:jc w:val="both"/>
        <w:divId w:val="1595479706"/>
        <w:rPr>
          <w:sz w:val="20"/>
          <w:szCs w:val="20"/>
        </w:rPr>
      </w:pPr>
      <w:r>
        <w:rPr>
          <w:sz w:val="20"/>
          <w:szCs w:val="20"/>
        </w:rPr>
        <w:t> </w:t>
      </w:r>
    </w:p>
    <w:p w14:paraId="1FE53E6F" w14:textId="77777777" w:rsidR="00000000" w:rsidRDefault="00087966">
      <w:pPr>
        <w:pStyle w:val="a3"/>
        <w:spacing w:before="0" w:beforeAutospacing="0" w:after="0" w:afterAutospacing="0"/>
        <w:ind w:firstLine="720"/>
        <w:jc w:val="both"/>
        <w:divId w:val="1595479706"/>
        <w:rPr>
          <w:sz w:val="20"/>
          <w:szCs w:val="20"/>
        </w:rPr>
      </w:pPr>
      <w:r>
        <w:rPr>
          <w:sz w:val="20"/>
          <w:szCs w:val="20"/>
        </w:rPr>
        <w:t>We have</w:t>
      </w:r>
      <w:r>
        <w:rPr>
          <w:sz w:val="20"/>
          <w:szCs w:val="20"/>
        </w:rPr>
        <w:t xml:space="preserve"> not paid any cash dividends on our common stock to date and do not intend to pay cash dividends prior to the completion of our initial business combination. The payment of cash dividends in the future will be dependent upon our revenues and earnings, if a</w:t>
      </w:r>
      <w:r>
        <w:rPr>
          <w:sz w:val="20"/>
          <w:szCs w:val="20"/>
        </w:rPr>
        <w:t xml:space="preserve">ny, capital requirements and general financial condition subsequent to completion of our initial business combination. The payment of any cash dividends subsequent to our initial business combination will be within the discretion of our board of directors </w:t>
      </w:r>
      <w:r>
        <w:rPr>
          <w:sz w:val="20"/>
          <w:szCs w:val="20"/>
        </w:rPr>
        <w:t>at such time. In addition, our board of directors is not currently contemplating and does not anticipate declaring any stock dividends in the foreseeable future. Further, if we incur any indebtedness in connection with our initial business combination, our</w:t>
      </w:r>
      <w:r>
        <w:rPr>
          <w:sz w:val="20"/>
          <w:szCs w:val="20"/>
        </w:rPr>
        <w:t xml:space="preserve"> ability to declare dividends may be limited by restrictive covenants we may agree to in connection therewith. Following the consummation of the Near Business Combination, in the event that Near has or incurs any indebtedness, the terms of such indebtednes</w:t>
      </w:r>
      <w:r>
        <w:rPr>
          <w:sz w:val="20"/>
          <w:szCs w:val="20"/>
        </w:rPr>
        <w:t>s may limit our ability to issue dividends in the future.</w:t>
      </w:r>
    </w:p>
    <w:p w14:paraId="3898E518" w14:textId="77777777" w:rsidR="00000000" w:rsidRDefault="00087966">
      <w:pPr>
        <w:pStyle w:val="a3"/>
        <w:spacing w:before="0" w:beforeAutospacing="0" w:after="0" w:afterAutospacing="0"/>
        <w:ind w:firstLine="36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23978DD2" w14:textId="77777777">
        <w:trPr>
          <w:divId w:val="1595479706"/>
        </w:trPr>
        <w:tc>
          <w:tcPr>
            <w:tcW w:w="360" w:type="dxa"/>
            <w:hideMark/>
          </w:tcPr>
          <w:p w14:paraId="5C99891B"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092DC447" w14:textId="77777777" w:rsidR="00000000" w:rsidRDefault="00087966">
            <w:pPr>
              <w:jc w:val="both"/>
              <w:rPr>
                <w:rFonts w:eastAsia="Times New Roman"/>
                <w:sz w:val="20"/>
                <w:szCs w:val="20"/>
              </w:rPr>
            </w:pPr>
            <w:r>
              <w:rPr>
                <w:rFonts w:eastAsia="Times New Roman"/>
                <w:b/>
                <w:bCs/>
                <w:sz w:val="20"/>
                <w:szCs w:val="20"/>
              </w:rPr>
              <w:t>(d)</w:t>
            </w:r>
          </w:p>
        </w:tc>
        <w:tc>
          <w:tcPr>
            <w:tcW w:w="0" w:type="auto"/>
            <w:hideMark/>
          </w:tcPr>
          <w:p w14:paraId="3BCF87BF" w14:textId="77777777" w:rsidR="00000000" w:rsidRDefault="00087966">
            <w:pPr>
              <w:jc w:val="both"/>
              <w:rPr>
                <w:rFonts w:eastAsia="Times New Roman"/>
                <w:sz w:val="20"/>
                <w:szCs w:val="20"/>
              </w:rPr>
            </w:pPr>
            <w:r>
              <w:rPr>
                <w:rFonts w:eastAsia="Times New Roman"/>
                <w:b/>
                <w:bCs/>
                <w:sz w:val="20"/>
                <w:szCs w:val="20"/>
              </w:rPr>
              <w:t>Securities Authorized for Issuance Under Equity Compensation Plans</w:t>
            </w:r>
          </w:p>
        </w:tc>
      </w:tr>
    </w:tbl>
    <w:p w14:paraId="08286631" w14:textId="77777777" w:rsidR="00000000" w:rsidRDefault="00087966">
      <w:pPr>
        <w:pStyle w:val="a3"/>
        <w:spacing w:before="0" w:beforeAutospacing="0" w:after="0" w:afterAutospacing="0"/>
        <w:jc w:val="both"/>
        <w:divId w:val="1595479706"/>
        <w:rPr>
          <w:sz w:val="20"/>
          <w:szCs w:val="20"/>
        </w:rPr>
      </w:pPr>
      <w:r>
        <w:rPr>
          <w:sz w:val="20"/>
          <w:szCs w:val="20"/>
        </w:rPr>
        <w:t> </w:t>
      </w:r>
    </w:p>
    <w:p w14:paraId="10E5226C" w14:textId="77777777" w:rsidR="00000000" w:rsidRDefault="00087966">
      <w:pPr>
        <w:pStyle w:val="a3"/>
        <w:spacing w:before="0" w:beforeAutospacing="0" w:after="0" w:afterAutospacing="0"/>
        <w:ind w:firstLine="720"/>
        <w:jc w:val="both"/>
        <w:divId w:val="1595479706"/>
        <w:rPr>
          <w:sz w:val="20"/>
          <w:szCs w:val="20"/>
        </w:rPr>
      </w:pPr>
      <w:r>
        <w:rPr>
          <w:sz w:val="20"/>
          <w:szCs w:val="20"/>
        </w:rPr>
        <w:t>None.</w:t>
      </w:r>
    </w:p>
    <w:p w14:paraId="41663AB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76026251" w14:textId="77777777">
        <w:trPr>
          <w:divId w:val="1595479706"/>
        </w:trPr>
        <w:tc>
          <w:tcPr>
            <w:tcW w:w="360" w:type="dxa"/>
            <w:hideMark/>
          </w:tcPr>
          <w:p w14:paraId="09E64749"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62496AB9" w14:textId="77777777" w:rsidR="00000000" w:rsidRDefault="00087966">
            <w:pPr>
              <w:jc w:val="both"/>
              <w:rPr>
                <w:rFonts w:eastAsia="Times New Roman"/>
                <w:sz w:val="20"/>
                <w:szCs w:val="20"/>
              </w:rPr>
            </w:pPr>
            <w:r>
              <w:rPr>
                <w:rFonts w:eastAsia="Times New Roman"/>
                <w:b/>
                <w:bCs/>
                <w:sz w:val="20"/>
                <w:szCs w:val="20"/>
              </w:rPr>
              <w:t>(e)</w:t>
            </w:r>
          </w:p>
        </w:tc>
        <w:tc>
          <w:tcPr>
            <w:tcW w:w="0" w:type="auto"/>
            <w:hideMark/>
          </w:tcPr>
          <w:p w14:paraId="359025AE" w14:textId="77777777" w:rsidR="00000000" w:rsidRDefault="00087966">
            <w:pPr>
              <w:jc w:val="both"/>
              <w:rPr>
                <w:rFonts w:eastAsia="Times New Roman"/>
                <w:sz w:val="20"/>
                <w:szCs w:val="20"/>
              </w:rPr>
            </w:pPr>
            <w:r>
              <w:rPr>
                <w:rFonts w:eastAsia="Times New Roman"/>
                <w:b/>
                <w:bCs/>
                <w:sz w:val="20"/>
                <w:szCs w:val="20"/>
              </w:rPr>
              <w:t>Recent Sales of Unregistered Securities</w:t>
            </w:r>
          </w:p>
        </w:tc>
      </w:tr>
    </w:tbl>
    <w:p w14:paraId="5482C306" w14:textId="77777777" w:rsidR="00000000" w:rsidRDefault="00087966">
      <w:pPr>
        <w:pStyle w:val="a3"/>
        <w:spacing w:before="0" w:beforeAutospacing="0" w:after="0" w:afterAutospacing="0"/>
        <w:jc w:val="both"/>
        <w:divId w:val="1595479706"/>
        <w:rPr>
          <w:sz w:val="20"/>
          <w:szCs w:val="20"/>
        </w:rPr>
      </w:pPr>
      <w:r>
        <w:rPr>
          <w:sz w:val="20"/>
          <w:szCs w:val="20"/>
        </w:rPr>
        <w:t> </w:t>
      </w:r>
    </w:p>
    <w:p w14:paraId="378091ED" w14:textId="77777777" w:rsidR="00000000" w:rsidRDefault="00087966">
      <w:pPr>
        <w:pStyle w:val="a3"/>
        <w:spacing w:before="0" w:beforeAutospacing="0" w:after="0" w:afterAutospacing="0"/>
        <w:ind w:firstLine="720"/>
        <w:jc w:val="both"/>
        <w:divId w:val="1595479706"/>
        <w:rPr>
          <w:sz w:val="20"/>
          <w:szCs w:val="20"/>
        </w:rPr>
      </w:pPr>
      <w:r>
        <w:rPr>
          <w:sz w:val="20"/>
          <w:szCs w:val="20"/>
        </w:rPr>
        <w:t>None.</w:t>
      </w:r>
    </w:p>
    <w:p w14:paraId="5A6AF54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5D8BAAFE" w14:textId="77777777">
        <w:trPr>
          <w:divId w:val="1595479706"/>
        </w:trPr>
        <w:tc>
          <w:tcPr>
            <w:tcW w:w="360" w:type="dxa"/>
            <w:hideMark/>
          </w:tcPr>
          <w:p w14:paraId="5450B03C" w14:textId="77777777" w:rsidR="00000000" w:rsidRDefault="00087966">
            <w:pPr>
              <w:rPr>
                <w:rFonts w:eastAsia="Times New Roman"/>
                <w:sz w:val="20"/>
                <w:szCs w:val="20"/>
              </w:rPr>
            </w:pPr>
            <w:r>
              <w:rPr>
                <w:rFonts w:eastAsia="Times New Roman"/>
                <w:sz w:val="20"/>
                <w:szCs w:val="20"/>
              </w:rPr>
              <w:t> </w:t>
            </w:r>
          </w:p>
        </w:tc>
        <w:tc>
          <w:tcPr>
            <w:tcW w:w="360" w:type="dxa"/>
            <w:hideMark/>
          </w:tcPr>
          <w:p w14:paraId="3685C8E9" w14:textId="77777777" w:rsidR="00000000" w:rsidRDefault="00087966">
            <w:pPr>
              <w:rPr>
                <w:rFonts w:eastAsia="Times New Roman"/>
                <w:sz w:val="20"/>
                <w:szCs w:val="20"/>
              </w:rPr>
            </w:pPr>
            <w:r>
              <w:rPr>
                <w:rFonts w:eastAsia="Times New Roman"/>
                <w:b/>
                <w:bCs/>
                <w:sz w:val="20"/>
                <w:szCs w:val="20"/>
              </w:rPr>
              <w:t>(f)</w:t>
            </w:r>
          </w:p>
        </w:tc>
        <w:tc>
          <w:tcPr>
            <w:tcW w:w="0" w:type="auto"/>
            <w:hideMark/>
          </w:tcPr>
          <w:p w14:paraId="457967B0" w14:textId="77777777" w:rsidR="00000000" w:rsidRDefault="00087966">
            <w:pPr>
              <w:rPr>
                <w:rFonts w:eastAsia="Times New Roman"/>
                <w:sz w:val="20"/>
                <w:szCs w:val="20"/>
              </w:rPr>
            </w:pPr>
            <w:r>
              <w:rPr>
                <w:rFonts w:eastAsia="Times New Roman"/>
                <w:b/>
                <w:bCs/>
                <w:sz w:val="20"/>
                <w:szCs w:val="20"/>
              </w:rPr>
              <w:t>Use of Proceeds from the Initial Public Offering</w:t>
            </w:r>
          </w:p>
        </w:tc>
      </w:tr>
    </w:tbl>
    <w:p w14:paraId="522BCD3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56D2D0B"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For </w:t>
      </w:r>
      <w:r>
        <w:rPr>
          <w:sz w:val="20"/>
          <w:szCs w:val="20"/>
        </w:rPr>
        <w:t>a description of the use of proceeds generated in our initial public offering and private placement, see Part II, Item 2 of our Annual Report on Form 10-K for the year ended December 31, 2020, as filed with the SEC on March 26, 2021. There has been no mate</w:t>
      </w:r>
      <w:r>
        <w:rPr>
          <w:sz w:val="20"/>
          <w:szCs w:val="20"/>
        </w:rPr>
        <w:t>rial change in the planned use of proceeds from our initial public offering and private placement as described in the IPO Registration Statement.</w:t>
      </w:r>
    </w:p>
    <w:p w14:paraId="7865EC5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2868C550" w14:textId="77777777">
        <w:trPr>
          <w:divId w:val="1595479706"/>
        </w:trPr>
        <w:tc>
          <w:tcPr>
            <w:tcW w:w="360" w:type="dxa"/>
            <w:hideMark/>
          </w:tcPr>
          <w:p w14:paraId="7927B9DC"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0412366B" w14:textId="77777777" w:rsidR="00000000" w:rsidRDefault="00087966">
            <w:pPr>
              <w:jc w:val="both"/>
              <w:rPr>
                <w:rFonts w:eastAsia="Times New Roman"/>
                <w:sz w:val="20"/>
                <w:szCs w:val="20"/>
              </w:rPr>
            </w:pPr>
            <w:r>
              <w:rPr>
                <w:rFonts w:eastAsia="Times New Roman"/>
                <w:b/>
                <w:bCs/>
                <w:sz w:val="20"/>
                <w:szCs w:val="20"/>
              </w:rPr>
              <w:t>(g)</w:t>
            </w:r>
          </w:p>
        </w:tc>
        <w:tc>
          <w:tcPr>
            <w:tcW w:w="0" w:type="auto"/>
            <w:hideMark/>
          </w:tcPr>
          <w:p w14:paraId="49BE6656" w14:textId="77777777" w:rsidR="00000000" w:rsidRDefault="00087966">
            <w:pPr>
              <w:jc w:val="both"/>
              <w:rPr>
                <w:rFonts w:eastAsia="Times New Roman"/>
                <w:sz w:val="20"/>
                <w:szCs w:val="20"/>
              </w:rPr>
            </w:pPr>
            <w:r>
              <w:rPr>
                <w:rFonts w:eastAsia="Times New Roman"/>
                <w:b/>
                <w:bCs/>
                <w:sz w:val="20"/>
                <w:szCs w:val="20"/>
              </w:rPr>
              <w:t>Purchases of Equity Securities by the Issuer and Affiliated Purchasers</w:t>
            </w:r>
          </w:p>
        </w:tc>
      </w:tr>
    </w:tbl>
    <w:p w14:paraId="56666042" w14:textId="77777777" w:rsidR="00000000" w:rsidRDefault="00087966">
      <w:pPr>
        <w:pStyle w:val="a3"/>
        <w:spacing w:before="0" w:beforeAutospacing="0" w:after="0" w:afterAutospacing="0"/>
        <w:jc w:val="both"/>
        <w:divId w:val="1595479706"/>
        <w:rPr>
          <w:sz w:val="20"/>
          <w:szCs w:val="20"/>
        </w:rPr>
      </w:pPr>
      <w:r>
        <w:rPr>
          <w:sz w:val="20"/>
          <w:szCs w:val="20"/>
        </w:rPr>
        <w:t> </w:t>
      </w:r>
    </w:p>
    <w:p w14:paraId="3087A7C8" w14:textId="77777777" w:rsidR="00000000" w:rsidRDefault="00087966">
      <w:pPr>
        <w:pStyle w:val="a3"/>
        <w:spacing w:before="0" w:beforeAutospacing="0" w:after="0" w:afterAutospacing="0"/>
        <w:ind w:firstLine="720"/>
        <w:jc w:val="both"/>
        <w:divId w:val="1595479706"/>
        <w:rPr>
          <w:sz w:val="20"/>
          <w:szCs w:val="20"/>
        </w:rPr>
      </w:pPr>
      <w:r>
        <w:rPr>
          <w:sz w:val="20"/>
          <w:szCs w:val="20"/>
        </w:rPr>
        <w:t>None.</w:t>
      </w:r>
    </w:p>
    <w:p w14:paraId="5F3C7B6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E56C66E" w14:textId="77777777" w:rsidR="00000000" w:rsidRDefault="00087966">
      <w:pPr>
        <w:pStyle w:val="a3"/>
        <w:spacing w:before="0" w:beforeAutospacing="0" w:after="0" w:afterAutospacing="0"/>
        <w:jc w:val="center"/>
        <w:divId w:val="1209956619"/>
        <w:rPr>
          <w:sz w:val="20"/>
          <w:szCs w:val="20"/>
        </w:rPr>
      </w:pPr>
      <w:r>
        <w:rPr>
          <w:sz w:val="20"/>
          <w:szCs w:val="20"/>
        </w:rPr>
        <w:t>3</w:t>
      </w:r>
      <w:r>
        <w:rPr>
          <w:sz w:val="20"/>
          <w:szCs w:val="20"/>
        </w:rPr>
        <w:t>4</w:t>
      </w:r>
    </w:p>
    <w:p w14:paraId="520743A6" w14:textId="77777777" w:rsidR="00000000" w:rsidRDefault="00087966">
      <w:pPr>
        <w:pStyle w:val="a3"/>
        <w:spacing w:before="0" w:beforeAutospacing="0" w:after="0" w:afterAutospacing="0"/>
        <w:divId w:val="1427267495"/>
        <w:rPr>
          <w:sz w:val="20"/>
          <w:szCs w:val="20"/>
        </w:rPr>
      </w:pPr>
      <w:r>
        <w:rPr>
          <w:sz w:val="20"/>
          <w:szCs w:val="20"/>
        </w:rPr>
        <w:t> </w:t>
      </w:r>
    </w:p>
    <w:p w14:paraId="7BBB2166" w14:textId="77777777" w:rsidR="00000000" w:rsidRDefault="00087966">
      <w:pPr>
        <w:pStyle w:val="a3"/>
        <w:spacing w:before="0" w:beforeAutospacing="0" w:after="0" w:afterAutospacing="0"/>
        <w:jc w:val="both"/>
        <w:divId w:val="1595479706"/>
        <w:rPr>
          <w:sz w:val="20"/>
          <w:szCs w:val="20"/>
        </w:rPr>
      </w:pPr>
      <w:r>
        <w:rPr>
          <w:sz w:val="20"/>
          <w:szCs w:val="20"/>
        </w:rPr>
        <w:t> </w:t>
      </w:r>
    </w:p>
    <w:p w14:paraId="54FD4E0C" w14:textId="77777777" w:rsidR="00000000" w:rsidRDefault="00087966">
      <w:pPr>
        <w:pStyle w:val="a3"/>
        <w:spacing w:before="0" w:beforeAutospacing="0" w:after="0" w:afterAutospacing="0"/>
        <w:jc w:val="both"/>
        <w:divId w:val="1595479706"/>
        <w:rPr>
          <w:sz w:val="20"/>
          <w:szCs w:val="20"/>
        </w:rPr>
      </w:pPr>
      <w:r>
        <w:rPr>
          <w:b/>
          <w:bCs/>
          <w:sz w:val="20"/>
          <w:szCs w:val="20"/>
        </w:rPr>
        <w:t>Item 6. [Rese</w:t>
      </w:r>
      <w:r>
        <w:rPr>
          <w:b/>
          <w:bCs/>
          <w:sz w:val="20"/>
          <w:szCs w:val="20"/>
        </w:rPr>
        <w:t>rved]</w:t>
      </w:r>
    </w:p>
    <w:p w14:paraId="14A81647" w14:textId="77777777" w:rsidR="00000000" w:rsidRDefault="00087966">
      <w:pPr>
        <w:pStyle w:val="a3"/>
        <w:spacing w:before="0" w:beforeAutospacing="0" w:after="0" w:afterAutospacing="0"/>
        <w:jc w:val="both"/>
        <w:divId w:val="1595479706"/>
        <w:rPr>
          <w:sz w:val="20"/>
          <w:szCs w:val="20"/>
        </w:rPr>
      </w:pPr>
      <w:r>
        <w:rPr>
          <w:sz w:val="20"/>
          <w:szCs w:val="20"/>
        </w:rPr>
        <w:t> </w:t>
      </w:r>
    </w:p>
    <w:p w14:paraId="0F6B5532" w14:textId="77777777" w:rsidR="00000000" w:rsidRDefault="00087966">
      <w:pPr>
        <w:pStyle w:val="a3"/>
        <w:spacing w:before="0" w:beforeAutospacing="0" w:after="0" w:afterAutospacing="0"/>
        <w:jc w:val="both"/>
        <w:divId w:val="1595479706"/>
        <w:rPr>
          <w:sz w:val="20"/>
          <w:szCs w:val="20"/>
        </w:rPr>
      </w:pPr>
      <w:r>
        <w:rPr>
          <w:b/>
          <w:bCs/>
          <w:sz w:val="20"/>
          <w:szCs w:val="20"/>
        </w:rPr>
        <w:t>Item 7. Management’s Discussion and Analysis of Financial Condition and Results of Operations.</w:t>
      </w:r>
    </w:p>
    <w:p w14:paraId="23B029DF" w14:textId="77777777" w:rsidR="00000000" w:rsidRDefault="00087966">
      <w:pPr>
        <w:pStyle w:val="a3"/>
        <w:spacing w:before="0" w:beforeAutospacing="0" w:after="0" w:afterAutospacing="0"/>
        <w:jc w:val="both"/>
        <w:divId w:val="1595479706"/>
        <w:rPr>
          <w:sz w:val="20"/>
          <w:szCs w:val="20"/>
        </w:rPr>
      </w:pPr>
      <w:r>
        <w:rPr>
          <w:sz w:val="20"/>
          <w:szCs w:val="20"/>
        </w:rPr>
        <w:t> </w:t>
      </w:r>
    </w:p>
    <w:p w14:paraId="38430729" w14:textId="77777777" w:rsidR="00000000" w:rsidRDefault="00087966">
      <w:pPr>
        <w:pStyle w:val="a3"/>
        <w:spacing w:before="0" w:beforeAutospacing="0" w:after="0" w:afterAutospacing="0"/>
        <w:jc w:val="both"/>
        <w:divId w:val="1595479706"/>
        <w:rPr>
          <w:sz w:val="20"/>
          <w:szCs w:val="20"/>
        </w:rPr>
      </w:pPr>
      <w:r>
        <w:rPr>
          <w:b/>
          <w:bCs/>
          <w:sz w:val="20"/>
          <w:szCs w:val="20"/>
        </w:rPr>
        <w:t>Cautionary Note Regarding Forward-Looking Statements</w:t>
      </w:r>
    </w:p>
    <w:p w14:paraId="7E767DB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2C2D7AA"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All </w:t>
      </w:r>
      <w:r>
        <w:rPr>
          <w:sz w:val="20"/>
          <w:szCs w:val="20"/>
        </w:rPr>
        <w:t xml:space="preserve">statements other than statements of historical fact included in this Report including, without limitation, statements in this section regarding our financial position, business strategy and the plans and objectives of management for future operations, are </w:t>
      </w:r>
      <w:r>
        <w:rPr>
          <w:sz w:val="20"/>
          <w:szCs w:val="20"/>
        </w:rPr>
        <w:t>forward- looking statements. When used in this Report, words such as “anticipate,” “believe,” “estimate,” “expect,” “intend” and similar expressions, as they relate to us or our management, identify forward-looking statements. Such forward-looking statemen</w:t>
      </w:r>
      <w:r>
        <w:rPr>
          <w:sz w:val="20"/>
          <w:szCs w:val="20"/>
        </w:rPr>
        <w:t>ts are based on the beliefs of our management, as well as assumptions made by, and information currently available to, our management. Actual results could differ materially from those contemplated by the forward-looking statements as a result of certain f</w:t>
      </w:r>
      <w:r>
        <w:rPr>
          <w:sz w:val="20"/>
          <w:szCs w:val="20"/>
        </w:rPr>
        <w:t>actors detailed in our filings with the SEC. All subsequent written or oral forward-looking statements attributable to us or persons acting on our behalf are qualified in their entirety by this paragraph.</w:t>
      </w:r>
    </w:p>
    <w:p w14:paraId="27D84F2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0606B92" w14:textId="77777777" w:rsidR="00000000" w:rsidRDefault="00087966">
      <w:pPr>
        <w:pStyle w:val="a3"/>
        <w:spacing w:before="0" w:beforeAutospacing="0" w:after="0" w:afterAutospacing="0"/>
        <w:ind w:firstLine="720"/>
        <w:jc w:val="both"/>
        <w:divId w:val="1595479706"/>
        <w:rPr>
          <w:sz w:val="20"/>
          <w:szCs w:val="20"/>
        </w:rPr>
      </w:pPr>
      <w:r>
        <w:rPr>
          <w:sz w:val="20"/>
          <w:szCs w:val="20"/>
        </w:rPr>
        <w:t>The following discussion and analysis of our fina</w:t>
      </w:r>
      <w:r>
        <w:rPr>
          <w:sz w:val="20"/>
          <w:szCs w:val="20"/>
        </w:rPr>
        <w:t>ncial condition and results of operations should be read in conjunction with the consolidated financial statements and the notes thereto contained elsewhere in this Report.</w:t>
      </w:r>
    </w:p>
    <w:p w14:paraId="7E0B9DE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EB6576E" w14:textId="77777777" w:rsidR="00000000" w:rsidRDefault="00087966">
      <w:pPr>
        <w:pStyle w:val="a3"/>
        <w:spacing w:before="0" w:beforeAutospacing="0" w:after="0" w:afterAutospacing="0"/>
        <w:divId w:val="1595479706"/>
        <w:rPr>
          <w:sz w:val="20"/>
          <w:szCs w:val="20"/>
        </w:rPr>
      </w:pPr>
      <w:r>
        <w:rPr>
          <w:b/>
          <w:bCs/>
          <w:sz w:val="20"/>
          <w:szCs w:val="20"/>
        </w:rPr>
        <w:t>Overview</w:t>
      </w:r>
    </w:p>
    <w:p w14:paraId="5444D1A1" w14:textId="77777777" w:rsidR="00000000" w:rsidRDefault="00087966">
      <w:pPr>
        <w:pStyle w:val="a3"/>
        <w:spacing w:before="0" w:beforeAutospacing="0" w:after="0" w:afterAutospacing="0"/>
        <w:jc w:val="both"/>
        <w:divId w:val="1595479706"/>
        <w:rPr>
          <w:sz w:val="20"/>
          <w:szCs w:val="20"/>
        </w:rPr>
      </w:pPr>
      <w:r>
        <w:rPr>
          <w:sz w:val="20"/>
          <w:szCs w:val="20"/>
        </w:rPr>
        <w:t> </w:t>
      </w:r>
    </w:p>
    <w:p w14:paraId="6F2AEFF1" w14:textId="77777777" w:rsidR="00000000" w:rsidRDefault="00087966">
      <w:pPr>
        <w:pStyle w:val="a3"/>
        <w:spacing w:before="0" w:beforeAutospacing="0" w:after="0" w:afterAutospacing="0"/>
        <w:ind w:firstLine="720"/>
        <w:jc w:val="both"/>
        <w:divId w:val="1595479706"/>
        <w:rPr>
          <w:sz w:val="20"/>
          <w:szCs w:val="20"/>
        </w:rPr>
      </w:pPr>
      <w:r>
        <w:rPr>
          <w:sz w:val="20"/>
          <w:szCs w:val="20"/>
        </w:rPr>
        <w:t>We are a blank check company formed under the laws of the State of Del</w:t>
      </w:r>
      <w:r>
        <w:rPr>
          <w:sz w:val="20"/>
          <w:szCs w:val="20"/>
        </w:rPr>
        <w:t>aware on September 24, 2020, for the purpose of effecting a business combination with one or more businesses. We intend to effectuate our business combination using cash from the remaining proceeds of the initial public offering and the sale of the private</w:t>
      </w:r>
      <w:r>
        <w:rPr>
          <w:sz w:val="20"/>
          <w:szCs w:val="20"/>
        </w:rPr>
        <w:t xml:space="preserve"> placement warrants, our capital stock, debt or a combination of cash, stock and debt.</w:t>
      </w:r>
    </w:p>
    <w:p w14:paraId="5D43E450" w14:textId="77777777" w:rsidR="00000000" w:rsidRDefault="00087966">
      <w:pPr>
        <w:pStyle w:val="a3"/>
        <w:spacing w:before="0" w:beforeAutospacing="0" w:after="0" w:afterAutospacing="0"/>
        <w:jc w:val="both"/>
        <w:divId w:val="1595479706"/>
        <w:rPr>
          <w:sz w:val="20"/>
          <w:szCs w:val="20"/>
        </w:rPr>
      </w:pPr>
      <w:r>
        <w:rPr>
          <w:sz w:val="20"/>
          <w:szCs w:val="20"/>
        </w:rPr>
        <w:t> </w:t>
      </w:r>
    </w:p>
    <w:p w14:paraId="109AC355" w14:textId="77777777" w:rsidR="00000000" w:rsidRDefault="00087966">
      <w:pPr>
        <w:pStyle w:val="a3"/>
        <w:spacing w:before="0" w:beforeAutospacing="0" w:after="0" w:afterAutospacing="0"/>
        <w:ind w:firstLine="720"/>
        <w:jc w:val="both"/>
        <w:divId w:val="1595479706"/>
        <w:rPr>
          <w:sz w:val="20"/>
          <w:szCs w:val="20"/>
        </w:rPr>
      </w:pPr>
      <w:r>
        <w:rPr>
          <w:sz w:val="20"/>
          <w:szCs w:val="20"/>
        </w:rPr>
        <w:t>We expect to continue to incur significant costs in the pursuit of our acquisition plans. We cannot assure you that our plans to complete a business combination will b</w:t>
      </w:r>
      <w:r>
        <w:rPr>
          <w:sz w:val="20"/>
          <w:szCs w:val="20"/>
        </w:rPr>
        <w:t>e successful.</w:t>
      </w:r>
    </w:p>
    <w:p w14:paraId="1C44476F" w14:textId="77777777" w:rsidR="00000000" w:rsidRDefault="00087966">
      <w:pPr>
        <w:pStyle w:val="a3"/>
        <w:spacing w:before="0" w:beforeAutospacing="0" w:after="0" w:afterAutospacing="0"/>
        <w:jc w:val="both"/>
        <w:divId w:val="1595479706"/>
        <w:rPr>
          <w:sz w:val="20"/>
          <w:szCs w:val="20"/>
        </w:rPr>
      </w:pPr>
      <w:r>
        <w:rPr>
          <w:sz w:val="20"/>
          <w:szCs w:val="20"/>
        </w:rPr>
        <w:t> </w:t>
      </w:r>
    </w:p>
    <w:p w14:paraId="02751F9B" w14:textId="77777777" w:rsidR="00000000" w:rsidRDefault="00087966">
      <w:pPr>
        <w:pStyle w:val="a3"/>
        <w:spacing w:before="0" w:beforeAutospacing="0" w:after="0" w:afterAutospacing="0"/>
        <w:jc w:val="both"/>
        <w:divId w:val="1595479706"/>
        <w:rPr>
          <w:sz w:val="20"/>
          <w:szCs w:val="20"/>
        </w:rPr>
      </w:pPr>
      <w:r>
        <w:rPr>
          <w:b/>
          <w:bCs/>
          <w:sz w:val="20"/>
          <w:szCs w:val="20"/>
        </w:rPr>
        <w:t>Results of Operations</w:t>
      </w:r>
    </w:p>
    <w:p w14:paraId="624A2C3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28F0895" w14:textId="77777777" w:rsidR="00000000" w:rsidRDefault="00087966">
      <w:pPr>
        <w:pStyle w:val="a3"/>
        <w:spacing w:before="0" w:beforeAutospacing="0" w:after="0" w:afterAutospacing="0"/>
        <w:ind w:firstLine="720"/>
        <w:jc w:val="both"/>
        <w:divId w:val="1595479706"/>
        <w:rPr>
          <w:sz w:val="20"/>
          <w:szCs w:val="20"/>
        </w:rPr>
      </w:pPr>
      <w:r>
        <w:rPr>
          <w:sz w:val="20"/>
          <w:szCs w:val="20"/>
        </w:rPr>
        <w:t>We have neither engaged in any operations nor generated any revenues to date. Our only activities from September 24, 2020 (inception) through December 31, 2022 were organizational activities, those necessary to prepa</w:t>
      </w:r>
      <w:r>
        <w:rPr>
          <w:sz w:val="20"/>
          <w:szCs w:val="20"/>
        </w:rPr>
        <w:t xml:space="preserve">re for the initial public offering and subsequent to the initial public offering, identifying a target company for a business combination and subsequent to entering into the Merger Agreement, pursuing the completion of the Near Business Combination. We do </w:t>
      </w:r>
      <w:r>
        <w:rPr>
          <w:sz w:val="20"/>
          <w:szCs w:val="20"/>
        </w:rPr>
        <w:t>not expect to generate any operating revenues until after the completion of our business combination. We generate non-operating income in the form of interest income and unrealized gains on marketable securities held in a trust account, and gains or losses</w:t>
      </w:r>
      <w:r>
        <w:rPr>
          <w:sz w:val="20"/>
          <w:szCs w:val="20"/>
        </w:rPr>
        <w:t xml:space="preserve"> from the change in fair value of the warrant liabilities and the Working Capital Loan. We incur expenses as a result of being a public company (for legal, financial reporting, accounting and auditing compliance), as well as for due diligence expenses.</w:t>
      </w:r>
    </w:p>
    <w:p w14:paraId="54491B5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3AB9375" w14:textId="77777777" w:rsidR="00000000" w:rsidRDefault="00087966">
      <w:pPr>
        <w:pStyle w:val="a3"/>
        <w:spacing w:before="0" w:beforeAutospacing="0" w:after="0" w:afterAutospacing="0"/>
        <w:ind w:firstLine="720"/>
        <w:jc w:val="both"/>
        <w:divId w:val="1595479706"/>
        <w:rPr>
          <w:sz w:val="20"/>
          <w:szCs w:val="20"/>
        </w:rPr>
      </w:pPr>
      <w:r>
        <w:rPr>
          <w:sz w:val="20"/>
          <w:szCs w:val="20"/>
        </w:rPr>
        <w:t>F</w:t>
      </w:r>
      <w:r>
        <w:rPr>
          <w:sz w:val="20"/>
          <w:szCs w:val="20"/>
        </w:rPr>
        <w:t>or the year ended December 31, 2022, we had net income of $5,032,569, which consists of change in fair value of the warrant liabilities of $7,205,710, change in fair value of the Working Capital Loan of $341,057, and interest earned on marketable securitie</w:t>
      </w:r>
      <w:r>
        <w:rPr>
          <w:sz w:val="20"/>
          <w:szCs w:val="20"/>
        </w:rPr>
        <w:t>s held in the trust account of $1,760,120, partially offset by formation and operational costs of $3,900,302 and provision for income taxes of $374,016.</w:t>
      </w:r>
    </w:p>
    <w:p w14:paraId="3844ACB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DA2F80B"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For the year ended December 31, 2021, we had a net loss of $406,026, which consists of the change in </w:t>
      </w:r>
      <w:r>
        <w:rPr>
          <w:sz w:val="20"/>
          <w:szCs w:val="20"/>
        </w:rPr>
        <w:t>fair value of the warrant liabilities of $1,642,290, unrealized gain on marketable securities held in trust account of $2,211 and interest earned on marketable securities held in the trust account of $78,398, offset by formation and operational costs of $1</w:t>
      </w:r>
      <w:r>
        <w:rPr>
          <w:sz w:val="20"/>
          <w:szCs w:val="20"/>
        </w:rPr>
        <w:t>,605,912 and transaction costs allocated to warrant liabilities of $523,013.</w:t>
      </w:r>
    </w:p>
    <w:p w14:paraId="301298B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47A3CDC" w14:textId="77777777" w:rsidR="00000000" w:rsidRDefault="00087966">
      <w:pPr>
        <w:pStyle w:val="a3"/>
        <w:spacing w:before="0" w:beforeAutospacing="0" w:after="0" w:afterAutospacing="0"/>
        <w:jc w:val="center"/>
        <w:divId w:val="1051226706"/>
        <w:rPr>
          <w:sz w:val="20"/>
          <w:szCs w:val="20"/>
        </w:rPr>
      </w:pPr>
      <w:r>
        <w:rPr>
          <w:sz w:val="20"/>
          <w:szCs w:val="20"/>
        </w:rPr>
        <w:t>3</w:t>
      </w:r>
      <w:r>
        <w:rPr>
          <w:sz w:val="20"/>
          <w:szCs w:val="20"/>
        </w:rPr>
        <w:t>5</w:t>
      </w:r>
    </w:p>
    <w:p w14:paraId="707DB895" w14:textId="77777777" w:rsidR="00000000" w:rsidRDefault="00087966">
      <w:pPr>
        <w:pStyle w:val="a3"/>
        <w:spacing w:before="0" w:beforeAutospacing="0" w:after="0" w:afterAutospacing="0"/>
        <w:divId w:val="1321737175"/>
        <w:rPr>
          <w:sz w:val="20"/>
          <w:szCs w:val="20"/>
        </w:rPr>
      </w:pPr>
      <w:r>
        <w:rPr>
          <w:sz w:val="20"/>
          <w:szCs w:val="20"/>
        </w:rPr>
        <w:t> </w:t>
      </w:r>
    </w:p>
    <w:p w14:paraId="221F253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FE376D7" w14:textId="77777777" w:rsidR="00000000" w:rsidRDefault="00087966">
      <w:pPr>
        <w:pStyle w:val="a3"/>
        <w:spacing w:before="0" w:beforeAutospacing="0" w:after="0" w:afterAutospacing="0"/>
        <w:jc w:val="both"/>
        <w:divId w:val="1595479706"/>
        <w:rPr>
          <w:sz w:val="20"/>
          <w:szCs w:val="20"/>
        </w:rPr>
      </w:pPr>
      <w:r>
        <w:rPr>
          <w:b/>
          <w:bCs/>
          <w:sz w:val="20"/>
          <w:szCs w:val="20"/>
        </w:rPr>
        <w:t xml:space="preserve">Near Business Combination </w:t>
      </w:r>
    </w:p>
    <w:p w14:paraId="7452D0FF" w14:textId="77777777" w:rsidR="00000000" w:rsidRDefault="00087966">
      <w:pPr>
        <w:pStyle w:val="a3"/>
        <w:spacing w:before="0" w:beforeAutospacing="0" w:after="0" w:afterAutospacing="0"/>
        <w:ind w:firstLine="480"/>
        <w:jc w:val="both"/>
        <w:divId w:val="1595479706"/>
        <w:rPr>
          <w:sz w:val="20"/>
          <w:szCs w:val="20"/>
        </w:rPr>
      </w:pPr>
      <w:r>
        <w:rPr>
          <w:sz w:val="20"/>
          <w:szCs w:val="20"/>
        </w:rPr>
        <w:t> </w:t>
      </w:r>
    </w:p>
    <w:p w14:paraId="2828BE00"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On May 18, 2022, we entered into the Near Merger Agreement with Near, </w:t>
      </w:r>
      <w:r>
        <w:rPr>
          <w:sz w:val="20"/>
          <w:szCs w:val="20"/>
        </w:rPr>
        <w:t xml:space="preserve">Merger Sub 1 and Merger Sub 2. Near, a global leader in privacy-led data intelligence, curates one of the world’s largest sources of intelligence on people, places and products. Near processes data from over 1.6 billion unique user IDs, in over 70 million </w:t>
      </w:r>
      <w:r>
        <w:rPr>
          <w:sz w:val="20"/>
          <w:szCs w:val="20"/>
        </w:rPr>
        <w:t xml:space="preserve">places across 44 countries to empower marketing and operational data leaders to confidently reach, understand and market to consumers and optimize their business results. Near has offices in Los Angeles, Silicon Valley, Paris, Bangalore, Singapore, Sydney </w:t>
      </w:r>
      <w:r>
        <w:rPr>
          <w:sz w:val="20"/>
          <w:szCs w:val="20"/>
        </w:rPr>
        <w:t>and Tokyo. Near serves major enterprises in retail, real estate, restaurants, tourism, technology, marketing and other industries. Pursuant to the Near Merger Agreement, at the closing of the transactions contemplated by the Near Merger Agreement, (i) Merg</w:t>
      </w:r>
      <w:r>
        <w:rPr>
          <w:sz w:val="20"/>
          <w:szCs w:val="20"/>
        </w:rPr>
        <w:t xml:space="preserve">er Sub 1 and Near will consummate the First Merger (as defined in the Near Merger Agreement), pursuant to which Merger Sub 1 will be merged with and into Near, with Near continuing as the surviving corporation and a wholly owned subsidiary of the Company, </w:t>
      </w:r>
      <w:r>
        <w:rPr>
          <w:sz w:val="20"/>
          <w:szCs w:val="20"/>
        </w:rPr>
        <w:t>as a result of which all of the issued and outstanding capital stock of Near will no longer be outstanding and will automatically be cancelled and will cease to exist in exchange for the right to receive the Merger Consideration (as defined in the Near Mer</w:t>
      </w:r>
      <w:r>
        <w:rPr>
          <w:sz w:val="20"/>
          <w:szCs w:val="20"/>
        </w:rPr>
        <w:t>ger Agreement), and (ii) Near, as the surviving corporation and a wholly owned subsidiary of the Company after the First Merger, will merge with and into Merger Sub 2, with Merger Sub 2 continuing as the surviving entity, as a result of which all of the is</w:t>
      </w:r>
      <w:r>
        <w:rPr>
          <w:sz w:val="20"/>
          <w:szCs w:val="20"/>
        </w:rPr>
        <w:t>sued and outstanding capital stock of Near will no longer be outstanding and will automatically be cancelled and will cease to exist and each membership interest of Merger Sub 2 will remain outstanding as a membership interest of the surviving entity. Foll</w:t>
      </w:r>
      <w:r>
        <w:rPr>
          <w:sz w:val="20"/>
          <w:szCs w:val="20"/>
        </w:rPr>
        <w:t>owing the Near Business Combination, the Company will change its name to “Near Intelligence, Inc.”, or such other name as may be mutually agreed to by the Company and Near.</w:t>
      </w:r>
    </w:p>
    <w:p w14:paraId="3E0DC71D" w14:textId="77777777" w:rsidR="00000000" w:rsidRDefault="00087966">
      <w:pPr>
        <w:pStyle w:val="a3"/>
        <w:spacing w:before="0" w:beforeAutospacing="0" w:after="0" w:afterAutospacing="0"/>
        <w:ind w:firstLine="480"/>
        <w:jc w:val="both"/>
        <w:divId w:val="1595479706"/>
        <w:rPr>
          <w:sz w:val="20"/>
          <w:szCs w:val="20"/>
        </w:rPr>
      </w:pPr>
      <w:r>
        <w:rPr>
          <w:sz w:val="20"/>
          <w:szCs w:val="20"/>
        </w:rPr>
        <w:t> </w:t>
      </w:r>
    </w:p>
    <w:p w14:paraId="319C7775" w14:textId="77777777" w:rsidR="00000000" w:rsidRDefault="00087966">
      <w:pPr>
        <w:pStyle w:val="a3"/>
        <w:spacing w:before="0" w:beforeAutospacing="0" w:after="0" w:afterAutospacing="0"/>
        <w:ind w:firstLine="720"/>
        <w:jc w:val="both"/>
        <w:divId w:val="1595479706"/>
        <w:rPr>
          <w:sz w:val="20"/>
          <w:szCs w:val="20"/>
        </w:rPr>
      </w:pPr>
      <w:r>
        <w:rPr>
          <w:sz w:val="20"/>
          <w:szCs w:val="20"/>
        </w:rPr>
        <w:t>For a full description of the Near Merger Agreement and the proposed Near Busines</w:t>
      </w:r>
      <w:r>
        <w:rPr>
          <w:sz w:val="20"/>
          <w:szCs w:val="20"/>
        </w:rPr>
        <w:t>s Combination, please see “Item 1. Business.”</w:t>
      </w:r>
    </w:p>
    <w:p w14:paraId="5A9F87C3"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35282FE3" w14:textId="77777777" w:rsidR="00000000" w:rsidRDefault="00087966">
      <w:pPr>
        <w:pStyle w:val="a3"/>
        <w:spacing w:before="0" w:beforeAutospacing="0" w:after="0" w:afterAutospacing="0"/>
        <w:jc w:val="both"/>
        <w:divId w:val="1595479706"/>
        <w:rPr>
          <w:sz w:val="20"/>
          <w:szCs w:val="20"/>
        </w:rPr>
      </w:pPr>
      <w:r>
        <w:rPr>
          <w:b/>
          <w:bCs/>
          <w:sz w:val="20"/>
          <w:szCs w:val="20"/>
        </w:rPr>
        <w:t>Extensions</w:t>
      </w:r>
    </w:p>
    <w:p w14:paraId="61C1EE74" w14:textId="77777777" w:rsidR="00000000" w:rsidRDefault="00087966">
      <w:pPr>
        <w:pStyle w:val="a3"/>
        <w:spacing w:before="0" w:beforeAutospacing="0" w:after="0" w:afterAutospacing="0"/>
        <w:ind w:firstLine="480"/>
        <w:jc w:val="both"/>
        <w:divId w:val="1595479706"/>
        <w:rPr>
          <w:sz w:val="20"/>
          <w:szCs w:val="20"/>
        </w:rPr>
      </w:pPr>
      <w:r>
        <w:rPr>
          <w:sz w:val="20"/>
          <w:szCs w:val="20"/>
        </w:rPr>
        <w:t> </w:t>
      </w:r>
    </w:p>
    <w:p w14:paraId="67E5D3EC" w14:textId="77777777" w:rsidR="00000000" w:rsidRDefault="00087966">
      <w:pPr>
        <w:pStyle w:val="a3"/>
        <w:spacing w:before="0" w:beforeAutospacing="0" w:after="0" w:afterAutospacing="0"/>
        <w:ind w:firstLine="720"/>
        <w:jc w:val="both"/>
        <w:divId w:val="1595479706"/>
        <w:rPr>
          <w:sz w:val="20"/>
          <w:szCs w:val="20"/>
        </w:rPr>
      </w:pPr>
      <w:r>
        <w:rPr>
          <w:sz w:val="20"/>
          <w:szCs w:val="20"/>
        </w:rPr>
        <w:t>On July 7, 2022, the Company’s stockholders approved the First Extension, extending the date by which the Company must consummate its initial business combination from July 11, 2022 to January 11</w:t>
      </w:r>
      <w:r>
        <w:rPr>
          <w:sz w:val="20"/>
          <w:szCs w:val="20"/>
        </w:rPr>
        <w:t>, 2023 (or such earlier date, subject to certain conditions of the Near Merger Agreement, as determined by the board of directors). In connection with the First Extension, the Company issued two promissory notes in the aggregate principal amount of up to $</w:t>
      </w:r>
      <w:r>
        <w:rPr>
          <w:sz w:val="20"/>
          <w:szCs w:val="20"/>
        </w:rPr>
        <w:t>2,060,070, pursuant to which the sponsor and Near loaned the Company an aggregate of $2,060,070 and deposited into the trust account to cover the six months of extension payments (each in the amount of $343,345) paid in connection with the First Extension.</w:t>
      </w:r>
    </w:p>
    <w:p w14:paraId="76FFE145" w14:textId="77777777" w:rsidR="00000000" w:rsidRDefault="00087966">
      <w:pPr>
        <w:pStyle w:val="a3"/>
        <w:spacing w:before="0" w:beforeAutospacing="0" w:after="0" w:afterAutospacing="0"/>
        <w:ind w:firstLine="480"/>
        <w:jc w:val="both"/>
        <w:divId w:val="1595479706"/>
        <w:rPr>
          <w:sz w:val="20"/>
          <w:szCs w:val="20"/>
        </w:rPr>
      </w:pPr>
      <w:r>
        <w:rPr>
          <w:sz w:val="20"/>
          <w:szCs w:val="20"/>
        </w:rPr>
        <w:t> </w:t>
      </w:r>
    </w:p>
    <w:p w14:paraId="5171FA6B" w14:textId="77777777" w:rsidR="00000000" w:rsidRDefault="00087966">
      <w:pPr>
        <w:pStyle w:val="a3"/>
        <w:spacing w:before="0" w:beforeAutospacing="0" w:after="0" w:afterAutospacing="0"/>
        <w:ind w:firstLine="720"/>
        <w:jc w:val="both"/>
        <w:divId w:val="1595479706"/>
        <w:rPr>
          <w:sz w:val="20"/>
          <w:szCs w:val="20"/>
        </w:rPr>
      </w:pPr>
      <w:r>
        <w:rPr>
          <w:sz w:val="20"/>
          <w:szCs w:val="20"/>
        </w:rPr>
        <w:t>On January 6, 2023, the Company’s stockholders approved the Second Extension, extending the date by which the Company must consummate its initial business combination from January 11, 2023 to April 11, 2023 (or such earlier date as determined by the boa</w:t>
      </w:r>
      <w:r>
        <w:rPr>
          <w:sz w:val="20"/>
          <w:szCs w:val="20"/>
        </w:rPr>
        <w:t>rd of directors). If the Company’s initial business combination, such as the Near Business Combination, is not consummated by April 11, 2023, then the Company’s existence will terminate, and the Company will distribute the remaining amounts in the trust ac</w:t>
      </w:r>
      <w:r>
        <w:rPr>
          <w:sz w:val="20"/>
          <w:szCs w:val="20"/>
        </w:rPr>
        <w:t>count as provided in the Company’s amended and restated certificate of incorporation.</w:t>
      </w:r>
    </w:p>
    <w:p w14:paraId="1CA0B982" w14:textId="77777777" w:rsidR="00000000" w:rsidRDefault="00087966">
      <w:pPr>
        <w:pStyle w:val="a3"/>
        <w:spacing w:before="0" w:beforeAutospacing="0" w:after="0" w:afterAutospacing="0"/>
        <w:ind w:firstLine="480"/>
        <w:jc w:val="both"/>
        <w:divId w:val="1595479706"/>
        <w:rPr>
          <w:sz w:val="20"/>
          <w:szCs w:val="20"/>
        </w:rPr>
      </w:pPr>
      <w:r>
        <w:rPr>
          <w:sz w:val="20"/>
          <w:szCs w:val="20"/>
        </w:rPr>
        <w:t> </w:t>
      </w:r>
    </w:p>
    <w:p w14:paraId="5CF97383" w14:textId="77777777" w:rsidR="00000000" w:rsidRDefault="00087966">
      <w:pPr>
        <w:pStyle w:val="a3"/>
        <w:spacing w:before="0" w:beforeAutospacing="0" w:after="0" w:afterAutospacing="0"/>
        <w:ind w:firstLine="720"/>
        <w:jc w:val="both"/>
        <w:divId w:val="1595479706"/>
        <w:rPr>
          <w:sz w:val="20"/>
          <w:szCs w:val="20"/>
        </w:rPr>
      </w:pPr>
      <w:r>
        <w:rPr>
          <w:sz w:val="20"/>
          <w:szCs w:val="20"/>
        </w:rPr>
        <w:t>In connection with the First Extension, the Company’s stockholders holding 6,845,606 public shares exercised their right to redeem such shares for a pro rata portion of</w:t>
      </w:r>
      <w:r>
        <w:rPr>
          <w:sz w:val="20"/>
          <w:szCs w:val="20"/>
        </w:rPr>
        <w:t xml:space="preserve"> the funds in the trust account. As a result, $68,488,348 (approximately $10.00 per share) was removed from the trust account to pay such holders. In connection with the Second Extension, stockholders holding 9,786,530 public shares exercised their right t</w:t>
      </w:r>
      <w:r>
        <w:rPr>
          <w:sz w:val="20"/>
          <w:szCs w:val="20"/>
        </w:rPr>
        <w:t>o redeem their shares for a pro rata portion of the funds in the trust account. As a result, approximately $101 million (approximately $10.32 per public share) was removed from the trust account to pay such holders and approximately $6.376 million remained</w:t>
      </w:r>
      <w:r>
        <w:rPr>
          <w:sz w:val="20"/>
          <w:szCs w:val="20"/>
        </w:rPr>
        <w:t xml:space="preserve"> in the trust account. Following redemptions, the Company has 617,864 public shares outstanding as of the date of this Annual Report.</w:t>
      </w:r>
    </w:p>
    <w:p w14:paraId="68D146C6" w14:textId="77777777" w:rsidR="00000000" w:rsidRDefault="00087966">
      <w:pPr>
        <w:pStyle w:val="a3"/>
        <w:spacing w:before="0" w:beforeAutospacing="0" w:after="0" w:afterAutospacing="0"/>
        <w:ind w:firstLine="480"/>
        <w:jc w:val="both"/>
        <w:divId w:val="1595479706"/>
        <w:rPr>
          <w:sz w:val="20"/>
          <w:szCs w:val="20"/>
        </w:rPr>
      </w:pPr>
      <w:r>
        <w:rPr>
          <w:sz w:val="20"/>
          <w:szCs w:val="20"/>
        </w:rPr>
        <w:t> </w:t>
      </w:r>
    </w:p>
    <w:p w14:paraId="3F950022" w14:textId="77777777" w:rsidR="00000000" w:rsidRDefault="00087966">
      <w:pPr>
        <w:pStyle w:val="a3"/>
        <w:spacing w:before="0" w:beforeAutospacing="0" w:after="0" w:afterAutospacing="0"/>
        <w:ind w:firstLine="720"/>
        <w:jc w:val="both"/>
        <w:divId w:val="1595479706"/>
        <w:rPr>
          <w:sz w:val="20"/>
          <w:szCs w:val="20"/>
        </w:rPr>
      </w:pPr>
      <w:r>
        <w:rPr>
          <w:sz w:val="20"/>
          <w:szCs w:val="20"/>
        </w:rPr>
        <w:t>For a full description of the First Extension and Second Extension, please see “Item 1. Business.”</w:t>
      </w:r>
    </w:p>
    <w:p w14:paraId="5232E8E6" w14:textId="77777777" w:rsidR="00000000" w:rsidRDefault="00087966">
      <w:pPr>
        <w:pStyle w:val="a3"/>
        <w:spacing w:before="0" w:beforeAutospacing="0" w:after="0" w:afterAutospacing="0"/>
        <w:ind w:firstLine="480"/>
        <w:jc w:val="both"/>
        <w:divId w:val="1595479706"/>
        <w:rPr>
          <w:sz w:val="20"/>
          <w:szCs w:val="20"/>
        </w:rPr>
      </w:pPr>
      <w:r>
        <w:rPr>
          <w:sz w:val="20"/>
          <w:szCs w:val="20"/>
        </w:rPr>
        <w:t> </w:t>
      </w:r>
    </w:p>
    <w:p w14:paraId="061DA383" w14:textId="77777777" w:rsidR="00000000" w:rsidRDefault="00087966">
      <w:pPr>
        <w:pStyle w:val="a3"/>
        <w:spacing w:before="0" w:beforeAutospacing="0" w:after="0" w:afterAutospacing="0"/>
        <w:jc w:val="both"/>
        <w:divId w:val="1595479706"/>
        <w:rPr>
          <w:sz w:val="20"/>
          <w:szCs w:val="20"/>
        </w:rPr>
      </w:pPr>
      <w:r>
        <w:rPr>
          <w:b/>
          <w:bCs/>
          <w:sz w:val="20"/>
          <w:szCs w:val="20"/>
        </w:rPr>
        <w:t>Liquidity and Going</w:t>
      </w:r>
      <w:r>
        <w:rPr>
          <w:b/>
          <w:bCs/>
          <w:sz w:val="20"/>
          <w:szCs w:val="20"/>
        </w:rPr>
        <w:t xml:space="preserve"> Concern</w:t>
      </w:r>
    </w:p>
    <w:p w14:paraId="3A1697E8" w14:textId="77777777" w:rsidR="00000000" w:rsidRDefault="00087966">
      <w:pPr>
        <w:pStyle w:val="a3"/>
        <w:spacing w:before="0" w:beforeAutospacing="0" w:after="0" w:afterAutospacing="0"/>
        <w:jc w:val="both"/>
        <w:divId w:val="1595479706"/>
        <w:rPr>
          <w:sz w:val="20"/>
          <w:szCs w:val="20"/>
        </w:rPr>
      </w:pPr>
      <w:r>
        <w:rPr>
          <w:sz w:val="20"/>
          <w:szCs w:val="20"/>
        </w:rPr>
        <w:t> </w:t>
      </w:r>
    </w:p>
    <w:p w14:paraId="0FCE656B"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On January 11, 2021, we consummated the initial public offering of 17,250,000 units, at a price of $10.00 per unit, which included the full exercise by the underwriters of their over-allotment option in the amount of 2,250,000 units, generating </w:t>
      </w:r>
      <w:r>
        <w:rPr>
          <w:sz w:val="20"/>
          <w:szCs w:val="20"/>
        </w:rPr>
        <w:t>gross proceeds of $172,500,000. Simultaneously with the closing of the initial public offering, we consummated the sale of 5,200,000 private placement warrants to the sponsor at a price of $1.00 per private placement warrant generating gross proceeds of $5</w:t>
      </w:r>
      <w:r>
        <w:rPr>
          <w:sz w:val="20"/>
          <w:szCs w:val="20"/>
        </w:rPr>
        <w:t>,200,000.</w:t>
      </w:r>
    </w:p>
    <w:p w14:paraId="7C156DF1" w14:textId="77777777" w:rsidR="00000000" w:rsidRDefault="00087966">
      <w:pPr>
        <w:pStyle w:val="a3"/>
        <w:spacing w:before="0" w:beforeAutospacing="0" w:after="0" w:afterAutospacing="0"/>
        <w:jc w:val="both"/>
        <w:divId w:val="1595479706"/>
        <w:rPr>
          <w:sz w:val="20"/>
          <w:szCs w:val="20"/>
        </w:rPr>
      </w:pPr>
      <w:r>
        <w:rPr>
          <w:sz w:val="20"/>
          <w:szCs w:val="20"/>
        </w:rPr>
        <w:t> </w:t>
      </w:r>
    </w:p>
    <w:p w14:paraId="5D27BFF8" w14:textId="77777777" w:rsidR="00000000" w:rsidRDefault="00087966">
      <w:pPr>
        <w:pStyle w:val="a3"/>
        <w:spacing w:before="0" w:beforeAutospacing="0" w:after="0" w:afterAutospacing="0"/>
        <w:jc w:val="center"/>
        <w:divId w:val="329985855"/>
        <w:rPr>
          <w:sz w:val="20"/>
          <w:szCs w:val="20"/>
        </w:rPr>
      </w:pPr>
      <w:r>
        <w:rPr>
          <w:sz w:val="20"/>
          <w:szCs w:val="20"/>
        </w:rPr>
        <w:t>3</w:t>
      </w:r>
      <w:r>
        <w:rPr>
          <w:sz w:val="20"/>
          <w:szCs w:val="20"/>
        </w:rPr>
        <w:t>6</w:t>
      </w:r>
    </w:p>
    <w:p w14:paraId="58FC6C07" w14:textId="77777777" w:rsidR="00000000" w:rsidRDefault="00087966">
      <w:pPr>
        <w:pStyle w:val="a3"/>
        <w:spacing w:before="0" w:beforeAutospacing="0" w:after="0" w:afterAutospacing="0"/>
        <w:divId w:val="432946287"/>
        <w:rPr>
          <w:sz w:val="20"/>
          <w:szCs w:val="20"/>
        </w:rPr>
      </w:pPr>
      <w:r>
        <w:rPr>
          <w:sz w:val="20"/>
          <w:szCs w:val="20"/>
        </w:rPr>
        <w:t> </w:t>
      </w:r>
    </w:p>
    <w:p w14:paraId="66C927B3" w14:textId="77777777" w:rsidR="00000000" w:rsidRDefault="00087966">
      <w:pPr>
        <w:pStyle w:val="a3"/>
        <w:spacing w:before="0" w:beforeAutospacing="0" w:after="0" w:afterAutospacing="0"/>
        <w:jc w:val="both"/>
        <w:divId w:val="1595479706"/>
        <w:rPr>
          <w:sz w:val="20"/>
          <w:szCs w:val="20"/>
        </w:rPr>
      </w:pPr>
      <w:r>
        <w:rPr>
          <w:sz w:val="20"/>
          <w:szCs w:val="20"/>
        </w:rPr>
        <w:t> </w:t>
      </w:r>
    </w:p>
    <w:p w14:paraId="4E04F217" w14:textId="77777777" w:rsidR="00000000" w:rsidRDefault="00087966">
      <w:pPr>
        <w:pStyle w:val="a3"/>
        <w:spacing w:before="0" w:beforeAutospacing="0" w:after="0" w:afterAutospacing="0"/>
        <w:ind w:firstLine="720"/>
        <w:jc w:val="both"/>
        <w:divId w:val="1595479706"/>
        <w:rPr>
          <w:sz w:val="20"/>
          <w:szCs w:val="20"/>
        </w:rPr>
      </w:pPr>
      <w:r>
        <w:rPr>
          <w:sz w:val="20"/>
          <w:szCs w:val="20"/>
        </w:rPr>
        <w:t>Following the initial public offering, the full exercise of the over-allotment option, and the sale of the private placement warrants, a total of $172,500,000 was placed in the trust account. We incurred $14,303,235 in transaction costs,</w:t>
      </w:r>
      <w:r>
        <w:rPr>
          <w:sz w:val="20"/>
          <w:szCs w:val="20"/>
        </w:rPr>
        <w:t xml:space="preserve"> including $3,450,000 of underwriting fees, $6,037,500 of deferred underwriting fees, $4,411,238 of fair value of the Founder Shares attributable to the anchor investor and $404,497 of other offering costs.</w:t>
      </w:r>
    </w:p>
    <w:p w14:paraId="2EC8440F" w14:textId="77777777" w:rsidR="00000000" w:rsidRDefault="00087966">
      <w:pPr>
        <w:pStyle w:val="a3"/>
        <w:spacing w:before="0" w:beforeAutospacing="0" w:after="0" w:afterAutospacing="0"/>
        <w:jc w:val="both"/>
        <w:divId w:val="1595479706"/>
        <w:rPr>
          <w:sz w:val="20"/>
          <w:szCs w:val="20"/>
        </w:rPr>
      </w:pPr>
      <w:r>
        <w:rPr>
          <w:sz w:val="20"/>
          <w:szCs w:val="20"/>
        </w:rPr>
        <w:t> </w:t>
      </w:r>
    </w:p>
    <w:p w14:paraId="53E7B5E9" w14:textId="77777777" w:rsidR="00000000" w:rsidRDefault="00087966">
      <w:pPr>
        <w:pStyle w:val="a3"/>
        <w:spacing w:before="0" w:beforeAutospacing="0" w:after="0" w:afterAutospacing="0"/>
        <w:ind w:firstLine="720"/>
        <w:jc w:val="both"/>
        <w:divId w:val="1595479706"/>
        <w:rPr>
          <w:sz w:val="20"/>
          <w:szCs w:val="20"/>
        </w:rPr>
      </w:pPr>
      <w:r>
        <w:rPr>
          <w:sz w:val="20"/>
          <w:szCs w:val="20"/>
        </w:rPr>
        <w:t>For the year ended December 31, 2022, net cash used in operating activities was $2,103,271. Net income of $5,032,569 was affected by change in fair value of the warrant liabilities of $7,205,710, change in fair value of the Working Capital Loan of $341,057</w:t>
      </w:r>
      <w:r>
        <w:rPr>
          <w:sz w:val="20"/>
          <w:szCs w:val="20"/>
        </w:rPr>
        <w:t xml:space="preserve">, deferred tax provision of $71,622 and interest earned on marketable securities held in the trust account of $1,760,120. Changes in operating assets and liabilities provided $2,099,425 of cash for operating activities primarily because of the increase in </w:t>
      </w:r>
      <w:r>
        <w:rPr>
          <w:sz w:val="20"/>
          <w:szCs w:val="20"/>
        </w:rPr>
        <w:t>accounts payable and accrued expenses.</w:t>
      </w:r>
    </w:p>
    <w:p w14:paraId="7B3A89E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FC95017" w14:textId="77777777" w:rsidR="00000000" w:rsidRDefault="00087966">
      <w:pPr>
        <w:pStyle w:val="a3"/>
        <w:spacing w:before="0" w:beforeAutospacing="0" w:after="0" w:afterAutospacing="0"/>
        <w:ind w:firstLine="720"/>
        <w:jc w:val="both"/>
        <w:divId w:val="1595479706"/>
        <w:rPr>
          <w:sz w:val="20"/>
          <w:szCs w:val="20"/>
        </w:rPr>
      </w:pPr>
      <w:r>
        <w:rPr>
          <w:sz w:val="20"/>
          <w:szCs w:val="20"/>
        </w:rPr>
        <w:t>For the year ended December 31, 2021, net cash used in operating activities was $970,669. Net loss of $406,026 was affected by change in fair value of the warrant liabilities of $1,642,290, interest earned on market</w:t>
      </w:r>
      <w:r>
        <w:rPr>
          <w:sz w:val="20"/>
          <w:szCs w:val="20"/>
        </w:rPr>
        <w:t>able securities held in the trust account of $78,398, transaction costs allocated to warrants of $523,013 and an unrealized gain on marketable securities held in trust account of $2,211. Changes in operating assets and liabilities provided $635,243 of cash</w:t>
      </w:r>
      <w:r>
        <w:rPr>
          <w:sz w:val="20"/>
          <w:szCs w:val="20"/>
        </w:rPr>
        <w:t xml:space="preserve"> for operating activities.</w:t>
      </w:r>
    </w:p>
    <w:p w14:paraId="39124EDC" w14:textId="77777777" w:rsidR="00000000" w:rsidRDefault="00087966">
      <w:pPr>
        <w:pStyle w:val="a3"/>
        <w:spacing w:before="0" w:beforeAutospacing="0" w:after="0" w:afterAutospacing="0"/>
        <w:divId w:val="1595479706"/>
        <w:rPr>
          <w:sz w:val="20"/>
          <w:szCs w:val="20"/>
        </w:rPr>
      </w:pPr>
      <w:r>
        <w:rPr>
          <w:sz w:val="20"/>
          <w:szCs w:val="20"/>
        </w:rPr>
        <w:t> </w:t>
      </w:r>
    </w:p>
    <w:p w14:paraId="0E6812DC" w14:textId="77777777" w:rsidR="00000000" w:rsidRDefault="00087966">
      <w:pPr>
        <w:pStyle w:val="a3"/>
        <w:spacing w:before="0" w:beforeAutospacing="0" w:after="0" w:afterAutospacing="0"/>
        <w:ind w:firstLine="720"/>
        <w:jc w:val="both"/>
        <w:divId w:val="1595479706"/>
        <w:rPr>
          <w:sz w:val="20"/>
          <w:szCs w:val="20"/>
        </w:rPr>
      </w:pPr>
      <w:r>
        <w:rPr>
          <w:sz w:val="20"/>
          <w:szCs w:val="20"/>
        </w:rPr>
        <w:t>At December 31, 2022, we had cash and marketable securities held in the trust account of $107,332,749 (including approximately $1,228,739 of interest income, including unrealized loss) consisting of U.S. treasury bills with a m</w:t>
      </w:r>
      <w:r>
        <w:rPr>
          <w:sz w:val="20"/>
          <w:szCs w:val="20"/>
        </w:rPr>
        <w:t>aturity of 185 days or less. Interest income on the balance in the trust account may be used by us to pay taxes. Through December 31, 2022, we had withdrawn $579,359 of interest earned from the trust account to pay for the Company’s previously unpaid and a</w:t>
      </w:r>
      <w:r>
        <w:rPr>
          <w:sz w:val="20"/>
          <w:szCs w:val="20"/>
        </w:rPr>
        <w:t>ccrued tax obligations.</w:t>
      </w:r>
    </w:p>
    <w:p w14:paraId="49A83998" w14:textId="77777777" w:rsidR="00000000" w:rsidRDefault="00087966">
      <w:pPr>
        <w:pStyle w:val="a3"/>
        <w:spacing w:before="0" w:beforeAutospacing="0" w:after="0" w:afterAutospacing="0"/>
        <w:jc w:val="both"/>
        <w:divId w:val="1595479706"/>
        <w:rPr>
          <w:sz w:val="20"/>
          <w:szCs w:val="20"/>
        </w:rPr>
      </w:pPr>
      <w:r>
        <w:rPr>
          <w:sz w:val="20"/>
          <w:szCs w:val="20"/>
        </w:rPr>
        <w:t> </w:t>
      </w:r>
    </w:p>
    <w:p w14:paraId="55B6547C"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intend to use substantially all of the funds held in the trust account and any additional funds available under the financing arrangement described in Note 5 to the accompanying consolidated financial statements, including any </w:t>
      </w:r>
      <w:r>
        <w:rPr>
          <w:sz w:val="20"/>
          <w:szCs w:val="20"/>
        </w:rPr>
        <w:t>amounts representing interest earned on the trust account (less deferred underwriting commissions and income taxes payable), to complete our business combination. To the extent that our capital stock or debt is used, in whole or in part, as consideration t</w:t>
      </w:r>
      <w:r>
        <w:rPr>
          <w:sz w:val="20"/>
          <w:szCs w:val="20"/>
        </w:rPr>
        <w:t>o complete our business combination, the remaining proceeds held in the trust account will be used as working capital to finance the operations of the target business or businesses, make other acquisitions and pursue our growth strategies.</w:t>
      </w:r>
    </w:p>
    <w:p w14:paraId="4ED3F1D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3F181F3" w14:textId="77777777" w:rsidR="00000000" w:rsidRDefault="00087966">
      <w:pPr>
        <w:pStyle w:val="a3"/>
        <w:spacing w:before="0" w:beforeAutospacing="0" w:after="0" w:afterAutospacing="0"/>
        <w:ind w:firstLine="720"/>
        <w:jc w:val="both"/>
        <w:divId w:val="1595479706"/>
        <w:rPr>
          <w:sz w:val="20"/>
          <w:szCs w:val="20"/>
        </w:rPr>
      </w:pPr>
      <w:r>
        <w:rPr>
          <w:sz w:val="20"/>
          <w:szCs w:val="20"/>
        </w:rPr>
        <w:t>At December 31</w:t>
      </w:r>
      <w:r>
        <w:rPr>
          <w:sz w:val="20"/>
          <w:szCs w:val="20"/>
        </w:rPr>
        <w:t>, 2022, we had cash of $101,161 and borrowing capacity under the Working Capital Loan of $275,000. As of December 31, 2022, $1,225,000 was borrowed under the Working Capital Loan. The fair value of the note as of December 31, 2022 was $421,900. We intend t</w:t>
      </w:r>
      <w:r>
        <w:rPr>
          <w:sz w:val="20"/>
          <w:szCs w:val="20"/>
        </w:rPr>
        <w:t>o use the funds held outside the trust account and this borrowing capacity primarily for completing the Company’s business combination.</w:t>
      </w:r>
    </w:p>
    <w:p w14:paraId="53130DA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CFEEF33" w14:textId="77777777" w:rsidR="00000000" w:rsidRDefault="00087966">
      <w:pPr>
        <w:pStyle w:val="a3"/>
        <w:spacing w:before="0" w:beforeAutospacing="0" w:after="0" w:afterAutospacing="0"/>
        <w:ind w:firstLine="720"/>
        <w:jc w:val="both"/>
        <w:divId w:val="1595479706"/>
        <w:rPr>
          <w:sz w:val="20"/>
          <w:szCs w:val="20"/>
        </w:rPr>
      </w:pPr>
      <w:r>
        <w:rPr>
          <w:sz w:val="20"/>
          <w:szCs w:val="20"/>
        </w:rPr>
        <w:t>Subsequent to December 31, 2022, the Sponsor advanced the Company $275,000.</w:t>
      </w:r>
    </w:p>
    <w:p w14:paraId="7B2B27D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1A4DC78" w14:textId="77777777" w:rsidR="00000000" w:rsidRDefault="00087966">
      <w:pPr>
        <w:pStyle w:val="a3"/>
        <w:spacing w:before="0" w:beforeAutospacing="0" w:after="0" w:afterAutospacing="0"/>
        <w:ind w:firstLine="720"/>
        <w:jc w:val="both"/>
        <w:divId w:val="1595479706"/>
        <w:rPr>
          <w:sz w:val="20"/>
          <w:szCs w:val="20"/>
        </w:rPr>
      </w:pPr>
      <w:r>
        <w:rPr>
          <w:sz w:val="20"/>
          <w:szCs w:val="20"/>
        </w:rPr>
        <w:t>The Company’s liquidity needs prior to t</w:t>
      </w:r>
      <w:r>
        <w:rPr>
          <w:sz w:val="20"/>
          <w:szCs w:val="20"/>
        </w:rPr>
        <w:t>he consummation of the initial public offering were satisfied through the proceeds of $25,000 from the sale of Founder Shares, and loans from the sponsor of approximately $89,000. The loan was repaid in full on January 11, 2021. Subsequent to the consummat</w:t>
      </w:r>
      <w:r>
        <w:rPr>
          <w:sz w:val="20"/>
          <w:szCs w:val="20"/>
        </w:rPr>
        <w:t>ion of the initial public offering, the Company’s liquidity has been satisfied through the net proceeds received from the consummation of the initial public offering, the sale of private placement warrants, and the Working Capital Loan.</w:t>
      </w:r>
    </w:p>
    <w:p w14:paraId="6CAAAE4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AEBB21A"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In order to fund </w:t>
      </w:r>
      <w:r>
        <w:rPr>
          <w:sz w:val="20"/>
          <w:szCs w:val="20"/>
        </w:rPr>
        <w:t>working capital deficiencies or finance transaction costs in connection with a business combination, our sponsor or an affiliate of our sponsor or certain of our officers and directors may, but are not obligated to, make Working Capital Loans. Such Working</w:t>
      </w:r>
      <w:r>
        <w:rPr>
          <w:sz w:val="20"/>
          <w:szCs w:val="20"/>
        </w:rPr>
        <w:t xml:space="preserve"> Capital Loans would be evidenced by promissory notes. If we complete a business combination, we may repay the notes out of the proceeds of the trust account released to us. In the event that a business combination does not close, we may use a portion of t</w:t>
      </w:r>
      <w:r>
        <w:rPr>
          <w:sz w:val="20"/>
          <w:szCs w:val="20"/>
        </w:rPr>
        <w:t xml:space="preserve">he working capital held outside the trust account to repay the notes, but no proceeds from our trust account would be used for such repayment. On January 21, 2022, we issued a promissory in the principal amount of up to $1,500,000 to our sponsor. The note </w:t>
      </w:r>
      <w:r>
        <w:rPr>
          <w:sz w:val="20"/>
          <w:szCs w:val="20"/>
        </w:rPr>
        <w:t xml:space="preserve">is non-interest bearing and payable upon the consummation of a business combination or may be convertible into warrants of the post-business combination entity at a price of $1.00 per warrant at the option of the lender. The warrants would be identical to </w:t>
      </w:r>
      <w:r>
        <w:rPr>
          <w:sz w:val="20"/>
          <w:szCs w:val="20"/>
        </w:rPr>
        <w:t>the private placement warrants (see Note 8 to the accompanying consolidated financial statements). As of December 31, 2022, the Company had drawn $1,225,000 on the Working Capital Loan and had $275,000 available to draw.</w:t>
      </w:r>
    </w:p>
    <w:p w14:paraId="6F1C7C2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2D446AD" w14:textId="77777777" w:rsidR="00000000" w:rsidRDefault="00087966">
      <w:pPr>
        <w:pStyle w:val="a3"/>
        <w:spacing w:before="0" w:beforeAutospacing="0" w:after="0" w:afterAutospacing="0"/>
        <w:jc w:val="center"/>
        <w:divId w:val="412436162"/>
        <w:rPr>
          <w:sz w:val="20"/>
          <w:szCs w:val="20"/>
        </w:rPr>
      </w:pPr>
      <w:r>
        <w:rPr>
          <w:sz w:val="20"/>
          <w:szCs w:val="20"/>
        </w:rPr>
        <w:t>3</w:t>
      </w:r>
      <w:r>
        <w:rPr>
          <w:sz w:val="20"/>
          <w:szCs w:val="20"/>
        </w:rPr>
        <w:t>7</w:t>
      </w:r>
    </w:p>
    <w:p w14:paraId="14A83896" w14:textId="77777777" w:rsidR="00000000" w:rsidRDefault="00087966">
      <w:pPr>
        <w:pStyle w:val="a3"/>
        <w:spacing w:before="0" w:beforeAutospacing="0" w:after="0" w:afterAutospacing="0"/>
        <w:divId w:val="794787497"/>
        <w:rPr>
          <w:sz w:val="20"/>
          <w:szCs w:val="20"/>
        </w:rPr>
      </w:pPr>
      <w:r>
        <w:rPr>
          <w:sz w:val="20"/>
          <w:szCs w:val="20"/>
        </w:rPr>
        <w:t> </w:t>
      </w:r>
    </w:p>
    <w:p w14:paraId="148F8EE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2695D60" w14:textId="77777777" w:rsidR="00000000" w:rsidRDefault="00087966">
      <w:pPr>
        <w:pStyle w:val="a3"/>
        <w:spacing w:before="0" w:beforeAutospacing="0" w:after="0" w:afterAutospacing="0"/>
        <w:ind w:firstLine="720"/>
        <w:jc w:val="both"/>
        <w:divId w:val="1595479706"/>
        <w:rPr>
          <w:sz w:val="20"/>
          <w:szCs w:val="20"/>
        </w:rPr>
      </w:pPr>
      <w:r>
        <w:rPr>
          <w:sz w:val="20"/>
          <w:szCs w:val="20"/>
        </w:rPr>
        <w:t>As indicated in the accom</w:t>
      </w:r>
      <w:r>
        <w:rPr>
          <w:sz w:val="20"/>
          <w:szCs w:val="20"/>
        </w:rPr>
        <w:t>panying consolidated financial statements, at December 31, 2022, the Company had $101,161 in cash, $107,332,749 in cash and marketable securities held in the trust account to be used for a business combination or to repurchase or redeem its common stock in</w:t>
      </w:r>
      <w:r>
        <w:rPr>
          <w:sz w:val="20"/>
          <w:szCs w:val="20"/>
        </w:rPr>
        <w:t xml:space="preserve"> connection therewith and working capital deficit of $4,570,315, which excludes $125,394 of interest earned on the trust account which is available to pay Delaware franchise taxes payable and income taxes payable. As of December 31, 2022, $1,228,739 of the</w:t>
      </w:r>
      <w:r>
        <w:rPr>
          <w:sz w:val="20"/>
          <w:szCs w:val="20"/>
        </w:rPr>
        <w:t xml:space="preserve"> amount on deposit in the trust account represented interest income, which is available to pay the Company’s tax obligations.</w:t>
      </w:r>
    </w:p>
    <w:p w14:paraId="7F300D9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185E192" w14:textId="77777777" w:rsidR="00000000" w:rsidRDefault="00087966">
      <w:pPr>
        <w:pStyle w:val="a3"/>
        <w:spacing w:before="0" w:beforeAutospacing="0" w:after="0" w:afterAutospacing="0"/>
        <w:ind w:firstLine="720"/>
        <w:jc w:val="both"/>
        <w:divId w:val="1595479706"/>
        <w:rPr>
          <w:sz w:val="20"/>
          <w:szCs w:val="20"/>
        </w:rPr>
      </w:pPr>
      <w:r>
        <w:rPr>
          <w:sz w:val="20"/>
          <w:szCs w:val="20"/>
        </w:rPr>
        <w:t>Until the consummation of a business combination, the Company has used and will be using the funds not held in the trust account</w:t>
      </w:r>
      <w:r>
        <w:rPr>
          <w:sz w:val="20"/>
          <w:szCs w:val="20"/>
        </w:rPr>
        <w:t xml:space="preserve"> and any additional funds available under the financing arrangement described below for completing the Company’s business combination.</w:t>
      </w:r>
    </w:p>
    <w:p w14:paraId="382B932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AB91568"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In connection with the Company’s </w:t>
      </w:r>
      <w:r>
        <w:rPr>
          <w:sz w:val="20"/>
          <w:szCs w:val="20"/>
        </w:rPr>
        <w:t xml:space="preserve">assessment of going concern considerations in accordance with FASB’s ASC Subtopic 205-40, “Presentation of Financial Statements – Going Concern,” the Company has until April 11, 2023, to consummate an initial business combination. It is uncertain that the </w:t>
      </w:r>
      <w:r>
        <w:rPr>
          <w:sz w:val="20"/>
          <w:szCs w:val="20"/>
        </w:rPr>
        <w:t xml:space="preserve">Company will be able to consummate an initial business combination by this time. If an initial business combination is not consummated by this date, there will be a mandatory liquidation and subsequent dissolution of the Company. Additionally, the Company </w:t>
      </w:r>
      <w:r>
        <w:rPr>
          <w:sz w:val="20"/>
          <w:szCs w:val="20"/>
        </w:rPr>
        <w:t>may not have sufficient liquidity to fund the working capital needs of the Company through one year from the issuance of these consolidated financial statements. Management has determined that the liquidity condition and mandatory liquidation, should an in</w:t>
      </w:r>
      <w:r>
        <w:rPr>
          <w:sz w:val="20"/>
          <w:szCs w:val="20"/>
        </w:rPr>
        <w:t>itial business combination not occur, and potential subsequent dissolution raises substantial doubt about the Company’s ability to continue as a going concern. No adjustments have been made to the carrying amounts of assets or liabilities should the Compan</w:t>
      </w:r>
      <w:r>
        <w:rPr>
          <w:sz w:val="20"/>
          <w:szCs w:val="20"/>
        </w:rPr>
        <w:t>y be required to liquidate after April 11, 2023.</w:t>
      </w:r>
    </w:p>
    <w:p w14:paraId="2977399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DE9CED7" w14:textId="77777777" w:rsidR="00000000" w:rsidRDefault="00087966">
      <w:pPr>
        <w:pStyle w:val="a3"/>
        <w:spacing w:before="0" w:beforeAutospacing="0" w:after="0" w:afterAutospacing="0"/>
        <w:divId w:val="1595479706"/>
        <w:rPr>
          <w:sz w:val="20"/>
          <w:szCs w:val="20"/>
        </w:rPr>
      </w:pPr>
      <w:r>
        <w:rPr>
          <w:b/>
          <w:bCs/>
          <w:sz w:val="20"/>
          <w:szCs w:val="20"/>
        </w:rPr>
        <w:t>Off-Balance Sheet Financing Arrangements</w:t>
      </w:r>
    </w:p>
    <w:p w14:paraId="6DB0FEA5" w14:textId="77777777" w:rsidR="00000000" w:rsidRDefault="00087966">
      <w:pPr>
        <w:pStyle w:val="a3"/>
        <w:spacing w:before="0" w:beforeAutospacing="0" w:after="0" w:afterAutospacing="0"/>
        <w:ind w:firstLine="682"/>
        <w:divId w:val="1595479706"/>
        <w:rPr>
          <w:sz w:val="20"/>
          <w:szCs w:val="20"/>
        </w:rPr>
      </w:pPr>
      <w:r>
        <w:rPr>
          <w:sz w:val="20"/>
          <w:szCs w:val="20"/>
        </w:rPr>
        <w:t> </w:t>
      </w:r>
    </w:p>
    <w:p w14:paraId="3A25F967" w14:textId="77777777" w:rsidR="00000000" w:rsidRDefault="00087966">
      <w:pPr>
        <w:pStyle w:val="a3"/>
        <w:spacing w:before="0" w:beforeAutospacing="0" w:after="0" w:afterAutospacing="0"/>
        <w:ind w:firstLine="720"/>
        <w:jc w:val="both"/>
        <w:divId w:val="1595479706"/>
        <w:rPr>
          <w:sz w:val="20"/>
          <w:szCs w:val="20"/>
        </w:rPr>
      </w:pPr>
      <w:r>
        <w:rPr>
          <w:sz w:val="20"/>
          <w:szCs w:val="20"/>
        </w:rPr>
        <w:t>We have no obligations, assets or liabilities, which would be considered off-balance sheet arrangements as of December 31, 2022. We do not participate in transact</w:t>
      </w:r>
      <w:r>
        <w:rPr>
          <w:sz w:val="20"/>
          <w:szCs w:val="20"/>
        </w:rPr>
        <w:t>ions that create relationships with unconsolidated entities or financial partnerships, often referred to as variable interest entities, which would have been established for the purpose of facilitating off-balance sheet arrangements. We have not entered in</w:t>
      </w:r>
      <w:r>
        <w:rPr>
          <w:sz w:val="20"/>
          <w:szCs w:val="20"/>
        </w:rPr>
        <w:t>to any off-balance sheet financing arrangements, established any special purpose entities, guaranteed any debt or commitments of other entities, or purchased any non-financial assets.</w:t>
      </w:r>
    </w:p>
    <w:p w14:paraId="5DDDA8D3" w14:textId="77777777" w:rsidR="00000000" w:rsidRDefault="00087966">
      <w:pPr>
        <w:pStyle w:val="a3"/>
        <w:spacing w:before="0" w:beforeAutospacing="0" w:after="0" w:afterAutospacing="0"/>
        <w:divId w:val="1595479706"/>
        <w:rPr>
          <w:sz w:val="20"/>
          <w:szCs w:val="20"/>
        </w:rPr>
      </w:pPr>
      <w:r>
        <w:rPr>
          <w:sz w:val="20"/>
          <w:szCs w:val="20"/>
        </w:rPr>
        <w:t> </w:t>
      </w:r>
    </w:p>
    <w:p w14:paraId="1BA2A0A3" w14:textId="77777777" w:rsidR="00000000" w:rsidRDefault="00087966">
      <w:pPr>
        <w:pStyle w:val="a3"/>
        <w:spacing w:before="0" w:beforeAutospacing="0" w:after="0" w:afterAutospacing="0"/>
        <w:jc w:val="both"/>
        <w:divId w:val="1595479706"/>
        <w:rPr>
          <w:sz w:val="20"/>
          <w:szCs w:val="20"/>
        </w:rPr>
      </w:pPr>
      <w:r>
        <w:rPr>
          <w:b/>
          <w:bCs/>
          <w:sz w:val="20"/>
          <w:szCs w:val="20"/>
        </w:rPr>
        <w:t>Contractual Obligations</w:t>
      </w:r>
    </w:p>
    <w:p w14:paraId="48F95BF7" w14:textId="77777777" w:rsidR="00000000" w:rsidRDefault="00087966">
      <w:pPr>
        <w:pStyle w:val="a3"/>
        <w:spacing w:before="0" w:beforeAutospacing="0" w:after="0" w:afterAutospacing="0"/>
        <w:ind w:firstLine="682"/>
        <w:jc w:val="both"/>
        <w:divId w:val="1595479706"/>
        <w:rPr>
          <w:sz w:val="20"/>
          <w:szCs w:val="20"/>
        </w:rPr>
      </w:pPr>
      <w:r>
        <w:rPr>
          <w:sz w:val="20"/>
          <w:szCs w:val="20"/>
        </w:rPr>
        <w:t> </w:t>
      </w:r>
    </w:p>
    <w:p w14:paraId="2149E8E6" w14:textId="77777777" w:rsidR="00000000" w:rsidRDefault="00087966">
      <w:pPr>
        <w:pStyle w:val="a3"/>
        <w:spacing w:before="0" w:beforeAutospacing="0" w:after="0" w:afterAutospacing="0"/>
        <w:ind w:firstLine="720"/>
        <w:jc w:val="both"/>
        <w:divId w:val="1595479706"/>
        <w:rPr>
          <w:sz w:val="20"/>
          <w:szCs w:val="20"/>
        </w:rPr>
      </w:pPr>
      <w:r>
        <w:rPr>
          <w:sz w:val="20"/>
          <w:szCs w:val="20"/>
        </w:rPr>
        <w:t>We do not have any capital lease obligations</w:t>
      </w:r>
      <w:r>
        <w:rPr>
          <w:sz w:val="20"/>
          <w:szCs w:val="20"/>
        </w:rPr>
        <w:t>, operating lease obligations or long-term liabilities.</w:t>
      </w:r>
    </w:p>
    <w:p w14:paraId="2B78950D" w14:textId="77777777" w:rsidR="00000000" w:rsidRDefault="00087966">
      <w:pPr>
        <w:pStyle w:val="a3"/>
        <w:spacing w:before="0" w:beforeAutospacing="0" w:after="0" w:afterAutospacing="0"/>
        <w:jc w:val="both"/>
        <w:divId w:val="1595479706"/>
        <w:rPr>
          <w:sz w:val="20"/>
          <w:szCs w:val="20"/>
        </w:rPr>
      </w:pPr>
      <w:r>
        <w:rPr>
          <w:sz w:val="20"/>
          <w:szCs w:val="20"/>
        </w:rPr>
        <w:t> </w:t>
      </w:r>
    </w:p>
    <w:p w14:paraId="4BFAD0DD" w14:textId="77777777" w:rsidR="00000000" w:rsidRDefault="00087966">
      <w:pPr>
        <w:pStyle w:val="a3"/>
        <w:spacing w:before="0" w:beforeAutospacing="0" w:after="0" w:afterAutospacing="0"/>
        <w:ind w:firstLine="720"/>
        <w:jc w:val="both"/>
        <w:divId w:val="1595479706"/>
        <w:rPr>
          <w:sz w:val="20"/>
          <w:szCs w:val="20"/>
        </w:rPr>
      </w:pPr>
      <w:r>
        <w:rPr>
          <w:sz w:val="20"/>
          <w:szCs w:val="20"/>
        </w:rPr>
        <w:t>The underwriters are entitled to a deferred fee of $0.35 per unit, or $6,037,500 in the aggregate. The deferred fee will become payable to the underwriters from the amounts held in the trust account</w:t>
      </w:r>
      <w:r>
        <w:rPr>
          <w:sz w:val="20"/>
          <w:szCs w:val="20"/>
        </w:rPr>
        <w:t xml:space="preserve"> solely in the event that we complete a business combination, subject to the terms of the underwriting agreement.</w:t>
      </w:r>
    </w:p>
    <w:p w14:paraId="702B9083" w14:textId="77777777" w:rsidR="00000000" w:rsidRDefault="00087966">
      <w:pPr>
        <w:pStyle w:val="a3"/>
        <w:spacing w:before="0" w:beforeAutospacing="0" w:after="0" w:afterAutospacing="0"/>
        <w:jc w:val="both"/>
        <w:divId w:val="1595479706"/>
        <w:rPr>
          <w:sz w:val="20"/>
          <w:szCs w:val="20"/>
        </w:rPr>
      </w:pPr>
      <w:r>
        <w:rPr>
          <w:sz w:val="20"/>
          <w:szCs w:val="20"/>
        </w:rPr>
        <w:t> </w:t>
      </w:r>
    </w:p>
    <w:p w14:paraId="5253F6D0" w14:textId="77777777" w:rsidR="00000000" w:rsidRDefault="00087966">
      <w:pPr>
        <w:pStyle w:val="a3"/>
        <w:spacing w:before="0" w:beforeAutospacing="0" w:after="0" w:afterAutospacing="0"/>
        <w:ind w:firstLine="720"/>
        <w:jc w:val="both"/>
        <w:divId w:val="1595479706"/>
        <w:rPr>
          <w:sz w:val="20"/>
          <w:szCs w:val="20"/>
        </w:rPr>
      </w:pPr>
      <w:r>
        <w:rPr>
          <w:sz w:val="20"/>
          <w:szCs w:val="20"/>
        </w:rPr>
        <w:t>On January 21, 2022, the Company issued a promissory note with respect to the Working Capital Loans in the principal amount of up to $1,500,</w:t>
      </w:r>
      <w:r>
        <w:rPr>
          <w:sz w:val="20"/>
          <w:szCs w:val="20"/>
        </w:rPr>
        <w:t>000 to the Sponsor. The Working Capital Loan is non-interest bearing and payable upon the consummation of a Business Combination or may be convertible into warrants of the post-Business Combination entity at a price of $1.00 per warrant at the lender’s dis</w:t>
      </w:r>
      <w:r>
        <w:rPr>
          <w:sz w:val="20"/>
          <w:szCs w:val="20"/>
        </w:rPr>
        <w:t>cretion. As of December 31, 2022, $1,225,000 was borrowed under the Working Capital Loan. The fair value of the promissory note as of December 31, 2022 was $421,900.</w:t>
      </w:r>
    </w:p>
    <w:p w14:paraId="7A3061E6" w14:textId="77777777" w:rsidR="00000000" w:rsidRDefault="00087966">
      <w:pPr>
        <w:pStyle w:val="a3"/>
        <w:spacing w:before="0" w:beforeAutospacing="0" w:after="0" w:afterAutospacing="0"/>
        <w:jc w:val="both"/>
        <w:divId w:val="1595479706"/>
        <w:rPr>
          <w:sz w:val="20"/>
          <w:szCs w:val="20"/>
        </w:rPr>
      </w:pPr>
      <w:r>
        <w:rPr>
          <w:sz w:val="20"/>
          <w:szCs w:val="20"/>
        </w:rPr>
        <w:t> </w:t>
      </w:r>
    </w:p>
    <w:p w14:paraId="2D28BAAE" w14:textId="77777777" w:rsidR="00000000" w:rsidRDefault="00087966">
      <w:pPr>
        <w:pStyle w:val="a3"/>
        <w:spacing w:before="0" w:beforeAutospacing="0" w:after="0" w:afterAutospacing="0"/>
        <w:ind w:firstLine="720"/>
        <w:jc w:val="both"/>
        <w:divId w:val="1595479706"/>
        <w:rPr>
          <w:sz w:val="20"/>
          <w:szCs w:val="20"/>
        </w:rPr>
      </w:pPr>
      <w:r>
        <w:rPr>
          <w:sz w:val="20"/>
          <w:szCs w:val="20"/>
        </w:rPr>
        <w:t>On July 7, 2022, the Company issued an unsecured promissory note to the Sponsor for up t</w:t>
      </w:r>
      <w:r>
        <w:rPr>
          <w:sz w:val="20"/>
          <w:szCs w:val="20"/>
        </w:rPr>
        <w:t>o an aggregate principal amount of $2,060,070 to be deposited into the Trust Account in connection with the Extension.  The Company was to deposit up to six equal installments of the Extension Funds, or $343,345, into the Trust Account on a monthly basis f</w:t>
      </w:r>
      <w:r>
        <w:rPr>
          <w:sz w:val="20"/>
          <w:szCs w:val="20"/>
        </w:rPr>
        <w:t>or each month of the Extension and such amount will be distributed either to: (i) all of the holders of the Public Shares upon the Company’s liquidation or (ii) holders of Public Shares who elect to have their shares redeemed in connection with the consumm</w:t>
      </w:r>
      <w:r>
        <w:rPr>
          <w:sz w:val="20"/>
          <w:szCs w:val="20"/>
        </w:rPr>
        <w:t xml:space="preserve">ation of the Company’s initial Business Combination. The Extension Funds note is not convertible and bears no interest and is due and payable upon the earlier of the date on which the Company consummates its initial Business Combination or the date of the </w:t>
      </w:r>
      <w:r>
        <w:rPr>
          <w:sz w:val="20"/>
          <w:szCs w:val="20"/>
        </w:rPr>
        <w:t>liquidation of the Company. As of December 31, 2022, an aggregate of $1,373,380 has been drawn down on the Extension Funds and deposited into the Trust Account to cover the first four months of the extension.</w:t>
      </w:r>
    </w:p>
    <w:p w14:paraId="0E8E5E1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6BC204D" w14:textId="77777777" w:rsidR="00000000" w:rsidRDefault="00087966">
      <w:pPr>
        <w:pStyle w:val="a3"/>
        <w:spacing w:before="0" w:beforeAutospacing="0" w:after="0" w:afterAutospacing="0"/>
        <w:ind w:firstLine="720"/>
        <w:jc w:val="both"/>
        <w:divId w:val="1595479706"/>
        <w:rPr>
          <w:sz w:val="20"/>
          <w:szCs w:val="20"/>
        </w:rPr>
      </w:pPr>
      <w:r>
        <w:rPr>
          <w:sz w:val="20"/>
          <w:szCs w:val="20"/>
        </w:rPr>
        <w:t>On November 23, 2022, the Company issued a pr</w:t>
      </w:r>
      <w:r>
        <w:rPr>
          <w:sz w:val="20"/>
          <w:szCs w:val="20"/>
        </w:rPr>
        <w:t>omissory note (the “Near Extension Note”), dated as of November 18, 2022, in the aggregate principal amount of up to $686,690, to Near. The Near Extension Note relates to the final two payments of the Company’s extension funds of $343,345 each to be deposi</w:t>
      </w:r>
      <w:r>
        <w:rPr>
          <w:sz w:val="20"/>
          <w:szCs w:val="20"/>
        </w:rPr>
        <w:t>ted into the Trust Account for each month in which the date by which the Company must consummate its initial business combination is extended, from July 11, 2022 until January 11, 2023. As of December 31, 2022, the full amount of $686,690 has been drawn do</w:t>
      </w:r>
      <w:r>
        <w:rPr>
          <w:sz w:val="20"/>
          <w:szCs w:val="20"/>
        </w:rPr>
        <w:t>wn on the Near Extension Note and deposited into the Trust Account.</w:t>
      </w:r>
    </w:p>
    <w:p w14:paraId="7A2FE730" w14:textId="77777777" w:rsidR="00000000" w:rsidRDefault="00087966">
      <w:pPr>
        <w:pStyle w:val="a3"/>
        <w:spacing w:before="0" w:beforeAutospacing="0" w:after="0" w:afterAutospacing="0"/>
        <w:jc w:val="both"/>
        <w:divId w:val="1595479706"/>
        <w:rPr>
          <w:sz w:val="20"/>
          <w:szCs w:val="20"/>
        </w:rPr>
      </w:pPr>
      <w:r>
        <w:rPr>
          <w:sz w:val="20"/>
          <w:szCs w:val="20"/>
        </w:rPr>
        <w:t> </w:t>
      </w:r>
    </w:p>
    <w:p w14:paraId="1AC505A4" w14:textId="77777777" w:rsidR="00000000" w:rsidRDefault="00087966">
      <w:pPr>
        <w:pStyle w:val="a3"/>
        <w:spacing w:before="0" w:beforeAutospacing="0" w:after="0" w:afterAutospacing="0"/>
        <w:jc w:val="both"/>
        <w:divId w:val="1595479706"/>
        <w:rPr>
          <w:sz w:val="20"/>
          <w:szCs w:val="20"/>
        </w:rPr>
      </w:pPr>
      <w:r>
        <w:rPr>
          <w:b/>
          <w:bCs/>
          <w:sz w:val="20"/>
          <w:szCs w:val="20"/>
        </w:rPr>
        <w:t>Critical Accounting Policies</w:t>
      </w:r>
    </w:p>
    <w:p w14:paraId="137618F5" w14:textId="77777777" w:rsidR="00000000" w:rsidRDefault="00087966">
      <w:pPr>
        <w:pStyle w:val="a3"/>
        <w:spacing w:before="0" w:beforeAutospacing="0" w:after="0" w:afterAutospacing="0"/>
        <w:ind w:firstLine="720"/>
        <w:jc w:val="both"/>
        <w:divId w:val="1595479706"/>
        <w:rPr>
          <w:sz w:val="20"/>
          <w:szCs w:val="20"/>
        </w:rPr>
      </w:pPr>
      <w:r>
        <w:rPr>
          <w:b/>
          <w:bCs/>
          <w:sz w:val="20"/>
          <w:szCs w:val="20"/>
        </w:rPr>
        <w:t> </w:t>
      </w:r>
    </w:p>
    <w:p w14:paraId="34A82135"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The preparation of consolidated financial statements and related disclosures in conformity with GAAP requires management to make estimates and assumptions </w:t>
      </w:r>
      <w:r>
        <w:rPr>
          <w:sz w:val="20"/>
          <w:szCs w:val="20"/>
        </w:rPr>
        <w:t>that affect the reported amounts of assets and liabilities, disclosure of contingent assets and liabilities at the date of the consolidated financial statements, and income and expenses during the periods reported. Actual results could materially differ fr</w:t>
      </w:r>
      <w:r>
        <w:rPr>
          <w:sz w:val="20"/>
          <w:szCs w:val="20"/>
        </w:rPr>
        <w:t xml:space="preserve">om those estimates. </w:t>
      </w:r>
    </w:p>
    <w:p w14:paraId="310EBC8E" w14:textId="77777777" w:rsidR="00000000" w:rsidRDefault="00087966">
      <w:pPr>
        <w:pStyle w:val="a3"/>
        <w:spacing w:before="0" w:beforeAutospacing="0" w:after="0" w:afterAutospacing="0"/>
        <w:jc w:val="both"/>
        <w:divId w:val="1595479706"/>
        <w:rPr>
          <w:sz w:val="20"/>
          <w:szCs w:val="20"/>
        </w:rPr>
      </w:pPr>
      <w:r>
        <w:rPr>
          <w:sz w:val="20"/>
          <w:szCs w:val="20"/>
        </w:rPr>
        <w:t> </w:t>
      </w:r>
    </w:p>
    <w:p w14:paraId="1D64664F" w14:textId="77777777" w:rsidR="00000000" w:rsidRDefault="00087966">
      <w:pPr>
        <w:pStyle w:val="a3"/>
        <w:spacing w:before="0" w:beforeAutospacing="0" w:after="0" w:afterAutospacing="0"/>
        <w:jc w:val="center"/>
        <w:divId w:val="897516450"/>
        <w:rPr>
          <w:sz w:val="20"/>
          <w:szCs w:val="20"/>
        </w:rPr>
      </w:pPr>
      <w:r>
        <w:rPr>
          <w:sz w:val="20"/>
          <w:szCs w:val="20"/>
        </w:rPr>
        <w:t>3</w:t>
      </w:r>
      <w:r>
        <w:rPr>
          <w:sz w:val="20"/>
          <w:szCs w:val="20"/>
        </w:rPr>
        <w:t>8</w:t>
      </w:r>
    </w:p>
    <w:p w14:paraId="2FB5AC8F" w14:textId="77777777" w:rsidR="00000000" w:rsidRDefault="00087966">
      <w:pPr>
        <w:pStyle w:val="a3"/>
        <w:spacing w:before="0" w:beforeAutospacing="0" w:after="0" w:afterAutospacing="0"/>
        <w:divId w:val="1404792633"/>
        <w:rPr>
          <w:sz w:val="20"/>
          <w:szCs w:val="20"/>
        </w:rPr>
      </w:pPr>
      <w:r>
        <w:rPr>
          <w:sz w:val="20"/>
          <w:szCs w:val="20"/>
        </w:rPr>
        <w:t> </w:t>
      </w:r>
    </w:p>
    <w:p w14:paraId="67A9A4D7" w14:textId="77777777" w:rsidR="00000000" w:rsidRDefault="00087966">
      <w:pPr>
        <w:pStyle w:val="a3"/>
        <w:spacing w:before="0" w:beforeAutospacing="0" w:after="0" w:afterAutospacing="0"/>
        <w:jc w:val="both"/>
        <w:divId w:val="1595479706"/>
        <w:rPr>
          <w:sz w:val="20"/>
          <w:szCs w:val="20"/>
        </w:rPr>
      </w:pPr>
      <w:r>
        <w:rPr>
          <w:sz w:val="20"/>
          <w:szCs w:val="20"/>
        </w:rPr>
        <w:t> </w:t>
      </w:r>
    </w:p>
    <w:p w14:paraId="7225C377" w14:textId="77777777" w:rsidR="00000000" w:rsidRDefault="00087966">
      <w:pPr>
        <w:pStyle w:val="a3"/>
        <w:spacing w:before="0" w:beforeAutospacing="0" w:after="0" w:afterAutospacing="0"/>
        <w:jc w:val="both"/>
        <w:divId w:val="1595479706"/>
        <w:rPr>
          <w:sz w:val="20"/>
          <w:szCs w:val="20"/>
        </w:rPr>
      </w:pPr>
      <w:r>
        <w:rPr>
          <w:b/>
          <w:bCs/>
          <w:i/>
          <w:iCs/>
          <w:sz w:val="20"/>
          <w:szCs w:val="20"/>
        </w:rPr>
        <w:t>Warrant Liabilities</w:t>
      </w:r>
    </w:p>
    <w:p w14:paraId="2DC893A2" w14:textId="77777777" w:rsidR="00000000" w:rsidRDefault="00087966">
      <w:pPr>
        <w:pStyle w:val="a3"/>
        <w:spacing w:before="0" w:beforeAutospacing="0" w:after="0" w:afterAutospacing="0"/>
        <w:jc w:val="both"/>
        <w:divId w:val="1595479706"/>
        <w:rPr>
          <w:sz w:val="20"/>
          <w:szCs w:val="20"/>
        </w:rPr>
      </w:pPr>
      <w:r>
        <w:rPr>
          <w:sz w:val="20"/>
          <w:szCs w:val="20"/>
        </w:rPr>
        <w:t> </w:t>
      </w:r>
    </w:p>
    <w:p w14:paraId="02D47ACF" w14:textId="77777777" w:rsidR="00000000" w:rsidRDefault="00087966">
      <w:pPr>
        <w:pStyle w:val="a3"/>
        <w:spacing w:before="0" w:beforeAutospacing="0" w:after="0" w:afterAutospacing="0"/>
        <w:ind w:firstLine="648"/>
        <w:jc w:val="both"/>
        <w:divId w:val="1595479706"/>
        <w:rPr>
          <w:sz w:val="20"/>
          <w:szCs w:val="20"/>
        </w:rPr>
      </w:pPr>
      <w:r>
        <w:rPr>
          <w:sz w:val="20"/>
          <w:szCs w:val="20"/>
        </w:rPr>
        <w:t xml:space="preserve">The Company does not </w:t>
      </w:r>
      <w:r>
        <w:rPr>
          <w:sz w:val="20"/>
          <w:szCs w:val="20"/>
        </w:rPr>
        <w:t>use derivative instruments to hedge exposures to cash flow, market, or foreign currency risks. The Company accounts for warrants as either equity-classified or liability-classified instruments based on an assessment of the warrant’s specific terms and appl</w:t>
      </w:r>
      <w:r>
        <w:rPr>
          <w:sz w:val="20"/>
          <w:szCs w:val="20"/>
        </w:rPr>
        <w:t>icable authoritative guidance in FASB ASC 480, Distinguishing Liabilities from Equity (“ASC 480”) and ASC 815, Derivatives and Hedging (“ASC 815”). The assessment considers whether the warrants are freestanding financial instruments pursuant to ASC 480 and</w:t>
      </w:r>
      <w:r>
        <w:rPr>
          <w:sz w:val="20"/>
          <w:szCs w:val="20"/>
        </w:rPr>
        <w:t xml:space="preserve"> meet the definition of a liability pursuant to ASC 480, and whether the warrants meet all of the requirements for equity classification under ASC 815, including whether the warrants are indexed to the Company’s own shares of common stock, among other cond</w:t>
      </w:r>
      <w:r>
        <w:rPr>
          <w:sz w:val="20"/>
          <w:szCs w:val="20"/>
        </w:rPr>
        <w:t>itions for equity classification. This assessment, which requires the use of professional judgment, is conducted at the time of warrant issuance and as of each subsequent quarterly period end date while the warrants are outstanding.</w:t>
      </w:r>
    </w:p>
    <w:p w14:paraId="2C77F938" w14:textId="77777777" w:rsidR="00000000" w:rsidRDefault="00087966">
      <w:pPr>
        <w:pStyle w:val="a3"/>
        <w:spacing w:before="0" w:beforeAutospacing="0" w:after="0" w:afterAutospacing="0"/>
        <w:jc w:val="both"/>
        <w:divId w:val="1595479706"/>
        <w:rPr>
          <w:sz w:val="20"/>
          <w:szCs w:val="20"/>
        </w:rPr>
      </w:pPr>
      <w:r>
        <w:rPr>
          <w:sz w:val="20"/>
          <w:szCs w:val="20"/>
        </w:rPr>
        <w:t> </w:t>
      </w:r>
    </w:p>
    <w:p w14:paraId="11A09EA8" w14:textId="77777777" w:rsidR="00000000" w:rsidRDefault="00087966">
      <w:pPr>
        <w:pStyle w:val="a3"/>
        <w:spacing w:before="0" w:beforeAutospacing="0" w:after="0" w:afterAutospacing="0"/>
        <w:ind w:firstLine="648"/>
        <w:jc w:val="both"/>
        <w:divId w:val="1595479706"/>
        <w:rPr>
          <w:sz w:val="20"/>
          <w:szCs w:val="20"/>
        </w:rPr>
      </w:pPr>
      <w:r>
        <w:rPr>
          <w:sz w:val="20"/>
          <w:szCs w:val="20"/>
        </w:rPr>
        <w:t>For issued or modifie</w:t>
      </w:r>
      <w:r>
        <w:rPr>
          <w:sz w:val="20"/>
          <w:szCs w:val="20"/>
        </w:rPr>
        <w:t xml:space="preserve">d warrants that meet all of the criteria for equity classification, the warrants are required to be recorded as a component of additional paid-in capital at the time of issuance. For issued or modified warrants that do not meet all the criteria for equity </w:t>
      </w:r>
      <w:r>
        <w:rPr>
          <w:sz w:val="20"/>
          <w:szCs w:val="20"/>
        </w:rPr>
        <w:t>classification, the warrants are required to be recorded at their initial fair value on the date of issuance, and each balance sheet date thereafter. Changes in the estimated fair value of the warrants are recognized as a non-cash gain or loss on the state</w:t>
      </w:r>
      <w:r>
        <w:rPr>
          <w:sz w:val="20"/>
          <w:szCs w:val="20"/>
        </w:rPr>
        <w:t>ments of operations. For the private placement warrants, the fair value was estimated using a binomial lattice model incorporating the Cox-Rss-Rubenstein methodology at the closing date of the initial public offering and as of December 31, 2021. For the pu</w:t>
      </w:r>
      <w:r>
        <w:rPr>
          <w:sz w:val="20"/>
          <w:szCs w:val="20"/>
        </w:rPr>
        <w:t>blic warrants, the fair value was estimated using a binomial lattice model incorporating the Cox-Rss-Rubenstein methodology at the closing date of the initial public offering and the level 1 quoted prices in an active market as of December 31, 2022.</w:t>
      </w:r>
    </w:p>
    <w:p w14:paraId="59F35E2F" w14:textId="77777777" w:rsidR="00000000" w:rsidRDefault="00087966">
      <w:pPr>
        <w:pStyle w:val="a3"/>
        <w:spacing w:before="0" w:beforeAutospacing="0" w:after="0" w:afterAutospacing="0"/>
        <w:jc w:val="both"/>
        <w:divId w:val="1595479706"/>
        <w:rPr>
          <w:sz w:val="20"/>
          <w:szCs w:val="20"/>
        </w:rPr>
      </w:pPr>
      <w:r>
        <w:rPr>
          <w:sz w:val="20"/>
          <w:szCs w:val="20"/>
        </w:rPr>
        <w:t> </w:t>
      </w:r>
    </w:p>
    <w:p w14:paraId="68711207" w14:textId="77777777" w:rsidR="00000000" w:rsidRDefault="00087966">
      <w:pPr>
        <w:pStyle w:val="a3"/>
        <w:spacing w:before="0" w:beforeAutospacing="0" w:after="0" w:afterAutospacing="0"/>
        <w:jc w:val="both"/>
        <w:divId w:val="1595479706"/>
        <w:rPr>
          <w:sz w:val="20"/>
          <w:szCs w:val="20"/>
        </w:rPr>
      </w:pPr>
      <w:r>
        <w:rPr>
          <w:b/>
          <w:bCs/>
          <w:i/>
          <w:iCs/>
          <w:sz w:val="20"/>
          <w:szCs w:val="20"/>
        </w:rPr>
        <w:t>Class A Common Stock Subject to Possible Redemption</w:t>
      </w:r>
    </w:p>
    <w:p w14:paraId="54CD9865" w14:textId="77777777" w:rsidR="00000000" w:rsidRDefault="00087966">
      <w:pPr>
        <w:pStyle w:val="a3"/>
        <w:spacing w:before="0" w:beforeAutospacing="0" w:after="0" w:afterAutospacing="0"/>
        <w:jc w:val="both"/>
        <w:divId w:val="1595479706"/>
        <w:rPr>
          <w:sz w:val="20"/>
          <w:szCs w:val="20"/>
        </w:rPr>
      </w:pPr>
      <w:r>
        <w:rPr>
          <w:sz w:val="20"/>
          <w:szCs w:val="20"/>
        </w:rPr>
        <w:t> </w:t>
      </w:r>
    </w:p>
    <w:p w14:paraId="6E5C2C36" w14:textId="77777777" w:rsidR="00000000" w:rsidRDefault="00087966">
      <w:pPr>
        <w:pStyle w:val="a3"/>
        <w:spacing w:before="0" w:beforeAutospacing="0" w:after="0" w:afterAutospacing="0"/>
        <w:ind w:firstLine="648"/>
        <w:jc w:val="both"/>
        <w:divId w:val="1595479706"/>
        <w:rPr>
          <w:sz w:val="20"/>
          <w:szCs w:val="20"/>
        </w:rPr>
      </w:pPr>
      <w:r>
        <w:rPr>
          <w:sz w:val="20"/>
          <w:szCs w:val="20"/>
        </w:rPr>
        <w:t>We account for our common stock subject to possible conversion in accordance with the guidance in ASC Topic 480 “Distinguishing Liabilities from Equity.” Class A common stock subject to mandatory redemp</w:t>
      </w:r>
      <w:r>
        <w:rPr>
          <w:sz w:val="20"/>
          <w:szCs w:val="20"/>
        </w:rPr>
        <w:t>tion is classified as a liability instrument and measured at fair value. Conditionally redeemable common stock (including common stock that features redemption rights that are either within the control of the holder or subject to redemption upon the occurr</w:t>
      </w:r>
      <w:r>
        <w:rPr>
          <w:sz w:val="20"/>
          <w:szCs w:val="20"/>
        </w:rPr>
        <w:t>ence of uncertain events not solely within our control) is classified as temporary equity. At all other times, common stock is classified as stockholders’ equity. Our Class A common stock features certain redemption rights that are considered to be outside</w:t>
      </w:r>
      <w:r>
        <w:rPr>
          <w:sz w:val="20"/>
          <w:szCs w:val="20"/>
        </w:rPr>
        <w:t xml:space="preserve"> of our control and subject to occurrence of uncertain future events. Accordingly, all shares of Class A common stock subject to possible redemption are presented at redemption value as temporary equity, outside of the stockholders’ equity section of our b</w:t>
      </w:r>
      <w:r>
        <w:rPr>
          <w:sz w:val="20"/>
          <w:szCs w:val="20"/>
        </w:rPr>
        <w:t>alance sheets.</w:t>
      </w:r>
    </w:p>
    <w:p w14:paraId="6119056E" w14:textId="77777777" w:rsidR="00000000" w:rsidRDefault="00087966">
      <w:pPr>
        <w:pStyle w:val="a3"/>
        <w:spacing w:before="0" w:beforeAutospacing="0" w:after="0" w:afterAutospacing="0"/>
        <w:jc w:val="both"/>
        <w:divId w:val="1595479706"/>
        <w:rPr>
          <w:sz w:val="20"/>
          <w:szCs w:val="20"/>
        </w:rPr>
      </w:pPr>
      <w:r>
        <w:rPr>
          <w:sz w:val="20"/>
          <w:szCs w:val="20"/>
        </w:rPr>
        <w:t> </w:t>
      </w:r>
    </w:p>
    <w:p w14:paraId="17F249DF" w14:textId="77777777" w:rsidR="00000000" w:rsidRDefault="00087966">
      <w:pPr>
        <w:pStyle w:val="a3"/>
        <w:spacing w:before="0" w:beforeAutospacing="0" w:after="0" w:afterAutospacing="0"/>
        <w:jc w:val="both"/>
        <w:divId w:val="1595479706"/>
        <w:rPr>
          <w:sz w:val="20"/>
          <w:szCs w:val="20"/>
        </w:rPr>
      </w:pPr>
      <w:r>
        <w:rPr>
          <w:b/>
          <w:bCs/>
          <w:i/>
          <w:iCs/>
          <w:sz w:val="20"/>
          <w:szCs w:val="20"/>
        </w:rPr>
        <w:t>Net Loss Per Share of Common Stock</w:t>
      </w:r>
    </w:p>
    <w:p w14:paraId="45089B9F" w14:textId="77777777" w:rsidR="00000000" w:rsidRDefault="00087966">
      <w:pPr>
        <w:pStyle w:val="a3"/>
        <w:spacing w:before="0" w:beforeAutospacing="0" w:after="0" w:afterAutospacing="0"/>
        <w:jc w:val="both"/>
        <w:divId w:val="1595479706"/>
        <w:rPr>
          <w:sz w:val="20"/>
          <w:szCs w:val="20"/>
        </w:rPr>
      </w:pPr>
      <w:r>
        <w:rPr>
          <w:sz w:val="20"/>
          <w:szCs w:val="20"/>
        </w:rPr>
        <w:t> </w:t>
      </w:r>
    </w:p>
    <w:p w14:paraId="7646F1A9" w14:textId="77777777" w:rsidR="00000000" w:rsidRDefault="00087966">
      <w:pPr>
        <w:pStyle w:val="a3"/>
        <w:spacing w:before="0" w:beforeAutospacing="0" w:after="0" w:afterAutospacing="0"/>
        <w:ind w:firstLine="648"/>
        <w:jc w:val="both"/>
        <w:divId w:val="1595479706"/>
        <w:rPr>
          <w:sz w:val="20"/>
          <w:szCs w:val="20"/>
        </w:rPr>
      </w:pPr>
      <w:r>
        <w:rPr>
          <w:sz w:val="20"/>
          <w:szCs w:val="20"/>
        </w:rPr>
        <w:t>Net loss per share of common stock is computed by dividing net loss by the weighted average number of shares of common stock outstanding for the period. The Company applies the two-class method in calcu</w:t>
      </w:r>
      <w:r>
        <w:rPr>
          <w:sz w:val="20"/>
          <w:szCs w:val="20"/>
        </w:rPr>
        <w:t>lating loss per share of common stock. Re-measurement associated with the redeemable shares of Class A common stock is excluded from loss per common share as the redemption value approximates fair value. Net income or loss is allocated among the classes of</w:t>
      </w:r>
      <w:r>
        <w:rPr>
          <w:sz w:val="20"/>
          <w:szCs w:val="20"/>
        </w:rPr>
        <w:t xml:space="preserve"> ordinary shares based on weighted average shares outstanding.</w:t>
      </w:r>
    </w:p>
    <w:p w14:paraId="1AB1C480" w14:textId="77777777" w:rsidR="00000000" w:rsidRDefault="00087966">
      <w:pPr>
        <w:pStyle w:val="a3"/>
        <w:spacing w:before="0" w:beforeAutospacing="0" w:after="0" w:afterAutospacing="0"/>
        <w:ind w:firstLine="648"/>
        <w:jc w:val="both"/>
        <w:divId w:val="1595479706"/>
        <w:rPr>
          <w:sz w:val="20"/>
          <w:szCs w:val="20"/>
        </w:rPr>
      </w:pPr>
      <w:r>
        <w:rPr>
          <w:sz w:val="20"/>
          <w:szCs w:val="20"/>
        </w:rPr>
        <w:t> </w:t>
      </w:r>
    </w:p>
    <w:p w14:paraId="30CC2FC1" w14:textId="77777777" w:rsidR="00000000" w:rsidRDefault="00087966">
      <w:pPr>
        <w:pStyle w:val="a3"/>
        <w:spacing w:before="0" w:beforeAutospacing="0" w:after="0" w:afterAutospacing="0"/>
        <w:ind w:firstLine="648"/>
        <w:jc w:val="both"/>
        <w:divId w:val="1595479706"/>
        <w:rPr>
          <w:sz w:val="20"/>
          <w:szCs w:val="20"/>
        </w:rPr>
      </w:pPr>
      <w:r>
        <w:rPr>
          <w:sz w:val="20"/>
          <w:szCs w:val="20"/>
        </w:rPr>
        <w:t>The calculation of diluted loss per share of common stock does not consider the effect of the warrants issued in connection with the (i) initial public offering, and (ii) the private placemen</w:t>
      </w:r>
      <w:r>
        <w:rPr>
          <w:sz w:val="20"/>
          <w:szCs w:val="20"/>
        </w:rPr>
        <w:t>t since the exercise of the warrants is contingent upon the occurrence of future events. The warrants are exercisable to purchase 13,825,000 shares of Class A common stock in the aggregate. As of December 31, 2022 and 2021, the Company did not have any oth</w:t>
      </w:r>
      <w:r>
        <w:rPr>
          <w:sz w:val="20"/>
          <w:szCs w:val="20"/>
        </w:rPr>
        <w:t xml:space="preserve">er dilutive securities or other contracts that could, potentially, be exercised or converted into common stock and then share in the earnings of the Company. As a result, diluted net loss per common share is the same as basic net loss per common share for </w:t>
      </w:r>
      <w:r>
        <w:rPr>
          <w:sz w:val="20"/>
          <w:szCs w:val="20"/>
        </w:rPr>
        <w:t>the periods presented.</w:t>
      </w:r>
    </w:p>
    <w:p w14:paraId="2450BD02" w14:textId="77777777" w:rsidR="00000000" w:rsidRDefault="00087966">
      <w:pPr>
        <w:pStyle w:val="a3"/>
        <w:spacing w:before="0" w:beforeAutospacing="0" w:after="0" w:afterAutospacing="0"/>
        <w:jc w:val="both"/>
        <w:divId w:val="1595479706"/>
        <w:rPr>
          <w:sz w:val="20"/>
          <w:szCs w:val="20"/>
        </w:rPr>
      </w:pPr>
      <w:r>
        <w:rPr>
          <w:sz w:val="20"/>
          <w:szCs w:val="20"/>
        </w:rPr>
        <w:t> </w:t>
      </w:r>
    </w:p>
    <w:p w14:paraId="486FAA8D" w14:textId="77777777" w:rsidR="00000000" w:rsidRDefault="00087966">
      <w:pPr>
        <w:pStyle w:val="a3"/>
        <w:spacing w:before="0" w:beforeAutospacing="0" w:after="0" w:afterAutospacing="0"/>
        <w:jc w:val="center"/>
        <w:divId w:val="2054190484"/>
        <w:rPr>
          <w:sz w:val="20"/>
          <w:szCs w:val="20"/>
        </w:rPr>
      </w:pPr>
      <w:r>
        <w:rPr>
          <w:sz w:val="20"/>
          <w:szCs w:val="20"/>
        </w:rPr>
        <w:t>3</w:t>
      </w:r>
      <w:r>
        <w:rPr>
          <w:sz w:val="20"/>
          <w:szCs w:val="20"/>
        </w:rPr>
        <w:t>9</w:t>
      </w:r>
    </w:p>
    <w:p w14:paraId="7EEEBF3B" w14:textId="77777777" w:rsidR="00000000" w:rsidRDefault="00087966">
      <w:pPr>
        <w:pStyle w:val="a3"/>
        <w:spacing w:before="0" w:beforeAutospacing="0" w:after="0" w:afterAutospacing="0"/>
        <w:divId w:val="1198278236"/>
        <w:rPr>
          <w:sz w:val="20"/>
          <w:szCs w:val="20"/>
        </w:rPr>
      </w:pPr>
      <w:r>
        <w:rPr>
          <w:sz w:val="20"/>
          <w:szCs w:val="20"/>
        </w:rPr>
        <w:t> </w:t>
      </w:r>
    </w:p>
    <w:p w14:paraId="282B3CBC" w14:textId="77777777" w:rsidR="00000000" w:rsidRDefault="00087966">
      <w:pPr>
        <w:pStyle w:val="a3"/>
        <w:spacing w:before="0" w:beforeAutospacing="0" w:after="0" w:afterAutospacing="0"/>
        <w:jc w:val="both"/>
        <w:divId w:val="1595479706"/>
        <w:rPr>
          <w:sz w:val="20"/>
          <w:szCs w:val="20"/>
        </w:rPr>
      </w:pPr>
      <w:r>
        <w:rPr>
          <w:sz w:val="20"/>
          <w:szCs w:val="20"/>
        </w:rPr>
        <w:t> </w:t>
      </w:r>
    </w:p>
    <w:p w14:paraId="1DC5CD58" w14:textId="77777777" w:rsidR="00000000" w:rsidRDefault="00087966">
      <w:pPr>
        <w:pStyle w:val="a3"/>
        <w:spacing w:before="0" w:beforeAutospacing="0" w:after="0" w:afterAutospacing="0"/>
        <w:jc w:val="both"/>
        <w:divId w:val="1595479706"/>
        <w:rPr>
          <w:sz w:val="20"/>
          <w:szCs w:val="20"/>
        </w:rPr>
      </w:pPr>
      <w:r>
        <w:rPr>
          <w:b/>
          <w:bCs/>
          <w:i/>
          <w:iCs/>
          <w:sz w:val="20"/>
          <w:szCs w:val="20"/>
        </w:rPr>
        <w:t>Convertible Instruments</w:t>
      </w:r>
    </w:p>
    <w:p w14:paraId="486362AA" w14:textId="77777777" w:rsidR="00000000" w:rsidRDefault="00087966">
      <w:pPr>
        <w:pStyle w:val="a3"/>
        <w:spacing w:before="0" w:beforeAutospacing="0" w:after="0" w:afterAutospacing="0"/>
        <w:jc w:val="both"/>
        <w:divId w:val="1595479706"/>
        <w:rPr>
          <w:sz w:val="20"/>
          <w:szCs w:val="20"/>
        </w:rPr>
      </w:pPr>
      <w:r>
        <w:rPr>
          <w:sz w:val="20"/>
          <w:szCs w:val="20"/>
        </w:rPr>
        <w:t> </w:t>
      </w:r>
    </w:p>
    <w:p w14:paraId="27CCE85B"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The Company evaluated the </w:t>
      </w:r>
      <w:r>
        <w:rPr>
          <w:sz w:val="20"/>
          <w:szCs w:val="20"/>
        </w:rPr>
        <w:t>accounting for its promissory notes that feature conversion options in accordance with ASC Topic 815, Derivatives and Hedging Activities (“ASC 815”). ASC 815 requires companies to bifurcate conversion options from their host instruments and account for the</w:t>
      </w:r>
      <w:r>
        <w:rPr>
          <w:sz w:val="20"/>
          <w:szCs w:val="20"/>
        </w:rPr>
        <w:t>m as freestanding derivative financial instruments according to certain criteria. The criteria includes circumstances in which (a) the economic characteristics and risks of the embedded derivative instrument are not clearly and closely related to the econo</w:t>
      </w:r>
      <w:r>
        <w:rPr>
          <w:sz w:val="20"/>
          <w:szCs w:val="20"/>
        </w:rPr>
        <w:t>mic characteristics and risks of the host contract, (b) a promissory note that embodies both the embedded derivative instrument and the host contract is not re-measured at fair value under otherwise applicable GAAP with changes in fair value reported in ea</w:t>
      </w:r>
      <w:r>
        <w:rPr>
          <w:sz w:val="20"/>
          <w:szCs w:val="20"/>
        </w:rPr>
        <w:t>rnings as they occur and (c) a separate instrument with the same terms as the embedded derivative instrument would be considered a derivative instrument. However, the Company has elected to account for its Working Capital Loan at fair value, as described i</w:t>
      </w:r>
      <w:r>
        <w:rPr>
          <w:sz w:val="20"/>
          <w:szCs w:val="20"/>
        </w:rPr>
        <w:t>n Note 10 to the accompanying consolidated financial statements.</w:t>
      </w:r>
    </w:p>
    <w:p w14:paraId="7AFAA14E" w14:textId="77777777" w:rsidR="00000000" w:rsidRDefault="00087966">
      <w:pPr>
        <w:pStyle w:val="a3"/>
        <w:spacing w:before="0" w:beforeAutospacing="0" w:after="0" w:afterAutospacing="0"/>
        <w:jc w:val="both"/>
        <w:divId w:val="1595479706"/>
        <w:rPr>
          <w:sz w:val="20"/>
          <w:szCs w:val="20"/>
        </w:rPr>
      </w:pPr>
      <w:r>
        <w:rPr>
          <w:sz w:val="20"/>
          <w:szCs w:val="20"/>
        </w:rPr>
        <w:t> </w:t>
      </w:r>
    </w:p>
    <w:p w14:paraId="7C0B1AA7" w14:textId="77777777" w:rsidR="00000000" w:rsidRDefault="00087966">
      <w:pPr>
        <w:pStyle w:val="a3"/>
        <w:spacing w:before="0" w:beforeAutospacing="0" w:after="0" w:afterAutospacing="0"/>
        <w:jc w:val="both"/>
        <w:divId w:val="1595479706"/>
        <w:rPr>
          <w:sz w:val="20"/>
          <w:szCs w:val="20"/>
        </w:rPr>
      </w:pPr>
      <w:r>
        <w:rPr>
          <w:b/>
          <w:bCs/>
          <w:i/>
          <w:iCs/>
          <w:sz w:val="20"/>
          <w:szCs w:val="20"/>
        </w:rPr>
        <w:t>Recent Accounting Standards</w:t>
      </w:r>
    </w:p>
    <w:p w14:paraId="510A7978" w14:textId="77777777" w:rsidR="00000000" w:rsidRDefault="00087966">
      <w:pPr>
        <w:pStyle w:val="a3"/>
        <w:spacing w:before="0" w:beforeAutospacing="0" w:after="0" w:afterAutospacing="0"/>
        <w:jc w:val="both"/>
        <w:divId w:val="1595479706"/>
        <w:rPr>
          <w:sz w:val="20"/>
          <w:szCs w:val="20"/>
        </w:rPr>
      </w:pPr>
      <w:r>
        <w:rPr>
          <w:sz w:val="20"/>
          <w:szCs w:val="20"/>
        </w:rPr>
        <w:t> </w:t>
      </w:r>
    </w:p>
    <w:p w14:paraId="19E2D3BA" w14:textId="77777777" w:rsidR="00000000" w:rsidRDefault="00087966">
      <w:pPr>
        <w:pStyle w:val="a3"/>
        <w:spacing w:before="0" w:beforeAutospacing="0" w:after="0" w:afterAutospacing="0"/>
        <w:ind w:firstLine="720"/>
        <w:jc w:val="both"/>
        <w:divId w:val="1595479706"/>
        <w:rPr>
          <w:sz w:val="20"/>
          <w:szCs w:val="20"/>
        </w:rPr>
      </w:pPr>
      <w:r>
        <w:rPr>
          <w:sz w:val="20"/>
          <w:szCs w:val="20"/>
        </w:rPr>
        <w:t>Management does not believe that any recently issued, but not yet effective, accounting standards, if currently adopted, would have a material effect on our co</w:t>
      </w:r>
      <w:r>
        <w:rPr>
          <w:sz w:val="20"/>
          <w:szCs w:val="20"/>
        </w:rPr>
        <w:t>nsolidated financial statements.</w:t>
      </w:r>
    </w:p>
    <w:p w14:paraId="2DE145F6" w14:textId="77777777" w:rsidR="00000000" w:rsidRDefault="00087966">
      <w:pPr>
        <w:pStyle w:val="a3"/>
        <w:spacing w:before="0" w:beforeAutospacing="0" w:after="0" w:afterAutospacing="0"/>
        <w:ind w:firstLine="720"/>
        <w:jc w:val="both"/>
        <w:divId w:val="1595479706"/>
        <w:rPr>
          <w:sz w:val="20"/>
          <w:szCs w:val="20"/>
        </w:rPr>
      </w:pPr>
      <w:r>
        <w:rPr>
          <w:b/>
          <w:bCs/>
          <w:sz w:val="20"/>
          <w:szCs w:val="20"/>
        </w:rPr>
        <w:t> </w:t>
      </w:r>
    </w:p>
    <w:p w14:paraId="3645BB78" w14:textId="77777777" w:rsidR="00000000" w:rsidRDefault="00087966">
      <w:pPr>
        <w:pStyle w:val="a3"/>
        <w:spacing w:before="0" w:beforeAutospacing="0" w:after="0" w:afterAutospacing="0"/>
        <w:jc w:val="both"/>
        <w:divId w:val="1595479706"/>
        <w:rPr>
          <w:sz w:val="20"/>
          <w:szCs w:val="20"/>
        </w:rPr>
      </w:pPr>
      <w:r>
        <w:rPr>
          <w:b/>
          <w:bCs/>
          <w:sz w:val="20"/>
          <w:szCs w:val="20"/>
        </w:rPr>
        <w:t>Factors That May Adversely Affect our Results of Operations</w:t>
      </w:r>
    </w:p>
    <w:p w14:paraId="2C35C0EA" w14:textId="77777777" w:rsidR="00000000" w:rsidRDefault="00087966">
      <w:pPr>
        <w:pStyle w:val="a3"/>
        <w:spacing w:before="0" w:beforeAutospacing="0" w:after="0" w:afterAutospacing="0"/>
        <w:divId w:val="1595479706"/>
        <w:rPr>
          <w:sz w:val="20"/>
          <w:szCs w:val="20"/>
        </w:rPr>
      </w:pPr>
      <w:r>
        <w:rPr>
          <w:b/>
          <w:bCs/>
          <w:sz w:val="20"/>
          <w:szCs w:val="20"/>
        </w:rPr>
        <w:t> </w:t>
      </w:r>
    </w:p>
    <w:p w14:paraId="25368E14" w14:textId="77777777" w:rsidR="00000000" w:rsidRDefault="00087966">
      <w:pPr>
        <w:pStyle w:val="a3"/>
        <w:spacing w:before="0" w:beforeAutospacing="0" w:after="0" w:afterAutospacing="0"/>
        <w:ind w:firstLine="720"/>
        <w:jc w:val="both"/>
        <w:divId w:val="1595479706"/>
        <w:rPr>
          <w:sz w:val="20"/>
          <w:szCs w:val="20"/>
        </w:rPr>
      </w:pPr>
      <w:r>
        <w:rPr>
          <w:sz w:val="20"/>
          <w:szCs w:val="20"/>
        </w:rPr>
        <w:t>Our results of operations and our ability to complete an initial business combination may be adversely affected by various factors that could cause economic un</w:t>
      </w:r>
      <w:r>
        <w:rPr>
          <w:sz w:val="20"/>
          <w:szCs w:val="20"/>
        </w:rPr>
        <w:t>certainty and volatility in the financial markets, many of which are beyond our control. Our business could be impacted by, among other things, downturns in the financial markets or in economic conditions, increases in oil prices, inflation, increases in i</w:t>
      </w:r>
      <w:r>
        <w:rPr>
          <w:sz w:val="20"/>
          <w:szCs w:val="20"/>
        </w:rPr>
        <w:t>nterest rates, supply chain disruptions, declines in consumer confidence and spending, the ongoing effects of the COVID-19 pandemic, including resurgences and the emergence of new variants, and geopolitical instability, such as the military conflict in Ukr</w:t>
      </w:r>
      <w:r>
        <w:rPr>
          <w:sz w:val="20"/>
          <w:szCs w:val="20"/>
        </w:rPr>
        <w:t>aine. We cannot at this time fully predict the likelihood of one or more of the above events, their duration or magnitude or the extent to which they may negatively impact our business and our ability to complete an initial business combination.</w:t>
      </w:r>
    </w:p>
    <w:p w14:paraId="38F54A2A" w14:textId="77777777" w:rsidR="00000000" w:rsidRDefault="00087966">
      <w:pPr>
        <w:pStyle w:val="a3"/>
        <w:spacing w:before="0" w:beforeAutospacing="0" w:after="0" w:afterAutospacing="0"/>
        <w:jc w:val="both"/>
        <w:divId w:val="1595479706"/>
        <w:rPr>
          <w:sz w:val="20"/>
          <w:szCs w:val="20"/>
        </w:rPr>
      </w:pPr>
      <w:r>
        <w:rPr>
          <w:sz w:val="20"/>
          <w:szCs w:val="20"/>
        </w:rPr>
        <w:t> </w:t>
      </w:r>
    </w:p>
    <w:p w14:paraId="352B103D" w14:textId="77777777" w:rsidR="00000000" w:rsidRDefault="00087966">
      <w:pPr>
        <w:pStyle w:val="a3"/>
        <w:spacing w:before="0" w:beforeAutospacing="0" w:after="0" w:afterAutospacing="0"/>
        <w:jc w:val="both"/>
        <w:divId w:val="1595479706"/>
        <w:rPr>
          <w:sz w:val="20"/>
          <w:szCs w:val="20"/>
        </w:rPr>
      </w:pPr>
      <w:r>
        <w:rPr>
          <w:b/>
          <w:bCs/>
          <w:sz w:val="20"/>
          <w:szCs w:val="20"/>
        </w:rPr>
        <w:t>Item 7A.</w:t>
      </w:r>
      <w:r>
        <w:rPr>
          <w:b/>
          <w:bCs/>
          <w:sz w:val="20"/>
          <w:szCs w:val="20"/>
        </w:rPr>
        <w:t xml:space="preserve"> Quantitative and Qualitative Disclosures about Market Risk.</w:t>
      </w:r>
    </w:p>
    <w:p w14:paraId="501ACBF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F100B2A" w14:textId="77777777" w:rsidR="00000000" w:rsidRDefault="00087966">
      <w:pPr>
        <w:pStyle w:val="a3"/>
        <w:spacing w:before="0" w:beforeAutospacing="0" w:after="0" w:afterAutospacing="0"/>
        <w:ind w:firstLine="720"/>
        <w:jc w:val="both"/>
        <w:divId w:val="1595479706"/>
        <w:rPr>
          <w:sz w:val="20"/>
          <w:szCs w:val="20"/>
        </w:rPr>
      </w:pPr>
      <w:r>
        <w:rPr>
          <w:sz w:val="20"/>
          <w:szCs w:val="20"/>
        </w:rPr>
        <w:t>We are a smaller reporting company as defined by Rule 12b-2 of the Exchange Act and are not required to provide the information otherwise required under this Item.</w:t>
      </w:r>
    </w:p>
    <w:p w14:paraId="15891FD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896CC20" w14:textId="77777777" w:rsidR="00000000" w:rsidRDefault="00087966">
      <w:pPr>
        <w:pStyle w:val="a3"/>
        <w:spacing w:before="0" w:beforeAutospacing="0" w:after="0" w:afterAutospacing="0"/>
        <w:jc w:val="both"/>
        <w:divId w:val="1595479706"/>
        <w:rPr>
          <w:sz w:val="20"/>
          <w:szCs w:val="20"/>
        </w:rPr>
      </w:pPr>
      <w:r>
        <w:rPr>
          <w:b/>
          <w:bCs/>
          <w:sz w:val="20"/>
          <w:szCs w:val="20"/>
        </w:rPr>
        <w:t>Item 8. Financial Statement</w:t>
      </w:r>
      <w:r>
        <w:rPr>
          <w:b/>
          <w:bCs/>
          <w:sz w:val="20"/>
          <w:szCs w:val="20"/>
        </w:rPr>
        <w:t>s and Supplementary Data.</w:t>
      </w:r>
    </w:p>
    <w:p w14:paraId="5C21C5BC" w14:textId="77777777" w:rsidR="00000000" w:rsidRDefault="00087966">
      <w:pPr>
        <w:pStyle w:val="a3"/>
        <w:spacing w:before="0" w:beforeAutospacing="0" w:after="0" w:afterAutospacing="0"/>
        <w:jc w:val="both"/>
        <w:divId w:val="1595479706"/>
        <w:rPr>
          <w:sz w:val="20"/>
          <w:szCs w:val="20"/>
        </w:rPr>
      </w:pPr>
      <w:r>
        <w:rPr>
          <w:sz w:val="20"/>
          <w:szCs w:val="20"/>
        </w:rPr>
        <w:t> </w:t>
      </w:r>
    </w:p>
    <w:p w14:paraId="16AB9C89" w14:textId="77777777" w:rsidR="00000000" w:rsidRDefault="00087966">
      <w:pPr>
        <w:pStyle w:val="a3"/>
        <w:spacing w:before="0" w:beforeAutospacing="0" w:after="0" w:afterAutospacing="0"/>
        <w:ind w:firstLine="720"/>
        <w:jc w:val="both"/>
        <w:divId w:val="1595479706"/>
        <w:rPr>
          <w:sz w:val="20"/>
          <w:szCs w:val="20"/>
        </w:rPr>
      </w:pPr>
      <w:r>
        <w:rPr>
          <w:sz w:val="20"/>
          <w:szCs w:val="20"/>
        </w:rPr>
        <w:t>Reference is made to pages F-1 through F-25 comprising a portion of this Report, which are incorporated herein by reference.</w:t>
      </w:r>
    </w:p>
    <w:p w14:paraId="50A0E21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70DD67B" w14:textId="77777777" w:rsidR="00000000" w:rsidRDefault="00087966">
      <w:pPr>
        <w:pStyle w:val="a3"/>
        <w:spacing w:before="0" w:beforeAutospacing="0" w:after="0" w:afterAutospacing="0"/>
        <w:jc w:val="both"/>
        <w:divId w:val="1595479706"/>
        <w:rPr>
          <w:sz w:val="20"/>
          <w:szCs w:val="20"/>
        </w:rPr>
      </w:pPr>
      <w:r>
        <w:rPr>
          <w:b/>
          <w:bCs/>
          <w:sz w:val="20"/>
          <w:szCs w:val="20"/>
        </w:rPr>
        <w:t>Item 9. Changes in and Disagreements with Accountants on Accounting and Financial Disclosure.</w:t>
      </w:r>
    </w:p>
    <w:p w14:paraId="78EA15E1" w14:textId="77777777" w:rsidR="00000000" w:rsidRDefault="00087966">
      <w:pPr>
        <w:pStyle w:val="a3"/>
        <w:spacing w:before="0" w:beforeAutospacing="0" w:after="0" w:afterAutospacing="0"/>
        <w:jc w:val="both"/>
        <w:divId w:val="1595479706"/>
        <w:rPr>
          <w:sz w:val="20"/>
          <w:szCs w:val="20"/>
        </w:rPr>
      </w:pPr>
      <w:r>
        <w:rPr>
          <w:sz w:val="20"/>
          <w:szCs w:val="20"/>
        </w:rPr>
        <w:t> </w:t>
      </w:r>
    </w:p>
    <w:p w14:paraId="475659D7" w14:textId="77777777" w:rsidR="00000000" w:rsidRDefault="00087966">
      <w:pPr>
        <w:pStyle w:val="a3"/>
        <w:spacing w:before="0" w:beforeAutospacing="0" w:after="0" w:afterAutospacing="0"/>
        <w:ind w:firstLine="720"/>
        <w:jc w:val="both"/>
        <w:divId w:val="1595479706"/>
        <w:rPr>
          <w:sz w:val="20"/>
          <w:szCs w:val="20"/>
        </w:rPr>
      </w:pPr>
      <w:r>
        <w:rPr>
          <w:sz w:val="20"/>
          <w:szCs w:val="20"/>
        </w:rPr>
        <w:t>None.</w:t>
      </w:r>
    </w:p>
    <w:p w14:paraId="56C165B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46925A7" w14:textId="77777777" w:rsidR="00000000" w:rsidRDefault="00087966">
      <w:pPr>
        <w:pStyle w:val="a3"/>
        <w:spacing w:before="0" w:beforeAutospacing="0" w:after="0" w:afterAutospacing="0"/>
        <w:jc w:val="both"/>
        <w:divId w:val="1595479706"/>
        <w:rPr>
          <w:sz w:val="20"/>
          <w:szCs w:val="20"/>
        </w:rPr>
      </w:pPr>
      <w:r>
        <w:rPr>
          <w:b/>
          <w:bCs/>
          <w:sz w:val="20"/>
          <w:szCs w:val="20"/>
        </w:rPr>
        <w:t>Item 9A. Controls and Procedures.</w:t>
      </w:r>
    </w:p>
    <w:p w14:paraId="60D66CA1" w14:textId="77777777" w:rsidR="00000000" w:rsidRDefault="00087966">
      <w:pPr>
        <w:pStyle w:val="a3"/>
        <w:spacing w:before="0" w:beforeAutospacing="0" w:after="0" w:afterAutospacing="0"/>
        <w:jc w:val="both"/>
        <w:divId w:val="1595479706"/>
        <w:rPr>
          <w:sz w:val="20"/>
          <w:szCs w:val="20"/>
        </w:rPr>
      </w:pPr>
      <w:r>
        <w:rPr>
          <w:sz w:val="20"/>
          <w:szCs w:val="20"/>
        </w:rPr>
        <w:t> </w:t>
      </w:r>
    </w:p>
    <w:p w14:paraId="1D124B16" w14:textId="77777777" w:rsidR="00000000" w:rsidRDefault="00087966">
      <w:pPr>
        <w:pStyle w:val="a3"/>
        <w:spacing w:before="0" w:beforeAutospacing="0" w:after="0" w:afterAutospacing="0"/>
        <w:jc w:val="both"/>
        <w:divId w:val="1595479706"/>
        <w:rPr>
          <w:sz w:val="20"/>
          <w:szCs w:val="20"/>
        </w:rPr>
      </w:pPr>
      <w:r>
        <w:rPr>
          <w:b/>
          <w:bCs/>
          <w:sz w:val="20"/>
          <w:szCs w:val="20"/>
        </w:rPr>
        <w:t>Evaluation of Disclosure Controls and Procedures</w:t>
      </w:r>
    </w:p>
    <w:p w14:paraId="61D7425D" w14:textId="77777777" w:rsidR="00000000" w:rsidRDefault="00087966">
      <w:pPr>
        <w:pStyle w:val="a3"/>
        <w:spacing w:before="0" w:beforeAutospacing="0" w:after="0" w:afterAutospacing="0"/>
        <w:jc w:val="both"/>
        <w:divId w:val="1595479706"/>
        <w:rPr>
          <w:sz w:val="20"/>
          <w:szCs w:val="20"/>
        </w:rPr>
      </w:pPr>
      <w:r>
        <w:rPr>
          <w:sz w:val="20"/>
          <w:szCs w:val="20"/>
        </w:rPr>
        <w:t> </w:t>
      </w:r>
    </w:p>
    <w:p w14:paraId="1A19CC8B"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Disclosure controls and procedures </w:t>
      </w:r>
      <w:r>
        <w:rPr>
          <w:sz w:val="20"/>
          <w:szCs w:val="20"/>
        </w:rPr>
        <w:t>are controls and other procedures designed to ensure that information required to be disclosed in our reports filed or submitted under the Exchange Act is recorded, processed, summarized and reported within the time periods specified in the SEC’s rules and</w:t>
      </w:r>
      <w:r>
        <w:rPr>
          <w:sz w:val="20"/>
          <w:szCs w:val="20"/>
        </w:rPr>
        <w:t xml:space="preserve"> forms. Disclosure controls and procedures include, without limitation, controls and procedures designed to ensure that information required to be disclosed in our reports filed or submitted under the Exchange Act is accumulated and communicated to managem</w:t>
      </w:r>
      <w:r>
        <w:rPr>
          <w:sz w:val="20"/>
          <w:szCs w:val="20"/>
        </w:rPr>
        <w:t>ent, including our Chief Executive Officer and Chief Financial Officer (together, the “Certifying Officers”), or persons performing similar functions, as appropriate, to allow timely decisions regarding required disclosure.</w:t>
      </w:r>
    </w:p>
    <w:p w14:paraId="6AC8B368" w14:textId="77777777" w:rsidR="00000000" w:rsidRDefault="00087966">
      <w:pPr>
        <w:pStyle w:val="a3"/>
        <w:spacing w:before="0" w:beforeAutospacing="0" w:after="0" w:afterAutospacing="0"/>
        <w:jc w:val="both"/>
        <w:divId w:val="1595479706"/>
        <w:rPr>
          <w:sz w:val="20"/>
          <w:szCs w:val="20"/>
        </w:rPr>
      </w:pPr>
      <w:r>
        <w:rPr>
          <w:sz w:val="20"/>
          <w:szCs w:val="20"/>
        </w:rPr>
        <w:t> </w:t>
      </w:r>
    </w:p>
    <w:p w14:paraId="30977E7D" w14:textId="77777777" w:rsidR="00000000" w:rsidRDefault="00087966">
      <w:pPr>
        <w:pStyle w:val="a3"/>
        <w:spacing w:before="0" w:beforeAutospacing="0" w:after="0" w:afterAutospacing="0"/>
        <w:ind w:firstLine="720"/>
        <w:jc w:val="both"/>
        <w:divId w:val="1595479706"/>
        <w:rPr>
          <w:sz w:val="20"/>
          <w:szCs w:val="20"/>
        </w:rPr>
      </w:pPr>
      <w:r>
        <w:rPr>
          <w:sz w:val="20"/>
          <w:szCs w:val="20"/>
        </w:rPr>
        <w:t>Under the supervision and with</w:t>
      </w:r>
      <w:r>
        <w:rPr>
          <w:sz w:val="20"/>
          <w:szCs w:val="20"/>
        </w:rPr>
        <w:t xml:space="preserve"> the participation of our management, including our Certifying Officers, we carried out an evaluation of the effectiveness of the design and operation of our disclosure controls and procedures as defined in Rules 13a-15(e) and 15d-15(e) under the Exchange </w:t>
      </w:r>
      <w:r>
        <w:rPr>
          <w:sz w:val="20"/>
          <w:szCs w:val="20"/>
        </w:rPr>
        <w:t>Act. Based on the foregoing, our Certifying Officers concluded that our disclosure controls and procedures were not effective as of the end of the period covered by this Report, due solely to the material weakness in our internal control over financial rep</w:t>
      </w:r>
      <w:r>
        <w:rPr>
          <w:sz w:val="20"/>
          <w:szCs w:val="20"/>
        </w:rPr>
        <w:t>orting related to the Company’s accounting for complex financial instruments.</w:t>
      </w:r>
    </w:p>
    <w:p w14:paraId="3EDC55D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5D6813C" w14:textId="77777777" w:rsidR="00000000" w:rsidRDefault="00087966">
      <w:pPr>
        <w:pStyle w:val="a3"/>
        <w:spacing w:before="0" w:beforeAutospacing="0" w:after="0" w:afterAutospacing="0"/>
        <w:jc w:val="center"/>
        <w:divId w:val="1666980783"/>
        <w:rPr>
          <w:sz w:val="20"/>
          <w:szCs w:val="20"/>
        </w:rPr>
      </w:pPr>
      <w:r>
        <w:rPr>
          <w:sz w:val="20"/>
          <w:szCs w:val="20"/>
        </w:rPr>
        <w:t>4</w:t>
      </w:r>
      <w:r>
        <w:rPr>
          <w:sz w:val="20"/>
          <w:szCs w:val="20"/>
        </w:rPr>
        <w:t>0</w:t>
      </w:r>
    </w:p>
    <w:p w14:paraId="3128A9FF" w14:textId="77777777" w:rsidR="00000000" w:rsidRDefault="00087966">
      <w:pPr>
        <w:pStyle w:val="a3"/>
        <w:spacing w:before="0" w:beforeAutospacing="0" w:after="0" w:afterAutospacing="0"/>
        <w:divId w:val="193009330"/>
        <w:rPr>
          <w:sz w:val="20"/>
          <w:szCs w:val="20"/>
        </w:rPr>
      </w:pPr>
      <w:r>
        <w:rPr>
          <w:sz w:val="20"/>
          <w:szCs w:val="20"/>
        </w:rPr>
        <w:t> </w:t>
      </w:r>
    </w:p>
    <w:p w14:paraId="000E754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5B4FB61" w14:textId="77777777" w:rsidR="00000000" w:rsidRDefault="00087966">
      <w:pPr>
        <w:pStyle w:val="a3"/>
        <w:spacing w:before="0" w:beforeAutospacing="0" w:after="0" w:afterAutospacing="0"/>
        <w:ind w:firstLine="720"/>
        <w:jc w:val="both"/>
        <w:divId w:val="1595479706"/>
        <w:rPr>
          <w:sz w:val="20"/>
          <w:szCs w:val="20"/>
        </w:rPr>
      </w:pPr>
      <w:r>
        <w:rPr>
          <w:sz w:val="20"/>
          <w:szCs w:val="20"/>
        </w:rPr>
        <w:t>In light of this material weakness, we have enhanced our processes to identify and appropriately apply applicable accounting requirements to better evaluate and understa</w:t>
      </w:r>
      <w:r>
        <w:rPr>
          <w:sz w:val="20"/>
          <w:szCs w:val="20"/>
        </w:rPr>
        <w:t>nd the nuances of the complex accounting standards that apply to our consolidated financial statements including making greater use of third-party professionals with whom we consult regarding complex accounting applications. The elements of our remediation</w:t>
      </w:r>
      <w:r>
        <w:rPr>
          <w:sz w:val="20"/>
          <w:szCs w:val="20"/>
        </w:rPr>
        <w:t xml:space="preserve"> plan can only be accomplished over time, and we can offer no assurance that these initiatives will ultimately have the intended effects. We believe our efforts will enhance our controls relating to accounting for complex financial transactions, but we can</w:t>
      </w:r>
      <w:r>
        <w:rPr>
          <w:sz w:val="20"/>
          <w:szCs w:val="20"/>
        </w:rPr>
        <w:t xml:space="preserve"> offer no assurance that our controls will not require additional review and modification in the future as industry accounting practice may evolve over time.</w:t>
      </w:r>
    </w:p>
    <w:p w14:paraId="4B1C9DFE" w14:textId="77777777" w:rsidR="00000000" w:rsidRDefault="00087966">
      <w:pPr>
        <w:pStyle w:val="a3"/>
        <w:spacing w:before="0" w:beforeAutospacing="0" w:after="0" w:afterAutospacing="0"/>
        <w:jc w:val="both"/>
        <w:divId w:val="1595479706"/>
        <w:rPr>
          <w:sz w:val="20"/>
          <w:szCs w:val="20"/>
        </w:rPr>
      </w:pPr>
      <w:r>
        <w:rPr>
          <w:sz w:val="20"/>
          <w:szCs w:val="20"/>
        </w:rPr>
        <w:t> </w:t>
      </w:r>
    </w:p>
    <w:p w14:paraId="23E5F403" w14:textId="77777777" w:rsidR="00000000" w:rsidRDefault="00087966">
      <w:pPr>
        <w:pStyle w:val="a3"/>
        <w:spacing w:before="0" w:beforeAutospacing="0" w:after="0" w:afterAutospacing="0"/>
        <w:ind w:firstLine="720"/>
        <w:jc w:val="both"/>
        <w:divId w:val="1595479706"/>
        <w:rPr>
          <w:sz w:val="20"/>
          <w:szCs w:val="20"/>
        </w:rPr>
      </w:pPr>
      <w:r>
        <w:rPr>
          <w:sz w:val="20"/>
          <w:szCs w:val="20"/>
        </w:rPr>
        <w:t>We do not expect that our disclosure controls and procedures will prevent all errors and all ins</w:t>
      </w:r>
      <w:r>
        <w:rPr>
          <w:sz w:val="20"/>
          <w:szCs w:val="20"/>
        </w:rPr>
        <w:t>tances of fraud. Disclosure controls and procedures, no matter how well conceived and operated, can provide only reasonable, not absolute, assurance that the objectives of the disclosure controls and procedures are met. Further, the design of disclosure co</w:t>
      </w:r>
      <w:r>
        <w:rPr>
          <w:sz w:val="20"/>
          <w:szCs w:val="20"/>
        </w:rPr>
        <w:t>ntrols and procedures must reflect the fact that there are resource constraints, and the benefits must be considered relative to their costs. Because of the inherent limitations in all disclosure controls and procedures, no evaluation of disclosure control</w:t>
      </w:r>
      <w:r>
        <w:rPr>
          <w:sz w:val="20"/>
          <w:szCs w:val="20"/>
        </w:rPr>
        <w:t>s and procedures can provide absolute assurance that we have detected all our control deficiencies and instances of fraud, if any. The design of disclosure controls and procedures also is based partly on certain assumptions about the likelihood of future e</w:t>
      </w:r>
      <w:r>
        <w:rPr>
          <w:sz w:val="20"/>
          <w:szCs w:val="20"/>
        </w:rPr>
        <w:t>vents, and there can be no assurance that any design will succeed in achieving its stated goals under all potential future conditions.</w:t>
      </w:r>
    </w:p>
    <w:p w14:paraId="47CEEFA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8CCCE54" w14:textId="77777777" w:rsidR="00000000" w:rsidRDefault="00087966">
      <w:pPr>
        <w:pStyle w:val="a3"/>
        <w:spacing w:before="0" w:beforeAutospacing="0" w:after="0" w:afterAutospacing="0"/>
        <w:jc w:val="both"/>
        <w:divId w:val="1595479706"/>
        <w:rPr>
          <w:sz w:val="20"/>
          <w:szCs w:val="20"/>
        </w:rPr>
      </w:pPr>
      <w:r>
        <w:rPr>
          <w:b/>
          <w:bCs/>
          <w:sz w:val="20"/>
          <w:szCs w:val="20"/>
        </w:rPr>
        <w:t>Management’s Annual Report on Internal Controls over Financial Reporting</w:t>
      </w:r>
    </w:p>
    <w:p w14:paraId="1414659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D8A8CCD" w14:textId="77777777" w:rsidR="00000000" w:rsidRDefault="00087966">
      <w:pPr>
        <w:pStyle w:val="a3"/>
        <w:spacing w:before="0" w:beforeAutospacing="0" w:after="0" w:afterAutospacing="0"/>
        <w:ind w:firstLine="720"/>
        <w:jc w:val="both"/>
        <w:divId w:val="1595479706"/>
        <w:rPr>
          <w:sz w:val="20"/>
          <w:szCs w:val="20"/>
        </w:rPr>
      </w:pPr>
      <w:r>
        <w:rPr>
          <w:sz w:val="20"/>
          <w:szCs w:val="20"/>
        </w:rPr>
        <w:t>As required by SEC rules and regulations imp</w:t>
      </w:r>
      <w:r>
        <w:rPr>
          <w:sz w:val="20"/>
          <w:szCs w:val="20"/>
        </w:rPr>
        <w:t>lementing Section 404 of the Sarbanes-Oxley Act, our management is responsible for establishing and maintaining adequate internal control over financial reporting. Our internal control over financial reporting is designed to provide reasonable assurance re</w:t>
      </w:r>
      <w:r>
        <w:rPr>
          <w:sz w:val="20"/>
          <w:szCs w:val="20"/>
        </w:rPr>
        <w:t>garding the reliability of financial reporting and the preparation of our consolidated financial statements for external reporting purposes in accordance with GAAP. Our internal control over financial reporting includes those policies and procedures that:</w:t>
      </w:r>
    </w:p>
    <w:p w14:paraId="774875BA"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DEAE1FD" w14:textId="77777777">
        <w:trPr>
          <w:divId w:val="1595479706"/>
          <w:tblCellSpacing w:w="0" w:type="dxa"/>
        </w:trPr>
        <w:tc>
          <w:tcPr>
            <w:tcW w:w="720" w:type="dxa"/>
            <w:hideMark/>
          </w:tcPr>
          <w:p w14:paraId="31D95815" w14:textId="77777777" w:rsidR="00000000" w:rsidRDefault="00087966">
            <w:pPr>
              <w:rPr>
                <w:rFonts w:eastAsia="Times New Roman"/>
                <w:sz w:val="20"/>
                <w:szCs w:val="20"/>
              </w:rPr>
            </w:pPr>
            <w:r>
              <w:rPr>
                <w:rFonts w:eastAsia="Times New Roman"/>
                <w:sz w:val="20"/>
                <w:szCs w:val="20"/>
              </w:rPr>
              <w:t> </w:t>
            </w:r>
          </w:p>
        </w:tc>
        <w:tc>
          <w:tcPr>
            <w:tcW w:w="360" w:type="dxa"/>
            <w:hideMark/>
          </w:tcPr>
          <w:p w14:paraId="7A14ECAD" w14:textId="77777777" w:rsidR="00000000" w:rsidRDefault="00087966">
            <w:pPr>
              <w:rPr>
                <w:rFonts w:eastAsia="Times New Roman"/>
                <w:sz w:val="20"/>
                <w:szCs w:val="20"/>
              </w:rPr>
            </w:pPr>
            <w:r>
              <w:rPr>
                <w:rFonts w:eastAsia="Times New Roman"/>
                <w:sz w:val="20"/>
                <w:szCs w:val="20"/>
              </w:rPr>
              <w:t>(1)</w:t>
            </w:r>
          </w:p>
        </w:tc>
        <w:tc>
          <w:tcPr>
            <w:tcW w:w="0" w:type="auto"/>
            <w:hideMark/>
          </w:tcPr>
          <w:p w14:paraId="0FC89AE4" w14:textId="77777777" w:rsidR="00000000" w:rsidRDefault="00087966">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assets of our company,</w:t>
            </w:r>
          </w:p>
        </w:tc>
      </w:tr>
    </w:tbl>
    <w:p w14:paraId="56EC737C"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201C323" w14:textId="77777777">
        <w:trPr>
          <w:divId w:val="1595479706"/>
          <w:tblCellSpacing w:w="0" w:type="dxa"/>
        </w:trPr>
        <w:tc>
          <w:tcPr>
            <w:tcW w:w="720" w:type="dxa"/>
            <w:hideMark/>
          </w:tcPr>
          <w:p w14:paraId="48174E50" w14:textId="77777777" w:rsidR="00000000" w:rsidRDefault="00087966">
            <w:pPr>
              <w:rPr>
                <w:rFonts w:eastAsia="Times New Roman"/>
                <w:sz w:val="20"/>
                <w:szCs w:val="20"/>
              </w:rPr>
            </w:pPr>
            <w:r>
              <w:rPr>
                <w:rFonts w:eastAsia="Times New Roman"/>
                <w:sz w:val="20"/>
                <w:szCs w:val="20"/>
              </w:rPr>
              <w:t> </w:t>
            </w:r>
          </w:p>
        </w:tc>
        <w:tc>
          <w:tcPr>
            <w:tcW w:w="360" w:type="dxa"/>
            <w:hideMark/>
          </w:tcPr>
          <w:p w14:paraId="41242CFA" w14:textId="77777777" w:rsidR="00000000" w:rsidRDefault="00087966">
            <w:pPr>
              <w:rPr>
                <w:rFonts w:eastAsia="Times New Roman"/>
                <w:sz w:val="20"/>
                <w:szCs w:val="20"/>
              </w:rPr>
            </w:pPr>
            <w:r>
              <w:rPr>
                <w:rFonts w:eastAsia="Times New Roman"/>
                <w:sz w:val="20"/>
                <w:szCs w:val="20"/>
              </w:rPr>
              <w:t>(2)</w:t>
            </w:r>
          </w:p>
        </w:tc>
        <w:tc>
          <w:tcPr>
            <w:tcW w:w="0" w:type="auto"/>
            <w:hideMark/>
          </w:tcPr>
          <w:p w14:paraId="23DE4B76" w14:textId="77777777" w:rsidR="00000000" w:rsidRDefault="00087966">
            <w:pPr>
              <w:jc w:val="both"/>
              <w:rPr>
                <w:rFonts w:eastAsia="Times New Roman"/>
                <w:sz w:val="20"/>
                <w:szCs w:val="20"/>
              </w:rPr>
            </w:pPr>
            <w:r>
              <w:rPr>
                <w:rFonts w:eastAsia="Times New Roman"/>
                <w:sz w:val="20"/>
                <w:szCs w:val="20"/>
              </w:rPr>
              <w:t>provide reasonable assurance that transactions are recorded as necessary to permit preparation of consolidated financial statements in accordance with GAAP, and that our receipts and expenditures are being made only in accordance with authorizations of our</w:t>
            </w:r>
            <w:r>
              <w:rPr>
                <w:rFonts w:eastAsia="Times New Roman"/>
                <w:sz w:val="20"/>
                <w:szCs w:val="20"/>
              </w:rPr>
              <w:t xml:space="preserve"> management and directors, and</w:t>
            </w:r>
          </w:p>
        </w:tc>
      </w:tr>
    </w:tbl>
    <w:p w14:paraId="38A7E451"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952D248" w14:textId="77777777">
        <w:trPr>
          <w:divId w:val="1595479706"/>
          <w:tblCellSpacing w:w="0" w:type="dxa"/>
        </w:trPr>
        <w:tc>
          <w:tcPr>
            <w:tcW w:w="720" w:type="dxa"/>
            <w:hideMark/>
          </w:tcPr>
          <w:p w14:paraId="1BEEBFA9" w14:textId="77777777" w:rsidR="00000000" w:rsidRDefault="00087966">
            <w:pPr>
              <w:rPr>
                <w:rFonts w:eastAsia="Times New Roman"/>
                <w:sz w:val="20"/>
                <w:szCs w:val="20"/>
              </w:rPr>
            </w:pPr>
            <w:r>
              <w:rPr>
                <w:rFonts w:eastAsia="Times New Roman"/>
                <w:sz w:val="20"/>
                <w:szCs w:val="20"/>
              </w:rPr>
              <w:t> </w:t>
            </w:r>
          </w:p>
        </w:tc>
        <w:tc>
          <w:tcPr>
            <w:tcW w:w="360" w:type="dxa"/>
            <w:hideMark/>
          </w:tcPr>
          <w:p w14:paraId="313B6DC5" w14:textId="77777777" w:rsidR="00000000" w:rsidRDefault="00087966">
            <w:pPr>
              <w:rPr>
                <w:rFonts w:eastAsia="Times New Roman"/>
                <w:sz w:val="20"/>
                <w:szCs w:val="20"/>
              </w:rPr>
            </w:pPr>
            <w:r>
              <w:rPr>
                <w:rFonts w:eastAsia="Times New Roman"/>
                <w:sz w:val="20"/>
                <w:szCs w:val="20"/>
              </w:rPr>
              <w:t>(3)</w:t>
            </w:r>
          </w:p>
        </w:tc>
        <w:tc>
          <w:tcPr>
            <w:tcW w:w="0" w:type="auto"/>
            <w:hideMark/>
          </w:tcPr>
          <w:p w14:paraId="4FEEDAF5" w14:textId="77777777" w:rsidR="00000000" w:rsidRDefault="00087966">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our assets that could have a material effect on the consolidated financial statements.</w:t>
            </w:r>
          </w:p>
        </w:tc>
      </w:tr>
    </w:tbl>
    <w:p w14:paraId="1959CF8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57A35F2" w14:textId="77777777" w:rsidR="00000000" w:rsidRDefault="00087966">
      <w:pPr>
        <w:pStyle w:val="a3"/>
        <w:spacing w:before="0" w:beforeAutospacing="0" w:after="0" w:afterAutospacing="0"/>
        <w:ind w:firstLine="720"/>
        <w:jc w:val="both"/>
        <w:divId w:val="1595479706"/>
        <w:rPr>
          <w:sz w:val="20"/>
          <w:szCs w:val="20"/>
        </w:rPr>
      </w:pPr>
      <w:r>
        <w:rPr>
          <w:sz w:val="20"/>
          <w:szCs w:val="20"/>
        </w:rPr>
        <w:t>Becau</w:t>
      </w:r>
      <w:r>
        <w:rPr>
          <w:sz w:val="20"/>
          <w:szCs w:val="20"/>
        </w:rPr>
        <w:t>se of its inherent limitations, internal control over financial reporting may not prevent or detect errors or misstatements in our financial statements. Also, projections of any evaluation of effectiveness to future periods are subject to the risk that con</w:t>
      </w:r>
      <w:r>
        <w:rPr>
          <w:sz w:val="20"/>
          <w:szCs w:val="20"/>
        </w:rPr>
        <w:t xml:space="preserve">trols may become inadequate because of changes in conditions, or that the degree or compliance with the policies or procedures may deteriorate. Management assessed the effectiveness of our internal control over financial reporting as of December 31, 2022. </w:t>
      </w:r>
      <w:r>
        <w:rPr>
          <w:sz w:val="20"/>
          <w:szCs w:val="20"/>
        </w:rPr>
        <w:t>In making these assessments, management used the criteria set forth by the Committee of Sponsoring Organizations of the Treadway Commission (COSO) in Internal Control — Integrated Framework (2013). Based on our assessments and those criteria, management de</w:t>
      </w:r>
      <w:r>
        <w:rPr>
          <w:sz w:val="20"/>
          <w:szCs w:val="20"/>
        </w:rPr>
        <w:t>termined that we did not maintain effective internal control over financial reporting as of December 31, 2022.</w:t>
      </w:r>
    </w:p>
    <w:p w14:paraId="5C745396" w14:textId="77777777" w:rsidR="00000000" w:rsidRDefault="00087966">
      <w:pPr>
        <w:pStyle w:val="a3"/>
        <w:spacing w:before="0" w:beforeAutospacing="0" w:after="0" w:afterAutospacing="0"/>
        <w:jc w:val="both"/>
        <w:divId w:val="1595479706"/>
        <w:rPr>
          <w:sz w:val="20"/>
          <w:szCs w:val="20"/>
        </w:rPr>
      </w:pPr>
      <w:r>
        <w:rPr>
          <w:sz w:val="20"/>
          <w:szCs w:val="20"/>
        </w:rPr>
        <w:t> </w:t>
      </w:r>
    </w:p>
    <w:p w14:paraId="75B7970D" w14:textId="77777777" w:rsidR="00000000" w:rsidRDefault="00087966">
      <w:pPr>
        <w:pStyle w:val="a3"/>
        <w:spacing w:before="0" w:beforeAutospacing="0" w:after="0" w:afterAutospacing="0"/>
        <w:ind w:firstLine="720"/>
        <w:jc w:val="both"/>
        <w:divId w:val="1595479706"/>
        <w:rPr>
          <w:sz w:val="20"/>
          <w:szCs w:val="20"/>
        </w:rPr>
      </w:pPr>
      <w:r>
        <w:rPr>
          <w:sz w:val="20"/>
          <w:szCs w:val="20"/>
        </w:rPr>
        <w:t>Management has implemented remediation steps to improve our internal control over financial reporting. Specifically, we expanded and improved o</w:t>
      </w:r>
      <w:r>
        <w:rPr>
          <w:sz w:val="20"/>
          <w:szCs w:val="20"/>
        </w:rPr>
        <w:t>ur review process for complex securities and related accounting standards. We plan to further improve this process by enhancing access to accounting literature, identification of third-party professionals with whom to consult regarding complex accounting a</w:t>
      </w:r>
      <w:r>
        <w:rPr>
          <w:sz w:val="20"/>
          <w:szCs w:val="20"/>
        </w:rPr>
        <w:t>pplications and consideration of additional staff with the requisite experience and training to supplement existing accounting professionals.</w:t>
      </w:r>
    </w:p>
    <w:p w14:paraId="1F2ACDB4" w14:textId="77777777" w:rsidR="00000000" w:rsidRDefault="00087966">
      <w:pPr>
        <w:pStyle w:val="a3"/>
        <w:spacing w:before="0" w:beforeAutospacing="0" w:after="0" w:afterAutospacing="0"/>
        <w:jc w:val="both"/>
        <w:divId w:val="1595479706"/>
        <w:rPr>
          <w:sz w:val="20"/>
          <w:szCs w:val="20"/>
        </w:rPr>
      </w:pPr>
      <w:r>
        <w:rPr>
          <w:sz w:val="20"/>
          <w:szCs w:val="20"/>
        </w:rPr>
        <w:t> </w:t>
      </w:r>
    </w:p>
    <w:p w14:paraId="48222F28" w14:textId="77777777" w:rsidR="00000000" w:rsidRDefault="00087966">
      <w:pPr>
        <w:pStyle w:val="a3"/>
        <w:spacing w:before="0" w:beforeAutospacing="0" w:after="0" w:afterAutospacing="0"/>
        <w:ind w:firstLine="720"/>
        <w:jc w:val="both"/>
        <w:divId w:val="1595479706"/>
        <w:rPr>
          <w:sz w:val="20"/>
          <w:szCs w:val="20"/>
        </w:rPr>
      </w:pPr>
      <w:r>
        <w:rPr>
          <w:sz w:val="20"/>
          <w:szCs w:val="20"/>
        </w:rPr>
        <w:t>This Report does not include an attestation report of our internal controls from our independent registered publ</w:t>
      </w:r>
      <w:r>
        <w:rPr>
          <w:sz w:val="20"/>
          <w:szCs w:val="20"/>
        </w:rPr>
        <w:t>ic accounting firm due to our status as an emerging growth company under the JOBS Act.</w:t>
      </w:r>
    </w:p>
    <w:p w14:paraId="6277F748"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2F56789F" w14:textId="77777777" w:rsidR="00000000" w:rsidRDefault="00087966">
      <w:pPr>
        <w:pStyle w:val="a3"/>
        <w:spacing w:before="0" w:beforeAutospacing="0" w:after="0" w:afterAutospacing="0"/>
        <w:jc w:val="both"/>
        <w:divId w:val="1595479706"/>
        <w:rPr>
          <w:sz w:val="20"/>
          <w:szCs w:val="20"/>
        </w:rPr>
      </w:pPr>
      <w:r>
        <w:rPr>
          <w:b/>
          <w:bCs/>
          <w:sz w:val="20"/>
          <w:szCs w:val="20"/>
        </w:rPr>
        <w:t>Changes in Internal Control over Financial Reporting</w:t>
      </w:r>
    </w:p>
    <w:p w14:paraId="235E421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219DCB1" w14:textId="77777777" w:rsidR="00000000" w:rsidRDefault="00087966">
      <w:pPr>
        <w:pStyle w:val="a3"/>
        <w:spacing w:before="0" w:beforeAutospacing="0" w:after="0" w:afterAutospacing="0"/>
        <w:ind w:firstLine="720"/>
        <w:jc w:val="both"/>
        <w:divId w:val="1595479706"/>
        <w:rPr>
          <w:sz w:val="20"/>
          <w:szCs w:val="20"/>
        </w:rPr>
      </w:pPr>
      <w:r>
        <w:rPr>
          <w:sz w:val="20"/>
          <w:szCs w:val="20"/>
        </w:rPr>
        <w:t>Other than as discussed above, there have been no changes to our internal control over financial reporting durin</w:t>
      </w:r>
      <w:r>
        <w:rPr>
          <w:sz w:val="20"/>
          <w:szCs w:val="20"/>
        </w:rPr>
        <w:t>g the fiscal year ended December 31, 2022 that materially affected, or are reasonably likely to materially affect, our internal control over financial reporting.</w:t>
      </w:r>
    </w:p>
    <w:p w14:paraId="653473E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8502E3B" w14:textId="77777777" w:rsidR="00000000" w:rsidRDefault="00087966">
      <w:pPr>
        <w:pStyle w:val="a3"/>
        <w:spacing w:before="0" w:beforeAutospacing="0" w:after="0" w:afterAutospacing="0"/>
        <w:jc w:val="both"/>
        <w:divId w:val="1595479706"/>
        <w:rPr>
          <w:sz w:val="20"/>
          <w:szCs w:val="20"/>
        </w:rPr>
      </w:pPr>
      <w:r>
        <w:rPr>
          <w:b/>
          <w:bCs/>
          <w:sz w:val="20"/>
          <w:szCs w:val="20"/>
        </w:rPr>
        <w:t>Item 9B. Other Information.</w:t>
      </w:r>
    </w:p>
    <w:p w14:paraId="270A4CD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13207C1" w14:textId="77777777" w:rsidR="00000000" w:rsidRDefault="00087966">
      <w:pPr>
        <w:pStyle w:val="a3"/>
        <w:spacing w:before="0" w:beforeAutospacing="0" w:after="0" w:afterAutospacing="0"/>
        <w:ind w:firstLine="720"/>
        <w:jc w:val="both"/>
        <w:divId w:val="1595479706"/>
        <w:rPr>
          <w:sz w:val="20"/>
          <w:szCs w:val="20"/>
        </w:rPr>
      </w:pPr>
      <w:r>
        <w:rPr>
          <w:sz w:val="20"/>
          <w:szCs w:val="20"/>
        </w:rPr>
        <w:t>None.</w:t>
      </w:r>
    </w:p>
    <w:p w14:paraId="07604D6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4875865" w14:textId="77777777" w:rsidR="00000000" w:rsidRDefault="00087966">
      <w:pPr>
        <w:pStyle w:val="a3"/>
        <w:spacing w:before="0" w:beforeAutospacing="0" w:after="0" w:afterAutospacing="0"/>
        <w:jc w:val="both"/>
        <w:divId w:val="1595479706"/>
        <w:rPr>
          <w:sz w:val="20"/>
          <w:szCs w:val="20"/>
        </w:rPr>
      </w:pPr>
      <w:r>
        <w:rPr>
          <w:b/>
          <w:bCs/>
          <w:sz w:val="20"/>
          <w:szCs w:val="20"/>
        </w:rPr>
        <w:t>Item 9C. Disclosure Regarding Foreign Jurisdictions that Prevent Inspections.</w:t>
      </w:r>
    </w:p>
    <w:p w14:paraId="2756CF9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866B6D6" w14:textId="77777777" w:rsidR="00000000" w:rsidRDefault="00087966">
      <w:pPr>
        <w:pStyle w:val="a3"/>
        <w:spacing w:before="0" w:beforeAutospacing="0" w:after="0" w:afterAutospacing="0"/>
        <w:ind w:firstLine="720"/>
        <w:jc w:val="both"/>
        <w:divId w:val="1595479706"/>
        <w:rPr>
          <w:sz w:val="20"/>
          <w:szCs w:val="20"/>
        </w:rPr>
      </w:pPr>
      <w:r>
        <w:rPr>
          <w:sz w:val="20"/>
          <w:szCs w:val="20"/>
        </w:rPr>
        <w:t>Not applicable.</w:t>
      </w:r>
    </w:p>
    <w:p w14:paraId="2781078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C0BCE4C" w14:textId="77777777" w:rsidR="00000000" w:rsidRDefault="00087966">
      <w:pPr>
        <w:pStyle w:val="a3"/>
        <w:spacing w:before="0" w:beforeAutospacing="0" w:after="0" w:afterAutospacing="0"/>
        <w:jc w:val="center"/>
        <w:divId w:val="1164854787"/>
        <w:rPr>
          <w:sz w:val="20"/>
          <w:szCs w:val="20"/>
        </w:rPr>
      </w:pPr>
      <w:r>
        <w:rPr>
          <w:sz w:val="20"/>
          <w:szCs w:val="20"/>
        </w:rPr>
        <w:t>4</w:t>
      </w:r>
      <w:r>
        <w:rPr>
          <w:sz w:val="20"/>
          <w:szCs w:val="20"/>
        </w:rPr>
        <w:t>1</w:t>
      </w:r>
    </w:p>
    <w:p w14:paraId="0BF5E8D1" w14:textId="77777777" w:rsidR="00000000" w:rsidRDefault="00087966">
      <w:pPr>
        <w:pStyle w:val="a3"/>
        <w:spacing w:before="0" w:beforeAutospacing="0" w:after="0" w:afterAutospacing="0"/>
        <w:divId w:val="2114158160"/>
        <w:rPr>
          <w:sz w:val="20"/>
          <w:szCs w:val="20"/>
        </w:rPr>
      </w:pPr>
      <w:r>
        <w:rPr>
          <w:sz w:val="20"/>
          <w:szCs w:val="20"/>
        </w:rPr>
        <w:t> </w:t>
      </w:r>
    </w:p>
    <w:p w14:paraId="73F15E08" w14:textId="77777777" w:rsidR="00000000" w:rsidRDefault="00087966">
      <w:pPr>
        <w:pStyle w:val="a3"/>
        <w:spacing w:before="0" w:beforeAutospacing="0" w:after="0" w:afterAutospacing="0"/>
        <w:jc w:val="both"/>
        <w:divId w:val="1595479706"/>
        <w:rPr>
          <w:sz w:val="20"/>
          <w:szCs w:val="20"/>
        </w:rPr>
      </w:pPr>
      <w:r>
        <w:rPr>
          <w:sz w:val="20"/>
          <w:szCs w:val="20"/>
        </w:rPr>
        <w:t> </w:t>
      </w:r>
    </w:p>
    <w:p w14:paraId="0DB15D62" w14:textId="77777777" w:rsidR="00000000" w:rsidRDefault="00087966">
      <w:pPr>
        <w:pStyle w:val="a3"/>
        <w:spacing w:before="0" w:beforeAutospacing="0" w:after="0" w:afterAutospacing="0"/>
        <w:jc w:val="center"/>
        <w:divId w:val="1595479706"/>
        <w:rPr>
          <w:sz w:val="20"/>
          <w:szCs w:val="20"/>
        </w:rPr>
      </w:pPr>
      <w:r>
        <w:rPr>
          <w:b/>
          <w:bCs/>
          <w:sz w:val="20"/>
          <w:szCs w:val="20"/>
        </w:rPr>
        <w:t>PART III</w:t>
      </w:r>
    </w:p>
    <w:p w14:paraId="68583178"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1A6EC3A1" w14:textId="77777777" w:rsidR="00000000" w:rsidRDefault="00087966">
      <w:pPr>
        <w:pStyle w:val="a3"/>
        <w:spacing w:before="0" w:beforeAutospacing="0" w:after="0" w:afterAutospacing="0"/>
        <w:jc w:val="both"/>
        <w:divId w:val="1595479706"/>
        <w:rPr>
          <w:sz w:val="20"/>
          <w:szCs w:val="20"/>
        </w:rPr>
      </w:pPr>
      <w:r>
        <w:rPr>
          <w:b/>
          <w:bCs/>
          <w:sz w:val="20"/>
          <w:szCs w:val="20"/>
        </w:rPr>
        <w:t>Item 10. Directors, Executive Officers and Corporate Governance.</w:t>
      </w:r>
    </w:p>
    <w:p w14:paraId="2653B4B5" w14:textId="77777777" w:rsidR="00000000" w:rsidRDefault="00087966">
      <w:pPr>
        <w:pStyle w:val="a3"/>
        <w:spacing w:before="0" w:beforeAutospacing="0" w:after="0" w:afterAutospacing="0"/>
        <w:jc w:val="both"/>
        <w:divId w:val="1595479706"/>
        <w:rPr>
          <w:sz w:val="20"/>
          <w:szCs w:val="20"/>
        </w:rPr>
      </w:pPr>
      <w:r>
        <w:rPr>
          <w:sz w:val="20"/>
          <w:szCs w:val="20"/>
        </w:rPr>
        <w:t> </w:t>
      </w:r>
    </w:p>
    <w:p w14:paraId="74484696" w14:textId="77777777" w:rsidR="00000000" w:rsidRDefault="00087966">
      <w:pPr>
        <w:pStyle w:val="a3"/>
        <w:spacing w:before="0" w:beforeAutospacing="0" w:after="0" w:afterAutospacing="0"/>
        <w:jc w:val="both"/>
        <w:divId w:val="1595479706"/>
        <w:rPr>
          <w:sz w:val="20"/>
          <w:szCs w:val="20"/>
        </w:rPr>
      </w:pPr>
      <w:r>
        <w:rPr>
          <w:b/>
          <w:bCs/>
          <w:sz w:val="20"/>
          <w:szCs w:val="20"/>
        </w:rPr>
        <w:t>Directors and Executive Officers</w:t>
      </w:r>
    </w:p>
    <w:p w14:paraId="13C8E999"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1DB644DD" w14:textId="77777777" w:rsidR="00000000" w:rsidRDefault="00087966">
      <w:pPr>
        <w:pStyle w:val="a3"/>
        <w:spacing w:before="0" w:beforeAutospacing="0" w:after="0" w:afterAutospacing="0"/>
        <w:ind w:firstLine="720"/>
        <w:jc w:val="both"/>
        <w:divId w:val="1595479706"/>
        <w:rPr>
          <w:sz w:val="20"/>
          <w:szCs w:val="20"/>
        </w:rPr>
      </w:pPr>
      <w:r>
        <w:rPr>
          <w:sz w:val="20"/>
          <w:szCs w:val="20"/>
        </w:rPr>
        <w:t>As of the date of this Report, our dir</w:t>
      </w:r>
      <w:r>
        <w:rPr>
          <w:sz w:val="20"/>
          <w:szCs w:val="20"/>
        </w:rPr>
        <w:t>ectors and officers are as follows:</w:t>
      </w:r>
    </w:p>
    <w:p w14:paraId="747C813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08"/>
        <w:gridCol w:w="83"/>
        <w:gridCol w:w="664"/>
        <w:gridCol w:w="83"/>
        <w:gridCol w:w="4568"/>
      </w:tblGrid>
      <w:tr w:rsidR="00000000" w14:paraId="4DAB761B" w14:textId="77777777">
        <w:trPr>
          <w:divId w:val="1595479706"/>
        </w:trPr>
        <w:tc>
          <w:tcPr>
            <w:tcW w:w="1750" w:type="pct"/>
            <w:tcBorders>
              <w:bottom w:val="single" w:sz="12" w:space="0" w:color="000000"/>
            </w:tcBorders>
            <w:vAlign w:val="bottom"/>
            <w:hideMark/>
          </w:tcPr>
          <w:p w14:paraId="67750366" w14:textId="77777777" w:rsidR="00000000" w:rsidRDefault="00087966">
            <w:pPr>
              <w:rPr>
                <w:rFonts w:eastAsia="Times New Roman"/>
                <w:sz w:val="20"/>
                <w:szCs w:val="20"/>
              </w:rPr>
            </w:pPr>
            <w:r>
              <w:rPr>
                <w:rFonts w:eastAsia="Times New Roman"/>
                <w:b/>
                <w:bCs/>
                <w:sz w:val="20"/>
                <w:szCs w:val="20"/>
              </w:rPr>
              <w:t>Name</w:t>
            </w:r>
          </w:p>
        </w:tc>
        <w:tc>
          <w:tcPr>
            <w:tcW w:w="50" w:type="pct"/>
            <w:noWrap/>
            <w:tcMar>
              <w:top w:w="0" w:type="dxa"/>
              <w:left w:w="0" w:type="dxa"/>
              <w:bottom w:w="45" w:type="dxa"/>
              <w:right w:w="0" w:type="dxa"/>
            </w:tcMar>
            <w:vAlign w:val="bottom"/>
            <w:hideMark/>
          </w:tcPr>
          <w:p w14:paraId="0F104EBA" w14:textId="77777777" w:rsidR="00000000" w:rsidRDefault="00087966">
            <w:pPr>
              <w:rPr>
                <w:rFonts w:eastAsia="Times New Roman"/>
                <w:sz w:val="20"/>
                <w:szCs w:val="20"/>
              </w:rPr>
            </w:pPr>
            <w:r>
              <w:rPr>
                <w:rFonts w:eastAsia="Times New Roman"/>
                <w:sz w:val="20"/>
                <w:szCs w:val="20"/>
              </w:rPr>
              <w:t> </w:t>
            </w:r>
          </w:p>
        </w:tc>
        <w:tc>
          <w:tcPr>
            <w:tcW w:w="400" w:type="pct"/>
            <w:tcBorders>
              <w:bottom w:val="single" w:sz="12" w:space="0" w:color="000000"/>
            </w:tcBorders>
            <w:vAlign w:val="bottom"/>
            <w:hideMark/>
          </w:tcPr>
          <w:p w14:paraId="7FA8F3E8" w14:textId="77777777" w:rsidR="00000000" w:rsidRDefault="00087966">
            <w:pPr>
              <w:jc w:val="center"/>
              <w:rPr>
                <w:rFonts w:eastAsia="Times New Roman"/>
                <w:sz w:val="20"/>
                <w:szCs w:val="20"/>
              </w:rPr>
            </w:pPr>
            <w:r>
              <w:rPr>
                <w:rFonts w:eastAsia="Times New Roman"/>
                <w:b/>
                <w:bCs/>
                <w:sz w:val="20"/>
                <w:szCs w:val="20"/>
              </w:rPr>
              <w:t>Age</w:t>
            </w:r>
          </w:p>
        </w:tc>
        <w:tc>
          <w:tcPr>
            <w:tcW w:w="50" w:type="pct"/>
            <w:noWrap/>
            <w:tcMar>
              <w:top w:w="0" w:type="dxa"/>
              <w:left w:w="0" w:type="dxa"/>
              <w:bottom w:w="45" w:type="dxa"/>
              <w:right w:w="0" w:type="dxa"/>
            </w:tcMar>
            <w:vAlign w:val="bottom"/>
            <w:hideMark/>
          </w:tcPr>
          <w:p w14:paraId="0FA21048" w14:textId="77777777" w:rsidR="00000000" w:rsidRDefault="00087966">
            <w:pPr>
              <w:rPr>
                <w:rFonts w:eastAsia="Times New Roman"/>
                <w:sz w:val="20"/>
                <w:szCs w:val="20"/>
              </w:rPr>
            </w:pPr>
            <w:r>
              <w:rPr>
                <w:rFonts w:eastAsia="Times New Roman"/>
                <w:sz w:val="20"/>
                <w:szCs w:val="20"/>
              </w:rPr>
              <w:t> </w:t>
            </w:r>
          </w:p>
        </w:tc>
        <w:tc>
          <w:tcPr>
            <w:tcW w:w="2750" w:type="pct"/>
            <w:tcBorders>
              <w:bottom w:val="single" w:sz="12" w:space="0" w:color="000000"/>
            </w:tcBorders>
            <w:vAlign w:val="bottom"/>
            <w:hideMark/>
          </w:tcPr>
          <w:p w14:paraId="57575D84" w14:textId="77777777" w:rsidR="00000000" w:rsidRDefault="00087966">
            <w:pPr>
              <w:jc w:val="center"/>
              <w:rPr>
                <w:rFonts w:eastAsia="Times New Roman"/>
                <w:sz w:val="20"/>
                <w:szCs w:val="20"/>
              </w:rPr>
            </w:pPr>
            <w:r>
              <w:rPr>
                <w:rFonts w:eastAsia="Times New Roman"/>
                <w:b/>
                <w:bCs/>
                <w:sz w:val="20"/>
                <w:szCs w:val="20"/>
              </w:rPr>
              <w:t>Position</w:t>
            </w:r>
          </w:p>
        </w:tc>
      </w:tr>
      <w:tr w:rsidR="00000000" w14:paraId="6109BD64" w14:textId="77777777">
        <w:trPr>
          <w:divId w:val="1595479706"/>
        </w:trPr>
        <w:tc>
          <w:tcPr>
            <w:tcW w:w="0" w:type="auto"/>
            <w:shd w:val="clear" w:color="auto" w:fill="CCEEFF"/>
            <w:tcMar>
              <w:top w:w="0" w:type="dxa"/>
              <w:left w:w="200" w:type="dxa"/>
              <w:bottom w:w="0" w:type="dxa"/>
              <w:right w:w="0" w:type="dxa"/>
            </w:tcMar>
            <w:hideMark/>
          </w:tcPr>
          <w:p w14:paraId="45DECBE4" w14:textId="77777777" w:rsidR="00000000" w:rsidRDefault="00087966">
            <w:pPr>
              <w:ind w:hanging="200"/>
              <w:rPr>
                <w:rFonts w:eastAsia="Times New Roman"/>
                <w:sz w:val="20"/>
                <w:szCs w:val="20"/>
              </w:rPr>
            </w:pPr>
            <w:r>
              <w:rPr>
                <w:rFonts w:eastAsia="Times New Roman"/>
                <w:sz w:val="20"/>
                <w:szCs w:val="20"/>
              </w:rPr>
              <w:t>Narayan Ramachandran</w:t>
            </w:r>
          </w:p>
        </w:tc>
        <w:tc>
          <w:tcPr>
            <w:tcW w:w="0" w:type="auto"/>
            <w:shd w:val="clear" w:color="auto" w:fill="CCEEFF"/>
            <w:noWrap/>
            <w:tcMar>
              <w:top w:w="0" w:type="dxa"/>
              <w:left w:w="0" w:type="dxa"/>
              <w:bottom w:w="45" w:type="dxa"/>
              <w:right w:w="0" w:type="dxa"/>
            </w:tcMar>
            <w:hideMark/>
          </w:tcPr>
          <w:p w14:paraId="0F40BAC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14:paraId="4149382F" w14:textId="77777777" w:rsidR="00000000" w:rsidRDefault="00087966">
            <w:pPr>
              <w:ind w:hanging="200"/>
              <w:jc w:val="center"/>
              <w:rPr>
                <w:rFonts w:eastAsia="Times New Roman"/>
                <w:sz w:val="20"/>
                <w:szCs w:val="20"/>
              </w:rPr>
            </w:pPr>
            <w:r>
              <w:rPr>
                <w:rFonts w:eastAsia="Times New Roman"/>
                <w:sz w:val="20"/>
                <w:szCs w:val="20"/>
              </w:rPr>
              <w:t>60</w:t>
            </w:r>
          </w:p>
        </w:tc>
        <w:tc>
          <w:tcPr>
            <w:tcW w:w="0" w:type="auto"/>
            <w:shd w:val="clear" w:color="auto" w:fill="CCEEFF"/>
            <w:noWrap/>
            <w:tcMar>
              <w:top w:w="0" w:type="dxa"/>
              <w:left w:w="0" w:type="dxa"/>
              <w:bottom w:w="45" w:type="dxa"/>
              <w:right w:w="0" w:type="dxa"/>
            </w:tcMar>
            <w:hideMark/>
          </w:tcPr>
          <w:p w14:paraId="30FD342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14:paraId="7CC65DCF" w14:textId="77777777" w:rsidR="00000000" w:rsidRDefault="00087966">
            <w:pPr>
              <w:ind w:hanging="200"/>
              <w:rPr>
                <w:rFonts w:eastAsia="Times New Roman"/>
                <w:sz w:val="20"/>
                <w:szCs w:val="20"/>
              </w:rPr>
            </w:pPr>
            <w:r>
              <w:rPr>
                <w:rFonts w:eastAsia="Times New Roman"/>
                <w:sz w:val="20"/>
                <w:szCs w:val="20"/>
              </w:rPr>
              <w:t>Chief Executive Officer and Chairman</w:t>
            </w:r>
          </w:p>
        </w:tc>
      </w:tr>
      <w:tr w:rsidR="00000000" w14:paraId="37E1C701" w14:textId="77777777">
        <w:trPr>
          <w:divId w:val="1595479706"/>
        </w:trPr>
        <w:tc>
          <w:tcPr>
            <w:tcW w:w="0" w:type="auto"/>
            <w:tcMar>
              <w:top w:w="0" w:type="dxa"/>
              <w:left w:w="200" w:type="dxa"/>
              <w:bottom w:w="0" w:type="dxa"/>
              <w:right w:w="0" w:type="dxa"/>
            </w:tcMar>
            <w:hideMark/>
          </w:tcPr>
          <w:p w14:paraId="4DB39472" w14:textId="77777777" w:rsidR="00000000" w:rsidRDefault="00087966">
            <w:pPr>
              <w:ind w:hanging="200"/>
              <w:rPr>
                <w:rFonts w:eastAsia="Times New Roman"/>
                <w:sz w:val="20"/>
                <w:szCs w:val="20"/>
              </w:rPr>
            </w:pPr>
            <w:r>
              <w:rPr>
                <w:rFonts w:eastAsia="Times New Roman"/>
                <w:sz w:val="20"/>
                <w:szCs w:val="20"/>
              </w:rPr>
              <w:t>Mini Krishnamoorthy</w:t>
            </w:r>
          </w:p>
        </w:tc>
        <w:tc>
          <w:tcPr>
            <w:tcW w:w="0" w:type="auto"/>
            <w:noWrap/>
            <w:tcMar>
              <w:top w:w="0" w:type="dxa"/>
              <w:left w:w="0" w:type="dxa"/>
              <w:bottom w:w="45" w:type="dxa"/>
              <w:right w:w="0" w:type="dxa"/>
            </w:tcMar>
            <w:hideMark/>
          </w:tcPr>
          <w:p w14:paraId="7D52C190"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200" w:type="dxa"/>
              <w:bottom w:w="0" w:type="dxa"/>
              <w:right w:w="0" w:type="dxa"/>
            </w:tcMar>
            <w:hideMark/>
          </w:tcPr>
          <w:p w14:paraId="6AD89D95" w14:textId="77777777" w:rsidR="00000000" w:rsidRDefault="00087966">
            <w:pPr>
              <w:ind w:hanging="200"/>
              <w:jc w:val="center"/>
              <w:rPr>
                <w:rFonts w:eastAsia="Times New Roman"/>
                <w:sz w:val="20"/>
                <w:szCs w:val="20"/>
              </w:rPr>
            </w:pPr>
            <w:r>
              <w:rPr>
                <w:rFonts w:eastAsia="Times New Roman"/>
                <w:sz w:val="20"/>
                <w:szCs w:val="20"/>
              </w:rPr>
              <w:t>44</w:t>
            </w:r>
          </w:p>
        </w:tc>
        <w:tc>
          <w:tcPr>
            <w:tcW w:w="0" w:type="auto"/>
            <w:noWrap/>
            <w:tcMar>
              <w:top w:w="0" w:type="dxa"/>
              <w:left w:w="0" w:type="dxa"/>
              <w:bottom w:w="45" w:type="dxa"/>
              <w:right w:w="0" w:type="dxa"/>
            </w:tcMar>
            <w:hideMark/>
          </w:tcPr>
          <w:p w14:paraId="1322491B"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200" w:type="dxa"/>
              <w:bottom w:w="0" w:type="dxa"/>
              <w:right w:w="0" w:type="dxa"/>
            </w:tcMar>
            <w:hideMark/>
          </w:tcPr>
          <w:p w14:paraId="255B3A8C" w14:textId="77777777" w:rsidR="00000000" w:rsidRDefault="00087966">
            <w:pPr>
              <w:ind w:hanging="200"/>
              <w:rPr>
                <w:rFonts w:eastAsia="Times New Roman"/>
                <w:sz w:val="20"/>
                <w:szCs w:val="20"/>
              </w:rPr>
            </w:pPr>
            <w:r>
              <w:rPr>
                <w:rFonts w:eastAsia="Times New Roman"/>
                <w:sz w:val="20"/>
                <w:szCs w:val="20"/>
              </w:rPr>
              <w:t>Chief Financial Officer and Director</w:t>
            </w:r>
          </w:p>
        </w:tc>
      </w:tr>
      <w:tr w:rsidR="00000000" w14:paraId="52A22D2E" w14:textId="77777777">
        <w:trPr>
          <w:divId w:val="1595479706"/>
        </w:trPr>
        <w:tc>
          <w:tcPr>
            <w:tcW w:w="0" w:type="auto"/>
            <w:shd w:val="clear" w:color="auto" w:fill="CCEEFF"/>
            <w:tcMar>
              <w:top w:w="0" w:type="dxa"/>
              <w:left w:w="200" w:type="dxa"/>
              <w:bottom w:w="0" w:type="dxa"/>
              <w:right w:w="0" w:type="dxa"/>
            </w:tcMar>
            <w:hideMark/>
          </w:tcPr>
          <w:p w14:paraId="6B9C4967" w14:textId="77777777" w:rsidR="00000000" w:rsidRDefault="00087966">
            <w:pPr>
              <w:ind w:hanging="200"/>
              <w:rPr>
                <w:rFonts w:eastAsia="Times New Roman"/>
                <w:sz w:val="20"/>
                <w:szCs w:val="20"/>
              </w:rPr>
            </w:pPr>
            <w:r>
              <w:rPr>
                <w:rFonts w:eastAsia="Times New Roman"/>
                <w:sz w:val="20"/>
                <w:szCs w:val="20"/>
              </w:rPr>
              <w:t>Sriram Raghavan</w:t>
            </w:r>
          </w:p>
        </w:tc>
        <w:tc>
          <w:tcPr>
            <w:tcW w:w="0" w:type="auto"/>
            <w:shd w:val="clear" w:color="auto" w:fill="CCEEFF"/>
            <w:noWrap/>
            <w:tcMar>
              <w:top w:w="0" w:type="dxa"/>
              <w:left w:w="0" w:type="dxa"/>
              <w:bottom w:w="45" w:type="dxa"/>
              <w:right w:w="0" w:type="dxa"/>
            </w:tcMar>
            <w:hideMark/>
          </w:tcPr>
          <w:p w14:paraId="65B8DEA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14:paraId="00430F7B" w14:textId="77777777" w:rsidR="00000000" w:rsidRDefault="00087966">
            <w:pPr>
              <w:ind w:hanging="200"/>
              <w:jc w:val="center"/>
              <w:rPr>
                <w:rFonts w:eastAsia="Times New Roman"/>
                <w:sz w:val="20"/>
                <w:szCs w:val="20"/>
              </w:rPr>
            </w:pPr>
            <w:r>
              <w:rPr>
                <w:rFonts w:eastAsia="Times New Roman"/>
                <w:sz w:val="20"/>
                <w:szCs w:val="20"/>
              </w:rPr>
              <w:t>50</w:t>
            </w:r>
          </w:p>
        </w:tc>
        <w:tc>
          <w:tcPr>
            <w:tcW w:w="0" w:type="auto"/>
            <w:shd w:val="clear" w:color="auto" w:fill="CCEEFF"/>
            <w:noWrap/>
            <w:tcMar>
              <w:top w:w="0" w:type="dxa"/>
              <w:left w:w="0" w:type="dxa"/>
              <w:bottom w:w="45" w:type="dxa"/>
              <w:right w:w="0" w:type="dxa"/>
            </w:tcMar>
            <w:hideMark/>
          </w:tcPr>
          <w:p w14:paraId="27B58E7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14:paraId="7B284313" w14:textId="77777777" w:rsidR="00000000" w:rsidRDefault="00087966">
            <w:pPr>
              <w:ind w:hanging="200"/>
              <w:rPr>
                <w:rFonts w:eastAsia="Times New Roman"/>
                <w:sz w:val="20"/>
                <w:szCs w:val="20"/>
              </w:rPr>
            </w:pPr>
            <w:r>
              <w:rPr>
                <w:rFonts w:eastAsia="Times New Roman"/>
                <w:sz w:val="20"/>
                <w:szCs w:val="20"/>
              </w:rPr>
              <w:t>Co-President</w:t>
            </w:r>
          </w:p>
        </w:tc>
      </w:tr>
      <w:tr w:rsidR="00000000" w14:paraId="469D64EF" w14:textId="77777777">
        <w:trPr>
          <w:divId w:val="1595479706"/>
        </w:trPr>
        <w:tc>
          <w:tcPr>
            <w:tcW w:w="0" w:type="auto"/>
            <w:tcMar>
              <w:top w:w="0" w:type="dxa"/>
              <w:left w:w="200" w:type="dxa"/>
              <w:bottom w:w="0" w:type="dxa"/>
              <w:right w:w="0" w:type="dxa"/>
            </w:tcMar>
            <w:hideMark/>
          </w:tcPr>
          <w:p w14:paraId="32AC3286" w14:textId="77777777" w:rsidR="00000000" w:rsidRDefault="00087966">
            <w:pPr>
              <w:ind w:hanging="200"/>
              <w:rPr>
                <w:rFonts w:eastAsia="Times New Roman"/>
                <w:sz w:val="20"/>
                <w:szCs w:val="20"/>
              </w:rPr>
            </w:pPr>
            <w:r>
              <w:rPr>
                <w:rFonts w:eastAsia="Times New Roman"/>
                <w:sz w:val="20"/>
                <w:szCs w:val="20"/>
              </w:rPr>
              <w:t>Dr. </w:t>
            </w:r>
            <w:r>
              <w:rPr>
                <w:rFonts w:eastAsia="Times New Roman"/>
                <w:sz w:val="20"/>
                <w:szCs w:val="20"/>
              </w:rPr>
              <w:t>Ashish Gupta</w:t>
            </w:r>
          </w:p>
        </w:tc>
        <w:tc>
          <w:tcPr>
            <w:tcW w:w="0" w:type="auto"/>
            <w:noWrap/>
            <w:tcMar>
              <w:top w:w="0" w:type="dxa"/>
              <w:left w:w="0" w:type="dxa"/>
              <w:bottom w:w="45" w:type="dxa"/>
              <w:right w:w="0" w:type="dxa"/>
            </w:tcMar>
            <w:hideMark/>
          </w:tcPr>
          <w:p w14:paraId="131B1F57"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200" w:type="dxa"/>
              <w:bottom w:w="0" w:type="dxa"/>
              <w:right w:w="0" w:type="dxa"/>
            </w:tcMar>
            <w:hideMark/>
          </w:tcPr>
          <w:p w14:paraId="128E0C39" w14:textId="77777777" w:rsidR="00000000" w:rsidRDefault="00087966">
            <w:pPr>
              <w:ind w:hanging="200"/>
              <w:jc w:val="center"/>
              <w:rPr>
                <w:rFonts w:eastAsia="Times New Roman"/>
                <w:sz w:val="20"/>
                <w:szCs w:val="20"/>
              </w:rPr>
            </w:pPr>
            <w:r>
              <w:rPr>
                <w:rFonts w:eastAsia="Times New Roman"/>
                <w:sz w:val="20"/>
                <w:szCs w:val="20"/>
              </w:rPr>
              <w:t>56</w:t>
            </w:r>
          </w:p>
        </w:tc>
        <w:tc>
          <w:tcPr>
            <w:tcW w:w="0" w:type="auto"/>
            <w:noWrap/>
            <w:tcMar>
              <w:top w:w="0" w:type="dxa"/>
              <w:left w:w="0" w:type="dxa"/>
              <w:bottom w:w="45" w:type="dxa"/>
              <w:right w:w="0" w:type="dxa"/>
            </w:tcMar>
            <w:hideMark/>
          </w:tcPr>
          <w:p w14:paraId="6E77A259"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200" w:type="dxa"/>
              <w:bottom w:w="0" w:type="dxa"/>
              <w:right w:w="0" w:type="dxa"/>
            </w:tcMar>
            <w:hideMark/>
          </w:tcPr>
          <w:p w14:paraId="7E9C20A5" w14:textId="77777777" w:rsidR="00000000" w:rsidRDefault="00087966">
            <w:pPr>
              <w:ind w:hanging="200"/>
              <w:rPr>
                <w:rFonts w:eastAsia="Times New Roman"/>
                <w:sz w:val="20"/>
                <w:szCs w:val="20"/>
              </w:rPr>
            </w:pPr>
            <w:r>
              <w:rPr>
                <w:rFonts w:eastAsia="Times New Roman"/>
                <w:sz w:val="20"/>
                <w:szCs w:val="20"/>
              </w:rPr>
              <w:t>Co-President</w:t>
            </w:r>
          </w:p>
        </w:tc>
      </w:tr>
      <w:tr w:rsidR="00000000" w14:paraId="2E0388C5" w14:textId="77777777">
        <w:trPr>
          <w:divId w:val="1595479706"/>
        </w:trPr>
        <w:tc>
          <w:tcPr>
            <w:tcW w:w="0" w:type="auto"/>
            <w:shd w:val="clear" w:color="auto" w:fill="CCEEFF"/>
            <w:tcMar>
              <w:top w:w="0" w:type="dxa"/>
              <w:left w:w="200" w:type="dxa"/>
              <w:bottom w:w="0" w:type="dxa"/>
              <w:right w:w="0" w:type="dxa"/>
            </w:tcMar>
            <w:hideMark/>
          </w:tcPr>
          <w:p w14:paraId="1F35FC91" w14:textId="77777777" w:rsidR="00000000" w:rsidRDefault="00087966">
            <w:pPr>
              <w:ind w:hanging="200"/>
              <w:rPr>
                <w:rFonts w:eastAsia="Times New Roman"/>
                <w:sz w:val="20"/>
                <w:szCs w:val="20"/>
              </w:rPr>
            </w:pPr>
            <w:r>
              <w:rPr>
                <w:rFonts w:eastAsia="Times New Roman"/>
                <w:sz w:val="20"/>
                <w:szCs w:val="20"/>
              </w:rPr>
              <w:t>Krishnan Rajagopalan</w:t>
            </w:r>
          </w:p>
        </w:tc>
        <w:tc>
          <w:tcPr>
            <w:tcW w:w="0" w:type="auto"/>
            <w:shd w:val="clear" w:color="auto" w:fill="CCEEFF"/>
            <w:noWrap/>
            <w:tcMar>
              <w:top w:w="0" w:type="dxa"/>
              <w:left w:w="0" w:type="dxa"/>
              <w:bottom w:w="45" w:type="dxa"/>
              <w:right w:w="0" w:type="dxa"/>
            </w:tcMar>
            <w:hideMark/>
          </w:tcPr>
          <w:p w14:paraId="7527150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14:paraId="775F6D69" w14:textId="77777777" w:rsidR="00000000" w:rsidRDefault="00087966">
            <w:pPr>
              <w:ind w:hanging="200"/>
              <w:jc w:val="center"/>
              <w:rPr>
                <w:rFonts w:eastAsia="Times New Roman"/>
                <w:sz w:val="20"/>
                <w:szCs w:val="20"/>
              </w:rPr>
            </w:pPr>
            <w:r>
              <w:rPr>
                <w:rFonts w:eastAsia="Times New Roman"/>
                <w:sz w:val="20"/>
                <w:szCs w:val="20"/>
              </w:rPr>
              <w:t>62</w:t>
            </w:r>
          </w:p>
        </w:tc>
        <w:tc>
          <w:tcPr>
            <w:tcW w:w="0" w:type="auto"/>
            <w:shd w:val="clear" w:color="auto" w:fill="CCEEFF"/>
            <w:noWrap/>
            <w:tcMar>
              <w:top w:w="0" w:type="dxa"/>
              <w:left w:w="0" w:type="dxa"/>
              <w:bottom w:w="45" w:type="dxa"/>
              <w:right w:w="0" w:type="dxa"/>
            </w:tcMar>
            <w:hideMark/>
          </w:tcPr>
          <w:p w14:paraId="22F53F5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14:paraId="358AEF1A" w14:textId="77777777" w:rsidR="00000000" w:rsidRDefault="00087966">
            <w:pPr>
              <w:ind w:hanging="200"/>
              <w:rPr>
                <w:rFonts w:eastAsia="Times New Roman"/>
                <w:sz w:val="20"/>
                <w:szCs w:val="20"/>
              </w:rPr>
            </w:pPr>
            <w:r>
              <w:rPr>
                <w:rFonts w:eastAsia="Times New Roman"/>
                <w:sz w:val="20"/>
                <w:szCs w:val="20"/>
              </w:rPr>
              <w:t>Director</w:t>
            </w:r>
          </w:p>
        </w:tc>
      </w:tr>
      <w:tr w:rsidR="00000000" w14:paraId="1BEFB7A7" w14:textId="77777777">
        <w:trPr>
          <w:divId w:val="1595479706"/>
        </w:trPr>
        <w:tc>
          <w:tcPr>
            <w:tcW w:w="0" w:type="auto"/>
            <w:tcMar>
              <w:top w:w="0" w:type="dxa"/>
              <w:left w:w="200" w:type="dxa"/>
              <w:bottom w:w="0" w:type="dxa"/>
              <w:right w:w="0" w:type="dxa"/>
            </w:tcMar>
            <w:hideMark/>
          </w:tcPr>
          <w:p w14:paraId="58A2BC9D" w14:textId="77777777" w:rsidR="00000000" w:rsidRDefault="00087966">
            <w:pPr>
              <w:ind w:hanging="200"/>
              <w:rPr>
                <w:rFonts w:eastAsia="Times New Roman"/>
                <w:sz w:val="20"/>
                <w:szCs w:val="20"/>
              </w:rPr>
            </w:pPr>
            <w:r>
              <w:rPr>
                <w:rFonts w:eastAsia="Times New Roman"/>
                <w:sz w:val="20"/>
                <w:szCs w:val="20"/>
              </w:rPr>
              <w:t>Madhavan Rangaswami</w:t>
            </w:r>
          </w:p>
        </w:tc>
        <w:tc>
          <w:tcPr>
            <w:tcW w:w="0" w:type="auto"/>
            <w:noWrap/>
            <w:tcMar>
              <w:top w:w="0" w:type="dxa"/>
              <w:left w:w="0" w:type="dxa"/>
              <w:bottom w:w="45" w:type="dxa"/>
              <w:right w:w="0" w:type="dxa"/>
            </w:tcMar>
            <w:hideMark/>
          </w:tcPr>
          <w:p w14:paraId="762AC513"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200" w:type="dxa"/>
              <w:bottom w:w="0" w:type="dxa"/>
              <w:right w:w="0" w:type="dxa"/>
            </w:tcMar>
            <w:hideMark/>
          </w:tcPr>
          <w:p w14:paraId="61D75546" w14:textId="77777777" w:rsidR="00000000" w:rsidRDefault="00087966">
            <w:pPr>
              <w:ind w:hanging="200"/>
              <w:jc w:val="center"/>
              <w:rPr>
                <w:rFonts w:eastAsia="Times New Roman"/>
                <w:sz w:val="20"/>
                <w:szCs w:val="20"/>
              </w:rPr>
            </w:pPr>
            <w:r>
              <w:rPr>
                <w:rFonts w:eastAsia="Times New Roman"/>
                <w:sz w:val="20"/>
                <w:szCs w:val="20"/>
              </w:rPr>
              <w:t>68</w:t>
            </w:r>
          </w:p>
        </w:tc>
        <w:tc>
          <w:tcPr>
            <w:tcW w:w="0" w:type="auto"/>
            <w:noWrap/>
            <w:tcMar>
              <w:top w:w="0" w:type="dxa"/>
              <w:left w:w="0" w:type="dxa"/>
              <w:bottom w:w="45" w:type="dxa"/>
              <w:right w:w="0" w:type="dxa"/>
            </w:tcMar>
            <w:hideMark/>
          </w:tcPr>
          <w:p w14:paraId="1CEF4383"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200" w:type="dxa"/>
              <w:bottom w:w="0" w:type="dxa"/>
              <w:right w:w="0" w:type="dxa"/>
            </w:tcMar>
            <w:hideMark/>
          </w:tcPr>
          <w:p w14:paraId="21FDAD57" w14:textId="77777777" w:rsidR="00000000" w:rsidRDefault="00087966">
            <w:pPr>
              <w:ind w:hanging="200"/>
              <w:rPr>
                <w:rFonts w:eastAsia="Times New Roman"/>
                <w:sz w:val="20"/>
                <w:szCs w:val="20"/>
              </w:rPr>
            </w:pPr>
            <w:r>
              <w:rPr>
                <w:rFonts w:eastAsia="Times New Roman"/>
                <w:sz w:val="20"/>
                <w:szCs w:val="20"/>
              </w:rPr>
              <w:t>Director</w:t>
            </w:r>
          </w:p>
        </w:tc>
      </w:tr>
      <w:tr w:rsidR="00000000" w14:paraId="2963057F" w14:textId="77777777">
        <w:trPr>
          <w:divId w:val="1595479706"/>
        </w:trPr>
        <w:tc>
          <w:tcPr>
            <w:tcW w:w="0" w:type="auto"/>
            <w:shd w:val="clear" w:color="auto" w:fill="CCEEFF"/>
            <w:tcMar>
              <w:top w:w="0" w:type="dxa"/>
              <w:left w:w="200" w:type="dxa"/>
              <w:bottom w:w="0" w:type="dxa"/>
              <w:right w:w="0" w:type="dxa"/>
            </w:tcMar>
            <w:hideMark/>
          </w:tcPr>
          <w:p w14:paraId="56653B5D" w14:textId="77777777" w:rsidR="00000000" w:rsidRDefault="00087966">
            <w:pPr>
              <w:ind w:hanging="200"/>
              <w:rPr>
                <w:rFonts w:eastAsia="Times New Roman"/>
                <w:sz w:val="20"/>
                <w:szCs w:val="20"/>
              </w:rPr>
            </w:pPr>
            <w:r>
              <w:rPr>
                <w:rFonts w:eastAsia="Times New Roman"/>
                <w:sz w:val="20"/>
                <w:szCs w:val="20"/>
              </w:rPr>
              <w:t>Mark Bailey</w:t>
            </w:r>
          </w:p>
        </w:tc>
        <w:tc>
          <w:tcPr>
            <w:tcW w:w="0" w:type="auto"/>
            <w:shd w:val="clear" w:color="auto" w:fill="CCEEFF"/>
            <w:noWrap/>
            <w:tcMar>
              <w:top w:w="0" w:type="dxa"/>
              <w:left w:w="0" w:type="dxa"/>
              <w:bottom w:w="45" w:type="dxa"/>
              <w:right w:w="0" w:type="dxa"/>
            </w:tcMar>
            <w:hideMark/>
          </w:tcPr>
          <w:p w14:paraId="04A3336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14:paraId="03F6ECDB" w14:textId="77777777" w:rsidR="00000000" w:rsidRDefault="00087966">
            <w:pPr>
              <w:ind w:hanging="200"/>
              <w:jc w:val="center"/>
              <w:rPr>
                <w:rFonts w:eastAsia="Times New Roman"/>
                <w:sz w:val="20"/>
                <w:szCs w:val="20"/>
              </w:rPr>
            </w:pPr>
            <w:r>
              <w:rPr>
                <w:rFonts w:eastAsia="Times New Roman"/>
                <w:sz w:val="20"/>
                <w:szCs w:val="20"/>
              </w:rPr>
              <w:t>64</w:t>
            </w:r>
          </w:p>
        </w:tc>
        <w:tc>
          <w:tcPr>
            <w:tcW w:w="0" w:type="auto"/>
            <w:shd w:val="clear" w:color="auto" w:fill="CCEEFF"/>
            <w:noWrap/>
            <w:tcMar>
              <w:top w:w="0" w:type="dxa"/>
              <w:left w:w="0" w:type="dxa"/>
              <w:bottom w:w="45" w:type="dxa"/>
              <w:right w:w="0" w:type="dxa"/>
            </w:tcMar>
            <w:hideMark/>
          </w:tcPr>
          <w:p w14:paraId="32E92E2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200" w:type="dxa"/>
              <w:bottom w:w="0" w:type="dxa"/>
              <w:right w:w="0" w:type="dxa"/>
            </w:tcMar>
            <w:hideMark/>
          </w:tcPr>
          <w:p w14:paraId="369C6888" w14:textId="77777777" w:rsidR="00000000" w:rsidRDefault="00087966">
            <w:pPr>
              <w:ind w:hanging="200"/>
              <w:rPr>
                <w:rFonts w:eastAsia="Times New Roman"/>
                <w:sz w:val="20"/>
                <w:szCs w:val="20"/>
              </w:rPr>
            </w:pPr>
            <w:r>
              <w:rPr>
                <w:rFonts w:eastAsia="Times New Roman"/>
                <w:sz w:val="20"/>
                <w:szCs w:val="20"/>
              </w:rPr>
              <w:t>Director</w:t>
            </w:r>
          </w:p>
        </w:tc>
      </w:tr>
    </w:tbl>
    <w:p w14:paraId="56D695A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1390510"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The experience of our directors, </w:t>
      </w:r>
      <w:r>
        <w:rPr>
          <w:sz w:val="20"/>
          <w:szCs w:val="20"/>
        </w:rPr>
        <w:t>executive officers and special advisor is as follows:</w:t>
      </w:r>
    </w:p>
    <w:p w14:paraId="0383E9EB" w14:textId="77777777" w:rsidR="00000000" w:rsidRDefault="00087966">
      <w:pPr>
        <w:pStyle w:val="a3"/>
        <w:spacing w:before="0" w:beforeAutospacing="0" w:after="0" w:afterAutospacing="0"/>
        <w:ind w:firstLine="480"/>
        <w:jc w:val="both"/>
        <w:divId w:val="1595479706"/>
        <w:rPr>
          <w:sz w:val="20"/>
          <w:szCs w:val="20"/>
        </w:rPr>
      </w:pPr>
      <w:r>
        <w:rPr>
          <w:b/>
          <w:bCs/>
          <w:sz w:val="20"/>
          <w:szCs w:val="20"/>
        </w:rPr>
        <w:t> </w:t>
      </w:r>
    </w:p>
    <w:p w14:paraId="76B18B33" w14:textId="77777777" w:rsidR="00000000" w:rsidRDefault="00087966">
      <w:pPr>
        <w:pStyle w:val="a3"/>
        <w:spacing w:before="0" w:beforeAutospacing="0" w:after="0" w:afterAutospacing="0"/>
        <w:ind w:firstLine="720"/>
        <w:jc w:val="both"/>
        <w:divId w:val="1595479706"/>
        <w:rPr>
          <w:sz w:val="20"/>
          <w:szCs w:val="20"/>
        </w:rPr>
      </w:pPr>
      <w:r>
        <w:rPr>
          <w:b/>
          <w:bCs/>
          <w:sz w:val="20"/>
          <w:szCs w:val="20"/>
        </w:rPr>
        <w:t>Narayan Ramachandran</w:t>
      </w:r>
      <w:r>
        <w:rPr>
          <w:sz w:val="20"/>
          <w:szCs w:val="20"/>
        </w:rPr>
        <w:t>, our Chairman and Chief Executive Officer since inception, is a successful investment professional with over three decades of investment experience. Between January 2016 and Decem</w:t>
      </w:r>
      <w:r>
        <w:rPr>
          <w:sz w:val="20"/>
          <w:szCs w:val="20"/>
        </w:rPr>
        <w:t>ber 2019, Mr. Ramachandran served as a General Partner and Vice Chairman of L Catterton Asia, a leading consumer-focused private equity firm with more than $3 billion in assets under management. Prior to that, Mr. Ramachandran co-founded InKlude Labs, a so</w:t>
      </w:r>
      <w:r>
        <w:rPr>
          <w:sz w:val="20"/>
          <w:szCs w:val="20"/>
        </w:rPr>
        <w:t>cial enterprise incubator, and KludeIn Ventures, a Palo Alto-based investment firm focused on strategic investments in high growth companies, and has served as the Chairman and General Partner of KludeIn Management LLC, since June 2015. He previously serve</w:t>
      </w:r>
      <w:r>
        <w:rPr>
          <w:sz w:val="20"/>
          <w:szCs w:val="20"/>
        </w:rPr>
        <w:t>d as the head of Morgan Stanley in India from July 2006 to February 2010, and also led Morgan Stanley’s Global Emerging Markets and Global Asset Allocation portfolio management teams from March 2001 to July 2006, managing over $25 billion in assets. Mr. Ra</w:t>
      </w:r>
      <w:r>
        <w:rPr>
          <w:sz w:val="20"/>
          <w:szCs w:val="20"/>
        </w:rPr>
        <w:t xml:space="preserve">machandran received a B.S with distinction in chemical engineering from IIT Bombay, and holds an MBA from the Ross School of Business, University of Michigan. Mr. Ramachandran is a Chartered Financial Analyst. We believe that Mr. Ramachandran is qualified </w:t>
      </w:r>
      <w:r>
        <w:rPr>
          <w:sz w:val="20"/>
          <w:szCs w:val="20"/>
        </w:rPr>
        <w:t>to serve on our board due to his extensive investment experience.</w:t>
      </w:r>
    </w:p>
    <w:p w14:paraId="14361D06" w14:textId="77777777" w:rsidR="00000000" w:rsidRDefault="00087966">
      <w:pPr>
        <w:pStyle w:val="a3"/>
        <w:spacing w:before="0" w:beforeAutospacing="0" w:after="0" w:afterAutospacing="0"/>
        <w:ind w:firstLine="480"/>
        <w:jc w:val="both"/>
        <w:divId w:val="1595479706"/>
        <w:rPr>
          <w:sz w:val="20"/>
          <w:szCs w:val="20"/>
        </w:rPr>
      </w:pPr>
      <w:r>
        <w:rPr>
          <w:b/>
          <w:bCs/>
          <w:sz w:val="20"/>
          <w:szCs w:val="20"/>
        </w:rPr>
        <w:t> </w:t>
      </w:r>
    </w:p>
    <w:p w14:paraId="7B041C35" w14:textId="77777777" w:rsidR="00000000" w:rsidRDefault="00087966">
      <w:pPr>
        <w:pStyle w:val="a3"/>
        <w:spacing w:before="0" w:beforeAutospacing="0" w:after="0" w:afterAutospacing="0"/>
        <w:ind w:firstLine="720"/>
        <w:jc w:val="both"/>
        <w:divId w:val="1595479706"/>
        <w:rPr>
          <w:sz w:val="20"/>
          <w:szCs w:val="20"/>
        </w:rPr>
      </w:pPr>
      <w:r>
        <w:rPr>
          <w:b/>
          <w:bCs/>
          <w:sz w:val="20"/>
          <w:szCs w:val="20"/>
        </w:rPr>
        <w:t>Mini Krishnamoorthy</w:t>
      </w:r>
      <w:r>
        <w:rPr>
          <w:sz w:val="20"/>
          <w:szCs w:val="20"/>
        </w:rPr>
        <w:t>, our Chief Financial Officer and Director since inception, has served as the Chief Financial Officer and the Head of Data Analytics for ZeeMee Inc., a venture-funded ed</w:t>
      </w:r>
      <w:r>
        <w:rPr>
          <w:sz w:val="20"/>
          <w:szCs w:val="20"/>
        </w:rPr>
        <w:t xml:space="preserve">ucation technology company based in Silicon Valley, since September 2016, where she leads a team of data scientists to provide key analytics to customers. She has effectively overseen key growth initiatives at ZeeMee Inc and now works with 75 universities </w:t>
      </w:r>
      <w:r>
        <w:rPr>
          <w:sz w:val="20"/>
          <w:szCs w:val="20"/>
        </w:rPr>
        <w:t>in the United States who use ZeeMee’s services to effectively recruit undergraduate students globally. From 2015 to 2016, Ms. Krishnamoorthy served as a senior member of the Capital Markets team of Kabbage, Inc., a financial technology company providing sm</w:t>
      </w:r>
      <w:r>
        <w:rPr>
          <w:sz w:val="20"/>
          <w:szCs w:val="20"/>
        </w:rPr>
        <w:t xml:space="preserve">all business loans. From 2013 to 2015, Ms. Krishnamoorthy served as Chief of Staff for Corporate Development and Treasury at HP Inc. and was part of the strategy and planning team during HP’s restructure. Previously, she worked at Deutsche Bank as part of </w:t>
      </w:r>
      <w:r>
        <w:rPr>
          <w:sz w:val="20"/>
          <w:szCs w:val="20"/>
        </w:rPr>
        <w:t>Global Banking and Markets Chief Operating Office team in London and started her career at Commonwealth Bank of Australia in the Structured Finance team. Ms. Krishnamoorthy received her MBA from Macquarie Graduate School of Management in Sydney, Australia,</w:t>
      </w:r>
      <w:r>
        <w:rPr>
          <w:sz w:val="20"/>
          <w:szCs w:val="20"/>
        </w:rPr>
        <w:t xml:space="preserve"> and a Bachelor’s Degree in Actuarial Studies from Macquarie University in Sydney, Australia. We believe that Ms. Krishnamoorthy is qualified to serve on our board due to her extensive experience in finance.</w:t>
      </w:r>
    </w:p>
    <w:p w14:paraId="67BB23D3" w14:textId="77777777" w:rsidR="00000000" w:rsidRDefault="00087966">
      <w:pPr>
        <w:pStyle w:val="a3"/>
        <w:spacing w:before="0" w:beforeAutospacing="0" w:after="0" w:afterAutospacing="0"/>
        <w:ind w:firstLine="480"/>
        <w:jc w:val="both"/>
        <w:divId w:val="1595479706"/>
        <w:rPr>
          <w:sz w:val="20"/>
          <w:szCs w:val="20"/>
        </w:rPr>
      </w:pPr>
      <w:r>
        <w:rPr>
          <w:b/>
          <w:bCs/>
          <w:sz w:val="20"/>
          <w:szCs w:val="20"/>
        </w:rPr>
        <w:t> </w:t>
      </w:r>
    </w:p>
    <w:p w14:paraId="115A3830" w14:textId="77777777" w:rsidR="00000000" w:rsidRDefault="00087966">
      <w:pPr>
        <w:pStyle w:val="a3"/>
        <w:spacing w:before="0" w:beforeAutospacing="0" w:after="0" w:afterAutospacing="0"/>
        <w:ind w:firstLine="720"/>
        <w:jc w:val="both"/>
        <w:divId w:val="1595479706"/>
        <w:rPr>
          <w:sz w:val="20"/>
          <w:szCs w:val="20"/>
        </w:rPr>
      </w:pPr>
      <w:r>
        <w:rPr>
          <w:b/>
          <w:bCs/>
          <w:sz w:val="20"/>
          <w:szCs w:val="20"/>
        </w:rPr>
        <w:t>Sriram Raghavan</w:t>
      </w:r>
      <w:r>
        <w:rPr>
          <w:sz w:val="20"/>
          <w:szCs w:val="20"/>
        </w:rPr>
        <w:t>, our Co-President since incept</w:t>
      </w:r>
      <w:r>
        <w:rPr>
          <w:sz w:val="20"/>
          <w:szCs w:val="20"/>
        </w:rPr>
        <w:t>ion, is a serial entrepreneur and investor in both the public and private markets. Mr. Raghavan co-founded KludeIn, an investment partnership, in 2015, and has served as a General Partner since then. From October 2018 to December 2019, he was a Partner wit</w:t>
      </w:r>
      <w:r>
        <w:rPr>
          <w:sz w:val="20"/>
          <w:szCs w:val="20"/>
        </w:rPr>
        <w:t>h L Catterton Asia. Prior to that, Mr. Raghavan served on the Strategic Advisory Board of L Catterton, where he provided leadership in Consumer Technology Investing. Prior to that, Mr. Raghavan has founded, built and sold technology focused companies in th</w:t>
      </w:r>
      <w:r>
        <w:rPr>
          <w:sz w:val="20"/>
          <w:szCs w:val="20"/>
        </w:rPr>
        <w:t>e United States and India, including Comat Technologies, a social enterprise specializing in delivering of information based services to rural India, in 2011. He was also an early contributor to the design of the Aadhar system, India’s unique ID system cov</w:t>
      </w:r>
      <w:r>
        <w:rPr>
          <w:sz w:val="20"/>
          <w:szCs w:val="20"/>
        </w:rPr>
        <w:t>ering over a billion residents. Mr. Raghavan received his B.S. in Electronics Engineering, and attended the Executive Program of Global Leadership and Public Policy for the 21</w:t>
      </w:r>
      <w:r>
        <w:rPr>
          <w:sz w:val="20"/>
          <w:szCs w:val="20"/>
          <w:vertAlign w:val="superscript"/>
        </w:rPr>
        <w:t>st</w:t>
      </w:r>
      <w:r>
        <w:rPr>
          <w:sz w:val="20"/>
          <w:szCs w:val="20"/>
        </w:rPr>
        <w:t> Century at the John F. Kennedy School of Government at Harvard University in 2</w:t>
      </w:r>
      <w:r>
        <w:rPr>
          <w:sz w:val="20"/>
          <w:szCs w:val="20"/>
        </w:rPr>
        <w:t>010. Mr. Raghavan has also received several personal accolades in recognition of his work, including being honored with the Social Innovation Park Fellow Award in 2010 as a high achieving individual creating systemic social change and the Young Global Lead</w:t>
      </w:r>
      <w:r>
        <w:rPr>
          <w:sz w:val="20"/>
          <w:szCs w:val="20"/>
        </w:rPr>
        <w:t>er by the World Economic Forum for 2010.</w:t>
      </w:r>
    </w:p>
    <w:p w14:paraId="4D2A3771" w14:textId="77777777" w:rsidR="00000000" w:rsidRDefault="00087966">
      <w:pPr>
        <w:pStyle w:val="a3"/>
        <w:spacing w:before="0" w:beforeAutospacing="0" w:after="0" w:afterAutospacing="0"/>
        <w:ind w:firstLine="480"/>
        <w:jc w:val="both"/>
        <w:divId w:val="1595479706"/>
        <w:rPr>
          <w:sz w:val="20"/>
          <w:szCs w:val="20"/>
        </w:rPr>
      </w:pPr>
      <w:r>
        <w:rPr>
          <w:b/>
          <w:bCs/>
          <w:sz w:val="20"/>
          <w:szCs w:val="20"/>
        </w:rPr>
        <w:t> </w:t>
      </w:r>
    </w:p>
    <w:p w14:paraId="679DD81E" w14:textId="77777777" w:rsidR="00000000" w:rsidRDefault="00087966">
      <w:pPr>
        <w:pStyle w:val="a3"/>
        <w:spacing w:before="0" w:beforeAutospacing="0" w:after="0" w:afterAutospacing="0"/>
        <w:jc w:val="center"/>
        <w:divId w:val="54164948"/>
        <w:rPr>
          <w:sz w:val="20"/>
          <w:szCs w:val="20"/>
        </w:rPr>
      </w:pPr>
      <w:r>
        <w:rPr>
          <w:sz w:val="20"/>
          <w:szCs w:val="20"/>
        </w:rPr>
        <w:t>4</w:t>
      </w:r>
      <w:r>
        <w:rPr>
          <w:sz w:val="20"/>
          <w:szCs w:val="20"/>
        </w:rPr>
        <w:t>2</w:t>
      </w:r>
    </w:p>
    <w:p w14:paraId="2D78F095" w14:textId="77777777" w:rsidR="00000000" w:rsidRDefault="00087966">
      <w:pPr>
        <w:pStyle w:val="a3"/>
        <w:spacing w:before="0" w:beforeAutospacing="0" w:after="0" w:afterAutospacing="0"/>
        <w:divId w:val="1688287851"/>
        <w:rPr>
          <w:sz w:val="20"/>
          <w:szCs w:val="20"/>
        </w:rPr>
      </w:pPr>
      <w:r>
        <w:rPr>
          <w:sz w:val="20"/>
          <w:szCs w:val="20"/>
        </w:rPr>
        <w:t> </w:t>
      </w:r>
    </w:p>
    <w:p w14:paraId="13B25D5F" w14:textId="77777777" w:rsidR="00000000" w:rsidRDefault="00087966">
      <w:pPr>
        <w:pStyle w:val="a3"/>
        <w:spacing w:before="0" w:beforeAutospacing="0" w:after="0" w:afterAutospacing="0"/>
        <w:ind w:firstLine="480"/>
        <w:jc w:val="both"/>
        <w:divId w:val="1595479706"/>
        <w:rPr>
          <w:sz w:val="20"/>
          <w:szCs w:val="20"/>
        </w:rPr>
      </w:pPr>
      <w:r>
        <w:rPr>
          <w:b/>
          <w:bCs/>
          <w:sz w:val="20"/>
          <w:szCs w:val="20"/>
        </w:rPr>
        <w:t> </w:t>
      </w:r>
    </w:p>
    <w:p w14:paraId="3CB4C5CD" w14:textId="77777777" w:rsidR="00000000" w:rsidRDefault="00087966">
      <w:pPr>
        <w:pStyle w:val="a3"/>
        <w:spacing w:before="0" w:beforeAutospacing="0" w:after="0" w:afterAutospacing="0"/>
        <w:ind w:firstLine="720"/>
        <w:jc w:val="both"/>
        <w:divId w:val="1595479706"/>
        <w:rPr>
          <w:sz w:val="20"/>
          <w:szCs w:val="20"/>
        </w:rPr>
      </w:pPr>
      <w:r>
        <w:rPr>
          <w:b/>
          <w:bCs/>
          <w:sz w:val="20"/>
          <w:szCs w:val="20"/>
        </w:rPr>
        <w:t>Dr. Ashish Gupta</w:t>
      </w:r>
      <w:r>
        <w:rPr>
          <w:sz w:val="20"/>
          <w:szCs w:val="20"/>
        </w:rPr>
        <w:t>, our Co-President since inception, is a successful entrepreneur and investment professional with over 25 years of technology investment experience in the United States and in India. Since 2</w:t>
      </w:r>
      <w:r>
        <w:rPr>
          <w:sz w:val="20"/>
          <w:szCs w:val="20"/>
        </w:rPr>
        <w:t>014, Dr. Gupta has been an independent business consultant through his consulting firm, GGT2 LLC. He co-founded Helion Advisors which advised over $600 million of investments in India based startups. He currently serves on the board of directors of Info Ed</w:t>
      </w:r>
      <w:r>
        <w:rPr>
          <w:sz w:val="20"/>
          <w:szCs w:val="20"/>
        </w:rPr>
        <w:t>ge (NSE INDIA: NAUKRI) and Hindustan Unilever (NSE INDIA: HINDUNILVR) in India. Dr. Gupta has co-founded two successful companies, Junglee (acquired by Amazon) and Tavant Technologies, and previously worked as a Kauffman Fellow at Woodside Fund from 2003 t</w:t>
      </w:r>
      <w:r>
        <w:rPr>
          <w:sz w:val="20"/>
          <w:szCs w:val="20"/>
        </w:rPr>
        <w:t>o 2004 and as an Investment Partner at Woodside Fund from 2004 to 2005. Dr. Gupta worked was a senior member of the Technical Staff at Oracle Corporation from 1995 to 1996 and as a member of the Research Staff at IBM from 1994 to 1995. Dr. Gupta received a</w:t>
      </w:r>
      <w:r>
        <w:rPr>
          <w:sz w:val="20"/>
          <w:szCs w:val="20"/>
        </w:rPr>
        <w:t xml:space="preserve"> Ph.D. in Computer Science from Stanford University and a B.S. in Computer Science from IIT Kanpur, where he was awarded the President’s Gold medal.</w:t>
      </w:r>
    </w:p>
    <w:p w14:paraId="7E151D77" w14:textId="77777777" w:rsidR="00000000" w:rsidRDefault="00087966">
      <w:pPr>
        <w:pStyle w:val="a3"/>
        <w:spacing w:before="0" w:beforeAutospacing="0" w:after="0" w:afterAutospacing="0"/>
        <w:ind w:firstLine="480"/>
        <w:jc w:val="both"/>
        <w:divId w:val="1595479706"/>
        <w:rPr>
          <w:sz w:val="20"/>
          <w:szCs w:val="20"/>
        </w:rPr>
      </w:pPr>
      <w:r>
        <w:rPr>
          <w:b/>
          <w:bCs/>
          <w:sz w:val="20"/>
          <w:szCs w:val="20"/>
        </w:rPr>
        <w:t> </w:t>
      </w:r>
    </w:p>
    <w:p w14:paraId="0B184FD3" w14:textId="77777777" w:rsidR="00000000" w:rsidRDefault="00087966">
      <w:pPr>
        <w:pStyle w:val="a3"/>
        <w:spacing w:before="0" w:beforeAutospacing="0" w:after="0" w:afterAutospacing="0"/>
        <w:ind w:firstLine="720"/>
        <w:jc w:val="both"/>
        <w:divId w:val="1595479706"/>
        <w:rPr>
          <w:sz w:val="20"/>
          <w:szCs w:val="20"/>
        </w:rPr>
      </w:pPr>
      <w:r>
        <w:rPr>
          <w:b/>
          <w:bCs/>
          <w:sz w:val="20"/>
          <w:szCs w:val="20"/>
        </w:rPr>
        <w:t>Krishnan Rajagopalan</w:t>
      </w:r>
      <w:r>
        <w:rPr>
          <w:sz w:val="20"/>
          <w:szCs w:val="20"/>
        </w:rPr>
        <w:t>, our director since January 2021, is President and Chief Executive Officer for Heidr</w:t>
      </w:r>
      <w:r>
        <w:rPr>
          <w:sz w:val="20"/>
          <w:szCs w:val="20"/>
        </w:rPr>
        <w:t>ick &amp; Struggles (Nasdaq: HSII) a global leadership advisory firm providing executive search, leadership assessment and development, organization and team effectiveness, and culture shaping services. He also serves on the Board of Directors of Heidrick &amp; St</w:t>
      </w:r>
      <w:r>
        <w:rPr>
          <w:sz w:val="20"/>
          <w:szCs w:val="20"/>
        </w:rPr>
        <w:t>ruggles. He has been with Heidrick &amp; Struggles for over 20 years. Prior to joining Heidrick &amp; Struggles, Mr. Rajagopalan was a Vice President and Partner with A.T. Kearney Consulting. Mr. Rajagopalan earned a Master of Business Administration degree from T</w:t>
      </w:r>
      <w:r>
        <w:rPr>
          <w:sz w:val="20"/>
          <w:szCs w:val="20"/>
        </w:rPr>
        <w:t>he University of Chicago Booth School of Business, and holds Master of Science and Bachelor of Science degrees in engineering from Johns Hopkins University. He has been recognized as one of the “100 Most Influential Executive Recruiters in the World” by Bu</w:t>
      </w:r>
      <w:r>
        <w:rPr>
          <w:sz w:val="20"/>
          <w:szCs w:val="20"/>
        </w:rPr>
        <w:t>siness Week. He is also a recipient of the Distinguished Alumnus Award from Johns Hopkins University, a member of its G.W.C. Whiting School of Engineering National Advisory Council and a member of the US-China Business Council where he serves as Head of th</w:t>
      </w:r>
      <w:r>
        <w:rPr>
          <w:sz w:val="20"/>
          <w:szCs w:val="20"/>
        </w:rPr>
        <w:t>e Nominating Committee. We believe that Mr. Rajagopalan is qualified to serve on our board due to his extensive executive and management experience.</w:t>
      </w:r>
    </w:p>
    <w:p w14:paraId="3EBB1337" w14:textId="77777777" w:rsidR="00000000" w:rsidRDefault="00087966">
      <w:pPr>
        <w:pStyle w:val="a3"/>
        <w:spacing w:before="0" w:beforeAutospacing="0" w:after="0" w:afterAutospacing="0"/>
        <w:ind w:firstLine="480"/>
        <w:jc w:val="both"/>
        <w:divId w:val="1595479706"/>
        <w:rPr>
          <w:sz w:val="20"/>
          <w:szCs w:val="20"/>
        </w:rPr>
      </w:pPr>
      <w:r>
        <w:rPr>
          <w:b/>
          <w:bCs/>
          <w:sz w:val="20"/>
          <w:szCs w:val="20"/>
        </w:rPr>
        <w:t> </w:t>
      </w:r>
    </w:p>
    <w:p w14:paraId="29DCFC59" w14:textId="77777777" w:rsidR="00000000" w:rsidRDefault="00087966">
      <w:pPr>
        <w:pStyle w:val="a3"/>
        <w:spacing w:before="0" w:beforeAutospacing="0" w:after="0" w:afterAutospacing="0"/>
        <w:ind w:firstLine="720"/>
        <w:jc w:val="both"/>
        <w:divId w:val="1595479706"/>
        <w:rPr>
          <w:sz w:val="20"/>
          <w:szCs w:val="20"/>
        </w:rPr>
      </w:pPr>
      <w:r>
        <w:rPr>
          <w:b/>
          <w:bCs/>
          <w:sz w:val="20"/>
          <w:szCs w:val="20"/>
        </w:rPr>
        <w:t>Madhavan “M.R.” Rangaswami</w:t>
      </w:r>
      <w:r>
        <w:rPr>
          <w:sz w:val="20"/>
          <w:szCs w:val="20"/>
        </w:rPr>
        <w:t>, our director since January 2021, is co-founder </w:t>
      </w:r>
      <w:r>
        <w:rPr>
          <w:sz w:val="20"/>
          <w:szCs w:val="20"/>
        </w:rPr>
        <w:t>and Managing Director of Sand Hill Group, one of the earliest angel investment firms in Silicon Valley that was founded in 1997. He also served as a director at BDNA Inc., an enterprise technology company from 2000 until its acquisition in 2017. Prior to t</w:t>
      </w:r>
      <w:r>
        <w:rPr>
          <w:sz w:val="20"/>
          <w:szCs w:val="20"/>
        </w:rPr>
        <w:t>hat, he served as Chief Marketing Officer at Baan Company from 1995 to 1996 and VP of Applications Marketing from 1988 to 1992 at Oracle Corporation where he helped launch products and markets. Mr. Rangaswami holds a Bachelor’s degree in Commerce and a Bac</w:t>
      </w:r>
      <w:r>
        <w:rPr>
          <w:sz w:val="20"/>
          <w:szCs w:val="20"/>
        </w:rPr>
        <w:t>helor’s degree in Law from University of Madras and an MBA from Kent State University. We believe that Mr. Rangaswami is qualified to serve on our board due to his extensive investment experience and industry knowledge in software companies.</w:t>
      </w:r>
    </w:p>
    <w:p w14:paraId="1DC9B43B" w14:textId="77777777" w:rsidR="00000000" w:rsidRDefault="00087966">
      <w:pPr>
        <w:pStyle w:val="a3"/>
        <w:spacing w:before="0" w:beforeAutospacing="0" w:after="0" w:afterAutospacing="0"/>
        <w:ind w:firstLine="480"/>
        <w:jc w:val="both"/>
        <w:divId w:val="1595479706"/>
        <w:rPr>
          <w:sz w:val="20"/>
          <w:szCs w:val="20"/>
        </w:rPr>
      </w:pPr>
      <w:r>
        <w:rPr>
          <w:b/>
          <w:bCs/>
          <w:sz w:val="20"/>
          <w:szCs w:val="20"/>
        </w:rPr>
        <w:t> </w:t>
      </w:r>
    </w:p>
    <w:p w14:paraId="5E14035D" w14:textId="77777777" w:rsidR="00000000" w:rsidRDefault="00087966">
      <w:pPr>
        <w:pStyle w:val="a3"/>
        <w:spacing w:before="0" w:beforeAutospacing="0" w:after="0" w:afterAutospacing="0"/>
        <w:ind w:firstLine="720"/>
        <w:jc w:val="both"/>
        <w:divId w:val="1595479706"/>
        <w:rPr>
          <w:sz w:val="20"/>
          <w:szCs w:val="20"/>
        </w:rPr>
      </w:pPr>
      <w:r>
        <w:rPr>
          <w:b/>
          <w:bCs/>
          <w:sz w:val="20"/>
          <w:szCs w:val="20"/>
        </w:rPr>
        <w:t>Mark Bailey</w:t>
      </w:r>
      <w:r>
        <w:rPr>
          <w:sz w:val="20"/>
          <w:szCs w:val="20"/>
        </w:rPr>
        <w:t>,</w:t>
      </w:r>
      <w:r>
        <w:rPr>
          <w:sz w:val="20"/>
          <w:szCs w:val="20"/>
        </w:rPr>
        <w:t xml:space="preserve"> our director since January 2021, is a founder &amp; partner of DFJ Growth in Menlo Park, California and has served in that capacity since its inception in September 2005. Mr. Bailey has served on the boards of directors of a number of companies, including Cyl</w:t>
      </w:r>
      <w:r>
        <w:rPr>
          <w:sz w:val="20"/>
          <w:szCs w:val="20"/>
        </w:rPr>
        <w:t>ance, Inc. and Immuta, Inc. He holds a B.S.E. in electrical engineering and computer science from Princeton University and an MBA from Harvard University. We believe that Mr. Bailey is qualified to serve on our board due to his extensive investment and M&amp;A</w:t>
      </w:r>
      <w:r>
        <w:rPr>
          <w:sz w:val="20"/>
          <w:szCs w:val="20"/>
        </w:rPr>
        <w:t xml:space="preserve"> experience.</w:t>
      </w:r>
    </w:p>
    <w:p w14:paraId="40D1EF03" w14:textId="77777777" w:rsidR="00000000" w:rsidRDefault="00087966">
      <w:pPr>
        <w:pStyle w:val="a3"/>
        <w:spacing w:before="0" w:beforeAutospacing="0" w:after="0" w:afterAutospacing="0"/>
        <w:ind w:firstLine="480"/>
        <w:jc w:val="both"/>
        <w:divId w:val="1595479706"/>
        <w:rPr>
          <w:sz w:val="20"/>
          <w:szCs w:val="20"/>
        </w:rPr>
      </w:pPr>
      <w:r>
        <w:rPr>
          <w:b/>
          <w:bCs/>
          <w:sz w:val="20"/>
          <w:szCs w:val="20"/>
        </w:rPr>
        <w:t> </w:t>
      </w:r>
    </w:p>
    <w:p w14:paraId="50CB12F7" w14:textId="77777777" w:rsidR="00000000" w:rsidRDefault="00087966">
      <w:pPr>
        <w:pStyle w:val="a3"/>
        <w:spacing w:before="0" w:beforeAutospacing="0" w:after="0" w:afterAutospacing="0"/>
        <w:ind w:firstLine="720"/>
        <w:jc w:val="both"/>
        <w:divId w:val="1595479706"/>
        <w:rPr>
          <w:sz w:val="20"/>
          <w:szCs w:val="20"/>
        </w:rPr>
      </w:pPr>
      <w:r>
        <w:rPr>
          <w:b/>
          <w:bCs/>
          <w:sz w:val="20"/>
          <w:szCs w:val="20"/>
        </w:rPr>
        <w:t>Arjun Divecha</w:t>
      </w:r>
      <w:r>
        <w:rPr>
          <w:sz w:val="20"/>
          <w:szCs w:val="20"/>
        </w:rPr>
        <w:t xml:space="preserve">, our special advisor, is a Portfolio Manager Grantham Mayo Van Otterloo (GMO), a Boston-based investment management firm. Mr. Divecha joined GMO in 1993 and is responsible for the firm’s emerging equity funds. He has served on </w:t>
      </w:r>
      <w:r>
        <w:rPr>
          <w:sz w:val="20"/>
          <w:szCs w:val="20"/>
        </w:rPr>
        <w:t>GMO’s Board of Directors for the past 20 years, and has served as Chairman for the past 10 years. From 1981 to 1993, Mr. Divecha worked at BARRA (a Berkeley-based fintech SAAS firm, which was acquired by MSCI in 2004), directing software development, marke</w:t>
      </w:r>
      <w:r>
        <w:rPr>
          <w:sz w:val="20"/>
          <w:szCs w:val="20"/>
        </w:rPr>
        <w:t>ting, client service and emerging markets research and development. He is the Founder-Director of The Divecha Centre for Climate Change at the Indian Institute of Science, Bangalore, and a board member of the Bay Area chapter of Pratham. Mr. Divecha receiv</w:t>
      </w:r>
      <w:r>
        <w:rPr>
          <w:sz w:val="20"/>
          <w:szCs w:val="20"/>
        </w:rPr>
        <w:t>ed a B.S. in Aeronautical Engineering from IIT Bombay and holds an MBA from Cornell University.</w:t>
      </w:r>
    </w:p>
    <w:p w14:paraId="19A3758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EDFC5A8" w14:textId="77777777" w:rsidR="00000000" w:rsidRDefault="00087966">
      <w:pPr>
        <w:pStyle w:val="a3"/>
        <w:spacing w:before="0" w:beforeAutospacing="0" w:after="0" w:afterAutospacing="0"/>
        <w:jc w:val="both"/>
        <w:divId w:val="1595479706"/>
        <w:rPr>
          <w:sz w:val="20"/>
          <w:szCs w:val="20"/>
        </w:rPr>
      </w:pPr>
      <w:r>
        <w:rPr>
          <w:b/>
          <w:bCs/>
          <w:sz w:val="20"/>
          <w:szCs w:val="20"/>
        </w:rPr>
        <w:t>Family Relationship</w:t>
      </w:r>
    </w:p>
    <w:p w14:paraId="59AE982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A10972B" w14:textId="77777777" w:rsidR="00000000" w:rsidRDefault="00087966">
      <w:pPr>
        <w:pStyle w:val="a3"/>
        <w:spacing w:before="0" w:beforeAutospacing="0" w:after="0" w:afterAutospacing="0"/>
        <w:ind w:firstLine="720"/>
        <w:jc w:val="both"/>
        <w:divId w:val="1595479706"/>
        <w:rPr>
          <w:sz w:val="20"/>
          <w:szCs w:val="20"/>
        </w:rPr>
      </w:pPr>
      <w:r>
        <w:rPr>
          <w:sz w:val="20"/>
          <w:szCs w:val="20"/>
        </w:rPr>
        <w:t>Ms. Krishnamoorthy, our Chief Financial Officer and Director, is the wife of Mr. Raghavan, our Co-President. There are no other family r</w:t>
      </w:r>
      <w:r>
        <w:rPr>
          <w:sz w:val="20"/>
          <w:szCs w:val="20"/>
        </w:rPr>
        <w:t>elationships among any of our directors or executive officers that are required to be disclosed by Regulation S-K.</w:t>
      </w:r>
    </w:p>
    <w:p w14:paraId="0984158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B3AABC5" w14:textId="77777777" w:rsidR="00000000" w:rsidRDefault="00087966">
      <w:pPr>
        <w:pStyle w:val="a3"/>
        <w:spacing w:before="0" w:beforeAutospacing="0" w:after="0" w:afterAutospacing="0"/>
        <w:jc w:val="center"/>
        <w:divId w:val="679816398"/>
        <w:rPr>
          <w:sz w:val="20"/>
          <w:szCs w:val="20"/>
        </w:rPr>
      </w:pPr>
      <w:r>
        <w:rPr>
          <w:sz w:val="20"/>
          <w:szCs w:val="20"/>
        </w:rPr>
        <w:t>4</w:t>
      </w:r>
      <w:r>
        <w:rPr>
          <w:sz w:val="20"/>
          <w:szCs w:val="20"/>
        </w:rPr>
        <w:t>3</w:t>
      </w:r>
    </w:p>
    <w:p w14:paraId="04DC623D" w14:textId="77777777" w:rsidR="00000000" w:rsidRDefault="00087966">
      <w:pPr>
        <w:pStyle w:val="a3"/>
        <w:spacing w:before="0" w:beforeAutospacing="0" w:after="0" w:afterAutospacing="0"/>
        <w:divId w:val="1748263229"/>
        <w:rPr>
          <w:sz w:val="20"/>
          <w:szCs w:val="20"/>
        </w:rPr>
      </w:pPr>
      <w:r>
        <w:rPr>
          <w:sz w:val="20"/>
          <w:szCs w:val="20"/>
        </w:rPr>
        <w:t> </w:t>
      </w:r>
    </w:p>
    <w:p w14:paraId="15B15E1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0730DA4" w14:textId="77777777" w:rsidR="00000000" w:rsidRDefault="00087966">
      <w:pPr>
        <w:pStyle w:val="a3"/>
        <w:spacing w:before="0" w:beforeAutospacing="0" w:after="0" w:afterAutospacing="0"/>
        <w:jc w:val="both"/>
        <w:divId w:val="1595479706"/>
        <w:rPr>
          <w:sz w:val="20"/>
          <w:szCs w:val="20"/>
        </w:rPr>
      </w:pPr>
      <w:r>
        <w:rPr>
          <w:b/>
          <w:bCs/>
          <w:sz w:val="20"/>
          <w:szCs w:val="20"/>
        </w:rPr>
        <w:t>Number and Terms of Office of Officers and Directors</w:t>
      </w:r>
    </w:p>
    <w:p w14:paraId="68DF276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3F706DC" w14:textId="77777777" w:rsidR="00000000" w:rsidRDefault="00087966">
      <w:pPr>
        <w:pStyle w:val="a3"/>
        <w:spacing w:before="0" w:beforeAutospacing="0" w:after="0" w:afterAutospacing="0"/>
        <w:ind w:firstLine="720"/>
        <w:jc w:val="both"/>
        <w:divId w:val="1595479706"/>
        <w:rPr>
          <w:sz w:val="20"/>
          <w:szCs w:val="20"/>
        </w:rPr>
      </w:pPr>
      <w:r>
        <w:rPr>
          <w:sz w:val="20"/>
          <w:szCs w:val="20"/>
        </w:rPr>
        <w:t>We have five directors. Our board of directors is divided into two classes wi</w:t>
      </w:r>
      <w:r>
        <w:rPr>
          <w:sz w:val="20"/>
          <w:szCs w:val="20"/>
        </w:rPr>
        <w:t>th only one class of directors being elected in each year and each class (except for those directors appointed prior to our first annual meeting of stockholders) serving a two-year term.</w:t>
      </w:r>
    </w:p>
    <w:p w14:paraId="46CF167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19DA654" w14:textId="77777777" w:rsidR="00000000" w:rsidRDefault="00087966">
      <w:pPr>
        <w:pStyle w:val="a3"/>
        <w:spacing w:before="0" w:beforeAutospacing="0" w:after="0" w:afterAutospacing="0"/>
        <w:ind w:firstLine="720"/>
        <w:jc w:val="both"/>
        <w:divId w:val="1595479706"/>
        <w:rPr>
          <w:sz w:val="20"/>
          <w:szCs w:val="20"/>
        </w:rPr>
      </w:pPr>
      <w:r>
        <w:rPr>
          <w:sz w:val="20"/>
          <w:szCs w:val="20"/>
        </w:rPr>
        <w:t>The term of office of the first class of directors, consisting of M</w:t>
      </w:r>
      <w:r>
        <w:rPr>
          <w:sz w:val="20"/>
          <w:szCs w:val="20"/>
        </w:rPr>
        <w:t>essrs. Rajagopalan, Rangaswami and Bailey, will expire at our first annual meeting of stockholders. The term of office of the second class of directors, consisting of Mr. Ramachandran and Ms. Krishnamoorthy, will expire at the second annual meeting of stoc</w:t>
      </w:r>
      <w:r>
        <w:rPr>
          <w:sz w:val="20"/>
          <w:szCs w:val="20"/>
        </w:rPr>
        <w:t>kholders.</w:t>
      </w:r>
    </w:p>
    <w:p w14:paraId="6802A8D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9147FD9" w14:textId="77777777" w:rsidR="00000000" w:rsidRDefault="00087966">
      <w:pPr>
        <w:pStyle w:val="a3"/>
        <w:spacing w:before="0" w:beforeAutospacing="0" w:after="0" w:afterAutospacing="0"/>
        <w:ind w:firstLine="720"/>
        <w:jc w:val="both"/>
        <w:divId w:val="1595479706"/>
        <w:rPr>
          <w:sz w:val="20"/>
          <w:szCs w:val="20"/>
        </w:rPr>
      </w:pPr>
      <w:r>
        <w:rPr>
          <w:sz w:val="20"/>
          <w:szCs w:val="20"/>
        </w:rPr>
        <w:t>Our officers are appointed by the board of directors and serve at the discretion of the board of directors, rather than for specific terms of office. Our board of directors is authorized to appoint persons to the offices set forth in our bylaws</w:t>
      </w:r>
      <w:r>
        <w:rPr>
          <w:sz w:val="20"/>
          <w:szCs w:val="20"/>
        </w:rPr>
        <w:t xml:space="preserve"> as it deems appropriate. Our bylaws provide that our officers may consist of Chairman of the Board, Chief Executive Officer, Chief Financial Officer, one or more Presidents, Secretary, Treasurer, Assistant Secretaries and such other offices as may be dete</w:t>
      </w:r>
      <w:r>
        <w:rPr>
          <w:sz w:val="20"/>
          <w:szCs w:val="20"/>
        </w:rPr>
        <w:t>rmined by the board of directors.</w:t>
      </w:r>
    </w:p>
    <w:p w14:paraId="32797AB4"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7965212E" w14:textId="77777777" w:rsidR="00000000" w:rsidRDefault="00087966">
      <w:pPr>
        <w:pStyle w:val="a3"/>
        <w:spacing w:before="0" w:beforeAutospacing="0" w:after="0" w:afterAutospacing="0"/>
        <w:jc w:val="both"/>
        <w:divId w:val="1595479706"/>
        <w:rPr>
          <w:sz w:val="20"/>
          <w:szCs w:val="20"/>
        </w:rPr>
      </w:pPr>
      <w:r>
        <w:rPr>
          <w:b/>
          <w:bCs/>
          <w:sz w:val="20"/>
          <w:szCs w:val="20"/>
        </w:rPr>
        <w:t>Committees of the Board of Directors</w:t>
      </w:r>
    </w:p>
    <w:p w14:paraId="37B6E117"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7DE60119" w14:textId="77777777" w:rsidR="00000000" w:rsidRDefault="00087966">
      <w:pPr>
        <w:pStyle w:val="a3"/>
        <w:spacing w:before="0" w:beforeAutospacing="0" w:after="0" w:afterAutospacing="0"/>
        <w:ind w:firstLine="720"/>
        <w:jc w:val="both"/>
        <w:divId w:val="1595479706"/>
        <w:rPr>
          <w:sz w:val="20"/>
          <w:szCs w:val="20"/>
        </w:rPr>
      </w:pPr>
      <w:r>
        <w:rPr>
          <w:sz w:val="20"/>
          <w:szCs w:val="20"/>
        </w:rPr>
        <w:t>Our board of directors has two standing committees: an audit committee and a compensation committee.</w:t>
      </w:r>
    </w:p>
    <w:p w14:paraId="7BC522CD"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54D50317" w14:textId="77777777" w:rsidR="00000000" w:rsidRDefault="00087966">
      <w:pPr>
        <w:pStyle w:val="a3"/>
        <w:spacing w:before="0" w:beforeAutospacing="0" w:after="0" w:afterAutospacing="0"/>
        <w:jc w:val="both"/>
        <w:divId w:val="1595479706"/>
        <w:rPr>
          <w:sz w:val="20"/>
          <w:szCs w:val="20"/>
        </w:rPr>
      </w:pPr>
      <w:r>
        <w:rPr>
          <w:b/>
          <w:bCs/>
          <w:i/>
          <w:iCs/>
          <w:sz w:val="20"/>
          <w:szCs w:val="20"/>
        </w:rPr>
        <w:t>Audit Committee</w:t>
      </w:r>
    </w:p>
    <w:p w14:paraId="0AE4637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6C9C651"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have established an audit </w:t>
      </w:r>
      <w:r>
        <w:rPr>
          <w:sz w:val="20"/>
          <w:szCs w:val="20"/>
        </w:rPr>
        <w:t>committee of the board of directors. Messrs. Rajagopalan, Rangaswami and Bailey serve as members of our audit committee, and Mr. Bailey chairs the audit committee. Under the Nasdaq listing standards and applicable SEC rules, we are required to have at leas</w:t>
      </w:r>
      <w:r>
        <w:rPr>
          <w:sz w:val="20"/>
          <w:szCs w:val="20"/>
        </w:rPr>
        <w:t>t three members of the audit committee, all of whom must be independent. Each of Messrs. Rajagopalan, Rangaswami and Bailey meets the independent director standard under Nasdaq listing standards and under Rule 10-A-3(b)(1) of the Exchange Act.</w:t>
      </w:r>
    </w:p>
    <w:p w14:paraId="35CA00B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1897C77" w14:textId="77777777" w:rsidR="00000000" w:rsidRDefault="00087966">
      <w:pPr>
        <w:pStyle w:val="a3"/>
        <w:spacing w:before="0" w:beforeAutospacing="0" w:after="0" w:afterAutospacing="0"/>
        <w:ind w:firstLine="720"/>
        <w:jc w:val="both"/>
        <w:divId w:val="1595479706"/>
        <w:rPr>
          <w:sz w:val="20"/>
          <w:szCs w:val="20"/>
        </w:rPr>
      </w:pPr>
      <w:r>
        <w:rPr>
          <w:sz w:val="20"/>
          <w:szCs w:val="20"/>
        </w:rPr>
        <w:t>Each membe</w:t>
      </w:r>
      <w:r>
        <w:rPr>
          <w:sz w:val="20"/>
          <w:szCs w:val="20"/>
        </w:rPr>
        <w:t>r of the audit committee is financially literate and our board of directors has determined that Mr. Bailey qualifies as an “audit committee financial expert” as defined in applicable SEC rules.</w:t>
      </w:r>
    </w:p>
    <w:p w14:paraId="3278A5DE" w14:textId="77777777" w:rsidR="00000000" w:rsidRDefault="00087966">
      <w:pPr>
        <w:pStyle w:val="a3"/>
        <w:spacing w:before="0" w:beforeAutospacing="0" w:after="0" w:afterAutospacing="0"/>
        <w:ind w:firstLine="360"/>
        <w:jc w:val="both"/>
        <w:divId w:val="1595479706"/>
        <w:rPr>
          <w:sz w:val="20"/>
          <w:szCs w:val="20"/>
        </w:rPr>
      </w:pPr>
      <w:r>
        <w:rPr>
          <w:sz w:val="20"/>
          <w:szCs w:val="20"/>
        </w:rPr>
        <w:t> </w:t>
      </w:r>
    </w:p>
    <w:p w14:paraId="597FF7CF" w14:textId="77777777" w:rsidR="00000000" w:rsidRDefault="00087966">
      <w:pPr>
        <w:pStyle w:val="a3"/>
        <w:spacing w:before="0" w:beforeAutospacing="0" w:after="0" w:afterAutospacing="0"/>
        <w:ind w:firstLine="720"/>
        <w:jc w:val="both"/>
        <w:divId w:val="1595479706"/>
        <w:rPr>
          <w:sz w:val="20"/>
          <w:szCs w:val="20"/>
        </w:rPr>
      </w:pPr>
      <w:r>
        <w:rPr>
          <w:sz w:val="20"/>
          <w:szCs w:val="20"/>
        </w:rPr>
        <w:t>We have adopted an audit committee charter, which details th</w:t>
      </w:r>
      <w:r>
        <w:rPr>
          <w:sz w:val="20"/>
          <w:szCs w:val="20"/>
        </w:rPr>
        <w:t>e principal functions of the audit committee, including:</w:t>
      </w:r>
    </w:p>
    <w:p w14:paraId="1D52A8F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A05814B" w14:textId="77777777">
        <w:trPr>
          <w:divId w:val="1595479706"/>
          <w:tblCellSpacing w:w="0" w:type="dxa"/>
        </w:trPr>
        <w:tc>
          <w:tcPr>
            <w:tcW w:w="720" w:type="dxa"/>
            <w:hideMark/>
          </w:tcPr>
          <w:p w14:paraId="07284993" w14:textId="77777777" w:rsidR="00000000" w:rsidRDefault="00087966">
            <w:pPr>
              <w:rPr>
                <w:rFonts w:eastAsia="Times New Roman"/>
                <w:sz w:val="20"/>
                <w:szCs w:val="20"/>
              </w:rPr>
            </w:pPr>
            <w:r>
              <w:rPr>
                <w:rFonts w:eastAsia="Times New Roman"/>
                <w:sz w:val="20"/>
                <w:szCs w:val="20"/>
              </w:rPr>
              <w:t> </w:t>
            </w:r>
          </w:p>
        </w:tc>
        <w:tc>
          <w:tcPr>
            <w:tcW w:w="360" w:type="dxa"/>
            <w:hideMark/>
          </w:tcPr>
          <w:p w14:paraId="2F9B30F8"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FB26625" w14:textId="77777777" w:rsidR="00000000" w:rsidRDefault="00087966">
            <w:pPr>
              <w:jc w:val="both"/>
              <w:rPr>
                <w:rFonts w:eastAsia="Times New Roman"/>
                <w:sz w:val="20"/>
                <w:szCs w:val="20"/>
              </w:rPr>
            </w:pPr>
            <w:r>
              <w:rPr>
                <w:rFonts w:eastAsia="Times New Roman"/>
                <w:sz w:val="20"/>
                <w:szCs w:val="20"/>
              </w:rPr>
              <w:t>the appointment, compensation, retention, replacement, and oversight of the work of the independent registered public accounting firm engaged by us;</w:t>
            </w:r>
          </w:p>
        </w:tc>
      </w:tr>
    </w:tbl>
    <w:p w14:paraId="303DEACC"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57F51CE7" w14:textId="77777777">
        <w:trPr>
          <w:divId w:val="1595479706"/>
          <w:tblCellSpacing w:w="0" w:type="dxa"/>
        </w:trPr>
        <w:tc>
          <w:tcPr>
            <w:tcW w:w="720" w:type="dxa"/>
            <w:hideMark/>
          </w:tcPr>
          <w:p w14:paraId="526551B3" w14:textId="77777777" w:rsidR="00000000" w:rsidRDefault="00087966">
            <w:pPr>
              <w:rPr>
                <w:rFonts w:eastAsia="Times New Roman"/>
                <w:sz w:val="20"/>
                <w:szCs w:val="20"/>
              </w:rPr>
            </w:pPr>
            <w:r>
              <w:rPr>
                <w:rFonts w:eastAsia="Times New Roman"/>
                <w:sz w:val="20"/>
                <w:szCs w:val="20"/>
              </w:rPr>
              <w:t> </w:t>
            </w:r>
          </w:p>
        </w:tc>
        <w:tc>
          <w:tcPr>
            <w:tcW w:w="360" w:type="dxa"/>
            <w:hideMark/>
          </w:tcPr>
          <w:p w14:paraId="13FC25B5"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B3F56E3" w14:textId="77777777" w:rsidR="00000000" w:rsidRDefault="00087966">
            <w:pPr>
              <w:jc w:val="both"/>
              <w:rPr>
                <w:rFonts w:eastAsia="Times New Roman"/>
                <w:sz w:val="20"/>
                <w:szCs w:val="20"/>
              </w:rPr>
            </w:pPr>
            <w:r>
              <w:rPr>
                <w:rFonts w:eastAsia="Times New Roman"/>
                <w:sz w:val="20"/>
                <w:szCs w:val="20"/>
              </w:rPr>
              <w:t>pre-approving </w:t>
            </w:r>
            <w:r>
              <w:rPr>
                <w:rFonts w:eastAsia="Times New Roman"/>
                <w:sz w:val="20"/>
                <w:szCs w:val="20"/>
              </w:rPr>
              <w:t>all audit and permitted non-audit services to be provided by the independent registered public accounting firm engaged by us, and establishing pre-approval policies and procedures;</w:t>
            </w:r>
          </w:p>
        </w:tc>
      </w:tr>
    </w:tbl>
    <w:p w14:paraId="7162ACF8"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88FD23B" w14:textId="77777777">
        <w:trPr>
          <w:divId w:val="1595479706"/>
          <w:tblCellSpacing w:w="0" w:type="dxa"/>
        </w:trPr>
        <w:tc>
          <w:tcPr>
            <w:tcW w:w="720" w:type="dxa"/>
            <w:hideMark/>
          </w:tcPr>
          <w:p w14:paraId="7192AB3D" w14:textId="77777777" w:rsidR="00000000" w:rsidRDefault="00087966">
            <w:pPr>
              <w:rPr>
                <w:rFonts w:eastAsia="Times New Roman"/>
                <w:sz w:val="20"/>
                <w:szCs w:val="20"/>
              </w:rPr>
            </w:pPr>
            <w:r>
              <w:rPr>
                <w:rFonts w:eastAsia="Times New Roman"/>
                <w:sz w:val="20"/>
                <w:szCs w:val="20"/>
              </w:rPr>
              <w:t> </w:t>
            </w:r>
          </w:p>
        </w:tc>
        <w:tc>
          <w:tcPr>
            <w:tcW w:w="360" w:type="dxa"/>
            <w:hideMark/>
          </w:tcPr>
          <w:p w14:paraId="22C03AD3"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439D6746" w14:textId="77777777" w:rsidR="00000000" w:rsidRDefault="00087966">
            <w:pPr>
              <w:jc w:val="both"/>
              <w:rPr>
                <w:rFonts w:eastAsia="Times New Roman"/>
                <w:sz w:val="20"/>
                <w:szCs w:val="20"/>
              </w:rPr>
            </w:pPr>
            <w:r>
              <w:rPr>
                <w:rFonts w:eastAsia="Times New Roman"/>
                <w:sz w:val="20"/>
                <w:szCs w:val="20"/>
              </w:rPr>
              <w:t>setting clear hiring policies for employees or former employees of t</w:t>
            </w:r>
            <w:r>
              <w:rPr>
                <w:rFonts w:eastAsia="Times New Roman"/>
                <w:sz w:val="20"/>
                <w:szCs w:val="20"/>
              </w:rPr>
              <w:t>he independent registered public accounting firm, including but not limited to, as required by applicable laws and regulations;</w:t>
            </w:r>
          </w:p>
        </w:tc>
      </w:tr>
    </w:tbl>
    <w:p w14:paraId="1080E73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A1925F5" w14:textId="77777777">
        <w:trPr>
          <w:divId w:val="1595479706"/>
          <w:tblCellSpacing w:w="0" w:type="dxa"/>
        </w:trPr>
        <w:tc>
          <w:tcPr>
            <w:tcW w:w="720" w:type="dxa"/>
            <w:hideMark/>
          </w:tcPr>
          <w:p w14:paraId="3C3220C3" w14:textId="77777777" w:rsidR="00000000" w:rsidRDefault="00087966">
            <w:pPr>
              <w:rPr>
                <w:rFonts w:eastAsia="Times New Roman"/>
                <w:sz w:val="20"/>
                <w:szCs w:val="20"/>
              </w:rPr>
            </w:pPr>
            <w:r>
              <w:rPr>
                <w:rFonts w:eastAsia="Times New Roman"/>
                <w:sz w:val="20"/>
                <w:szCs w:val="20"/>
              </w:rPr>
              <w:t> </w:t>
            </w:r>
          </w:p>
        </w:tc>
        <w:tc>
          <w:tcPr>
            <w:tcW w:w="360" w:type="dxa"/>
            <w:hideMark/>
          </w:tcPr>
          <w:p w14:paraId="6A1FAA23"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5BCEDDA0" w14:textId="77777777" w:rsidR="00000000" w:rsidRDefault="00087966">
            <w:pPr>
              <w:jc w:val="both"/>
              <w:rPr>
                <w:rFonts w:eastAsia="Times New Roman"/>
                <w:sz w:val="20"/>
                <w:szCs w:val="20"/>
              </w:rPr>
            </w:pPr>
            <w:r>
              <w:rPr>
                <w:rFonts w:eastAsia="Times New Roman"/>
                <w:sz w:val="20"/>
                <w:szCs w:val="20"/>
              </w:rPr>
              <w:t>setting clear policies for audit partner rotation in compliance with applicable laws and regulations;</w:t>
            </w:r>
          </w:p>
        </w:tc>
      </w:tr>
    </w:tbl>
    <w:p w14:paraId="21D1F1E3"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EB28673" w14:textId="77777777">
        <w:trPr>
          <w:divId w:val="1595479706"/>
          <w:tblCellSpacing w:w="0" w:type="dxa"/>
        </w:trPr>
        <w:tc>
          <w:tcPr>
            <w:tcW w:w="720" w:type="dxa"/>
            <w:hideMark/>
          </w:tcPr>
          <w:p w14:paraId="0E3948B1" w14:textId="77777777" w:rsidR="00000000" w:rsidRDefault="00087966">
            <w:pPr>
              <w:rPr>
                <w:rFonts w:eastAsia="Times New Roman"/>
                <w:sz w:val="20"/>
                <w:szCs w:val="20"/>
              </w:rPr>
            </w:pPr>
            <w:r>
              <w:rPr>
                <w:rFonts w:eastAsia="Times New Roman"/>
                <w:sz w:val="20"/>
                <w:szCs w:val="20"/>
              </w:rPr>
              <w:t> </w:t>
            </w:r>
          </w:p>
        </w:tc>
        <w:tc>
          <w:tcPr>
            <w:tcW w:w="360" w:type="dxa"/>
            <w:hideMark/>
          </w:tcPr>
          <w:p w14:paraId="46A65CC2"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74149A0" w14:textId="77777777" w:rsidR="00000000" w:rsidRDefault="00087966">
            <w:pPr>
              <w:jc w:val="both"/>
              <w:rPr>
                <w:rFonts w:eastAsia="Times New Roman"/>
                <w:sz w:val="20"/>
                <w:szCs w:val="20"/>
              </w:rPr>
            </w:pPr>
            <w:r>
              <w:rPr>
                <w:rFonts w:eastAsia="Times New Roman"/>
                <w:sz w:val="20"/>
                <w:szCs w:val="20"/>
              </w:rPr>
              <w:t>obtaining an</w:t>
            </w:r>
            <w:r>
              <w:rPr>
                <w:rFonts w:eastAsia="Times New Roman"/>
                <w:sz w:val="20"/>
                <w:szCs w:val="20"/>
              </w:rPr>
              <w:t>d reviewing a report, at least annually, from the independent registered public accounting firm describing (i) the independent registered public accounting firm’s internal quality-control procedures, (ii) any material issues raised by the most recent inter</w:t>
            </w:r>
            <w:r>
              <w:rPr>
                <w:rFonts w:eastAsia="Times New Roman"/>
                <w:sz w:val="20"/>
                <w:szCs w:val="20"/>
              </w:rPr>
              <w:t>nal quality-control review, or peer review, of the audit firm, or by any inquiry or investigation by governmental or professional authorities within the preceding five years respecting one or more independent audits carried out by the firm and any steps ta</w:t>
            </w:r>
            <w:r>
              <w:rPr>
                <w:rFonts w:eastAsia="Times New Roman"/>
                <w:sz w:val="20"/>
                <w:szCs w:val="20"/>
              </w:rPr>
              <w:t>ken to deal with such issues and (iii) all relationships between the independent registered public accounting firm and us to assess the independent registered public accounting firm’s independence;</w:t>
            </w:r>
          </w:p>
        </w:tc>
      </w:tr>
    </w:tbl>
    <w:p w14:paraId="41DC9F0D"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86A089F" w14:textId="77777777">
        <w:trPr>
          <w:divId w:val="1595479706"/>
          <w:tblCellSpacing w:w="0" w:type="dxa"/>
        </w:trPr>
        <w:tc>
          <w:tcPr>
            <w:tcW w:w="720" w:type="dxa"/>
            <w:hideMark/>
          </w:tcPr>
          <w:p w14:paraId="47CE952E" w14:textId="77777777" w:rsidR="00000000" w:rsidRDefault="00087966">
            <w:pPr>
              <w:rPr>
                <w:rFonts w:eastAsia="Times New Roman"/>
                <w:sz w:val="20"/>
                <w:szCs w:val="20"/>
              </w:rPr>
            </w:pPr>
            <w:r>
              <w:rPr>
                <w:rFonts w:eastAsia="Times New Roman"/>
                <w:sz w:val="20"/>
                <w:szCs w:val="20"/>
              </w:rPr>
              <w:t> </w:t>
            </w:r>
          </w:p>
        </w:tc>
        <w:tc>
          <w:tcPr>
            <w:tcW w:w="360" w:type="dxa"/>
            <w:hideMark/>
          </w:tcPr>
          <w:p w14:paraId="5B3DEF49"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2119ABC" w14:textId="77777777" w:rsidR="00000000" w:rsidRDefault="00087966">
            <w:pPr>
              <w:jc w:val="both"/>
              <w:rPr>
                <w:rFonts w:eastAsia="Times New Roman"/>
                <w:sz w:val="20"/>
                <w:szCs w:val="20"/>
              </w:rPr>
            </w:pPr>
            <w:r>
              <w:rPr>
                <w:rFonts w:eastAsia="Times New Roman"/>
                <w:sz w:val="20"/>
                <w:szCs w:val="20"/>
              </w:rPr>
              <w:t>reviewing and approving any related party transacti</w:t>
            </w:r>
            <w:r>
              <w:rPr>
                <w:rFonts w:eastAsia="Times New Roman"/>
                <w:sz w:val="20"/>
                <w:szCs w:val="20"/>
              </w:rPr>
              <w:t>on required to be disclosed pursuant to Item 404 of Regulation S-K promulgated by the SEC prior to us entering into such transaction; and</w:t>
            </w:r>
          </w:p>
        </w:tc>
      </w:tr>
    </w:tbl>
    <w:p w14:paraId="06D98C04"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62FCB831" w14:textId="77777777">
        <w:trPr>
          <w:divId w:val="1595479706"/>
          <w:tblCellSpacing w:w="0" w:type="dxa"/>
        </w:trPr>
        <w:tc>
          <w:tcPr>
            <w:tcW w:w="720" w:type="dxa"/>
            <w:hideMark/>
          </w:tcPr>
          <w:p w14:paraId="62DD172B" w14:textId="77777777" w:rsidR="00000000" w:rsidRDefault="00087966">
            <w:pPr>
              <w:rPr>
                <w:rFonts w:eastAsia="Times New Roman"/>
                <w:sz w:val="20"/>
                <w:szCs w:val="20"/>
              </w:rPr>
            </w:pPr>
            <w:r>
              <w:rPr>
                <w:rFonts w:eastAsia="Times New Roman"/>
                <w:sz w:val="20"/>
                <w:szCs w:val="20"/>
              </w:rPr>
              <w:t> </w:t>
            </w:r>
          </w:p>
        </w:tc>
        <w:tc>
          <w:tcPr>
            <w:tcW w:w="360" w:type="dxa"/>
            <w:hideMark/>
          </w:tcPr>
          <w:p w14:paraId="56CEC2C8"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55135DA7" w14:textId="77777777" w:rsidR="00000000" w:rsidRDefault="00087966">
            <w:pPr>
              <w:jc w:val="both"/>
              <w:rPr>
                <w:rFonts w:eastAsia="Times New Roman"/>
                <w:sz w:val="20"/>
                <w:szCs w:val="20"/>
              </w:rPr>
            </w:pPr>
            <w:r>
              <w:rPr>
                <w:rFonts w:eastAsia="Times New Roman"/>
                <w:sz w:val="20"/>
                <w:szCs w:val="20"/>
              </w:rPr>
              <w:t>reviewing with management, the independent registered public accounting firm, and our legal advisors, as appropriate, any legal, regulatory or compliance matters, including any correspondence with regulators or government agencies and any employee complain</w:t>
            </w:r>
            <w:r>
              <w:rPr>
                <w:rFonts w:eastAsia="Times New Roman"/>
                <w:sz w:val="20"/>
                <w:szCs w:val="20"/>
              </w:rPr>
              <w:t>ts or published reports that raise material issues regarding our financial statements or accounting policies and any significant changes in accounting standards or rules promulgated by the Financial Accounting Standards Board, the SEC or other regulatory a</w:t>
            </w:r>
            <w:r>
              <w:rPr>
                <w:rFonts w:eastAsia="Times New Roman"/>
                <w:sz w:val="20"/>
                <w:szCs w:val="20"/>
              </w:rPr>
              <w:t>uthorities.</w:t>
            </w:r>
          </w:p>
        </w:tc>
      </w:tr>
    </w:tbl>
    <w:p w14:paraId="1433188E" w14:textId="77777777" w:rsidR="00000000" w:rsidRDefault="00087966">
      <w:pPr>
        <w:pStyle w:val="a3"/>
        <w:spacing w:before="0" w:beforeAutospacing="0" w:after="0" w:afterAutospacing="0"/>
        <w:jc w:val="both"/>
        <w:divId w:val="1595479706"/>
        <w:rPr>
          <w:sz w:val="20"/>
          <w:szCs w:val="20"/>
        </w:rPr>
      </w:pPr>
      <w:r>
        <w:rPr>
          <w:sz w:val="20"/>
          <w:szCs w:val="20"/>
        </w:rPr>
        <w:t> </w:t>
      </w:r>
    </w:p>
    <w:p w14:paraId="0741B085" w14:textId="77777777" w:rsidR="00000000" w:rsidRDefault="00087966">
      <w:pPr>
        <w:pStyle w:val="a3"/>
        <w:spacing w:before="0" w:beforeAutospacing="0" w:after="0" w:afterAutospacing="0"/>
        <w:jc w:val="center"/>
        <w:divId w:val="668366801"/>
        <w:rPr>
          <w:sz w:val="20"/>
          <w:szCs w:val="20"/>
        </w:rPr>
      </w:pPr>
      <w:r>
        <w:rPr>
          <w:sz w:val="20"/>
          <w:szCs w:val="20"/>
        </w:rPr>
        <w:t>4</w:t>
      </w:r>
      <w:r>
        <w:rPr>
          <w:sz w:val="20"/>
          <w:szCs w:val="20"/>
        </w:rPr>
        <w:t>4</w:t>
      </w:r>
    </w:p>
    <w:p w14:paraId="7E1D82E1" w14:textId="77777777" w:rsidR="00000000" w:rsidRDefault="00087966">
      <w:pPr>
        <w:pStyle w:val="a3"/>
        <w:spacing w:before="0" w:beforeAutospacing="0" w:after="0" w:afterAutospacing="0"/>
        <w:divId w:val="1266499059"/>
        <w:rPr>
          <w:sz w:val="20"/>
          <w:szCs w:val="20"/>
        </w:rPr>
      </w:pPr>
      <w:r>
        <w:rPr>
          <w:sz w:val="20"/>
          <w:szCs w:val="20"/>
        </w:rPr>
        <w:t> </w:t>
      </w:r>
    </w:p>
    <w:p w14:paraId="4D32E427" w14:textId="77777777" w:rsidR="00000000" w:rsidRDefault="00087966">
      <w:pPr>
        <w:pStyle w:val="a3"/>
        <w:spacing w:before="0" w:beforeAutospacing="0" w:after="0" w:afterAutospacing="0"/>
        <w:jc w:val="both"/>
        <w:divId w:val="1595479706"/>
        <w:rPr>
          <w:sz w:val="20"/>
          <w:szCs w:val="20"/>
        </w:rPr>
      </w:pPr>
      <w:r>
        <w:rPr>
          <w:sz w:val="20"/>
          <w:szCs w:val="20"/>
        </w:rPr>
        <w:t> </w:t>
      </w:r>
    </w:p>
    <w:p w14:paraId="34679418" w14:textId="77777777" w:rsidR="00000000" w:rsidRDefault="00087966">
      <w:pPr>
        <w:pStyle w:val="a3"/>
        <w:spacing w:before="0" w:beforeAutospacing="0" w:after="0" w:afterAutospacing="0"/>
        <w:jc w:val="both"/>
        <w:divId w:val="1595479706"/>
        <w:rPr>
          <w:sz w:val="20"/>
          <w:szCs w:val="20"/>
        </w:rPr>
      </w:pPr>
      <w:r>
        <w:rPr>
          <w:b/>
          <w:bCs/>
          <w:i/>
          <w:iCs/>
          <w:sz w:val="20"/>
          <w:szCs w:val="20"/>
        </w:rPr>
        <w:t>Compensation Committee</w:t>
      </w:r>
    </w:p>
    <w:p w14:paraId="04A93417"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6A4001E3" w14:textId="77777777" w:rsidR="00000000" w:rsidRDefault="00087966">
      <w:pPr>
        <w:pStyle w:val="a3"/>
        <w:spacing w:before="0" w:beforeAutospacing="0" w:after="0" w:afterAutospacing="0"/>
        <w:ind w:firstLine="720"/>
        <w:jc w:val="both"/>
        <w:divId w:val="1595479706"/>
        <w:rPr>
          <w:sz w:val="20"/>
          <w:szCs w:val="20"/>
        </w:rPr>
      </w:pPr>
      <w:r>
        <w:rPr>
          <w:sz w:val="20"/>
          <w:szCs w:val="20"/>
        </w:rPr>
        <w:t>We have established a compensation committee of the board of directors. Messrs. Rajagopalan and Bailey serve as members of our compensation committee. Under the Nasdaq listing standards and applicable SEC rule</w:t>
      </w:r>
      <w:r>
        <w:rPr>
          <w:sz w:val="20"/>
          <w:szCs w:val="20"/>
        </w:rPr>
        <w:t>s, we are required to have at least two members of the compensation committee, all of whom must be independent. Messrs. Rajagopalan and Bailey are independent and Mr. Rajagopalan chairs the compensation committee.</w:t>
      </w:r>
    </w:p>
    <w:p w14:paraId="34954FC3" w14:textId="77777777" w:rsidR="00000000" w:rsidRDefault="00087966">
      <w:pPr>
        <w:pStyle w:val="a3"/>
        <w:spacing w:before="0" w:beforeAutospacing="0" w:after="0" w:afterAutospacing="0"/>
        <w:ind w:firstLine="360"/>
        <w:jc w:val="both"/>
        <w:divId w:val="1595479706"/>
        <w:rPr>
          <w:sz w:val="20"/>
          <w:szCs w:val="20"/>
        </w:rPr>
      </w:pPr>
      <w:r>
        <w:rPr>
          <w:sz w:val="20"/>
          <w:szCs w:val="20"/>
        </w:rPr>
        <w:t> </w:t>
      </w:r>
    </w:p>
    <w:p w14:paraId="5F21ADB3" w14:textId="77777777" w:rsidR="00000000" w:rsidRDefault="00087966">
      <w:pPr>
        <w:pStyle w:val="a3"/>
        <w:spacing w:before="0" w:beforeAutospacing="0" w:after="0" w:afterAutospacing="0"/>
        <w:ind w:firstLine="720"/>
        <w:jc w:val="both"/>
        <w:divId w:val="1595479706"/>
        <w:rPr>
          <w:sz w:val="20"/>
          <w:szCs w:val="20"/>
        </w:rPr>
      </w:pPr>
      <w:r>
        <w:rPr>
          <w:sz w:val="20"/>
          <w:szCs w:val="20"/>
        </w:rPr>
        <w:t>We have adopted a compensation committee</w:t>
      </w:r>
      <w:r>
        <w:rPr>
          <w:sz w:val="20"/>
          <w:szCs w:val="20"/>
        </w:rPr>
        <w:t xml:space="preserve"> charter, which details the principal functions of the compensation committee, including:</w:t>
      </w:r>
    </w:p>
    <w:p w14:paraId="2A119F4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73C2888" w14:textId="77777777">
        <w:trPr>
          <w:divId w:val="1595479706"/>
          <w:tblCellSpacing w:w="0" w:type="dxa"/>
        </w:trPr>
        <w:tc>
          <w:tcPr>
            <w:tcW w:w="720" w:type="dxa"/>
            <w:hideMark/>
          </w:tcPr>
          <w:p w14:paraId="0117DB7C" w14:textId="77777777" w:rsidR="00000000" w:rsidRDefault="00087966">
            <w:pPr>
              <w:rPr>
                <w:rFonts w:eastAsia="Times New Roman"/>
                <w:sz w:val="20"/>
                <w:szCs w:val="20"/>
              </w:rPr>
            </w:pPr>
            <w:r>
              <w:rPr>
                <w:rFonts w:eastAsia="Times New Roman"/>
                <w:sz w:val="20"/>
                <w:szCs w:val="20"/>
              </w:rPr>
              <w:t> </w:t>
            </w:r>
          </w:p>
        </w:tc>
        <w:tc>
          <w:tcPr>
            <w:tcW w:w="360" w:type="dxa"/>
            <w:hideMark/>
          </w:tcPr>
          <w:p w14:paraId="0B4BC71E"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5227DAC" w14:textId="77777777" w:rsidR="00000000" w:rsidRDefault="00087966">
            <w:pPr>
              <w:jc w:val="both"/>
              <w:rPr>
                <w:rFonts w:eastAsia="Times New Roman"/>
                <w:sz w:val="20"/>
                <w:szCs w:val="20"/>
              </w:rPr>
            </w:pPr>
            <w:r>
              <w:rPr>
                <w:rFonts w:eastAsia="Times New Roman"/>
                <w:sz w:val="20"/>
                <w:szCs w:val="20"/>
              </w:rPr>
              <w:t>reviewing and approving on an annual basis the corporate goals and objectives relevant to our Chief Executive Officer’s compensation, if any is paid by us, evaluating our Chief Executive Officer’s performance in light of such goals and objectives and deter</w:t>
            </w:r>
            <w:r>
              <w:rPr>
                <w:rFonts w:eastAsia="Times New Roman"/>
                <w:sz w:val="20"/>
                <w:szCs w:val="20"/>
              </w:rPr>
              <w:t>mining and approving the remuneration (if any) of our Chief Executive Officer based on such evaluation;</w:t>
            </w:r>
          </w:p>
        </w:tc>
      </w:tr>
    </w:tbl>
    <w:p w14:paraId="69EBC0FF"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1DE3D110" w14:textId="77777777">
        <w:trPr>
          <w:divId w:val="1595479706"/>
          <w:tblCellSpacing w:w="0" w:type="dxa"/>
        </w:trPr>
        <w:tc>
          <w:tcPr>
            <w:tcW w:w="720" w:type="dxa"/>
            <w:hideMark/>
          </w:tcPr>
          <w:p w14:paraId="1457DD71" w14:textId="77777777" w:rsidR="00000000" w:rsidRDefault="00087966">
            <w:pPr>
              <w:rPr>
                <w:rFonts w:eastAsia="Times New Roman"/>
                <w:sz w:val="20"/>
                <w:szCs w:val="20"/>
              </w:rPr>
            </w:pPr>
            <w:r>
              <w:rPr>
                <w:rFonts w:eastAsia="Times New Roman"/>
                <w:sz w:val="20"/>
                <w:szCs w:val="20"/>
              </w:rPr>
              <w:t> </w:t>
            </w:r>
          </w:p>
        </w:tc>
        <w:tc>
          <w:tcPr>
            <w:tcW w:w="360" w:type="dxa"/>
            <w:hideMark/>
          </w:tcPr>
          <w:p w14:paraId="09D6F39F"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164CDDC0" w14:textId="77777777" w:rsidR="00000000" w:rsidRDefault="00087966">
            <w:pPr>
              <w:jc w:val="both"/>
              <w:rPr>
                <w:rFonts w:eastAsia="Times New Roman"/>
                <w:sz w:val="20"/>
                <w:szCs w:val="20"/>
              </w:rPr>
            </w:pPr>
            <w:r>
              <w:rPr>
                <w:rFonts w:eastAsia="Times New Roman"/>
                <w:sz w:val="20"/>
                <w:szCs w:val="20"/>
              </w:rPr>
              <w:t>reviewing and approving on an annual basis the compensation, if any is paid by us, of all of our other officers;</w:t>
            </w:r>
          </w:p>
        </w:tc>
      </w:tr>
    </w:tbl>
    <w:p w14:paraId="47D82323"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85D1C2E" w14:textId="77777777">
        <w:trPr>
          <w:divId w:val="1595479706"/>
          <w:tblCellSpacing w:w="0" w:type="dxa"/>
        </w:trPr>
        <w:tc>
          <w:tcPr>
            <w:tcW w:w="720" w:type="dxa"/>
            <w:hideMark/>
          </w:tcPr>
          <w:p w14:paraId="49C8C4C4" w14:textId="77777777" w:rsidR="00000000" w:rsidRDefault="00087966">
            <w:pPr>
              <w:rPr>
                <w:rFonts w:eastAsia="Times New Roman"/>
                <w:sz w:val="20"/>
                <w:szCs w:val="20"/>
              </w:rPr>
            </w:pPr>
            <w:r>
              <w:rPr>
                <w:rFonts w:eastAsia="Times New Roman"/>
                <w:sz w:val="20"/>
                <w:szCs w:val="20"/>
              </w:rPr>
              <w:t> </w:t>
            </w:r>
          </w:p>
        </w:tc>
        <w:tc>
          <w:tcPr>
            <w:tcW w:w="360" w:type="dxa"/>
            <w:hideMark/>
          </w:tcPr>
          <w:p w14:paraId="36315EE2"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1F11C91D" w14:textId="77777777" w:rsidR="00000000" w:rsidRDefault="00087966">
            <w:pPr>
              <w:jc w:val="both"/>
              <w:rPr>
                <w:rFonts w:eastAsia="Times New Roman"/>
                <w:sz w:val="20"/>
                <w:szCs w:val="20"/>
              </w:rPr>
            </w:pPr>
            <w:r>
              <w:rPr>
                <w:rFonts w:eastAsia="Times New Roman"/>
                <w:sz w:val="20"/>
                <w:szCs w:val="20"/>
              </w:rPr>
              <w:t>reviewing on an annual ba</w:t>
            </w:r>
            <w:r>
              <w:rPr>
                <w:rFonts w:eastAsia="Times New Roman"/>
                <w:sz w:val="20"/>
                <w:szCs w:val="20"/>
              </w:rPr>
              <w:t>sis our executive compensation policies and plans;</w:t>
            </w:r>
          </w:p>
        </w:tc>
      </w:tr>
    </w:tbl>
    <w:p w14:paraId="770EBE7D"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471EAD9F" w14:textId="77777777">
        <w:trPr>
          <w:divId w:val="1595479706"/>
          <w:tblCellSpacing w:w="0" w:type="dxa"/>
        </w:trPr>
        <w:tc>
          <w:tcPr>
            <w:tcW w:w="720" w:type="dxa"/>
            <w:hideMark/>
          </w:tcPr>
          <w:p w14:paraId="0BAEC0F1" w14:textId="77777777" w:rsidR="00000000" w:rsidRDefault="00087966">
            <w:pPr>
              <w:rPr>
                <w:rFonts w:eastAsia="Times New Roman"/>
                <w:sz w:val="20"/>
                <w:szCs w:val="20"/>
              </w:rPr>
            </w:pPr>
            <w:r>
              <w:rPr>
                <w:rFonts w:eastAsia="Times New Roman"/>
                <w:sz w:val="20"/>
                <w:szCs w:val="20"/>
              </w:rPr>
              <w:t> </w:t>
            </w:r>
          </w:p>
        </w:tc>
        <w:tc>
          <w:tcPr>
            <w:tcW w:w="360" w:type="dxa"/>
            <w:hideMark/>
          </w:tcPr>
          <w:p w14:paraId="4A2C9705"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2BAA80DF" w14:textId="77777777" w:rsidR="00000000" w:rsidRDefault="00087966">
            <w:pPr>
              <w:jc w:val="both"/>
              <w:rPr>
                <w:rFonts w:eastAsia="Times New Roman"/>
                <w:sz w:val="20"/>
                <w:szCs w:val="20"/>
              </w:rPr>
            </w:pPr>
            <w:r>
              <w:rPr>
                <w:rFonts w:eastAsia="Times New Roman"/>
                <w:sz w:val="20"/>
                <w:szCs w:val="20"/>
              </w:rPr>
              <w:t>implementing and administering our incentive compensation equity-based remuneration plans;</w:t>
            </w:r>
          </w:p>
        </w:tc>
      </w:tr>
    </w:tbl>
    <w:p w14:paraId="7EF798F4"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6088F97" w14:textId="77777777">
        <w:trPr>
          <w:divId w:val="1595479706"/>
          <w:tblCellSpacing w:w="0" w:type="dxa"/>
        </w:trPr>
        <w:tc>
          <w:tcPr>
            <w:tcW w:w="720" w:type="dxa"/>
            <w:hideMark/>
          </w:tcPr>
          <w:p w14:paraId="7BB3D3EE" w14:textId="77777777" w:rsidR="00000000" w:rsidRDefault="00087966">
            <w:pPr>
              <w:rPr>
                <w:rFonts w:eastAsia="Times New Roman"/>
                <w:sz w:val="20"/>
                <w:szCs w:val="20"/>
              </w:rPr>
            </w:pPr>
            <w:r>
              <w:rPr>
                <w:rFonts w:eastAsia="Times New Roman"/>
                <w:sz w:val="20"/>
                <w:szCs w:val="20"/>
              </w:rPr>
              <w:t> </w:t>
            </w:r>
          </w:p>
        </w:tc>
        <w:tc>
          <w:tcPr>
            <w:tcW w:w="360" w:type="dxa"/>
            <w:hideMark/>
          </w:tcPr>
          <w:p w14:paraId="3CD64513"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324CE3C" w14:textId="77777777" w:rsidR="00000000" w:rsidRDefault="00087966">
            <w:pPr>
              <w:jc w:val="both"/>
              <w:rPr>
                <w:rFonts w:eastAsia="Times New Roman"/>
                <w:sz w:val="20"/>
                <w:szCs w:val="20"/>
              </w:rPr>
            </w:pPr>
            <w:r>
              <w:rPr>
                <w:rFonts w:eastAsia="Times New Roman"/>
                <w:sz w:val="20"/>
                <w:szCs w:val="20"/>
              </w:rPr>
              <w:t>assisting management in complying with our proxy statement and annual report disclosure requirements;</w:t>
            </w:r>
          </w:p>
        </w:tc>
      </w:tr>
    </w:tbl>
    <w:p w14:paraId="01796BC1"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38C105DC" w14:textId="77777777">
        <w:trPr>
          <w:divId w:val="1595479706"/>
          <w:tblCellSpacing w:w="0" w:type="dxa"/>
        </w:trPr>
        <w:tc>
          <w:tcPr>
            <w:tcW w:w="720" w:type="dxa"/>
            <w:hideMark/>
          </w:tcPr>
          <w:p w14:paraId="2A2771B4" w14:textId="77777777" w:rsidR="00000000" w:rsidRDefault="00087966">
            <w:pPr>
              <w:rPr>
                <w:rFonts w:eastAsia="Times New Roman"/>
                <w:sz w:val="20"/>
                <w:szCs w:val="20"/>
              </w:rPr>
            </w:pPr>
            <w:r>
              <w:rPr>
                <w:rFonts w:eastAsia="Times New Roman"/>
                <w:sz w:val="20"/>
                <w:szCs w:val="20"/>
              </w:rPr>
              <w:t> </w:t>
            </w:r>
          </w:p>
        </w:tc>
        <w:tc>
          <w:tcPr>
            <w:tcW w:w="360" w:type="dxa"/>
            <w:hideMark/>
          </w:tcPr>
          <w:p w14:paraId="4641CEC6"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65A652BD" w14:textId="77777777" w:rsidR="00000000" w:rsidRDefault="00087966">
            <w:pPr>
              <w:jc w:val="both"/>
              <w:rPr>
                <w:rFonts w:eastAsia="Times New Roman"/>
                <w:sz w:val="20"/>
                <w:szCs w:val="20"/>
              </w:rPr>
            </w:pPr>
            <w:r>
              <w:rPr>
                <w:rFonts w:eastAsia="Times New Roman"/>
                <w:sz w:val="20"/>
                <w:szCs w:val="20"/>
              </w:rPr>
              <w:t>approving all special perquisites, special cash payments and other special compensation and benefit arrangements for our officers and employees;</w:t>
            </w:r>
          </w:p>
        </w:tc>
      </w:tr>
    </w:tbl>
    <w:p w14:paraId="600AA3A9"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21E9BD54" w14:textId="77777777">
        <w:trPr>
          <w:divId w:val="1595479706"/>
          <w:tblCellSpacing w:w="0" w:type="dxa"/>
        </w:trPr>
        <w:tc>
          <w:tcPr>
            <w:tcW w:w="720" w:type="dxa"/>
            <w:hideMark/>
          </w:tcPr>
          <w:p w14:paraId="133562F6" w14:textId="77777777" w:rsidR="00000000" w:rsidRDefault="00087966">
            <w:pPr>
              <w:rPr>
                <w:rFonts w:eastAsia="Times New Roman"/>
                <w:sz w:val="20"/>
                <w:szCs w:val="20"/>
              </w:rPr>
            </w:pPr>
            <w:r>
              <w:rPr>
                <w:rFonts w:eastAsia="Times New Roman"/>
                <w:sz w:val="20"/>
                <w:szCs w:val="20"/>
              </w:rPr>
              <w:t> </w:t>
            </w:r>
          </w:p>
        </w:tc>
        <w:tc>
          <w:tcPr>
            <w:tcW w:w="360" w:type="dxa"/>
            <w:hideMark/>
          </w:tcPr>
          <w:p w14:paraId="022245AC"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77D783D7" w14:textId="77777777" w:rsidR="00000000" w:rsidRDefault="00087966">
            <w:pPr>
              <w:jc w:val="both"/>
              <w:rPr>
                <w:rFonts w:eastAsia="Times New Roman"/>
                <w:sz w:val="20"/>
                <w:szCs w:val="20"/>
              </w:rPr>
            </w:pPr>
            <w:r>
              <w:rPr>
                <w:rFonts w:eastAsia="Times New Roman"/>
                <w:sz w:val="20"/>
                <w:szCs w:val="20"/>
              </w:rPr>
              <w:t>if required, producing a report on executive compensation to be included in our annual proxy statement; and</w:t>
            </w:r>
          </w:p>
        </w:tc>
      </w:tr>
    </w:tbl>
    <w:p w14:paraId="1F11116A"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14:paraId="00C751C1" w14:textId="77777777">
        <w:trPr>
          <w:divId w:val="1595479706"/>
          <w:tblCellSpacing w:w="0" w:type="dxa"/>
        </w:trPr>
        <w:tc>
          <w:tcPr>
            <w:tcW w:w="720" w:type="dxa"/>
            <w:hideMark/>
          </w:tcPr>
          <w:p w14:paraId="6CD5D770" w14:textId="77777777" w:rsidR="00000000" w:rsidRDefault="00087966">
            <w:pPr>
              <w:rPr>
                <w:rFonts w:eastAsia="Times New Roman"/>
                <w:sz w:val="20"/>
                <w:szCs w:val="20"/>
              </w:rPr>
            </w:pPr>
            <w:r>
              <w:rPr>
                <w:rFonts w:eastAsia="Times New Roman"/>
                <w:sz w:val="20"/>
                <w:szCs w:val="20"/>
              </w:rPr>
              <w:t> </w:t>
            </w:r>
          </w:p>
        </w:tc>
        <w:tc>
          <w:tcPr>
            <w:tcW w:w="360" w:type="dxa"/>
            <w:hideMark/>
          </w:tcPr>
          <w:p w14:paraId="62B6CBE9"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19B99CF6" w14:textId="77777777" w:rsidR="00000000" w:rsidRDefault="00087966">
            <w:pPr>
              <w:jc w:val="both"/>
              <w:rPr>
                <w:rFonts w:eastAsia="Times New Roman"/>
                <w:sz w:val="20"/>
                <w:szCs w:val="20"/>
              </w:rPr>
            </w:pPr>
            <w:r>
              <w:rPr>
                <w:rFonts w:eastAsia="Times New Roman"/>
                <w:sz w:val="20"/>
                <w:szCs w:val="20"/>
              </w:rPr>
              <w:t>reviewing, evaluating and recommending changes, if appropriate, to the remuneration for directors.</w:t>
            </w:r>
          </w:p>
        </w:tc>
      </w:tr>
    </w:tbl>
    <w:p w14:paraId="7997F80E" w14:textId="77777777" w:rsidR="00000000" w:rsidRDefault="00087966">
      <w:pPr>
        <w:pStyle w:val="a3"/>
        <w:spacing w:before="0" w:beforeAutospacing="0" w:after="0" w:afterAutospacing="0"/>
        <w:jc w:val="both"/>
        <w:divId w:val="1595479706"/>
        <w:rPr>
          <w:sz w:val="20"/>
          <w:szCs w:val="20"/>
        </w:rPr>
      </w:pPr>
      <w:r>
        <w:rPr>
          <w:sz w:val="20"/>
          <w:szCs w:val="20"/>
        </w:rPr>
        <w:t> </w:t>
      </w:r>
    </w:p>
    <w:p w14:paraId="561431F6" w14:textId="77777777" w:rsidR="00000000" w:rsidRDefault="00087966">
      <w:pPr>
        <w:pStyle w:val="a3"/>
        <w:spacing w:before="0" w:beforeAutospacing="0" w:after="0" w:afterAutospacing="0"/>
        <w:ind w:firstLine="720"/>
        <w:jc w:val="both"/>
        <w:divId w:val="1595479706"/>
        <w:rPr>
          <w:sz w:val="20"/>
          <w:szCs w:val="20"/>
        </w:rPr>
      </w:pPr>
      <w:r>
        <w:rPr>
          <w:sz w:val="20"/>
          <w:szCs w:val="20"/>
        </w:rPr>
        <w:t>Notwithstanding the foregoing, oth</w:t>
      </w:r>
      <w:r>
        <w:rPr>
          <w:sz w:val="20"/>
          <w:szCs w:val="20"/>
        </w:rPr>
        <w:t>er than the reimbursement of expenses, no compensation of any kind, including finders, consulting or other similar fees, has been or will be paid to any of our existing stockholders, officers, directors or any of their respective affiliates, prior to, or f</w:t>
      </w:r>
      <w:r>
        <w:rPr>
          <w:sz w:val="20"/>
          <w:szCs w:val="20"/>
        </w:rPr>
        <w:t>or any services they render in order to effectuate the consummation of an initial business combination. Accordingly, it is likely that prior to the consummation of an initial business combination, the compensation committee will only be responsible for the</w:t>
      </w:r>
      <w:r>
        <w:rPr>
          <w:sz w:val="20"/>
          <w:szCs w:val="20"/>
        </w:rPr>
        <w:t xml:space="preserve"> review and recommendation of any compensation arrangements to be entered into in connection with such initial business combination.</w:t>
      </w:r>
    </w:p>
    <w:p w14:paraId="5FCD9FE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E7D4713"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The charter also provides </w:t>
      </w:r>
      <w:r>
        <w:rPr>
          <w:sz w:val="20"/>
          <w:szCs w:val="20"/>
        </w:rPr>
        <w:t>that the compensation committee may, in its sole discretion, retain or obtain the advice of a compensation consultant, legal counsel or other adviser and will be directly responsible for the appointment, compensation and oversight of the work of any such a</w:t>
      </w:r>
      <w:r>
        <w:rPr>
          <w:sz w:val="20"/>
          <w:szCs w:val="20"/>
        </w:rPr>
        <w:t>dviser. However, before engaging or receiving advice from a compensation consultant, external legal counsel or any other adviser, the compensation committee will consider the independence of each such adviser, including the factors required by Nasdaq and t</w:t>
      </w:r>
      <w:r>
        <w:rPr>
          <w:sz w:val="20"/>
          <w:szCs w:val="20"/>
        </w:rPr>
        <w:t>he SEC.</w:t>
      </w:r>
    </w:p>
    <w:p w14:paraId="571C8708"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7C7523BB" w14:textId="77777777" w:rsidR="00000000" w:rsidRDefault="00087966">
      <w:pPr>
        <w:pStyle w:val="a3"/>
        <w:spacing w:before="0" w:beforeAutospacing="0" w:after="0" w:afterAutospacing="0"/>
        <w:jc w:val="both"/>
        <w:divId w:val="1595479706"/>
        <w:rPr>
          <w:sz w:val="20"/>
          <w:szCs w:val="20"/>
        </w:rPr>
      </w:pPr>
      <w:r>
        <w:rPr>
          <w:b/>
          <w:bCs/>
          <w:sz w:val="20"/>
          <w:szCs w:val="20"/>
        </w:rPr>
        <w:t>Code of Ethics</w:t>
      </w:r>
    </w:p>
    <w:p w14:paraId="34E8B75E"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5ECF637E" w14:textId="77777777" w:rsidR="00000000" w:rsidRDefault="00087966">
      <w:pPr>
        <w:pStyle w:val="a3"/>
        <w:spacing w:before="0" w:beforeAutospacing="0" w:after="0" w:afterAutospacing="0"/>
        <w:ind w:firstLine="720"/>
        <w:jc w:val="both"/>
        <w:divId w:val="1595479706"/>
        <w:rPr>
          <w:sz w:val="20"/>
          <w:szCs w:val="20"/>
        </w:rPr>
      </w:pPr>
      <w:r>
        <w:rPr>
          <w:sz w:val="20"/>
          <w:szCs w:val="20"/>
        </w:rPr>
        <w:t>We have adopted a Code of Ethics applicable to our directors, officers and employees. We have filed a copy of our Code of Ethics and our audit and compensation committee charters as exhibits to the IPO Registration Statement. You</w:t>
      </w:r>
      <w:r>
        <w:rPr>
          <w:sz w:val="20"/>
          <w:szCs w:val="20"/>
        </w:rPr>
        <w:t xml:space="preserve"> are able to review these documents by accessing our public filings at the SEC’s web site at www.sec.gov. In addition, a copy of the Code of Ethics will be provided without charge upon request from us. We intend to disclose any amendments to or waivers of </w:t>
      </w:r>
      <w:r>
        <w:rPr>
          <w:sz w:val="20"/>
          <w:szCs w:val="20"/>
        </w:rPr>
        <w:t>certain provisions of our Code of Ethics in a Current Report on Form 8-K.</w:t>
      </w:r>
    </w:p>
    <w:p w14:paraId="5528CA8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8EDF974" w14:textId="77777777" w:rsidR="00000000" w:rsidRDefault="00087966">
      <w:pPr>
        <w:pStyle w:val="a3"/>
        <w:spacing w:before="0" w:beforeAutospacing="0" w:after="0" w:afterAutospacing="0"/>
        <w:jc w:val="center"/>
        <w:divId w:val="631983598"/>
        <w:rPr>
          <w:sz w:val="20"/>
          <w:szCs w:val="20"/>
        </w:rPr>
      </w:pPr>
      <w:r>
        <w:rPr>
          <w:sz w:val="20"/>
          <w:szCs w:val="20"/>
        </w:rPr>
        <w:t>4</w:t>
      </w:r>
      <w:r>
        <w:rPr>
          <w:sz w:val="20"/>
          <w:szCs w:val="20"/>
        </w:rPr>
        <w:t>5</w:t>
      </w:r>
    </w:p>
    <w:p w14:paraId="7C87A643" w14:textId="77777777" w:rsidR="00000000" w:rsidRDefault="00087966">
      <w:pPr>
        <w:pStyle w:val="a3"/>
        <w:spacing w:before="0" w:beforeAutospacing="0" w:after="0" w:afterAutospacing="0"/>
        <w:divId w:val="812983443"/>
        <w:rPr>
          <w:sz w:val="20"/>
          <w:szCs w:val="20"/>
        </w:rPr>
      </w:pPr>
      <w:r>
        <w:rPr>
          <w:sz w:val="20"/>
          <w:szCs w:val="20"/>
        </w:rPr>
        <w:t> </w:t>
      </w:r>
    </w:p>
    <w:p w14:paraId="7B02515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2F7AAA9" w14:textId="77777777" w:rsidR="00000000" w:rsidRDefault="00087966">
      <w:pPr>
        <w:pStyle w:val="a3"/>
        <w:spacing w:before="0" w:beforeAutospacing="0" w:after="0" w:afterAutospacing="0"/>
        <w:jc w:val="both"/>
        <w:divId w:val="1595479706"/>
        <w:rPr>
          <w:sz w:val="20"/>
          <w:szCs w:val="20"/>
        </w:rPr>
      </w:pPr>
      <w:r>
        <w:rPr>
          <w:b/>
          <w:bCs/>
          <w:sz w:val="20"/>
          <w:szCs w:val="20"/>
        </w:rPr>
        <w:t>Item 11. Executive Compensation.</w:t>
      </w:r>
    </w:p>
    <w:p w14:paraId="125ADB75" w14:textId="77777777" w:rsidR="00000000" w:rsidRDefault="00087966">
      <w:pPr>
        <w:pStyle w:val="a3"/>
        <w:spacing w:before="0" w:beforeAutospacing="0" w:after="0" w:afterAutospacing="0"/>
        <w:jc w:val="both"/>
        <w:divId w:val="1595479706"/>
        <w:rPr>
          <w:sz w:val="20"/>
          <w:szCs w:val="20"/>
        </w:rPr>
      </w:pPr>
      <w:r>
        <w:rPr>
          <w:sz w:val="20"/>
          <w:szCs w:val="20"/>
        </w:rPr>
        <w:t> </w:t>
      </w:r>
    </w:p>
    <w:p w14:paraId="42A1C49C" w14:textId="77777777" w:rsidR="00000000" w:rsidRDefault="00087966">
      <w:pPr>
        <w:pStyle w:val="a3"/>
        <w:spacing w:before="0" w:beforeAutospacing="0" w:after="0" w:afterAutospacing="0"/>
        <w:jc w:val="both"/>
        <w:divId w:val="1595479706"/>
        <w:rPr>
          <w:sz w:val="20"/>
          <w:szCs w:val="20"/>
        </w:rPr>
      </w:pPr>
      <w:r>
        <w:rPr>
          <w:b/>
          <w:bCs/>
          <w:sz w:val="20"/>
          <w:szCs w:val="20"/>
        </w:rPr>
        <w:t>Compensation Discussion and Analysis</w:t>
      </w:r>
    </w:p>
    <w:p w14:paraId="53007BD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49C123E" w14:textId="77777777" w:rsidR="00000000" w:rsidRDefault="00087966">
      <w:pPr>
        <w:pStyle w:val="a3"/>
        <w:spacing w:before="0" w:beforeAutospacing="0" w:after="0" w:afterAutospacing="0"/>
        <w:ind w:firstLine="720"/>
        <w:jc w:val="both"/>
        <w:divId w:val="1595479706"/>
        <w:rPr>
          <w:sz w:val="20"/>
          <w:szCs w:val="20"/>
        </w:rPr>
      </w:pPr>
      <w:r>
        <w:rPr>
          <w:sz w:val="20"/>
          <w:szCs w:val="20"/>
        </w:rPr>
        <w:t>None of our officers has received any cash compensation for services rendered to us. No compensatio</w:t>
      </w:r>
      <w:r>
        <w:rPr>
          <w:sz w:val="20"/>
          <w:szCs w:val="20"/>
        </w:rPr>
        <w:t>n of any kind, including any finder’s fee, reimbursement, consulting fee or monies in respect of any payment of a loan, has been or will be paid by us to our officers and directors prior to, or in connection with any services rendered in order to effectuat</w:t>
      </w:r>
      <w:r>
        <w:rPr>
          <w:sz w:val="20"/>
          <w:szCs w:val="20"/>
        </w:rPr>
        <w:t>e, the consummation of our initial business combination (regardless of the type of transaction that it is). However, these individuals are reimbursed for any out-of-pocket expenses incurred in connection with activities on our behalf such as identifying po</w:t>
      </w:r>
      <w:r>
        <w:rPr>
          <w:sz w:val="20"/>
          <w:szCs w:val="20"/>
        </w:rPr>
        <w:t xml:space="preserve">tential target businesses and performing due diligence on suitable business combinations. We do not have a policy that prohibits our sponsor, executive officers or directors, or any of their respective affiliates, from negotiating for the reimbursement of </w:t>
      </w:r>
      <w:r>
        <w:rPr>
          <w:sz w:val="20"/>
          <w:szCs w:val="20"/>
        </w:rPr>
        <w:t>out-of-pocket expenses by a target business. Our audit committee reviews on a quarterly basis all payments that were made to our sponsor, officers or directors, or our or their affiliates. Any such payments prior to an initial business combination are made</w:t>
      </w:r>
      <w:r>
        <w:rPr>
          <w:sz w:val="20"/>
          <w:szCs w:val="20"/>
        </w:rPr>
        <w:t xml:space="preserve"> using funds held outside the trust account. Other than quarterly audit committee review of such payments, we do not expect to have any additional controls in place governing our reimbursement payments to our directors and executive officers for their out-</w:t>
      </w:r>
      <w:r>
        <w:rPr>
          <w:sz w:val="20"/>
          <w:szCs w:val="20"/>
        </w:rPr>
        <w:t>of-pocket expenses incurred in connection with identifying and consummating an initial business combination.</w:t>
      </w:r>
    </w:p>
    <w:p w14:paraId="0274A94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08E8040" w14:textId="77777777" w:rsidR="00000000" w:rsidRDefault="00087966">
      <w:pPr>
        <w:pStyle w:val="a3"/>
        <w:spacing w:before="0" w:beforeAutospacing="0" w:after="0" w:afterAutospacing="0"/>
        <w:ind w:firstLine="720"/>
        <w:jc w:val="both"/>
        <w:divId w:val="1595479706"/>
        <w:rPr>
          <w:sz w:val="20"/>
          <w:szCs w:val="20"/>
        </w:rPr>
      </w:pPr>
      <w:r>
        <w:rPr>
          <w:sz w:val="20"/>
          <w:szCs w:val="20"/>
        </w:rPr>
        <w:t>After the completion of our initial business combination, directors or members of our management team who remain with us may be paid consulting o</w:t>
      </w:r>
      <w:r>
        <w:rPr>
          <w:sz w:val="20"/>
          <w:szCs w:val="20"/>
        </w:rPr>
        <w:t>r management fees from the combined company. All of these fees will be fully disclosed to stockholders, to the extent then known, in the proxy solicitation materials or tender offer documents furnished to our stockholders in connection with a proposed init</w:t>
      </w:r>
      <w:r>
        <w:rPr>
          <w:sz w:val="20"/>
          <w:szCs w:val="20"/>
        </w:rPr>
        <w:t>ial business combination. We have not established any limit on the amount of such fees that may be paid by the combined company to our directors or members of management. It is unlikely the amount of such compensation will be known at the time of the propo</w:t>
      </w:r>
      <w:r>
        <w:rPr>
          <w:sz w:val="20"/>
          <w:szCs w:val="20"/>
        </w:rPr>
        <w:t>sed initial business combination, because the directors of the post-combination business will be responsible for determining officer and director compensation. Any compensation to be paid to our officers will be determined, or recommended to the board of d</w:t>
      </w:r>
      <w:r>
        <w:rPr>
          <w:sz w:val="20"/>
          <w:szCs w:val="20"/>
        </w:rPr>
        <w:t>irectors for determination, either by a compensation committee constituted solely by independent directors or by a majority of the independent directors on our board of directors.</w:t>
      </w:r>
    </w:p>
    <w:p w14:paraId="05DAFC5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D0F14A2" w14:textId="77777777" w:rsidR="00000000" w:rsidRDefault="00087966">
      <w:pPr>
        <w:pStyle w:val="a3"/>
        <w:spacing w:before="0" w:beforeAutospacing="0" w:after="0" w:afterAutospacing="0"/>
        <w:ind w:firstLine="720"/>
        <w:jc w:val="both"/>
        <w:divId w:val="1595479706"/>
        <w:rPr>
          <w:sz w:val="20"/>
          <w:szCs w:val="20"/>
        </w:rPr>
      </w:pPr>
      <w:r>
        <w:rPr>
          <w:sz w:val="20"/>
          <w:szCs w:val="20"/>
        </w:rPr>
        <w:t>We do not intend to take any action to ensure that members of our manageme</w:t>
      </w:r>
      <w:r>
        <w:rPr>
          <w:sz w:val="20"/>
          <w:szCs w:val="20"/>
        </w:rPr>
        <w:t xml:space="preserve">nt team maintain their positions with us after the consummation of our initial business combination, including with respect to the Near Business Combination (other than Mini Krishnamoorthy remaining as a director), although it is possible that some or all </w:t>
      </w:r>
      <w:r>
        <w:rPr>
          <w:sz w:val="20"/>
          <w:szCs w:val="20"/>
        </w:rPr>
        <w:t>of our officers and directors may negotiate employment or consulting arrangements to remain with us after our initial business combination. The existence or terms of any such employment or consulting arrangements to retain their positions with us may influ</w:t>
      </w:r>
      <w:r>
        <w:rPr>
          <w:sz w:val="20"/>
          <w:szCs w:val="20"/>
        </w:rPr>
        <w:t>ence our management’s motivation in identifying or selecting a target business but we do not believe that the ability of our management to remain with us after the consummation of our initial business combination will be a determining factor in our decisio</w:t>
      </w:r>
      <w:r>
        <w:rPr>
          <w:sz w:val="20"/>
          <w:szCs w:val="20"/>
        </w:rPr>
        <w:t>n to proceed with any potential business combination. We are not party to any agreements with our officers and directors that provide for benefits upon termination of employment.</w:t>
      </w:r>
    </w:p>
    <w:p w14:paraId="069756D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6EAE3E5" w14:textId="77777777" w:rsidR="00000000" w:rsidRDefault="00087966">
      <w:pPr>
        <w:pStyle w:val="a3"/>
        <w:spacing w:before="0" w:beforeAutospacing="0" w:after="0" w:afterAutospacing="0"/>
        <w:divId w:val="1595479706"/>
        <w:rPr>
          <w:sz w:val="20"/>
          <w:szCs w:val="20"/>
        </w:rPr>
      </w:pPr>
      <w:r>
        <w:rPr>
          <w:b/>
          <w:bCs/>
          <w:sz w:val="20"/>
          <w:szCs w:val="20"/>
        </w:rPr>
        <w:t>Item 12. Security Ownership of Certain Beneficial Owners and Management and</w:t>
      </w:r>
      <w:r>
        <w:rPr>
          <w:b/>
          <w:bCs/>
          <w:sz w:val="20"/>
          <w:szCs w:val="20"/>
        </w:rPr>
        <w:t xml:space="preserve"> Related Stockholder Matters.</w:t>
      </w:r>
    </w:p>
    <w:p w14:paraId="2C35C313" w14:textId="77777777" w:rsidR="00000000" w:rsidRDefault="00087966">
      <w:pPr>
        <w:pStyle w:val="a3"/>
        <w:spacing w:before="0" w:beforeAutospacing="0" w:after="0" w:afterAutospacing="0"/>
        <w:jc w:val="both"/>
        <w:divId w:val="1595479706"/>
        <w:rPr>
          <w:sz w:val="20"/>
          <w:szCs w:val="20"/>
        </w:rPr>
      </w:pPr>
      <w:r>
        <w:rPr>
          <w:sz w:val="20"/>
          <w:szCs w:val="20"/>
        </w:rPr>
        <w:t> </w:t>
      </w:r>
    </w:p>
    <w:p w14:paraId="2589858C" w14:textId="77777777" w:rsidR="00000000" w:rsidRDefault="00087966">
      <w:pPr>
        <w:pStyle w:val="a3"/>
        <w:spacing w:before="0" w:beforeAutospacing="0" w:after="0" w:afterAutospacing="0"/>
        <w:ind w:firstLine="720"/>
        <w:jc w:val="both"/>
        <w:divId w:val="1595479706"/>
        <w:rPr>
          <w:sz w:val="20"/>
          <w:szCs w:val="20"/>
        </w:rPr>
      </w:pPr>
      <w:r>
        <w:rPr>
          <w:sz w:val="20"/>
          <w:szCs w:val="20"/>
        </w:rPr>
        <w:t>The following table sets forth information regarding the beneficial ownership of our common stock as of March 14, 2023 based on information obtained from the persons named below, with respect to the beneficial ownership of c</w:t>
      </w:r>
      <w:r>
        <w:rPr>
          <w:sz w:val="20"/>
          <w:szCs w:val="20"/>
        </w:rPr>
        <w:t>ommon stock, by:</w:t>
      </w:r>
    </w:p>
    <w:p w14:paraId="27D516F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259D5F25" w14:textId="77777777">
        <w:trPr>
          <w:divId w:val="1595479706"/>
        </w:trPr>
        <w:tc>
          <w:tcPr>
            <w:tcW w:w="720" w:type="dxa"/>
            <w:hideMark/>
          </w:tcPr>
          <w:p w14:paraId="34DDCF2D"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3C61D0F5"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0F9A1828" w14:textId="77777777" w:rsidR="00000000" w:rsidRDefault="00087966">
            <w:pPr>
              <w:jc w:val="both"/>
              <w:rPr>
                <w:rFonts w:eastAsia="Times New Roman"/>
                <w:sz w:val="20"/>
                <w:szCs w:val="20"/>
              </w:rPr>
            </w:pPr>
            <w:r>
              <w:rPr>
                <w:rFonts w:eastAsia="Times New Roman"/>
                <w:sz w:val="20"/>
                <w:szCs w:val="20"/>
              </w:rPr>
              <w:t>each person known by us to be the beneficial owner of more than 5% of our outstanding common stock;</w:t>
            </w:r>
          </w:p>
        </w:tc>
      </w:tr>
    </w:tbl>
    <w:p w14:paraId="2157D327"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5760AB6C" w14:textId="77777777">
        <w:trPr>
          <w:divId w:val="1595479706"/>
        </w:trPr>
        <w:tc>
          <w:tcPr>
            <w:tcW w:w="720" w:type="dxa"/>
            <w:hideMark/>
          </w:tcPr>
          <w:p w14:paraId="414C484C"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267E703D"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5BA4ABD3" w14:textId="77777777" w:rsidR="00000000" w:rsidRDefault="00087966">
            <w:pPr>
              <w:jc w:val="both"/>
              <w:rPr>
                <w:rFonts w:eastAsia="Times New Roman"/>
                <w:sz w:val="20"/>
                <w:szCs w:val="20"/>
              </w:rPr>
            </w:pPr>
            <w:r>
              <w:rPr>
                <w:rFonts w:eastAsia="Times New Roman"/>
                <w:sz w:val="20"/>
                <w:szCs w:val="20"/>
              </w:rPr>
              <w:t>each of our executive officers and directors that beneficially owns our common stock; and</w:t>
            </w:r>
          </w:p>
        </w:tc>
      </w:tr>
    </w:tbl>
    <w:p w14:paraId="329D2C0C"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60EE41C4" w14:textId="77777777">
        <w:trPr>
          <w:divId w:val="1595479706"/>
        </w:trPr>
        <w:tc>
          <w:tcPr>
            <w:tcW w:w="720" w:type="dxa"/>
            <w:hideMark/>
          </w:tcPr>
          <w:p w14:paraId="52AF8BB8"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338FF6FF" w14:textId="77777777" w:rsidR="00000000" w:rsidRDefault="00087966">
            <w:pPr>
              <w:jc w:val="both"/>
              <w:rPr>
                <w:rFonts w:eastAsia="Times New Roman"/>
                <w:sz w:val="20"/>
                <w:szCs w:val="20"/>
              </w:rPr>
            </w:pPr>
            <w:r>
              <w:rPr>
                <w:rFonts w:eastAsia="Times New Roman"/>
                <w:sz w:val="20"/>
                <w:szCs w:val="20"/>
              </w:rPr>
              <w:t>●</w:t>
            </w:r>
          </w:p>
        </w:tc>
        <w:tc>
          <w:tcPr>
            <w:tcW w:w="0" w:type="auto"/>
            <w:hideMark/>
          </w:tcPr>
          <w:p w14:paraId="350376B8" w14:textId="77777777" w:rsidR="00000000" w:rsidRDefault="00087966">
            <w:pPr>
              <w:jc w:val="both"/>
              <w:rPr>
                <w:rFonts w:eastAsia="Times New Roman"/>
                <w:sz w:val="20"/>
                <w:szCs w:val="20"/>
              </w:rPr>
            </w:pPr>
            <w:r>
              <w:rPr>
                <w:rFonts w:eastAsia="Times New Roman"/>
                <w:sz w:val="20"/>
                <w:szCs w:val="20"/>
              </w:rPr>
              <w:t>all our executive officers and directors as a group.</w:t>
            </w:r>
          </w:p>
        </w:tc>
      </w:tr>
    </w:tbl>
    <w:p w14:paraId="2F5DDCA3" w14:textId="77777777" w:rsidR="00000000" w:rsidRDefault="00087966">
      <w:pPr>
        <w:pStyle w:val="a3"/>
        <w:spacing w:before="0" w:beforeAutospacing="0" w:after="0" w:afterAutospacing="0"/>
        <w:jc w:val="both"/>
        <w:divId w:val="1595479706"/>
        <w:rPr>
          <w:sz w:val="20"/>
          <w:szCs w:val="20"/>
        </w:rPr>
      </w:pPr>
      <w:r>
        <w:rPr>
          <w:sz w:val="20"/>
          <w:szCs w:val="20"/>
        </w:rPr>
        <w:t> </w:t>
      </w:r>
    </w:p>
    <w:p w14:paraId="3EE62A4A" w14:textId="77777777" w:rsidR="00000000" w:rsidRDefault="00087966">
      <w:pPr>
        <w:pStyle w:val="a3"/>
        <w:spacing w:before="0" w:beforeAutospacing="0" w:after="0" w:afterAutospacing="0"/>
        <w:ind w:firstLine="720"/>
        <w:jc w:val="both"/>
        <w:divId w:val="1595479706"/>
        <w:rPr>
          <w:sz w:val="20"/>
          <w:szCs w:val="20"/>
        </w:rPr>
      </w:pPr>
      <w:r>
        <w:rPr>
          <w:sz w:val="20"/>
          <w:szCs w:val="20"/>
        </w:rPr>
        <w:t>In the table below, percentage ownership is based on 4,930,364 shares of our common stock, consisting o</w:t>
      </w:r>
      <w:r>
        <w:rPr>
          <w:sz w:val="20"/>
          <w:szCs w:val="20"/>
        </w:rPr>
        <w:t>f (i) 617,864 shares of our Class A common stock and (ii) 4,312,500 shares of our Class B common stock, issued and outstanding as of March 14, 2023. On all matters to be voted upon, except for the election of directors of the board, holders of the shares o</w:t>
      </w:r>
      <w:r>
        <w:rPr>
          <w:sz w:val="20"/>
          <w:szCs w:val="20"/>
        </w:rPr>
        <w:t>f Class A common stock and shares of Class B common stock vote together as a single class. Currently, all of the shares of Class B common stock are convertible into Class A common stock on a one-for-one basis.</w:t>
      </w:r>
    </w:p>
    <w:p w14:paraId="1EF120E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38793A9" w14:textId="77777777" w:rsidR="00000000" w:rsidRDefault="00087966">
      <w:pPr>
        <w:pStyle w:val="a3"/>
        <w:spacing w:before="0" w:beforeAutospacing="0" w:after="0" w:afterAutospacing="0"/>
        <w:jc w:val="center"/>
        <w:divId w:val="2063868679"/>
        <w:rPr>
          <w:sz w:val="20"/>
          <w:szCs w:val="20"/>
        </w:rPr>
      </w:pPr>
      <w:r>
        <w:rPr>
          <w:sz w:val="20"/>
          <w:szCs w:val="20"/>
        </w:rPr>
        <w:t>4</w:t>
      </w:r>
      <w:r>
        <w:rPr>
          <w:sz w:val="20"/>
          <w:szCs w:val="20"/>
        </w:rPr>
        <w:t>6</w:t>
      </w:r>
    </w:p>
    <w:p w14:paraId="23388327" w14:textId="77777777" w:rsidR="00000000" w:rsidRDefault="00087966">
      <w:pPr>
        <w:pStyle w:val="a3"/>
        <w:spacing w:before="0" w:beforeAutospacing="0" w:after="0" w:afterAutospacing="0"/>
        <w:divId w:val="1619875422"/>
        <w:rPr>
          <w:sz w:val="20"/>
          <w:szCs w:val="20"/>
        </w:rPr>
      </w:pPr>
      <w:r>
        <w:rPr>
          <w:sz w:val="20"/>
          <w:szCs w:val="20"/>
        </w:rPr>
        <w:t> </w:t>
      </w:r>
    </w:p>
    <w:p w14:paraId="4A0C30F4" w14:textId="77777777" w:rsidR="00000000" w:rsidRDefault="00087966">
      <w:pPr>
        <w:pStyle w:val="a3"/>
        <w:spacing w:before="0" w:beforeAutospacing="0" w:after="0" w:afterAutospacing="0"/>
        <w:jc w:val="both"/>
        <w:divId w:val="1595479706"/>
        <w:rPr>
          <w:sz w:val="20"/>
          <w:szCs w:val="20"/>
        </w:rPr>
      </w:pPr>
      <w:r>
        <w:rPr>
          <w:sz w:val="20"/>
          <w:szCs w:val="20"/>
        </w:rPr>
        <w:t> </w:t>
      </w:r>
    </w:p>
    <w:p w14:paraId="50BEECE9" w14:textId="77777777" w:rsidR="00000000" w:rsidRDefault="00087966">
      <w:pPr>
        <w:pStyle w:val="a3"/>
        <w:spacing w:before="0" w:beforeAutospacing="0" w:after="0" w:afterAutospacing="0"/>
        <w:ind w:firstLine="720"/>
        <w:jc w:val="both"/>
        <w:divId w:val="1595479706"/>
        <w:rPr>
          <w:sz w:val="20"/>
          <w:szCs w:val="20"/>
        </w:rPr>
      </w:pPr>
      <w:r>
        <w:rPr>
          <w:sz w:val="20"/>
          <w:szCs w:val="20"/>
        </w:rPr>
        <w:t>Unless otherwise indicated, we believe that all persons named in the table have sole voting and investment power with respect to all shares of common stock beneficially owned by them. The following table does not reflect record or beneficial ownership of t</w:t>
      </w:r>
      <w:r>
        <w:rPr>
          <w:sz w:val="20"/>
          <w:szCs w:val="20"/>
        </w:rPr>
        <w:t>he private placement warrants as these warrants are not exercisable within 60 days of the date of this Report.</w:t>
      </w:r>
    </w:p>
    <w:p w14:paraId="4793928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892"/>
        <w:gridCol w:w="50"/>
        <w:gridCol w:w="100"/>
        <w:gridCol w:w="900"/>
        <w:gridCol w:w="50"/>
        <w:gridCol w:w="50"/>
        <w:gridCol w:w="114"/>
        <w:gridCol w:w="1020"/>
        <w:gridCol w:w="234"/>
        <w:gridCol w:w="50"/>
        <w:gridCol w:w="100"/>
        <w:gridCol w:w="900"/>
        <w:gridCol w:w="50"/>
        <w:gridCol w:w="50"/>
        <w:gridCol w:w="114"/>
        <w:gridCol w:w="1020"/>
        <w:gridCol w:w="167"/>
        <w:gridCol w:w="50"/>
        <w:gridCol w:w="117"/>
        <w:gridCol w:w="1044"/>
        <w:gridCol w:w="234"/>
      </w:tblGrid>
      <w:tr w:rsidR="00000000" w14:paraId="4F62B3DB" w14:textId="77777777">
        <w:trPr>
          <w:divId w:val="1595479706"/>
        </w:trPr>
        <w:tc>
          <w:tcPr>
            <w:tcW w:w="0" w:type="auto"/>
            <w:vAlign w:val="bottom"/>
            <w:hideMark/>
          </w:tcPr>
          <w:p w14:paraId="0369A78E" w14:textId="77777777" w:rsidR="00000000" w:rsidRDefault="0008796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74DA9E3" w14:textId="77777777" w:rsidR="00000000" w:rsidRDefault="00087966">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97B1EE3" w14:textId="77777777" w:rsidR="00000000" w:rsidRDefault="00087966">
            <w:pPr>
              <w:jc w:val="center"/>
              <w:rPr>
                <w:rFonts w:eastAsia="Times New Roman"/>
                <w:b/>
                <w:bCs/>
                <w:sz w:val="20"/>
                <w:szCs w:val="20"/>
              </w:rPr>
            </w:pPr>
            <w:r>
              <w:rPr>
                <w:rFonts w:eastAsia="Times New Roman"/>
                <w:b/>
                <w:bCs/>
                <w:sz w:val="20"/>
                <w:szCs w:val="20"/>
              </w:rPr>
              <w:t>Class A</w:t>
            </w:r>
            <w:r>
              <w:rPr>
                <w:rFonts w:eastAsia="Times New Roman"/>
                <w:b/>
                <w:bCs/>
                <w:sz w:val="20"/>
                <w:szCs w:val="20"/>
              </w:rPr>
              <w:br/>
              <w:t>Common Stock</w:t>
            </w:r>
          </w:p>
        </w:tc>
        <w:tc>
          <w:tcPr>
            <w:tcW w:w="0" w:type="auto"/>
            <w:tcMar>
              <w:top w:w="0" w:type="dxa"/>
              <w:left w:w="0" w:type="dxa"/>
              <w:bottom w:w="30" w:type="dxa"/>
              <w:right w:w="0" w:type="dxa"/>
            </w:tcMar>
            <w:vAlign w:val="bottom"/>
            <w:hideMark/>
          </w:tcPr>
          <w:p w14:paraId="135CD7DD"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BD1F440" w14:textId="77777777" w:rsidR="00000000" w:rsidRDefault="00087966">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0943994" w14:textId="77777777" w:rsidR="00000000" w:rsidRDefault="00087966">
            <w:pPr>
              <w:jc w:val="center"/>
              <w:rPr>
                <w:rFonts w:eastAsia="Times New Roman"/>
                <w:b/>
                <w:bCs/>
                <w:sz w:val="20"/>
                <w:szCs w:val="20"/>
              </w:rPr>
            </w:pPr>
            <w:r>
              <w:rPr>
                <w:rFonts w:eastAsia="Times New Roman"/>
                <w:b/>
                <w:bCs/>
                <w:sz w:val="20"/>
                <w:szCs w:val="20"/>
              </w:rPr>
              <w:t>Class B</w:t>
            </w:r>
            <w:r>
              <w:rPr>
                <w:rFonts w:eastAsia="Times New Roman"/>
                <w:b/>
                <w:bCs/>
                <w:sz w:val="20"/>
                <w:szCs w:val="20"/>
              </w:rPr>
              <w:br/>
              <w:t>Common Stock</w:t>
            </w:r>
          </w:p>
        </w:tc>
        <w:tc>
          <w:tcPr>
            <w:tcW w:w="0" w:type="auto"/>
            <w:tcMar>
              <w:top w:w="0" w:type="dxa"/>
              <w:left w:w="0" w:type="dxa"/>
              <w:bottom w:w="30" w:type="dxa"/>
              <w:right w:w="0" w:type="dxa"/>
            </w:tcMar>
            <w:vAlign w:val="bottom"/>
            <w:hideMark/>
          </w:tcPr>
          <w:p w14:paraId="0171C633"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4CD4781"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vAlign w:val="bottom"/>
            <w:hideMark/>
          </w:tcPr>
          <w:p w14:paraId="523CE373" w14:textId="77777777" w:rsidR="00000000" w:rsidRDefault="00087966">
            <w:pPr>
              <w:jc w:val="center"/>
              <w:rPr>
                <w:rFonts w:eastAsia="Times New Roman"/>
                <w:b/>
                <w:bCs/>
                <w:sz w:val="20"/>
                <w:szCs w:val="20"/>
              </w:rPr>
            </w:pPr>
            <w:r>
              <w:rPr>
                <w:rFonts w:eastAsia="Times New Roman"/>
                <w:b/>
                <w:bCs/>
                <w:sz w:val="20"/>
                <w:szCs w:val="20"/>
              </w:rPr>
              <w:t>Approximate</w:t>
            </w:r>
          </w:p>
        </w:tc>
        <w:tc>
          <w:tcPr>
            <w:tcW w:w="0" w:type="auto"/>
            <w:tcMar>
              <w:top w:w="0" w:type="dxa"/>
              <w:left w:w="0" w:type="dxa"/>
              <w:bottom w:w="30" w:type="dxa"/>
              <w:right w:w="0" w:type="dxa"/>
            </w:tcMar>
            <w:vAlign w:val="bottom"/>
            <w:hideMark/>
          </w:tcPr>
          <w:p w14:paraId="04EE91F9" w14:textId="77777777" w:rsidR="00000000" w:rsidRDefault="00087966">
            <w:pPr>
              <w:rPr>
                <w:rFonts w:eastAsia="Times New Roman"/>
                <w:b/>
                <w:bCs/>
                <w:sz w:val="20"/>
                <w:szCs w:val="20"/>
              </w:rPr>
            </w:pPr>
            <w:r>
              <w:rPr>
                <w:rFonts w:eastAsia="Times New Roman"/>
                <w:b/>
                <w:bCs/>
                <w:sz w:val="20"/>
                <w:szCs w:val="20"/>
              </w:rPr>
              <w:t> </w:t>
            </w:r>
          </w:p>
        </w:tc>
      </w:tr>
      <w:tr w:rsidR="00000000" w14:paraId="3B5D08F8" w14:textId="77777777">
        <w:trPr>
          <w:divId w:val="1595479706"/>
        </w:trPr>
        <w:tc>
          <w:tcPr>
            <w:tcW w:w="0" w:type="auto"/>
            <w:tcBorders>
              <w:bottom w:val="single" w:sz="12" w:space="0" w:color="000000"/>
            </w:tcBorders>
            <w:vAlign w:val="bottom"/>
            <w:hideMark/>
          </w:tcPr>
          <w:p w14:paraId="189AAD75" w14:textId="77777777" w:rsidR="00000000" w:rsidRDefault="00087966">
            <w:pPr>
              <w:rPr>
                <w:rFonts w:eastAsia="Times New Roman"/>
                <w:b/>
                <w:bCs/>
                <w:sz w:val="20"/>
                <w:szCs w:val="20"/>
              </w:rPr>
            </w:pPr>
            <w:r>
              <w:rPr>
                <w:rFonts w:eastAsia="Times New Roman"/>
                <w:b/>
                <w:bCs/>
                <w:sz w:val="20"/>
                <w:szCs w:val="20"/>
              </w:rPr>
              <w:t>Name and Address of Beneficial Owner (1)</w:t>
            </w:r>
          </w:p>
        </w:tc>
        <w:tc>
          <w:tcPr>
            <w:tcW w:w="0" w:type="auto"/>
            <w:tcMar>
              <w:top w:w="0" w:type="dxa"/>
              <w:left w:w="0" w:type="dxa"/>
              <w:bottom w:w="30" w:type="dxa"/>
              <w:right w:w="0" w:type="dxa"/>
            </w:tcMar>
            <w:vAlign w:val="bottom"/>
            <w:hideMark/>
          </w:tcPr>
          <w:p w14:paraId="00FD0D44"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6F2A02E" w14:textId="77777777" w:rsidR="00000000" w:rsidRDefault="00087966">
            <w:pPr>
              <w:jc w:val="center"/>
              <w:rPr>
                <w:rFonts w:eastAsia="Times New Roman"/>
                <w:b/>
                <w:bCs/>
                <w:sz w:val="20"/>
                <w:szCs w:val="20"/>
              </w:rPr>
            </w:pPr>
            <w:r>
              <w:rPr>
                <w:rFonts w:eastAsia="Times New Roman"/>
                <w:b/>
                <w:bCs/>
                <w:sz w:val="20"/>
                <w:szCs w:val="20"/>
              </w:rPr>
              <w:t>Number of Shares</w:t>
            </w:r>
            <w:r>
              <w:rPr>
                <w:rFonts w:eastAsia="Times New Roman"/>
                <w:b/>
                <w:bCs/>
                <w:sz w:val="20"/>
                <w:szCs w:val="20"/>
              </w:rPr>
              <w:br/>
              <w:t>Beneficially</w:t>
            </w:r>
            <w:r>
              <w:rPr>
                <w:rFonts w:eastAsia="Times New Roman"/>
                <w:b/>
                <w:bCs/>
                <w:sz w:val="20"/>
                <w:szCs w:val="20"/>
              </w:rPr>
              <w:br/>
              <w:t>Owned</w:t>
            </w:r>
          </w:p>
        </w:tc>
        <w:tc>
          <w:tcPr>
            <w:tcW w:w="0" w:type="auto"/>
            <w:tcMar>
              <w:top w:w="0" w:type="dxa"/>
              <w:left w:w="0" w:type="dxa"/>
              <w:bottom w:w="30" w:type="dxa"/>
              <w:right w:w="0" w:type="dxa"/>
            </w:tcMar>
            <w:vAlign w:val="bottom"/>
            <w:hideMark/>
          </w:tcPr>
          <w:p w14:paraId="24F7BA36"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EAF831E"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4601C2" w14:textId="77777777" w:rsidR="00000000" w:rsidRDefault="00087966">
            <w:pPr>
              <w:jc w:val="center"/>
              <w:rPr>
                <w:rFonts w:eastAsia="Times New Roman"/>
                <w:b/>
                <w:bCs/>
                <w:sz w:val="20"/>
                <w:szCs w:val="20"/>
              </w:rPr>
            </w:pPr>
            <w:r>
              <w:rPr>
                <w:rFonts w:eastAsia="Times New Roman"/>
                <w:b/>
                <w:bCs/>
                <w:sz w:val="20"/>
                <w:szCs w:val="20"/>
              </w:rPr>
              <w:t>Approximate</w:t>
            </w:r>
            <w:r>
              <w:rPr>
                <w:rFonts w:eastAsia="Times New Roman"/>
                <w:b/>
                <w:bCs/>
                <w:sz w:val="20"/>
                <w:szCs w:val="20"/>
              </w:rPr>
              <w:br/>
              <w:t>Percentage</w:t>
            </w:r>
            <w:r>
              <w:rPr>
                <w:rFonts w:eastAsia="Times New Roman"/>
                <w:b/>
                <w:bCs/>
                <w:sz w:val="20"/>
                <w:szCs w:val="20"/>
              </w:rPr>
              <w:br/>
              <w:t>of Class</w:t>
            </w:r>
          </w:p>
        </w:tc>
        <w:tc>
          <w:tcPr>
            <w:tcW w:w="0" w:type="auto"/>
            <w:tcMar>
              <w:top w:w="0" w:type="dxa"/>
              <w:left w:w="0" w:type="dxa"/>
              <w:bottom w:w="30" w:type="dxa"/>
              <w:right w:w="0" w:type="dxa"/>
            </w:tcMar>
            <w:vAlign w:val="bottom"/>
            <w:hideMark/>
          </w:tcPr>
          <w:p w14:paraId="1EBE4832"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4E45C0B"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7ABB61D" w14:textId="77777777" w:rsidR="00000000" w:rsidRDefault="00087966">
            <w:pPr>
              <w:jc w:val="center"/>
              <w:rPr>
                <w:rFonts w:eastAsia="Times New Roman"/>
                <w:b/>
                <w:bCs/>
                <w:sz w:val="20"/>
                <w:szCs w:val="20"/>
              </w:rPr>
            </w:pPr>
            <w:r>
              <w:rPr>
                <w:rFonts w:eastAsia="Times New Roman"/>
                <w:b/>
                <w:bCs/>
                <w:sz w:val="20"/>
                <w:szCs w:val="20"/>
              </w:rPr>
              <w:t>Number of Shares</w:t>
            </w:r>
            <w:r>
              <w:rPr>
                <w:rFonts w:eastAsia="Times New Roman"/>
                <w:b/>
                <w:bCs/>
                <w:sz w:val="20"/>
                <w:szCs w:val="20"/>
              </w:rPr>
              <w:br/>
              <w:t>Beneficially</w:t>
            </w:r>
            <w:r>
              <w:rPr>
                <w:rFonts w:eastAsia="Times New Roman"/>
                <w:b/>
                <w:bCs/>
                <w:sz w:val="20"/>
                <w:szCs w:val="20"/>
              </w:rPr>
              <w:br/>
              <w:t>Owned(2)</w:t>
            </w:r>
          </w:p>
        </w:tc>
        <w:tc>
          <w:tcPr>
            <w:tcW w:w="0" w:type="auto"/>
            <w:tcMar>
              <w:top w:w="0" w:type="dxa"/>
              <w:left w:w="0" w:type="dxa"/>
              <w:bottom w:w="30" w:type="dxa"/>
              <w:right w:w="0" w:type="dxa"/>
            </w:tcMar>
            <w:vAlign w:val="bottom"/>
            <w:hideMark/>
          </w:tcPr>
          <w:p w14:paraId="21763F25"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061224B"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96D6566" w14:textId="77777777" w:rsidR="00000000" w:rsidRDefault="00087966">
            <w:pPr>
              <w:jc w:val="center"/>
              <w:rPr>
                <w:rFonts w:eastAsia="Times New Roman"/>
                <w:b/>
                <w:bCs/>
                <w:sz w:val="20"/>
                <w:szCs w:val="20"/>
              </w:rPr>
            </w:pPr>
            <w:r>
              <w:rPr>
                <w:rFonts w:eastAsia="Times New Roman"/>
                <w:b/>
                <w:bCs/>
                <w:sz w:val="20"/>
                <w:szCs w:val="20"/>
              </w:rPr>
              <w:t>Approximate</w:t>
            </w:r>
            <w:r>
              <w:rPr>
                <w:rFonts w:eastAsia="Times New Roman"/>
                <w:b/>
                <w:bCs/>
                <w:sz w:val="20"/>
                <w:szCs w:val="20"/>
              </w:rPr>
              <w:br/>
              <w:t>Percentage</w:t>
            </w:r>
            <w:r>
              <w:rPr>
                <w:rFonts w:eastAsia="Times New Roman"/>
                <w:b/>
                <w:bCs/>
                <w:sz w:val="20"/>
                <w:szCs w:val="20"/>
              </w:rPr>
              <w:br/>
              <w:t>of Class</w:t>
            </w:r>
          </w:p>
        </w:tc>
        <w:tc>
          <w:tcPr>
            <w:tcW w:w="0" w:type="auto"/>
            <w:tcMar>
              <w:top w:w="0" w:type="dxa"/>
              <w:left w:w="0" w:type="dxa"/>
              <w:bottom w:w="30" w:type="dxa"/>
              <w:right w:w="0" w:type="dxa"/>
            </w:tcMar>
            <w:vAlign w:val="bottom"/>
            <w:hideMark/>
          </w:tcPr>
          <w:p w14:paraId="34D7BED7"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3C10E34"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4AC166" w14:textId="77777777" w:rsidR="00000000" w:rsidRDefault="00087966">
            <w:pPr>
              <w:jc w:val="center"/>
              <w:rPr>
                <w:rFonts w:eastAsia="Times New Roman"/>
                <w:b/>
                <w:bCs/>
                <w:sz w:val="20"/>
                <w:szCs w:val="20"/>
              </w:rPr>
            </w:pPr>
            <w:r>
              <w:rPr>
                <w:rFonts w:eastAsia="Times New Roman"/>
                <w:b/>
                <w:bCs/>
                <w:sz w:val="20"/>
                <w:szCs w:val="20"/>
              </w:rPr>
              <w:t>Percentage of</w:t>
            </w:r>
            <w:r>
              <w:rPr>
                <w:rFonts w:eastAsia="Times New Roman"/>
                <w:b/>
                <w:bCs/>
                <w:sz w:val="20"/>
                <w:szCs w:val="20"/>
              </w:rPr>
              <w:br/>
              <w:t>Outstanding</w:t>
            </w:r>
            <w:r>
              <w:rPr>
                <w:rFonts w:eastAsia="Times New Roman"/>
                <w:b/>
                <w:bCs/>
                <w:sz w:val="20"/>
                <w:szCs w:val="20"/>
              </w:rPr>
              <w:br/>
              <w:t>Shares of Common Stock</w:t>
            </w:r>
          </w:p>
        </w:tc>
        <w:tc>
          <w:tcPr>
            <w:tcW w:w="0" w:type="auto"/>
            <w:tcMar>
              <w:top w:w="0" w:type="dxa"/>
              <w:left w:w="0" w:type="dxa"/>
              <w:bottom w:w="30" w:type="dxa"/>
              <w:right w:w="0" w:type="dxa"/>
            </w:tcMar>
            <w:vAlign w:val="bottom"/>
            <w:hideMark/>
          </w:tcPr>
          <w:p w14:paraId="3EEA3E19" w14:textId="77777777" w:rsidR="00000000" w:rsidRDefault="00087966">
            <w:pPr>
              <w:rPr>
                <w:rFonts w:eastAsia="Times New Roman"/>
                <w:b/>
                <w:bCs/>
                <w:sz w:val="20"/>
                <w:szCs w:val="20"/>
              </w:rPr>
            </w:pPr>
            <w:r>
              <w:rPr>
                <w:rFonts w:eastAsia="Times New Roman"/>
                <w:b/>
                <w:bCs/>
                <w:sz w:val="20"/>
                <w:szCs w:val="20"/>
              </w:rPr>
              <w:t> </w:t>
            </w:r>
          </w:p>
        </w:tc>
      </w:tr>
      <w:tr w:rsidR="00000000" w14:paraId="0A024186" w14:textId="77777777">
        <w:trPr>
          <w:divId w:val="1595479706"/>
        </w:trPr>
        <w:tc>
          <w:tcPr>
            <w:tcW w:w="2000" w:type="pct"/>
            <w:shd w:val="clear" w:color="auto" w:fill="CCEEFF"/>
            <w:vAlign w:val="bottom"/>
            <w:hideMark/>
          </w:tcPr>
          <w:p w14:paraId="7B2DDB4C" w14:textId="77777777" w:rsidR="00000000" w:rsidRDefault="00087966">
            <w:pPr>
              <w:rPr>
                <w:rFonts w:eastAsia="Times New Roman"/>
                <w:sz w:val="20"/>
                <w:szCs w:val="20"/>
              </w:rPr>
            </w:pPr>
            <w:r>
              <w:rPr>
                <w:rFonts w:eastAsia="Times New Roman"/>
                <w:sz w:val="20"/>
                <w:szCs w:val="20"/>
              </w:rPr>
              <w:t>KludeIn Prime LLC (3)</w:t>
            </w:r>
          </w:p>
        </w:tc>
        <w:tc>
          <w:tcPr>
            <w:tcW w:w="50" w:type="pct"/>
            <w:shd w:val="clear" w:color="auto" w:fill="CCEEFF"/>
            <w:vAlign w:val="bottom"/>
            <w:hideMark/>
          </w:tcPr>
          <w:p w14:paraId="2942DE35"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536ACE" w14:textId="77777777" w:rsidR="00000000" w:rsidRDefault="00087966">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C350240" w14:textId="77777777" w:rsidR="00000000" w:rsidRDefault="000879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8A451E7"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62E6E01C"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30802B" w14:textId="77777777" w:rsidR="00000000" w:rsidRDefault="00087966">
            <w:pPr>
              <w:rPr>
                <w:rFonts w:eastAsia="Times New Roman"/>
                <w:sz w:val="20"/>
                <w:szCs w:val="20"/>
              </w:rPr>
            </w:pPr>
            <w:r>
              <w:rPr>
                <w:rFonts w:eastAsia="Times New Roman"/>
                <w:sz w:val="20"/>
                <w:szCs w:val="20"/>
              </w:rPr>
              <w:t> </w:t>
            </w:r>
          </w:p>
        </w:tc>
        <w:tc>
          <w:tcPr>
            <w:tcW w:w="450" w:type="pct"/>
            <w:shd w:val="clear" w:color="auto" w:fill="CCEEFF"/>
            <w:vAlign w:val="bottom"/>
            <w:hideMark/>
          </w:tcPr>
          <w:p w14:paraId="35B1BDF9" w14:textId="77777777" w:rsidR="00000000" w:rsidRDefault="00087966">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ED1D6D0"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532AF634"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34007C" w14:textId="77777777" w:rsidR="00000000" w:rsidRDefault="00087966">
            <w:pPr>
              <w:rPr>
                <w:rFonts w:eastAsia="Times New Roman"/>
                <w:sz w:val="20"/>
                <w:szCs w:val="20"/>
              </w:rPr>
            </w:pPr>
            <w:r>
              <w:rPr>
                <w:rFonts w:eastAsia="Times New Roman"/>
                <w:sz w:val="20"/>
                <w:szCs w:val="20"/>
              </w:rPr>
              <w:t> </w:t>
            </w:r>
          </w:p>
        </w:tc>
        <w:tc>
          <w:tcPr>
            <w:tcW w:w="450" w:type="pct"/>
            <w:shd w:val="clear" w:color="auto" w:fill="CCEEFF"/>
            <w:vAlign w:val="bottom"/>
            <w:hideMark/>
          </w:tcPr>
          <w:p w14:paraId="1003557D" w14:textId="77777777" w:rsidR="00000000" w:rsidRDefault="00087966">
            <w:pPr>
              <w:jc w:val="right"/>
              <w:rPr>
                <w:rFonts w:eastAsia="Times New Roman"/>
                <w:sz w:val="20"/>
                <w:szCs w:val="20"/>
              </w:rPr>
            </w:pPr>
            <w:r>
              <w:rPr>
                <w:rFonts w:eastAsia="Times New Roman"/>
                <w:sz w:val="20"/>
                <w:szCs w:val="20"/>
              </w:rPr>
              <w:t>4,237,500</w:t>
            </w:r>
          </w:p>
        </w:tc>
        <w:tc>
          <w:tcPr>
            <w:tcW w:w="50" w:type="pct"/>
            <w:shd w:val="clear" w:color="auto" w:fill="CCEEFF"/>
            <w:vAlign w:val="bottom"/>
            <w:hideMark/>
          </w:tcPr>
          <w:p w14:paraId="6AF357FA"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82FB2C"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EA8971" w14:textId="77777777" w:rsidR="00000000" w:rsidRDefault="00087966">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3A7B8AC" w14:textId="77777777" w:rsidR="00000000" w:rsidRDefault="00087966">
            <w:pPr>
              <w:jc w:val="right"/>
              <w:rPr>
                <w:rFonts w:eastAsia="Times New Roman"/>
                <w:sz w:val="20"/>
                <w:szCs w:val="20"/>
              </w:rPr>
            </w:pPr>
            <w:r>
              <w:rPr>
                <w:rFonts w:eastAsia="Times New Roman"/>
                <w:sz w:val="20"/>
                <w:szCs w:val="20"/>
              </w:rPr>
              <w:t>98.3</w:t>
            </w:r>
          </w:p>
        </w:tc>
        <w:tc>
          <w:tcPr>
            <w:tcW w:w="50" w:type="pct"/>
            <w:shd w:val="clear" w:color="auto" w:fill="CCEEFF"/>
            <w:vAlign w:val="bottom"/>
            <w:hideMark/>
          </w:tcPr>
          <w:p w14:paraId="34648BCE" w14:textId="77777777" w:rsidR="00000000" w:rsidRDefault="00087966">
            <w:pPr>
              <w:rPr>
                <w:rFonts w:eastAsia="Times New Roman"/>
                <w:sz w:val="20"/>
                <w:szCs w:val="20"/>
              </w:rPr>
            </w:pPr>
            <w:r>
              <w:rPr>
                <w:rFonts w:eastAsia="Times New Roman"/>
                <w:sz w:val="20"/>
                <w:szCs w:val="20"/>
              </w:rPr>
              <w:t>%</w:t>
            </w:r>
          </w:p>
        </w:tc>
        <w:tc>
          <w:tcPr>
            <w:tcW w:w="50" w:type="pct"/>
            <w:shd w:val="clear" w:color="auto" w:fill="CCEEFF"/>
            <w:vAlign w:val="bottom"/>
            <w:hideMark/>
          </w:tcPr>
          <w:p w14:paraId="10543834"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09FCD89E" w14:textId="77777777" w:rsidR="00000000" w:rsidRDefault="00087966">
            <w:pPr>
              <w:rPr>
                <w:rFonts w:eastAsia="Times New Roman"/>
                <w:sz w:val="20"/>
                <w:szCs w:val="20"/>
              </w:rPr>
            </w:pPr>
            <w:r>
              <w:rPr>
                <w:rFonts w:eastAsia="Times New Roman"/>
                <w:sz w:val="20"/>
                <w:szCs w:val="20"/>
              </w:rPr>
              <w:t> </w:t>
            </w:r>
          </w:p>
        </w:tc>
        <w:tc>
          <w:tcPr>
            <w:tcW w:w="450" w:type="pct"/>
            <w:shd w:val="clear" w:color="auto" w:fill="CCEEFF"/>
            <w:vAlign w:val="bottom"/>
            <w:hideMark/>
          </w:tcPr>
          <w:p w14:paraId="440EE1F1" w14:textId="77777777" w:rsidR="00000000" w:rsidRDefault="00087966">
            <w:pPr>
              <w:jc w:val="right"/>
              <w:rPr>
                <w:rFonts w:eastAsia="Times New Roman"/>
                <w:sz w:val="20"/>
                <w:szCs w:val="20"/>
              </w:rPr>
            </w:pPr>
            <w:r>
              <w:rPr>
                <w:rFonts w:eastAsia="Times New Roman"/>
                <w:sz w:val="20"/>
                <w:szCs w:val="20"/>
              </w:rPr>
              <w:t>86.0</w:t>
            </w:r>
          </w:p>
        </w:tc>
        <w:tc>
          <w:tcPr>
            <w:tcW w:w="50" w:type="pct"/>
            <w:shd w:val="clear" w:color="auto" w:fill="CCEEFF"/>
            <w:vAlign w:val="bottom"/>
            <w:hideMark/>
          </w:tcPr>
          <w:p w14:paraId="09FEAB67" w14:textId="77777777" w:rsidR="00000000" w:rsidRDefault="00087966">
            <w:pPr>
              <w:rPr>
                <w:rFonts w:eastAsia="Times New Roman"/>
                <w:sz w:val="20"/>
                <w:szCs w:val="20"/>
              </w:rPr>
            </w:pPr>
            <w:r>
              <w:rPr>
                <w:rFonts w:eastAsia="Times New Roman"/>
                <w:sz w:val="20"/>
                <w:szCs w:val="20"/>
              </w:rPr>
              <w:t>%</w:t>
            </w:r>
          </w:p>
        </w:tc>
      </w:tr>
      <w:tr w:rsidR="00000000" w14:paraId="7ABBD347" w14:textId="77777777">
        <w:trPr>
          <w:divId w:val="1595479706"/>
        </w:trPr>
        <w:tc>
          <w:tcPr>
            <w:tcW w:w="0" w:type="auto"/>
            <w:vAlign w:val="bottom"/>
            <w:hideMark/>
          </w:tcPr>
          <w:p w14:paraId="13986083" w14:textId="77777777" w:rsidR="00000000" w:rsidRDefault="00087966">
            <w:pPr>
              <w:rPr>
                <w:rFonts w:eastAsia="Times New Roman"/>
                <w:sz w:val="20"/>
                <w:szCs w:val="20"/>
              </w:rPr>
            </w:pPr>
            <w:r>
              <w:rPr>
                <w:rFonts w:eastAsia="Times New Roman"/>
                <w:sz w:val="20"/>
                <w:szCs w:val="20"/>
              </w:rPr>
              <w:t>Narayan Ramachandran (3)</w:t>
            </w:r>
          </w:p>
        </w:tc>
        <w:tc>
          <w:tcPr>
            <w:tcW w:w="0" w:type="auto"/>
            <w:vAlign w:val="bottom"/>
            <w:hideMark/>
          </w:tcPr>
          <w:p w14:paraId="57BB493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6F4DC0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AAB08CF"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4E7DD37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C26C6D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6A6DF9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ADBF074"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72A47B1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B13F3B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77A31D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5D7B876" w14:textId="77777777" w:rsidR="00000000" w:rsidRDefault="00087966">
            <w:pPr>
              <w:jc w:val="right"/>
              <w:rPr>
                <w:rFonts w:eastAsia="Times New Roman"/>
                <w:sz w:val="20"/>
                <w:szCs w:val="20"/>
              </w:rPr>
            </w:pPr>
            <w:r>
              <w:rPr>
                <w:rFonts w:eastAsia="Times New Roman"/>
                <w:sz w:val="20"/>
                <w:szCs w:val="20"/>
              </w:rPr>
              <w:t>4,237,500</w:t>
            </w:r>
          </w:p>
        </w:tc>
        <w:tc>
          <w:tcPr>
            <w:tcW w:w="0" w:type="auto"/>
            <w:vAlign w:val="bottom"/>
            <w:hideMark/>
          </w:tcPr>
          <w:p w14:paraId="1FCC642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F2B0B7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16422F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99DF089" w14:textId="77777777" w:rsidR="00000000" w:rsidRDefault="00087966">
            <w:pPr>
              <w:jc w:val="right"/>
              <w:rPr>
                <w:rFonts w:eastAsia="Times New Roman"/>
                <w:sz w:val="20"/>
                <w:szCs w:val="20"/>
              </w:rPr>
            </w:pPr>
            <w:r>
              <w:rPr>
                <w:rFonts w:eastAsia="Times New Roman"/>
                <w:sz w:val="20"/>
                <w:szCs w:val="20"/>
              </w:rPr>
              <w:t>98.3</w:t>
            </w:r>
          </w:p>
        </w:tc>
        <w:tc>
          <w:tcPr>
            <w:tcW w:w="0" w:type="auto"/>
            <w:vAlign w:val="bottom"/>
            <w:hideMark/>
          </w:tcPr>
          <w:p w14:paraId="6B21A84F"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0542D82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06B614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280C0F4" w14:textId="77777777" w:rsidR="00000000" w:rsidRDefault="00087966">
            <w:pPr>
              <w:jc w:val="right"/>
              <w:rPr>
                <w:rFonts w:eastAsia="Times New Roman"/>
                <w:sz w:val="20"/>
                <w:szCs w:val="20"/>
              </w:rPr>
            </w:pPr>
            <w:r>
              <w:rPr>
                <w:rFonts w:eastAsia="Times New Roman"/>
                <w:sz w:val="20"/>
                <w:szCs w:val="20"/>
              </w:rPr>
              <w:t>86.0</w:t>
            </w:r>
          </w:p>
        </w:tc>
        <w:tc>
          <w:tcPr>
            <w:tcW w:w="0" w:type="auto"/>
            <w:vAlign w:val="bottom"/>
            <w:hideMark/>
          </w:tcPr>
          <w:p w14:paraId="007745C2" w14:textId="77777777" w:rsidR="00000000" w:rsidRDefault="00087966">
            <w:pPr>
              <w:rPr>
                <w:rFonts w:eastAsia="Times New Roman"/>
                <w:sz w:val="20"/>
                <w:szCs w:val="20"/>
              </w:rPr>
            </w:pPr>
            <w:r>
              <w:rPr>
                <w:rFonts w:eastAsia="Times New Roman"/>
                <w:sz w:val="20"/>
                <w:szCs w:val="20"/>
              </w:rPr>
              <w:t>%</w:t>
            </w:r>
          </w:p>
        </w:tc>
      </w:tr>
      <w:tr w:rsidR="00000000" w14:paraId="36E19B8A" w14:textId="77777777">
        <w:trPr>
          <w:divId w:val="1595479706"/>
        </w:trPr>
        <w:tc>
          <w:tcPr>
            <w:tcW w:w="0" w:type="auto"/>
            <w:shd w:val="clear" w:color="auto" w:fill="CCEEFF"/>
            <w:vAlign w:val="bottom"/>
            <w:hideMark/>
          </w:tcPr>
          <w:p w14:paraId="12A546A7" w14:textId="77777777" w:rsidR="00000000" w:rsidRDefault="00087966">
            <w:pPr>
              <w:rPr>
                <w:rFonts w:eastAsia="Times New Roman"/>
                <w:sz w:val="20"/>
                <w:szCs w:val="20"/>
              </w:rPr>
            </w:pPr>
            <w:r>
              <w:rPr>
                <w:rFonts w:eastAsia="Times New Roman"/>
                <w:sz w:val="20"/>
                <w:szCs w:val="20"/>
              </w:rPr>
              <w:t>Mini Krishnamoorthy</w:t>
            </w:r>
          </w:p>
        </w:tc>
        <w:tc>
          <w:tcPr>
            <w:tcW w:w="0" w:type="auto"/>
            <w:shd w:val="clear" w:color="auto" w:fill="CCEEFF"/>
            <w:vAlign w:val="bottom"/>
            <w:hideMark/>
          </w:tcPr>
          <w:p w14:paraId="69943D6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05406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83DBE0"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096E5F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01C49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DEEE9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737FED"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6FF90F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696D3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8E7DE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814BAE"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4412B9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32812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9240B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CA5EA3"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A9D741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7BB7A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42447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4929D3"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CD65E04" w14:textId="77777777" w:rsidR="00000000" w:rsidRDefault="00087966">
            <w:pPr>
              <w:rPr>
                <w:rFonts w:eastAsia="Times New Roman"/>
                <w:sz w:val="20"/>
                <w:szCs w:val="20"/>
              </w:rPr>
            </w:pPr>
            <w:r>
              <w:rPr>
                <w:rFonts w:eastAsia="Times New Roman"/>
                <w:sz w:val="20"/>
                <w:szCs w:val="20"/>
              </w:rPr>
              <w:t> </w:t>
            </w:r>
          </w:p>
        </w:tc>
      </w:tr>
      <w:tr w:rsidR="00000000" w14:paraId="577A9C7A" w14:textId="77777777">
        <w:trPr>
          <w:divId w:val="1595479706"/>
        </w:trPr>
        <w:tc>
          <w:tcPr>
            <w:tcW w:w="0" w:type="auto"/>
            <w:vAlign w:val="bottom"/>
            <w:hideMark/>
          </w:tcPr>
          <w:p w14:paraId="0818E00B" w14:textId="77777777" w:rsidR="00000000" w:rsidRDefault="00087966">
            <w:pPr>
              <w:rPr>
                <w:rFonts w:eastAsia="Times New Roman"/>
                <w:sz w:val="20"/>
                <w:szCs w:val="20"/>
              </w:rPr>
            </w:pPr>
            <w:r>
              <w:rPr>
                <w:rFonts w:eastAsia="Times New Roman"/>
                <w:sz w:val="20"/>
                <w:szCs w:val="20"/>
              </w:rPr>
              <w:t>Sriram Raghavan (3)</w:t>
            </w:r>
          </w:p>
        </w:tc>
        <w:tc>
          <w:tcPr>
            <w:tcW w:w="0" w:type="auto"/>
            <w:vAlign w:val="bottom"/>
            <w:hideMark/>
          </w:tcPr>
          <w:p w14:paraId="3D57B07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81A382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0E8DEFF"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10BFCAA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8CD753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D16294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6396288"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6285ACA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D3CA9A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B454D9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CBECFEF" w14:textId="77777777" w:rsidR="00000000" w:rsidRDefault="00087966">
            <w:pPr>
              <w:jc w:val="right"/>
              <w:rPr>
                <w:rFonts w:eastAsia="Times New Roman"/>
                <w:sz w:val="20"/>
                <w:szCs w:val="20"/>
              </w:rPr>
            </w:pPr>
            <w:r>
              <w:rPr>
                <w:rFonts w:eastAsia="Times New Roman"/>
                <w:sz w:val="20"/>
                <w:szCs w:val="20"/>
              </w:rPr>
              <w:t>4,237,500</w:t>
            </w:r>
          </w:p>
        </w:tc>
        <w:tc>
          <w:tcPr>
            <w:tcW w:w="0" w:type="auto"/>
            <w:vAlign w:val="bottom"/>
            <w:hideMark/>
          </w:tcPr>
          <w:p w14:paraId="0F3BC62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32CFD0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FF437A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7090042" w14:textId="77777777" w:rsidR="00000000" w:rsidRDefault="00087966">
            <w:pPr>
              <w:jc w:val="right"/>
              <w:rPr>
                <w:rFonts w:eastAsia="Times New Roman"/>
                <w:sz w:val="20"/>
                <w:szCs w:val="20"/>
              </w:rPr>
            </w:pPr>
            <w:r>
              <w:rPr>
                <w:rFonts w:eastAsia="Times New Roman"/>
                <w:sz w:val="20"/>
                <w:szCs w:val="20"/>
              </w:rPr>
              <w:t>98.3</w:t>
            </w:r>
          </w:p>
        </w:tc>
        <w:tc>
          <w:tcPr>
            <w:tcW w:w="0" w:type="auto"/>
            <w:vAlign w:val="bottom"/>
            <w:hideMark/>
          </w:tcPr>
          <w:p w14:paraId="7F5B99B2"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78244AE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35B83A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8D73707" w14:textId="77777777" w:rsidR="00000000" w:rsidRDefault="00087966">
            <w:pPr>
              <w:jc w:val="right"/>
              <w:rPr>
                <w:rFonts w:eastAsia="Times New Roman"/>
                <w:sz w:val="20"/>
                <w:szCs w:val="20"/>
              </w:rPr>
            </w:pPr>
            <w:r>
              <w:rPr>
                <w:rFonts w:eastAsia="Times New Roman"/>
                <w:sz w:val="20"/>
                <w:szCs w:val="20"/>
              </w:rPr>
              <w:t>86.0</w:t>
            </w:r>
          </w:p>
        </w:tc>
        <w:tc>
          <w:tcPr>
            <w:tcW w:w="0" w:type="auto"/>
            <w:vAlign w:val="bottom"/>
            <w:hideMark/>
          </w:tcPr>
          <w:p w14:paraId="4366BD57" w14:textId="77777777" w:rsidR="00000000" w:rsidRDefault="00087966">
            <w:pPr>
              <w:rPr>
                <w:rFonts w:eastAsia="Times New Roman"/>
                <w:sz w:val="20"/>
                <w:szCs w:val="20"/>
              </w:rPr>
            </w:pPr>
            <w:r>
              <w:rPr>
                <w:rFonts w:eastAsia="Times New Roman"/>
                <w:sz w:val="20"/>
                <w:szCs w:val="20"/>
              </w:rPr>
              <w:t>%</w:t>
            </w:r>
          </w:p>
        </w:tc>
      </w:tr>
      <w:tr w:rsidR="00000000" w14:paraId="2EFAF32B" w14:textId="77777777">
        <w:trPr>
          <w:divId w:val="1595479706"/>
        </w:trPr>
        <w:tc>
          <w:tcPr>
            <w:tcW w:w="0" w:type="auto"/>
            <w:shd w:val="clear" w:color="auto" w:fill="CCEEFF"/>
            <w:vAlign w:val="bottom"/>
            <w:hideMark/>
          </w:tcPr>
          <w:p w14:paraId="15D1E76A" w14:textId="77777777" w:rsidR="00000000" w:rsidRDefault="00087966">
            <w:pPr>
              <w:rPr>
                <w:rFonts w:eastAsia="Times New Roman"/>
                <w:sz w:val="20"/>
                <w:szCs w:val="20"/>
              </w:rPr>
            </w:pPr>
            <w:r>
              <w:rPr>
                <w:rFonts w:eastAsia="Times New Roman"/>
                <w:sz w:val="20"/>
                <w:szCs w:val="20"/>
              </w:rPr>
              <w:t>Dr. Ashish Gupta</w:t>
            </w:r>
          </w:p>
        </w:tc>
        <w:tc>
          <w:tcPr>
            <w:tcW w:w="0" w:type="auto"/>
            <w:shd w:val="clear" w:color="auto" w:fill="CCEEFF"/>
            <w:vAlign w:val="bottom"/>
            <w:hideMark/>
          </w:tcPr>
          <w:p w14:paraId="30A780F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0C153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96DEBB"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5EBA08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7A006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6F6E4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E76101"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28145D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056B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EA902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A814F0"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637F19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3BDC6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82941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77ECD3"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1C55CE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88F1E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B47CB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204302"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2B759C0" w14:textId="77777777" w:rsidR="00000000" w:rsidRDefault="00087966">
            <w:pPr>
              <w:rPr>
                <w:rFonts w:eastAsia="Times New Roman"/>
                <w:sz w:val="20"/>
                <w:szCs w:val="20"/>
              </w:rPr>
            </w:pPr>
            <w:r>
              <w:rPr>
                <w:rFonts w:eastAsia="Times New Roman"/>
                <w:sz w:val="20"/>
                <w:szCs w:val="20"/>
              </w:rPr>
              <w:t> </w:t>
            </w:r>
          </w:p>
        </w:tc>
      </w:tr>
      <w:tr w:rsidR="00000000" w14:paraId="13C14F45" w14:textId="77777777">
        <w:trPr>
          <w:divId w:val="1595479706"/>
        </w:trPr>
        <w:tc>
          <w:tcPr>
            <w:tcW w:w="0" w:type="auto"/>
            <w:vAlign w:val="bottom"/>
            <w:hideMark/>
          </w:tcPr>
          <w:p w14:paraId="6C4F78FB" w14:textId="77777777" w:rsidR="00000000" w:rsidRDefault="00087966">
            <w:pPr>
              <w:rPr>
                <w:rFonts w:eastAsia="Times New Roman"/>
                <w:sz w:val="20"/>
                <w:szCs w:val="20"/>
              </w:rPr>
            </w:pPr>
            <w:r>
              <w:rPr>
                <w:rFonts w:eastAsia="Times New Roman"/>
                <w:sz w:val="20"/>
                <w:szCs w:val="20"/>
              </w:rPr>
              <w:t>Krishnan Rajagopalan</w:t>
            </w:r>
          </w:p>
        </w:tc>
        <w:tc>
          <w:tcPr>
            <w:tcW w:w="0" w:type="auto"/>
            <w:vAlign w:val="bottom"/>
            <w:hideMark/>
          </w:tcPr>
          <w:p w14:paraId="3FE1368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DF506D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C1482B4"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39E7255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390F88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B9B8FD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9EAE0EF"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02C40DE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65587D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A4A37A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C45D0A4" w14:textId="77777777" w:rsidR="00000000" w:rsidRDefault="00087966">
            <w:pPr>
              <w:jc w:val="right"/>
              <w:rPr>
                <w:rFonts w:eastAsia="Times New Roman"/>
                <w:sz w:val="20"/>
                <w:szCs w:val="20"/>
              </w:rPr>
            </w:pPr>
            <w:r>
              <w:rPr>
                <w:rFonts w:eastAsia="Times New Roman"/>
                <w:sz w:val="20"/>
                <w:szCs w:val="20"/>
              </w:rPr>
              <w:t>25,000</w:t>
            </w:r>
          </w:p>
        </w:tc>
        <w:tc>
          <w:tcPr>
            <w:tcW w:w="0" w:type="auto"/>
            <w:vAlign w:val="bottom"/>
            <w:hideMark/>
          </w:tcPr>
          <w:p w14:paraId="7D620EA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5D8E5C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CF4A7B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0D3D554"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49ABBEE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CC8418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9875B3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8C35880"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6926E237" w14:textId="77777777" w:rsidR="00000000" w:rsidRDefault="00087966">
            <w:pPr>
              <w:rPr>
                <w:rFonts w:eastAsia="Times New Roman"/>
                <w:sz w:val="20"/>
                <w:szCs w:val="20"/>
              </w:rPr>
            </w:pPr>
            <w:r>
              <w:rPr>
                <w:rFonts w:eastAsia="Times New Roman"/>
                <w:sz w:val="20"/>
                <w:szCs w:val="20"/>
              </w:rPr>
              <w:t> </w:t>
            </w:r>
          </w:p>
        </w:tc>
      </w:tr>
      <w:tr w:rsidR="00000000" w14:paraId="43EADB79" w14:textId="77777777">
        <w:trPr>
          <w:divId w:val="1595479706"/>
        </w:trPr>
        <w:tc>
          <w:tcPr>
            <w:tcW w:w="0" w:type="auto"/>
            <w:shd w:val="clear" w:color="auto" w:fill="CCEEFF"/>
            <w:vAlign w:val="bottom"/>
            <w:hideMark/>
          </w:tcPr>
          <w:p w14:paraId="7A0AC422" w14:textId="77777777" w:rsidR="00000000" w:rsidRDefault="00087966">
            <w:pPr>
              <w:rPr>
                <w:rFonts w:eastAsia="Times New Roman"/>
                <w:sz w:val="20"/>
                <w:szCs w:val="20"/>
              </w:rPr>
            </w:pPr>
            <w:r>
              <w:rPr>
                <w:rFonts w:eastAsia="Times New Roman"/>
                <w:sz w:val="20"/>
                <w:szCs w:val="20"/>
              </w:rPr>
              <w:t>Madhavan Rangaswami</w:t>
            </w:r>
          </w:p>
        </w:tc>
        <w:tc>
          <w:tcPr>
            <w:tcW w:w="0" w:type="auto"/>
            <w:shd w:val="clear" w:color="auto" w:fill="CCEEFF"/>
            <w:vAlign w:val="bottom"/>
            <w:hideMark/>
          </w:tcPr>
          <w:p w14:paraId="0A1343C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1C648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49D8E5"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812D66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B922E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E170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45FFC0"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2710F9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6EE49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44B7E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4F9EC4" w14:textId="77777777" w:rsidR="00000000" w:rsidRDefault="00087966">
            <w:pPr>
              <w:jc w:val="right"/>
              <w:rPr>
                <w:rFonts w:eastAsia="Times New Roman"/>
                <w:sz w:val="20"/>
                <w:szCs w:val="20"/>
              </w:rPr>
            </w:pPr>
            <w:r>
              <w:rPr>
                <w:rFonts w:eastAsia="Times New Roman"/>
                <w:sz w:val="20"/>
                <w:szCs w:val="20"/>
              </w:rPr>
              <w:t>25,000</w:t>
            </w:r>
          </w:p>
        </w:tc>
        <w:tc>
          <w:tcPr>
            <w:tcW w:w="0" w:type="auto"/>
            <w:shd w:val="clear" w:color="auto" w:fill="CCEEFF"/>
            <w:vAlign w:val="bottom"/>
            <w:hideMark/>
          </w:tcPr>
          <w:p w14:paraId="638A7F4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41718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AC29D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CF18D8"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EF8DF3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9875D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EE3ED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ED36EA"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4607810" w14:textId="77777777" w:rsidR="00000000" w:rsidRDefault="00087966">
            <w:pPr>
              <w:rPr>
                <w:rFonts w:eastAsia="Times New Roman"/>
                <w:sz w:val="20"/>
                <w:szCs w:val="20"/>
              </w:rPr>
            </w:pPr>
            <w:r>
              <w:rPr>
                <w:rFonts w:eastAsia="Times New Roman"/>
                <w:sz w:val="20"/>
                <w:szCs w:val="20"/>
              </w:rPr>
              <w:t> </w:t>
            </w:r>
          </w:p>
        </w:tc>
      </w:tr>
      <w:tr w:rsidR="00000000" w14:paraId="0F246D1D" w14:textId="77777777">
        <w:trPr>
          <w:divId w:val="1595479706"/>
        </w:trPr>
        <w:tc>
          <w:tcPr>
            <w:tcW w:w="0" w:type="auto"/>
            <w:vAlign w:val="bottom"/>
            <w:hideMark/>
          </w:tcPr>
          <w:p w14:paraId="23F28CBF" w14:textId="77777777" w:rsidR="00000000" w:rsidRDefault="00087966">
            <w:pPr>
              <w:rPr>
                <w:rFonts w:eastAsia="Times New Roman"/>
                <w:sz w:val="20"/>
                <w:szCs w:val="20"/>
              </w:rPr>
            </w:pPr>
            <w:r>
              <w:rPr>
                <w:rFonts w:eastAsia="Times New Roman"/>
                <w:sz w:val="20"/>
                <w:szCs w:val="20"/>
              </w:rPr>
              <w:t>Mark Bailey</w:t>
            </w:r>
          </w:p>
        </w:tc>
        <w:tc>
          <w:tcPr>
            <w:tcW w:w="0" w:type="auto"/>
            <w:vAlign w:val="bottom"/>
            <w:hideMark/>
          </w:tcPr>
          <w:p w14:paraId="2B0E426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D16E43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23D76DB"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1B0592D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FDF0F6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B5FDA2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7421424"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1D0B859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E11BE6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9C1BA7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81AA97D" w14:textId="77777777" w:rsidR="00000000" w:rsidRDefault="00087966">
            <w:pPr>
              <w:jc w:val="right"/>
              <w:rPr>
                <w:rFonts w:eastAsia="Times New Roman"/>
                <w:sz w:val="20"/>
                <w:szCs w:val="20"/>
              </w:rPr>
            </w:pPr>
            <w:r>
              <w:rPr>
                <w:rFonts w:eastAsia="Times New Roman"/>
                <w:sz w:val="20"/>
                <w:szCs w:val="20"/>
              </w:rPr>
              <w:t>25,000</w:t>
            </w:r>
          </w:p>
        </w:tc>
        <w:tc>
          <w:tcPr>
            <w:tcW w:w="0" w:type="auto"/>
            <w:vAlign w:val="bottom"/>
            <w:hideMark/>
          </w:tcPr>
          <w:p w14:paraId="41E506D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A44253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353C6C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FFCC0EA"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4E81B2F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0BA8A9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F64725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B8259A0"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52B544FD" w14:textId="77777777" w:rsidR="00000000" w:rsidRDefault="00087966">
            <w:pPr>
              <w:rPr>
                <w:rFonts w:eastAsia="Times New Roman"/>
                <w:sz w:val="20"/>
                <w:szCs w:val="20"/>
              </w:rPr>
            </w:pPr>
            <w:r>
              <w:rPr>
                <w:rFonts w:eastAsia="Times New Roman"/>
                <w:sz w:val="20"/>
                <w:szCs w:val="20"/>
              </w:rPr>
              <w:t> </w:t>
            </w:r>
          </w:p>
        </w:tc>
      </w:tr>
      <w:tr w:rsidR="00000000" w14:paraId="4AF731D3" w14:textId="77777777">
        <w:trPr>
          <w:divId w:val="1595479706"/>
        </w:trPr>
        <w:tc>
          <w:tcPr>
            <w:tcW w:w="0" w:type="auto"/>
            <w:shd w:val="clear" w:color="auto" w:fill="CCEEFF"/>
            <w:tcMar>
              <w:top w:w="0" w:type="dxa"/>
              <w:left w:w="180" w:type="dxa"/>
              <w:bottom w:w="0" w:type="dxa"/>
              <w:right w:w="0" w:type="dxa"/>
            </w:tcMar>
            <w:vAlign w:val="bottom"/>
            <w:hideMark/>
          </w:tcPr>
          <w:p w14:paraId="037AA4CA" w14:textId="77777777" w:rsidR="00000000" w:rsidRDefault="00087966">
            <w:pPr>
              <w:ind w:hanging="180"/>
              <w:rPr>
                <w:rFonts w:eastAsia="Times New Roman"/>
                <w:b/>
                <w:bCs/>
                <w:i/>
                <w:iCs/>
                <w:sz w:val="20"/>
                <w:szCs w:val="20"/>
              </w:rPr>
            </w:pPr>
            <w:r>
              <w:rPr>
                <w:rFonts w:eastAsia="Times New Roman"/>
                <w:b/>
                <w:bCs/>
                <w:i/>
                <w:iCs/>
                <w:sz w:val="20"/>
                <w:szCs w:val="20"/>
              </w:rPr>
              <w:t>All executive officers and directors as a group (seven individuals)</w:t>
            </w:r>
          </w:p>
        </w:tc>
        <w:tc>
          <w:tcPr>
            <w:tcW w:w="0" w:type="auto"/>
            <w:shd w:val="clear" w:color="auto" w:fill="CCEEFF"/>
            <w:vAlign w:val="bottom"/>
            <w:hideMark/>
          </w:tcPr>
          <w:p w14:paraId="1310962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5D158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10DC0D"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5D6B51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EF03E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76BEF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88ED17"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1FC394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2E8CA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5873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B0AEC2" w14:textId="77777777" w:rsidR="00000000" w:rsidRDefault="00087966">
            <w:pPr>
              <w:jc w:val="right"/>
              <w:rPr>
                <w:rFonts w:eastAsia="Times New Roman"/>
                <w:sz w:val="20"/>
                <w:szCs w:val="20"/>
              </w:rPr>
            </w:pPr>
            <w:r>
              <w:rPr>
                <w:rFonts w:eastAsia="Times New Roman"/>
                <w:sz w:val="20"/>
                <w:szCs w:val="20"/>
              </w:rPr>
              <w:t>4,312,500</w:t>
            </w:r>
          </w:p>
        </w:tc>
        <w:tc>
          <w:tcPr>
            <w:tcW w:w="0" w:type="auto"/>
            <w:shd w:val="clear" w:color="auto" w:fill="CCEEFF"/>
            <w:vAlign w:val="bottom"/>
            <w:hideMark/>
          </w:tcPr>
          <w:p w14:paraId="1F2D0C4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3D351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2BAF9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FD1391" w14:textId="77777777" w:rsidR="00000000" w:rsidRDefault="00087966">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14:paraId="2AE49358"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1DF55F9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60649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00CF8D" w14:textId="77777777" w:rsidR="00000000" w:rsidRDefault="00087966">
            <w:pPr>
              <w:jc w:val="right"/>
              <w:rPr>
                <w:rFonts w:eastAsia="Times New Roman"/>
                <w:sz w:val="20"/>
                <w:szCs w:val="20"/>
              </w:rPr>
            </w:pPr>
            <w:r>
              <w:rPr>
                <w:rFonts w:eastAsia="Times New Roman"/>
                <w:sz w:val="20"/>
                <w:szCs w:val="20"/>
              </w:rPr>
              <w:t>87.4</w:t>
            </w:r>
          </w:p>
        </w:tc>
        <w:tc>
          <w:tcPr>
            <w:tcW w:w="0" w:type="auto"/>
            <w:shd w:val="clear" w:color="auto" w:fill="CCEEFF"/>
            <w:vAlign w:val="bottom"/>
            <w:hideMark/>
          </w:tcPr>
          <w:p w14:paraId="64271901" w14:textId="77777777" w:rsidR="00000000" w:rsidRDefault="00087966">
            <w:pPr>
              <w:rPr>
                <w:rFonts w:eastAsia="Times New Roman"/>
                <w:sz w:val="20"/>
                <w:szCs w:val="20"/>
              </w:rPr>
            </w:pPr>
            <w:r>
              <w:rPr>
                <w:rFonts w:eastAsia="Times New Roman"/>
                <w:sz w:val="20"/>
                <w:szCs w:val="20"/>
              </w:rPr>
              <w:t>%</w:t>
            </w:r>
          </w:p>
        </w:tc>
      </w:tr>
      <w:tr w:rsidR="00000000" w14:paraId="0C947492" w14:textId="77777777">
        <w:trPr>
          <w:divId w:val="1595479706"/>
        </w:trPr>
        <w:tc>
          <w:tcPr>
            <w:tcW w:w="0" w:type="auto"/>
            <w:vAlign w:val="bottom"/>
            <w:hideMark/>
          </w:tcPr>
          <w:p w14:paraId="083F4C2A" w14:textId="77777777" w:rsidR="00000000" w:rsidRDefault="00087966">
            <w:pPr>
              <w:rPr>
                <w:rFonts w:eastAsia="Times New Roman"/>
                <w:b/>
                <w:bCs/>
                <w:sz w:val="20"/>
                <w:szCs w:val="20"/>
              </w:rPr>
            </w:pPr>
            <w:r>
              <w:rPr>
                <w:rFonts w:eastAsia="Times New Roman"/>
                <w:b/>
                <w:bCs/>
                <w:sz w:val="20"/>
                <w:szCs w:val="20"/>
              </w:rPr>
              <w:t>Other 5% Owners:</w:t>
            </w:r>
          </w:p>
        </w:tc>
        <w:tc>
          <w:tcPr>
            <w:tcW w:w="0" w:type="auto"/>
            <w:vAlign w:val="bottom"/>
            <w:hideMark/>
          </w:tcPr>
          <w:p w14:paraId="7F5998E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B4CF31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215E94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5DA25C2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8B5E91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5BC9FB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0478FA3"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45E327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CC3A9D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956B0F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DD08943"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42EC7B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1B1E6B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0EBFB5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81595FD"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F27E7E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8F825F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2D6470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16FDBDE"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5B52A518" w14:textId="77777777" w:rsidR="00000000" w:rsidRDefault="00087966">
            <w:pPr>
              <w:rPr>
                <w:rFonts w:eastAsia="Times New Roman"/>
                <w:sz w:val="20"/>
                <w:szCs w:val="20"/>
              </w:rPr>
            </w:pPr>
            <w:r>
              <w:rPr>
                <w:rFonts w:eastAsia="Times New Roman"/>
                <w:sz w:val="20"/>
                <w:szCs w:val="20"/>
              </w:rPr>
              <w:t> </w:t>
            </w:r>
          </w:p>
        </w:tc>
      </w:tr>
      <w:tr w:rsidR="00000000" w14:paraId="4AC276D2" w14:textId="77777777">
        <w:trPr>
          <w:divId w:val="1595479706"/>
        </w:trPr>
        <w:tc>
          <w:tcPr>
            <w:tcW w:w="0" w:type="auto"/>
            <w:shd w:val="clear" w:color="auto" w:fill="CCEEFF"/>
            <w:vAlign w:val="bottom"/>
            <w:hideMark/>
          </w:tcPr>
          <w:p w14:paraId="3648B944" w14:textId="77777777" w:rsidR="00000000" w:rsidRDefault="00087966">
            <w:pPr>
              <w:rPr>
                <w:rFonts w:eastAsia="Times New Roman"/>
                <w:sz w:val="20"/>
                <w:szCs w:val="20"/>
              </w:rPr>
            </w:pPr>
            <w:r>
              <w:rPr>
                <w:rFonts w:eastAsia="Times New Roman"/>
                <w:sz w:val="20"/>
                <w:szCs w:val="20"/>
              </w:rPr>
              <w:t>Polar Parties (4)</w:t>
            </w:r>
          </w:p>
        </w:tc>
        <w:tc>
          <w:tcPr>
            <w:tcW w:w="0" w:type="auto"/>
            <w:shd w:val="clear" w:color="auto" w:fill="CCEEFF"/>
            <w:vAlign w:val="bottom"/>
            <w:hideMark/>
          </w:tcPr>
          <w:p w14:paraId="1EF8305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63036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871835" w14:textId="77777777" w:rsidR="00000000" w:rsidRDefault="00087966">
            <w:pPr>
              <w:jc w:val="right"/>
              <w:rPr>
                <w:rFonts w:eastAsia="Times New Roman"/>
                <w:sz w:val="20"/>
                <w:szCs w:val="20"/>
              </w:rPr>
            </w:pPr>
            <w:r>
              <w:rPr>
                <w:rFonts w:eastAsia="Times New Roman"/>
                <w:sz w:val="20"/>
                <w:szCs w:val="20"/>
              </w:rPr>
              <w:t>120,000</w:t>
            </w:r>
          </w:p>
        </w:tc>
        <w:tc>
          <w:tcPr>
            <w:tcW w:w="0" w:type="auto"/>
            <w:shd w:val="clear" w:color="auto" w:fill="CCEEFF"/>
            <w:vAlign w:val="bottom"/>
            <w:hideMark/>
          </w:tcPr>
          <w:p w14:paraId="28B8782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E6544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3BCEA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74CD78" w14:textId="77777777" w:rsidR="00000000" w:rsidRDefault="00087966">
            <w:pPr>
              <w:jc w:val="right"/>
              <w:rPr>
                <w:rFonts w:eastAsia="Times New Roman"/>
                <w:sz w:val="20"/>
                <w:szCs w:val="20"/>
              </w:rPr>
            </w:pPr>
            <w:r>
              <w:rPr>
                <w:rFonts w:eastAsia="Times New Roman"/>
                <w:sz w:val="20"/>
                <w:szCs w:val="20"/>
              </w:rPr>
              <w:t>19.4</w:t>
            </w:r>
          </w:p>
        </w:tc>
        <w:tc>
          <w:tcPr>
            <w:tcW w:w="0" w:type="auto"/>
            <w:shd w:val="clear" w:color="auto" w:fill="CCEEFF"/>
            <w:vAlign w:val="bottom"/>
            <w:hideMark/>
          </w:tcPr>
          <w:p w14:paraId="02FB296C"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7870C9E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FDBF0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6CE9B"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280E05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2AF66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3C430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E473C8"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D3A8C6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28657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C871B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BF9F99" w14:textId="77777777" w:rsidR="00000000" w:rsidRDefault="00087966">
            <w:pPr>
              <w:jc w:val="right"/>
              <w:rPr>
                <w:rFonts w:eastAsia="Times New Roman"/>
                <w:sz w:val="20"/>
                <w:szCs w:val="20"/>
              </w:rPr>
            </w:pPr>
            <w:r>
              <w:rPr>
                <w:rFonts w:eastAsia="Times New Roman"/>
                <w:sz w:val="20"/>
                <w:szCs w:val="20"/>
              </w:rPr>
              <w:t>2.4</w:t>
            </w:r>
          </w:p>
        </w:tc>
        <w:tc>
          <w:tcPr>
            <w:tcW w:w="0" w:type="auto"/>
            <w:shd w:val="clear" w:color="auto" w:fill="CCEEFF"/>
            <w:vAlign w:val="bottom"/>
            <w:hideMark/>
          </w:tcPr>
          <w:p w14:paraId="205A7EE2" w14:textId="77777777" w:rsidR="00000000" w:rsidRDefault="00087966">
            <w:pPr>
              <w:rPr>
                <w:rFonts w:eastAsia="Times New Roman"/>
                <w:sz w:val="20"/>
                <w:szCs w:val="20"/>
              </w:rPr>
            </w:pPr>
            <w:r>
              <w:rPr>
                <w:rFonts w:eastAsia="Times New Roman"/>
                <w:sz w:val="20"/>
                <w:szCs w:val="20"/>
              </w:rPr>
              <w:t>%</w:t>
            </w:r>
          </w:p>
        </w:tc>
      </w:tr>
      <w:tr w:rsidR="00000000" w14:paraId="764889E4" w14:textId="77777777">
        <w:trPr>
          <w:divId w:val="1595479706"/>
        </w:trPr>
        <w:tc>
          <w:tcPr>
            <w:tcW w:w="0" w:type="auto"/>
            <w:vAlign w:val="bottom"/>
            <w:hideMark/>
          </w:tcPr>
          <w:p w14:paraId="21554483" w14:textId="77777777" w:rsidR="00000000" w:rsidRDefault="00087966">
            <w:pPr>
              <w:rPr>
                <w:rFonts w:eastAsia="Times New Roman"/>
                <w:sz w:val="20"/>
                <w:szCs w:val="20"/>
              </w:rPr>
            </w:pPr>
            <w:r>
              <w:rPr>
                <w:rFonts w:eastAsia="Times New Roman"/>
                <w:sz w:val="20"/>
                <w:szCs w:val="20"/>
              </w:rPr>
              <w:t>Alberta Investment Management Corporation (5)</w:t>
            </w:r>
          </w:p>
        </w:tc>
        <w:tc>
          <w:tcPr>
            <w:tcW w:w="0" w:type="auto"/>
            <w:vAlign w:val="bottom"/>
            <w:hideMark/>
          </w:tcPr>
          <w:p w14:paraId="5F32107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EAF360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2B92B66" w14:textId="77777777" w:rsidR="00000000" w:rsidRDefault="00087966">
            <w:pPr>
              <w:pStyle w:val="a3"/>
              <w:spacing w:before="0" w:beforeAutospacing="0" w:after="0" w:afterAutospacing="0"/>
              <w:jc w:val="right"/>
              <w:rPr>
                <w:sz w:val="20"/>
                <w:szCs w:val="20"/>
              </w:rPr>
            </w:pPr>
            <w:r>
              <w:rPr>
                <w:sz w:val="20"/>
                <w:szCs w:val="20"/>
              </w:rPr>
              <w:t>709,493</w:t>
            </w:r>
          </w:p>
        </w:tc>
        <w:tc>
          <w:tcPr>
            <w:tcW w:w="0" w:type="auto"/>
            <w:vAlign w:val="bottom"/>
            <w:hideMark/>
          </w:tcPr>
          <w:p w14:paraId="54C2B50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CA6D61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770B57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9EF0A3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2670A30" w14:textId="77777777" w:rsidR="00000000" w:rsidRDefault="00087966">
            <w:pPr>
              <w:rPr>
                <w:rFonts w:eastAsia="Times New Roman"/>
                <w:sz w:val="20"/>
                <w:szCs w:val="20"/>
              </w:rPr>
            </w:pPr>
            <w:r>
              <w:rPr>
                <w:rFonts w:eastAsia="Times New Roman"/>
                <w:sz w:val="20"/>
                <w:szCs w:val="20"/>
              </w:rPr>
              <w:t>(5)</w:t>
            </w:r>
          </w:p>
        </w:tc>
        <w:tc>
          <w:tcPr>
            <w:tcW w:w="0" w:type="auto"/>
            <w:vAlign w:val="bottom"/>
            <w:hideMark/>
          </w:tcPr>
          <w:p w14:paraId="25FEAE2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66CCCE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6FDFB50"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589ED86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0E16F1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36FA69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D57A609"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1689684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0736BA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6F5AE0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A22EE08"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912836C" w14:textId="77777777" w:rsidR="00000000" w:rsidRDefault="00087966">
            <w:pPr>
              <w:rPr>
                <w:rFonts w:eastAsia="Times New Roman"/>
                <w:sz w:val="20"/>
                <w:szCs w:val="20"/>
              </w:rPr>
            </w:pPr>
            <w:r>
              <w:rPr>
                <w:rFonts w:eastAsia="Times New Roman"/>
                <w:sz w:val="20"/>
                <w:szCs w:val="20"/>
              </w:rPr>
              <w:t>(5)</w:t>
            </w:r>
          </w:p>
        </w:tc>
      </w:tr>
      <w:tr w:rsidR="00000000" w14:paraId="0E1570D9" w14:textId="77777777">
        <w:trPr>
          <w:divId w:val="1595479706"/>
        </w:trPr>
        <w:tc>
          <w:tcPr>
            <w:tcW w:w="0" w:type="auto"/>
            <w:shd w:val="clear" w:color="auto" w:fill="CCEEFF"/>
            <w:vAlign w:val="bottom"/>
            <w:hideMark/>
          </w:tcPr>
          <w:p w14:paraId="57DEF0DB" w14:textId="77777777" w:rsidR="00000000" w:rsidRDefault="00087966">
            <w:pPr>
              <w:rPr>
                <w:rFonts w:eastAsia="Times New Roman"/>
                <w:sz w:val="20"/>
                <w:szCs w:val="20"/>
              </w:rPr>
            </w:pPr>
            <w:r>
              <w:rPr>
                <w:rFonts w:eastAsia="Times New Roman"/>
                <w:sz w:val="20"/>
                <w:szCs w:val="20"/>
              </w:rPr>
              <w:t>D.E. Shaw Parties (6)</w:t>
            </w:r>
          </w:p>
        </w:tc>
        <w:tc>
          <w:tcPr>
            <w:tcW w:w="0" w:type="auto"/>
            <w:shd w:val="clear" w:color="auto" w:fill="CCEEFF"/>
            <w:vAlign w:val="bottom"/>
            <w:hideMark/>
          </w:tcPr>
          <w:p w14:paraId="1ECAD34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1937B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7A71C4" w14:textId="77777777" w:rsidR="00000000" w:rsidRDefault="00087966">
            <w:pPr>
              <w:jc w:val="right"/>
              <w:rPr>
                <w:rFonts w:eastAsia="Times New Roman"/>
                <w:sz w:val="20"/>
                <w:szCs w:val="20"/>
              </w:rPr>
            </w:pPr>
            <w:r>
              <w:rPr>
                <w:rFonts w:eastAsia="Times New Roman"/>
                <w:sz w:val="20"/>
                <w:szCs w:val="20"/>
              </w:rPr>
              <w:t>828,902</w:t>
            </w:r>
          </w:p>
        </w:tc>
        <w:tc>
          <w:tcPr>
            <w:tcW w:w="0" w:type="auto"/>
            <w:shd w:val="clear" w:color="auto" w:fill="CCEEFF"/>
            <w:vAlign w:val="bottom"/>
            <w:hideMark/>
          </w:tcPr>
          <w:p w14:paraId="246B5EB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1C9B1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77C08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224486" w14:textId="77777777" w:rsidR="00000000" w:rsidRDefault="00087966">
            <w:pPr>
              <w:rPr>
                <w:rFonts w:eastAsia="Times New Roman"/>
                <w:sz w:val="20"/>
                <w:szCs w:val="20"/>
              </w:rPr>
            </w:pPr>
          </w:p>
        </w:tc>
        <w:tc>
          <w:tcPr>
            <w:tcW w:w="0" w:type="auto"/>
            <w:shd w:val="clear" w:color="auto" w:fill="CCEEFF"/>
            <w:vAlign w:val="bottom"/>
            <w:hideMark/>
          </w:tcPr>
          <w:p w14:paraId="58ABB314" w14:textId="77777777" w:rsidR="00000000" w:rsidRDefault="00087966">
            <w:pPr>
              <w:rPr>
                <w:rFonts w:eastAsia="Times New Roman"/>
                <w:sz w:val="20"/>
                <w:szCs w:val="20"/>
              </w:rPr>
            </w:pPr>
            <w:r>
              <w:rPr>
                <w:rFonts w:eastAsia="Times New Roman"/>
                <w:sz w:val="20"/>
                <w:szCs w:val="20"/>
              </w:rPr>
              <w:t>(6)</w:t>
            </w:r>
          </w:p>
        </w:tc>
        <w:tc>
          <w:tcPr>
            <w:tcW w:w="0" w:type="auto"/>
            <w:shd w:val="clear" w:color="auto" w:fill="CCEEFF"/>
            <w:vAlign w:val="bottom"/>
            <w:hideMark/>
          </w:tcPr>
          <w:p w14:paraId="4E01DD6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97C22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FF8D03"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6D16CD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48D87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A4D95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33D552"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68B937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A50CA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E2528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840CC8" w14:textId="77777777" w:rsidR="00000000" w:rsidRDefault="00087966">
            <w:pPr>
              <w:rPr>
                <w:rFonts w:eastAsia="Times New Roman"/>
                <w:sz w:val="20"/>
                <w:szCs w:val="20"/>
              </w:rPr>
            </w:pPr>
          </w:p>
        </w:tc>
        <w:tc>
          <w:tcPr>
            <w:tcW w:w="0" w:type="auto"/>
            <w:shd w:val="clear" w:color="auto" w:fill="CCEEFF"/>
            <w:vAlign w:val="bottom"/>
            <w:hideMark/>
          </w:tcPr>
          <w:p w14:paraId="5AEB407A" w14:textId="77777777" w:rsidR="00000000" w:rsidRDefault="00087966">
            <w:pPr>
              <w:rPr>
                <w:rFonts w:eastAsia="Times New Roman"/>
                <w:sz w:val="20"/>
                <w:szCs w:val="20"/>
              </w:rPr>
            </w:pPr>
            <w:r>
              <w:rPr>
                <w:rFonts w:eastAsia="Times New Roman"/>
                <w:sz w:val="20"/>
                <w:szCs w:val="20"/>
              </w:rPr>
              <w:t>(6)</w:t>
            </w:r>
          </w:p>
        </w:tc>
      </w:tr>
      <w:tr w:rsidR="00000000" w14:paraId="426309B5" w14:textId="77777777">
        <w:trPr>
          <w:divId w:val="1595479706"/>
        </w:trPr>
        <w:tc>
          <w:tcPr>
            <w:tcW w:w="0" w:type="auto"/>
            <w:vAlign w:val="bottom"/>
            <w:hideMark/>
          </w:tcPr>
          <w:p w14:paraId="6796F737" w14:textId="77777777" w:rsidR="00000000" w:rsidRDefault="00087966">
            <w:pPr>
              <w:rPr>
                <w:rFonts w:eastAsia="Times New Roman"/>
                <w:sz w:val="20"/>
                <w:szCs w:val="20"/>
              </w:rPr>
            </w:pPr>
            <w:r>
              <w:rPr>
                <w:rFonts w:eastAsia="Times New Roman"/>
                <w:sz w:val="20"/>
                <w:szCs w:val="20"/>
              </w:rPr>
              <w:t>Hudson Bay Parties (7)</w:t>
            </w:r>
          </w:p>
        </w:tc>
        <w:tc>
          <w:tcPr>
            <w:tcW w:w="0" w:type="auto"/>
            <w:vAlign w:val="bottom"/>
            <w:hideMark/>
          </w:tcPr>
          <w:p w14:paraId="2596F6A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B80962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F0CD57D" w14:textId="77777777" w:rsidR="00000000" w:rsidRDefault="00087966">
            <w:pPr>
              <w:jc w:val="right"/>
              <w:rPr>
                <w:rFonts w:eastAsia="Times New Roman"/>
                <w:sz w:val="20"/>
                <w:szCs w:val="20"/>
              </w:rPr>
            </w:pPr>
            <w:r>
              <w:rPr>
                <w:rFonts w:eastAsia="Times New Roman"/>
                <w:sz w:val="20"/>
                <w:szCs w:val="20"/>
              </w:rPr>
              <w:t>816,201</w:t>
            </w:r>
          </w:p>
        </w:tc>
        <w:tc>
          <w:tcPr>
            <w:tcW w:w="0" w:type="auto"/>
            <w:vAlign w:val="bottom"/>
            <w:hideMark/>
          </w:tcPr>
          <w:p w14:paraId="2A672AA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2DB0CA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882067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F3DDC5D"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33BC848" w14:textId="77777777" w:rsidR="00000000" w:rsidRDefault="00087966">
            <w:pPr>
              <w:rPr>
                <w:rFonts w:eastAsia="Times New Roman"/>
                <w:sz w:val="20"/>
                <w:szCs w:val="20"/>
              </w:rPr>
            </w:pPr>
            <w:r>
              <w:rPr>
                <w:rFonts w:eastAsia="Times New Roman"/>
                <w:sz w:val="20"/>
                <w:szCs w:val="20"/>
              </w:rPr>
              <w:t>(7)</w:t>
            </w:r>
          </w:p>
        </w:tc>
        <w:tc>
          <w:tcPr>
            <w:tcW w:w="0" w:type="auto"/>
            <w:vAlign w:val="bottom"/>
            <w:hideMark/>
          </w:tcPr>
          <w:p w14:paraId="177F4C9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9AA464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456CA36"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7098713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33BADD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388AB6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D248540"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2D18EB9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013367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C1CF33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DABF846"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960672D" w14:textId="77777777" w:rsidR="00000000" w:rsidRDefault="00087966">
            <w:pPr>
              <w:rPr>
                <w:rFonts w:eastAsia="Times New Roman"/>
                <w:sz w:val="20"/>
                <w:szCs w:val="20"/>
              </w:rPr>
            </w:pPr>
            <w:r>
              <w:rPr>
                <w:rFonts w:eastAsia="Times New Roman"/>
                <w:sz w:val="20"/>
                <w:szCs w:val="20"/>
              </w:rPr>
              <w:t>(7)</w:t>
            </w:r>
          </w:p>
        </w:tc>
      </w:tr>
    </w:tbl>
    <w:p w14:paraId="6C782EDB"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81B69FC" w14:textId="77777777">
        <w:trPr>
          <w:divId w:val="1595479706"/>
          <w:tblCellSpacing w:w="0" w:type="dxa"/>
        </w:trPr>
        <w:tc>
          <w:tcPr>
            <w:tcW w:w="360" w:type="dxa"/>
            <w:hideMark/>
          </w:tcPr>
          <w:p w14:paraId="59AA7A0C" w14:textId="77777777" w:rsidR="00000000" w:rsidRDefault="00087966">
            <w:pPr>
              <w:rPr>
                <w:rFonts w:eastAsia="Times New Roman"/>
                <w:sz w:val="20"/>
                <w:szCs w:val="20"/>
              </w:rPr>
            </w:pPr>
            <w:r>
              <w:rPr>
                <w:rFonts w:eastAsia="Times New Roman"/>
                <w:sz w:val="20"/>
                <w:szCs w:val="20"/>
              </w:rPr>
              <w:t>*</w:t>
            </w:r>
          </w:p>
        </w:tc>
        <w:tc>
          <w:tcPr>
            <w:tcW w:w="0" w:type="auto"/>
            <w:hideMark/>
          </w:tcPr>
          <w:p w14:paraId="7C190D2D" w14:textId="77777777" w:rsidR="00000000" w:rsidRDefault="00087966">
            <w:pPr>
              <w:jc w:val="both"/>
              <w:rPr>
                <w:rFonts w:eastAsia="Times New Roman"/>
                <w:sz w:val="20"/>
                <w:szCs w:val="20"/>
              </w:rPr>
            </w:pPr>
            <w:r>
              <w:rPr>
                <w:rFonts w:eastAsia="Times New Roman"/>
                <w:sz w:val="20"/>
                <w:szCs w:val="20"/>
              </w:rPr>
              <w:t>less than 1%</w:t>
            </w:r>
          </w:p>
        </w:tc>
      </w:tr>
    </w:tbl>
    <w:p w14:paraId="7EBDE573"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72E0BE2B" w14:textId="77777777">
        <w:trPr>
          <w:divId w:val="1595479706"/>
          <w:tblCellSpacing w:w="0" w:type="dxa"/>
        </w:trPr>
        <w:tc>
          <w:tcPr>
            <w:tcW w:w="360" w:type="dxa"/>
            <w:hideMark/>
          </w:tcPr>
          <w:p w14:paraId="5618651C" w14:textId="77777777" w:rsidR="00000000" w:rsidRDefault="00087966">
            <w:pPr>
              <w:jc w:val="both"/>
              <w:rPr>
                <w:rFonts w:eastAsia="Times New Roman"/>
                <w:sz w:val="20"/>
                <w:szCs w:val="20"/>
              </w:rPr>
            </w:pPr>
            <w:r>
              <w:rPr>
                <w:rFonts w:eastAsia="Times New Roman"/>
                <w:sz w:val="20"/>
                <w:szCs w:val="20"/>
              </w:rPr>
              <w:t>(1)</w:t>
            </w:r>
          </w:p>
        </w:tc>
        <w:tc>
          <w:tcPr>
            <w:tcW w:w="0" w:type="auto"/>
            <w:hideMark/>
          </w:tcPr>
          <w:p w14:paraId="00EBD897" w14:textId="77777777" w:rsidR="00000000" w:rsidRDefault="00087966">
            <w:pPr>
              <w:jc w:val="both"/>
              <w:rPr>
                <w:rFonts w:eastAsia="Times New Roman"/>
                <w:sz w:val="20"/>
                <w:szCs w:val="20"/>
              </w:rPr>
            </w:pPr>
            <w:r>
              <w:rPr>
                <w:rFonts w:eastAsia="Times New Roman"/>
                <w:sz w:val="20"/>
                <w:szCs w:val="20"/>
              </w:rPr>
              <w:t>Unless otherwise noted, the business address of each of the following entities or individuals is c/o KludeIn I Acquisition Corp., 1096 Keeler Avenue, Berkeley, CA 94708.</w:t>
            </w:r>
          </w:p>
        </w:tc>
      </w:tr>
    </w:tbl>
    <w:p w14:paraId="32EC62FF"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69146F67" w14:textId="77777777">
        <w:trPr>
          <w:divId w:val="1595479706"/>
          <w:tblCellSpacing w:w="0" w:type="dxa"/>
        </w:trPr>
        <w:tc>
          <w:tcPr>
            <w:tcW w:w="360" w:type="dxa"/>
            <w:hideMark/>
          </w:tcPr>
          <w:p w14:paraId="319E9AE4" w14:textId="77777777" w:rsidR="00000000" w:rsidRDefault="00087966">
            <w:pPr>
              <w:jc w:val="both"/>
              <w:rPr>
                <w:rFonts w:eastAsia="Times New Roman"/>
                <w:sz w:val="20"/>
                <w:szCs w:val="20"/>
              </w:rPr>
            </w:pPr>
            <w:r>
              <w:rPr>
                <w:rFonts w:eastAsia="Times New Roman"/>
                <w:sz w:val="20"/>
                <w:szCs w:val="20"/>
              </w:rPr>
              <w:t>(2)</w:t>
            </w:r>
          </w:p>
        </w:tc>
        <w:tc>
          <w:tcPr>
            <w:tcW w:w="0" w:type="auto"/>
            <w:hideMark/>
          </w:tcPr>
          <w:p w14:paraId="2CA8F6E5" w14:textId="77777777" w:rsidR="00000000" w:rsidRDefault="00087966">
            <w:pPr>
              <w:jc w:val="both"/>
              <w:rPr>
                <w:rFonts w:eastAsia="Times New Roman"/>
                <w:sz w:val="20"/>
                <w:szCs w:val="20"/>
              </w:rPr>
            </w:pPr>
            <w:r>
              <w:rPr>
                <w:rFonts w:eastAsia="Times New Roman"/>
                <w:sz w:val="20"/>
                <w:szCs w:val="20"/>
              </w:rPr>
              <w:t>Interests shown consist solely of founder shares, classified as shares of Class</w:t>
            </w:r>
            <w:r>
              <w:rPr>
                <w:rFonts w:eastAsia="Times New Roman"/>
                <w:sz w:val="20"/>
                <w:szCs w:val="20"/>
              </w:rPr>
              <w:t> B common stock. Such shares are convertible into shares of Class A common stock on a one-for-one basis, subject to adjustment.</w:t>
            </w:r>
          </w:p>
        </w:tc>
      </w:tr>
    </w:tbl>
    <w:p w14:paraId="5002B5CF"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75AAE09" w14:textId="77777777">
        <w:trPr>
          <w:divId w:val="1595479706"/>
          <w:tblCellSpacing w:w="0" w:type="dxa"/>
        </w:trPr>
        <w:tc>
          <w:tcPr>
            <w:tcW w:w="360" w:type="dxa"/>
            <w:hideMark/>
          </w:tcPr>
          <w:p w14:paraId="1305958D" w14:textId="77777777" w:rsidR="00000000" w:rsidRDefault="00087966">
            <w:pPr>
              <w:jc w:val="both"/>
              <w:rPr>
                <w:rFonts w:eastAsia="Times New Roman"/>
                <w:sz w:val="20"/>
                <w:szCs w:val="20"/>
              </w:rPr>
            </w:pPr>
            <w:r>
              <w:rPr>
                <w:rFonts w:eastAsia="Times New Roman"/>
                <w:sz w:val="20"/>
                <w:szCs w:val="20"/>
              </w:rPr>
              <w:t>(3)</w:t>
            </w:r>
          </w:p>
        </w:tc>
        <w:tc>
          <w:tcPr>
            <w:tcW w:w="0" w:type="auto"/>
            <w:hideMark/>
          </w:tcPr>
          <w:p w14:paraId="58470369" w14:textId="77777777" w:rsidR="00000000" w:rsidRDefault="00087966">
            <w:pPr>
              <w:pStyle w:val="a3"/>
              <w:spacing w:before="0" w:beforeAutospacing="0" w:after="0" w:afterAutospacing="0"/>
              <w:jc w:val="both"/>
              <w:rPr>
                <w:sz w:val="20"/>
                <w:szCs w:val="20"/>
              </w:rPr>
            </w:pPr>
            <w:r>
              <w:rPr>
                <w:sz w:val="20"/>
                <w:szCs w:val="20"/>
              </w:rPr>
              <w:t>Our sponsor is the record holder of such shares. Each of Messrs. Ramachandran and Raghavan is a managing member of our sp</w:t>
            </w:r>
            <w:r>
              <w:rPr>
                <w:sz w:val="20"/>
                <w:szCs w:val="20"/>
              </w:rPr>
              <w:t>onsor, and as such, each has voting and investment discretion with respect to the common stock held of record by our sponsor and may be deemed to have shared beneficial ownership of the common stock held directly by our sponsor. Each of our officers and di</w:t>
            </w:r>
            <w:r>
              <w:rPr>
                <w:sz w:val="20"/>
                <w:szCs w:val="20"/>
              </w:rPr>
              <w:t>rectors holds a direct or indirect interest in our sponsor. Each such person disclaims any beneficial ownership of the reported shares other than to the extent of any pecuniary interest they may have therein, directly or indirectly.</w:t>
            </w:r>
          </w:p>
        </w:tc>
      </w:tr>
      <w:tr w:rsidR="00000000" w14:paraId="53F7DF5C" w14:textId="77777777">
        <w:trPr>
          <w:divId w:val="1595479706"/>
          <w:tblCellSpacing w:w="0" w:type="dxa"/>
        </w:trPr>
        <w:tc>
          <w:tcPr>
            <w:tcW w:w="0" w:type="auto"/>
            <w:hideMark/>
          </w:tcPr>
          <w:p w14:paraId="2CD34F69"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419A3534" w14:textId="77777777" w:rsidR="00000000" w:rsidRDefault="00087966">
            <w:pPr>
              <w:rPr>
                <w:rFonts w:eastAsia="Times New Roman"/>
                <w:sz w:val="20"/>
                <w:szCs w:val="20"/>
              </w:rPr>
            </w:pPr>
            <w:r>
              <w:rPr>
                <w:rFonts w:eastAsia="Times New Roman"/>
                <w:sz w:val="20"/>
                <w:szCs w:val="20"/>
              </w:rPr>
              <w:t> </w:t>
            </w:r>
          </w:p>
        </w:tc>
      </w:tr>
      <w:tr w:rsidR="00000000" w14:paraId="2A492F05" w14:textId="77777777">
        <w:trPr>
          <w:divId w:val="1595479706"/>
          <w:tblCellSpacing w:w="0" w:type="dxa"/>
        </w:trPr>
        <w:tc>
          <w:tcPr>
            <w:tcW w:w="0" w:type="auto"/>
            <w:hideMark/>
          </w:tcPr>
          <w:p w14:paraId="6740B399" w14:textId="77777777" w:rsidR="00000000" w:rsidRDefault="00087966">
            <w:pPr>
              <w:jc w:val="both"/>
              <w:rPr>
                <w:rFonts w:eastAsia="Times New Roman"/>
                <w:sz w:val="20"/>
                <w:szCs w:val="20"/>
              </w:rPr>
            </w:pPr>
            <w:r>
              <w:rPr>
                <w:rFonts w:eastAsia="Times New Roman"/>
                <w:sz w:val="20"/>
                <w:szCs w:val="20"/>
              </w:rPr>
              <w:t>(4)</w:t>
            </w:r>
          </w:p>
        </w:tc>
        <w:tc>
          <w:tcPr>
            <w:tcW w:w="0" w:type="auto"/>
            <w:hideMark/>
          </w:tcPr>
          <w:p w14:paraId="3836D2FE" w14:textId="77777777" w:rsidR="00000000" w:rsidRDefault="00087966">
            <w:pPr>
              <w:jc w:val="both"/>
              <w:rPr>
                <w:rFonts w:eastAsia="Times New Roman"/>
                <w:sz w:val="20"/>
                <w:szCs w:val="20"/>
              </w:rPr>
            </w:pPr>
            <w:r>
              <w:rPr>
                <w:rFonts w:eastAsia="Times New Roman"/>
                <w:sz w:val="20"/>
                <w:szCs w:val="20"/>
              </w:rPr>
              <w:t>Based on a Sc</w:t>
            </w:r>
            <w:r>
              <w:rPr>
                <w:rFonts w:eastAsia="Times New Roman"/>
                <w:sz w:val="20"/>
                <w:szCs w:val="20"/>
              </w:rPr>
              <w:t>hedule 13G/A filed with the SEC on February 10, 2023, filed by Polar Asset Management Partners Inc., a company incorporated under the laws of Ontario, Canada, which serves as the investment advisor to Polar Multi-Strategy Master Fund, a Cayman Islands exem</w:t>
            </w:r>
            <w:r>
              <w:rPr>
                <w:rFonts w:eastAsia="Times New Roman"/>
                <w:sz w:val="20"/>
                <w:szCs w:val="20"/>
              </w:rPr>
              <w:t>pted company (“PMSMF”, and together with Polar Asset Management Partners Inc., the “Polar Parties”), with respect to the public shares owned by PMSMF. The number of public shares held by the Polar Parties is based on the number of shares held on December 3</w:t>
            </w:r>
            <w:r>
              <w:rPr>
                <w:rFonts w:eastAsia="Times New Roman"/>
                <w:sz w:val="20"/>
                <w:szCs w:val="20"/>
              </w:rPr>
              <w:t>1, 2022, as stated in the Schedule 13G/A, which does not reflect any redemption of shares by the Polar Parties in connection with the Second Extension or any other transactions after December 31, 2022. Accordingly, the number of public shares and the perce</w:t>
            </w:r>
            <w:r>
              <w:rPr>
                <w:rFonts w:eastAsia="Times New Roman"/>
                <w:sz w:val="20"/>
                <w:szCs w:val="20"/>
              </w:rPr>
              <w:t>ntages set forth in the table may not reflect the Polar Parties’ current beneficial ownership. The principal business address for the Polar Parties is 16 York Street, Suite 2900, Toronto, ON, Canada M5J 0E6.</w:t>
            </w:r>
          </w:p>
        </w:tc>
      </w:tr>
    </w:tbl>
    <w:p w14:paraId="549D9700" w14:textId="77777777" w:rsidR="00000000" w:rsidRDefault="00087966">
      <w:pPr>
        <w:pStyle w:val="a3"/>
        <w:spacing w:before="0" w:beforeAutospacing="0" w:after="0" w:afterAutospacing="0"/>
        <w:jc w:val="both"/>
        <w:divId w:val="1595479706"/>
        <w:rPr>
          <w:sz w:val="20"/>
          <w:szCs w:val="20"/>
        </w:rPr>
      </w:pPr>
      <w:r>
        <w:rPr>
          <w:sz w:val="20"/>
          <w:szCs w:val="20"/>
        </w:rPr>
        <w:t> </w:t>
      </w:r>
    </w:p>
    <w:p w14:paraId="3CB6C014" w14:textId="77777777" w:rsidR="00000000" w:rsidRDefault="00087966">
      <w:pPr>
        <w:pStyle w:val="a3"/>
        <w:spacing w:before="0" w:beforeAutospacing="0" w:after="0" w:afterAutospacing="0"/>
        <w:jc w:val="center"/>
        <w:divId w:val="255018823"/>
        <w:rPr>
          <w:sz w:val="20"/>
          <w:szCs w:val="20"/>
        </w:rPr>
      </w:pPr>
      <w:r>
        <w:rPr>
          <w:sz w:val="20"/>
          <w:szCs w:val="20"/>
        </w:rPr>
        <w:t>4</w:t>
      </w:r>
      <w:r>
        <w:rPr>
          <w:sz w:val="20"/>
          <w:szCs w:val="20"/>
        </w:rPr>
        <w:t>7</w:t>
      </w:r>
    </w:p>
    <w:p w14:paraId="49F39A61" w14:textId="77777777" w:rsidR="00000000" w:rsidRDefault="00087966">
      <w:pPr>
        <w:pStyle w:val="a3"/>
        <w:spacing w:before="0" w:beforeAutospacing="0" w:after="0" w:afterAutospacing="0"/>
        <w:divId w:val="120926586"/>
        <w:rPr>
          <w:sz w:val="20"/>
          <w:szCs w:val="20"/>
        </w:rPr>
      </w:pPr>
      <w:r>
        <w:rPr>
          <w:sz w:val="20"/>
          <w:szCs w:val="20"/>
        </w:rPr>
        <w:t> </w:t>
      </w:r>
    </w:p>
    <w:p w14:paraId="21765049"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2C5C7804" w14:textId="77777777">
        <w:trPr>
          <w:divId w:val="1595479706"/>
        </w:trPr>
        <w:tc>
          <w:tcPr>
            <w:tcW w:w="360" w:type="dxa"/>
            <w:hideMark/>
          </w:tcPr>
          <w:p w14:paraId="52F2BA37" w14:textId="77777777" w:rsidR="00000000" w:rsidRDefault="00087966">
            <w:pPr>
              <w:rPr>
                <w:rFonts w:eastAsia="Times New Roman"/>
                <w:sz w:val="20"/>
                <w:szCs w:val="20"/>
              </w:rPr>
            </w:pPr>
            <w:r>
              <w:rPr>
                <w:rFonts w:eastAsia="Times New Roman"/>
                <w:sz w:val="20"/>
                <w:szCs w:val="20"/>
              </w:rPr>
              <w:t>(5)</w:t>
            </w:r>
          </w:p>
        </w:tc>
        <w:tc>
          <w:tcPr>
            <w:tcW w:w="0" w:type="auto"/>
            <w:hideMark/>
          </w:tcPr>
          <w:p w14:paraId="44DEA493" w14:textId="77777777" w:rsidR="00000000" w:rsidRDefault="00087966">
            <w:pPr>
              <w:jc w:val="both"/>
              <w:rPr>
                <w:rFonts w:eastAsia="Times New Roman"/>
                <w:sz w:val="20"/>
                <w:szCs w:val="20"/>
              </w:rPr>
            </w:pPr>
            <w:r>
              <w:rPr>
                <w:rFonts w:eastAsia="Times New Roman"/>
                <w:sz w:val="20"/>
                <w:szCs w:val="20"/>
              </w:rPr>
              <w:t>Based on a Schedule 13G filed with the SEC on February 14, 2023, filed by Alberta Investment Management Corporation, which is organized under the laws of Alberta, Canada (“Alberta”), with respect to the public shares held by Alberta. The number of public s</w:t>
            </w:r>
            <w:r>
              <w:rPr>
                <w:rFonts w:eastAsia="Times New Roman"/>
                <w:sz w:val="20"/>
                <w:szCs w:val="20"/>
              </w:rPr>
              <w:t xml:space="preserve">hares held by Alberta is based on the number of shares held on December 31, 2022, which would not reflect any redemption of shares by Alberta in connection with the Second Extension or any other transactions after December 31, 2022. Accordingly, since the </w:t>
            </w:r>
            <w:r>
              <w:rPr>
                <w:rFonts w:eastAsia="Times New Roman"/>
                <w:sz w:val="20"/>
                <w:szCs w:val="20"/>
              </w:rPr>
              <w:t>number of publics shares held by Alberta on December 31, 2022 is in excess of the total number of public shares outstanding as of March 14, 2023, the ownership percentages have been omitted from the table as they would not accurately reflect Alberta’s curr</w:t>
            </w:r>
            <w:r>
              <w:rPr>
                <w:rFonts w:eastAsia="Times New Roman"/>
                <w:sz w:val="20"/>
                <w:szCs w:val="20"/>
              </w:rPr>
              <w:t>ent percentage ownership. The principal business address for Alberta is 1600 - 10250 101 Street NW, Edmonton, Alberta T5J 3P4, Canada.</w:t>
            </w:r>
          </w:p>
        </w:tc>
      </w:tr>
    </w:tbl>
    <w:p w14:paraId="7274F868"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1700D8B6" w14:textId="77777777">
        <w:trPr>
          <w:divId w:val="1595479706"/>
        </w:trPr>
        <w:tc>
          <w:tcPr>
            <w:tcW w:w="360" w:type="dxa"/>
            <w:hideMark/>
          </w:tcPr>
          <w:p w14:paraId="0C6AAE83" w14:textId="77777777" w:rsidR="00000000" w:rsidRDefault="00087966">
            <w:pPr>
              <w:rPr>
                <w:rFonts w:eastAsia="Times New Roman"/>
                <w:sz w:val="20"/>
                <w:szCs w:val="20"/>
              </w:rPr>
            </w:pPr>
            <w:r>
              <w:rPr>
                <w:rFonts w:eastAsia="Times New Roman"/>
                <w:sz w:val="20"/>
                <w:szCs w:val="20"/>
              </w:rPr>
              <w:t>(6)</w:t>
            </w:r>
          </w:p>
        </w:tc>
        <w:tc>
          <w:tcPr>
            <w:tcW w:w="0" w:type="auto"/>
            <w:hideMark/>
          </w:tcPr>
          <w:p w14:paraId="73B58D76" w14:textId="77777777" w:rsidR="00000000" w:rsidRDefault="00087966">
            <w:pPr>
              <w:jc w:val="both"/>
              <w:rPr>
                <w:rFonts w:eastAsia="Times New Roman"/>
                <w:sz w:val="20"/>
                <w:szCs w:val="20"/>
              </w:rPr>
            </w:pPr>
            <w:r>
              <w:rPr>
                <w:rFonts w:eastAsia="Times New Roman"/>
                <w:sz w:val="20"/>
                <w:szCs w:val="20"/>
              </w:rPr>
              <w:t xml:space="preserve">Based on a Schedule 13G filed with the SEC on February 14, 2023, filed by (i) David E. Shaw, a U.S. citizen, (ii) </w:t>
            </w:r>
            <w:r>
              <w:rPr>
                <w:rFonts w:eastAsia="Times New Roman"/>
                <w:sz w:val="20"/>
                <w:szCs w:val="20"/>
              </w:rPr>
              <w:t>D. E. Shaw &amp; Co., L.P., a Delaware limited liability partnership, (iii) D. E. Shaw Valence Portfolios, L.L.C., a Delaware limited liability company (“Portfolios”) and (iv) D. E. Shaw &amp; Co., L.L.C., a Delaware limited liability company (collectively, the “D</w:t>
            </w:r>
            <w:r>
              <w:rPr>
                <w:rFonts w:eastAsia="Times New Roman"/>
                <w:sz w:val="20"/>
                <w:szCs w:val="20"/>
              </w:rPr>
              <w:t xml:space="preserve">.E. Shaw Parties”), with respect to the public shares held in the name of Portfolios and D. E. Shaw Oculus Portfolios, L.L.C. The number of public shares held by the D.E. Shaw Parties is based on the number of shares held on December 31, 2022, which would </w:t>
            </w:r>
            <w:r>
              <w:rPr>
                <w:rFonts w:eastAsia="Times New Roman"/>
                <w:sz w:val="20"/>
                <w:szCs w:val="20"/>
              </w:rPr>
              <w:t>not reflect any redemption of shares by the D.E. Shaw Parties in connection with the Second Extension or any other transactions after December 31, 2022. Accordingly, since the number of publics shares held by the D.E. Shaw Parties on December 31, 2022 is i</w:t>
            </w:r>
            <w:r>
              <w:rPr>
                <w:rFonts w:eastAsia="Times New Roman"/>
                <w:sz w:val="20"/>
                <w:szCs w:val="20"/>
              </w:rPr>
              <w:t>n excess of the total number of public shares outstanding as of March 14, 2023, the ownership percentages have been omitted from the table as they would not accurately reflect the D.E. Shaw Parties’ current percentage ownership. The principal business addr</w:t>
            </w:r>
            <w:r>
              <w:rPr>
                <w:rFonts w:eastAsia="Times New Roman"/>
                <w:sz w:val="20"/>
                <w:szCs w:val="20"/>
              </w:rPr>
              <w:t>ess for the D.E. Shaw Parties is 1166 Avenue of the Americas, 9</w:t>
            </w:r>
            <w:r>
              <w:rPr>
                <w:rFonts w:eastAsia="Times New Roman"/>
                <w:sz w:val="20"/>
                <w:szCs w:val="20"/>
                <w:vertAlign w:val="superscript"/>
              </w:rPr>
              <w:t>th</w:t>
            </w:r>
            <w:r>
              <w:rPr>
                <w:rFonts w:eastAsia="Times New Roman"/>
                <w:sz w:val="20"/>
                <w:szCs w:val="20"/>
              </w:rPr>
              <w:t> Floor, New York, NY 10036.</w:t>
            </w:r>
          </w:p>
        </w:tc>
      </w:tr>
    </w:tbl>
    <w:p w14:paraId="168686E0"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387D2D28" w14:textId="77777777">
        <w:trPr>
          <w:divId w:val="1595479706"/>
        </w:trPr>
        <w:tc>
          <w:tcPr>
            <w:tcW w:w="360" w:type="dxa"/>
            <w:hideMark/>
          </w:tcPr>
          <w:p w14:paraId="41F1012A" w14:textId="77777777" w:rsidR="00000000" w:rsidRDefault="00087966">
            <w:pPr>
              <w:rPr>
                <w:rFonts w:eastAsia="Times New Roman"/>
                <w:sz w:val="20"/>
                <w:szCs w:val="20"/>
              </w:rPr>
            </w:pPr>
            <w:r>
              <w:rPr>
                <w:rFonts w:eastAsia="Times New Roman"/>
                <w:sz w:val="20"/>
                <w:szCs w:val="20"/>
              </w:rPr>
              <w:t>(7)</w:t>
            </w:r>
          </w:p>
        </w:tc>
        <w:tc>
          <w:tcPr>
            <w:tcW w:w="0" w:type="auto"/>
            <w:hideMark/>
          </w:tcPr>
          <w:p w14:paraId="55C66E2A" w14:textId="77777777" w:rsidR="00000000" w:rsidRDefault="00087966">
            <w:pPr>
              <w:jc w:val="both"/>
              <w:rPr>
                <w:rFonts w:eastAsia="Times New Roman"/>
                <w:sz w:val="20"/>
                <w:szCs w:val="20"/>
              </w:rPr>
            </w:pPr>
            <w:r>
              <w:rPr>
                <w:rFonts w:eastAsia="Times New Roman"/>
                <w:sz w:val="20"/>
                <w:szCs w:val="20"/>
              </w:rPr>
              <w:t>Based on a Schedule 13G filed with the SEC on February 9, 2023, filed by (i) Mr. Sander Gerber, a U.S. citizen, and (ii) Hudson Bay Capital Management LP, a</w:t>
            </w:r>
            <w:r>
              <w:rPr>
                <w:rFonts w:eastAsia="Times New Roman"/>
                <w:sz w:val="20"/>
                <w:szCs w:val="20"/>
              </w:rPr>
              <w:t xml:space="preserve"> Delaware limited liability partnership (“HBCM” and, collectively, the “Hudson Bay Parties”), with respect to the public shares held in the names of HB Strategies LLC and Hudson Bay Master Fund Ltd, for whom HBCM serves as the investment manager. The numbe</w:t>
            </w:r>
            <w:r>
              <w:rPr>
                <w:rFonts w:eastAsia="Times New Roman"/>
                <w:sz w:val="20"/>
                <w:szCs w:val="20"/>
              </w:rPr>
              <w:t>r of public shares held by the Hudson Bay Parties is as of December 31, 2022, which would not reflect any redemption of shares in connection with the Second Extension or any other transactions after December 31, 2022. Accordingly, since the number of publi</w:t>
            </w:r>
            <w:r>
              <w:rPr>
                <w:rFonts w:eastAsia="Times New Roman"/>
                <w:sz w:val="20"/>
                <w:szCs w:val="20"/>
              </w:rPr>
              <w:t>cs shares held by the Hudson Bay Parties on December 31, 2022 is in excess of the total number of public shares outstanding as of March 14, 2023, the ownership percentages have been omitted from the table as they would not accurately reflect the Hudson Bay</w:t>
            </w:r>
            <w:r>
              <w:rPr>
                <w:rFonts w:eastAsia="Times New Roman"/>
                <w:sz w:val="20"/>
                <w:szCs w:val="20"/>
              </w:rPr>
              <w:t xml:space="preserve"> Parties’ current percentage ownership. The principal business address for the Hudson Bay Parties is 28 Havemeyer Place, 2</w:t>
            </w:r>
            <w:r>
              <w:rPr>
                <w:rFonts w:eastAsia="Times New Roman"/>
                <w:sz w:val="20"/>
                <w:szCs w:val="20"/>
                <w:vertAlign w:val="superscript"/>
              </w:rPr>
              <w:t>nd</w:t>
            </w:r>
            <w:r>
              <w:rPr>
                <w:rFonts w:eastAsia="Times New Roman"/>
                <w:sz w:val="20"/>
                <w:szCs w:val="20"/>
              </w:rPr>
              <w:t xml:space="preserve"> Floor, Greenwich, CT 06830.</w:t>
            </w:r>
          </w:p>
        </w:tc>
      </w:tr>
    </w:tbl>
    <w:p w14:paraId="353A2096" w14:textId="77777777" w:rsidR="00000000" w:rsidRDefault="00087966">
      <w:pPr>
        <w:pStyle w:val="a3"/>
        <w:spacing w:before="0" w:beforeAutospacing="0" w:after="0" w:afterAutospacing="0"/>
        <w:divId w:val="1595479706"/>
        <w:rPr>
          <w:sz w:val="20"/>
          <w:szCs w:val="20"/>
        </w:rPr>
      </w:pPr>
      <w:r>
        <w:rPr>
          <w:sz w:val="20"/>
          <w:szCs w:val="20"/>
        </w:rPr>
        <w:t> </w:t>
      </w:r>
    </w:p>
    <w:p w14:paraId="1200F828" w14:textId="77777777" w:rsidR="00000000" w:rsidRDefault="00087966">
      <w:pPr>
        <w:pStyle w:val="a3"/>
        <w:spacing w:before="0" w:beforeAutospacing="0" w:after="0" w:afterAutospacing="0"/>
        <w:jc w:val="both"/>
        <w:divId w:val="1595479706"/>
        <w:rPr>
          <w:sz w:val="20"/>
          <w:szCs w:val="20"/>
        </w:rPr>
      </w:pPr>
      <w:r>
        <w:rPr>
          <w:b/>
          <w:bCs/>
          <w:sz w:val="20"/>
          <w:szCs w:val="20"/>
        </w:rPr>
        <w:t>Securities Authorized for Issuance under Equity Compensation Plans</w:t>
      </w:r>
    </w:p>
    <w:p w14:paraId="4A3CCBF4" w14:textId="77777777" w:rsidR="00000000" w:rsidRDefault="00087966">
      <w:pPr>
        <w:pStyle w:val="a3"/>
        <w:spacing w:before="0" w:beforeAutospacing="0" w:after="0" w:afterAutospacing="0"/>
        <w:jc w:val="both"/>
        <w:divId w:val="1595479706"/>
        <w:rPr>
          <w:sz w:val="20"/>
          <w:szCs w:val="20"/>
        </w:rPr>
      </w:pPr>
      <w:r>
        <w:rPr>
          <w:sz w:val="20"/>
          <w:szCs w:val="20"/>
        </w:rPr>
        <w:t> </w:t>
      </w:r>
    </w:p>
    <w:p w14:paraId="19693D0A" w14:textId="77777777" w:rsidR="00000000" w:rsidRDefault="00087966">
      <w:pPr>
        <w:pStyle w:val="a3"/>
        <w:spacing w:before="0" w:beforeAutospacing="0" w:after="0" w:afterAutospacing="0"/>
        <w:ind w:firstLine="720"/>
        <w:jc w:val="both"/>
        <w:divId w:val="1595479706"/>
        <w:rPr>
          <w:sz w:val="20"/>
          <w:szCs w:val="20"/>
        </w:rPr>
      </w:pPr>
      <w:r>
        <w:rPr>
          <w:sz w:val="20"/>
          <w:szCs w:val="20"/>
        </w:rPr>
        <w:t>None.</w:t>
      </w:r>
    </w:p>
    <w:p w14:paraId="75576399"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494E2EA" w14:textId="77777777" w:rsidR="00000000" w:rsidRDefault="00087966">
      <w:pPr>
        <w:pStyle w:val="a3"/>
        <w:spacing w:before="0" w:beforeAutospacing="0" w:after="0" w:afterAutospacing="0"/>
        <w:jc w:val="both"/>
        <w:divId w:val="1595479706"/>
        <w:rPr>
          <w:sz w:val="20"/>
          <w:szCs w:val="20"/>
        </w:rPr>
      </w:pPr>
      <w:r>
        <w:rPr>
          <w:b/>
          <w:bCs/>
          <w:sz w:val="20"/>
          <w:szCs w:val="20"/>
        </w:rPr>
        <w:t>Changes in Control</w:t>
      </w:r>
    </w:p>
    <w:p w14:paraId="4ED1E813" w14:textId="77777777" w:rsidR="00000000" w:rsidRDefault="00087966">
      <w:pPr>
        <w:pStyle w:val="a3"/>
        <w:spacing w:before="0" w:beforeAutospacing="0" w:after="0" w:afterAutospacing="0"/>
        <w:ind w:firstLine="490"/>
        <w:jc w:val="both"/>
        <w:divId w:val="1595479706"/>
        <w:rPr>
          <w:sz w:val="20"/>
          <w:szCs w:val="20"/>
        </w:rPr>
      </w:pPr>
      <w:r>
        <w:rPr>
          <w:sz w:val="20"/>
          <w:szCs w:val="20"/>
        </w:rPr>
        <w:t> </w:t>
      </w:r>
    </w:p>
    <w:p w14:paraId="65C0FC2A" w14:textId="77777777" w:rsidR="00000000" w:rsidRDefault="00087966">
      <w:pPr>
        <w:pStyle w:val="a3"/>
        <w:spacing w:before="0" w:beforeAutospacing="0" w:after="0" w:afterAutospacing="0"/>
        <w:ind w:firstLine="720"/>
        <w:jc w:val="both"/>
        <w:divId w:val="1595479706"/>
        <w:rPr>
          <w:sz w:val="20"/>
          <w:szCs w:val="20"/>
        </w:rPr>
      </w:pPr>
      <w:r>
        <w:rPr>
          <w:sz w:val="20"/>
          <w:szCs w:val="20"/>
        </w:rPr>
        <w:t>For more information on the Near Business Combination, please see “Item 1. Business”.</w:t>
      </w:r>
    </w:p>
    <w:p w14:paraId="3796BA3D"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C738DFA" w14:textId="77777777" w:rsidR="00000000" w:rsidRDefault="00087966">
      <w:pPr>
        <w:pStyle w:val="a3"/>
        <w:spacing w:before="0" w:beforeAutospacing="0" w:after="0" w:afterAutospacing="0"/>
        <w:jc w:val="both"/>
        <w:divId w:val="1595479706"/>
        <w:rPr>
          <w:sz w:val="20"/>
          <w:szCs w:val="20"/>
        </w:rPr>
      </w:pPr>
      <w:r>
        <w:rPr>
          <w:b/>
          <w:bCs/>
          <w:sz w:val="20"/>
          <w:szCs w:val="20"/>
        </w:rPr>
        <w:t>Item 13. Certain Relationships and Related Transactions, and Director Independence.</w:t>
      </w:r>
    </w:p>
    <w:p w14:paraId="681A8529" w14:textId="77777777" w:rsidR="00000000" w:rsidRDefault="00087966">
      <w:pPr>
        <w:pStyle w:val="a3"/>
        <w:spacing w:before="0" w:beforeAutospacing="0" w:after="0" w:afterAutospacing="0"/>
        <w:jc w:val="both"/>
        <w:divId w:val="1595479706"/>
        <w:rPr>
          <w:sz w:val="20"/>
          <w:szCs w:val="20"/>
        </w:rPr>
      </w:pPr>
      <w:r>
        <w:rPr>
          <w:sz w:val="20"/>
          <w:szCs w:val="20"/>
        </w:rPr>
        <w:t> </w:t>
      </w:r>
    </w:p>
    <w:p w14:paraId="5C7371D3" w14:textId="77777777" w:rsidR="00000000" w:rsidRDefault="00087966">
      <w:pPr>
        <w:pStyle w:val="a3"/>
        <w:spacing w:before="0" w:beforeAutospacing="0" w:after="0" w:afterAutospacing="0"/>
        <w:ind w:firstLine="720"/>
        <w:jc w:val="both"/>
        <w:divId w:val="1595479706"/>
        <w:rPr>
          <w:sz w:val="20"/>
          <w:szCs w:val="20"/>
        </w:rPr>
      </w:pPr>
      <w:r>
        <w:rPr>
          <w:sz w:val="20"/>
          <w:szCs w:val="20"/>
        </w:rPr>
        <w:t>The sponsor and our officers and directors hold all of the 4,</w:t>
      </w:r>
      <w:r>
        <w:rPr>
          <w:sz w:val="20"/>
          <w:szCs w:val="20"/>
        </w:rPr>
        <w:t>312,500 founder shares, representing approximately 87.4% of the total outstanding shares of our common stock as of March 14, 2023. The sponsor also holds the 5,200,000 private placement warrants. Each private placement warrant entitles the holder to purcha</w:t>
      </w:r>
      <w:r>
        <w:rPr>
          <w:sz w:val="20"/>
          <w:szCs w:val="20"/>
        </w:rPr>
        <w:t>se one share of our Class A common stock at $11.50 per share. The private placement warrants (including the shares of Class A common stock issuable upon exercise of the private placement warrants) may not, subject to certain limited exceptions, be transfer</w:t>
      </w:r>
      <w:r>
        <w:rPr>
          <w:sz w:val="20"/>
          <w:szCs w:val="20"/>
        </w:rPr>
        <w:t>red, assigned or sold until 30 days after the completion of our initial business combination (such as the Near Business Combination).</w:t>
      </w:r>
    </w:p>
    <w:p w14:paraId="53E2962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6A627BC" w14:textId="77777777" w:rsidR="00000000" w:rsidRDefault="00087966">
      <w:pPr>
        <w:pStyle w:val="a3"/>
        <w:spacing w:before="0" w:beforeAutospacing="0" w:after="0" w:afterAutospacing="0"/>
        <w:jc w:val="center"/>
        <w:divId w:val="449203363"/>
        <w:rPr>
          <w:sz w:val="20"/>
          <w:szCs w:val="20"/>
        </w:rPr>
      </w:pPr>
      <w:r>
        <w:rPr>
          <w:sz w:val="20"/>
          <w:szCs w:val="20"/>
        </w:rPr>
        <w:t>4</w:t>
      </w:r>
      <w:r>
        <w:rPr>
          <w:sz w:val="20"/>
          <w:szCs w:val="20"/>
        </w:rPr>
        <w:t>8</w:t>
      </w:r>
    </w:p>
    <w:p w14:paraId="1F4F3688" w14:textId="77777777" w:rsidR="00000000" w:rsidRDefault="00087966">
      <w:pPr>
        <w:pStyle w:val="a3"/>
        <w:spacing w:before="0" w:beforeAutospacing="0" w:after="0" w:afterAutospacing="0"/>
        <w:divId w:val="938148593"/>
        <w:rPr>
          <w:sz w:val="20"/>
          <w:szCs w:val="20"/>
        </w:rPr>
      </w:pPr>
      <w:r>
        <w:rPr>
          <w:sz w:val="20"/>
          <w:szCs w:val="20"/>
        </w:rPr>
        <w:t> </w:t>
      </w:r>
    </w:p>
    <w:p w14:paraId="3CEBD41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E33C07C" w14:textId="77777777" w:rsidR="00000000" w:rsidRDefault="00087966">
      <w:pPr>
        <w:pStyle w:val="a3"/>
        <w:spacing w:before="0" w:beforeAutospacing="0" w:after="0" w:afterAutospacing="0"/>
        <w:ind w:firstLine="720"/>
        <w:jc w:val="both"/>
        <w:divId w:val="1595479706"/>
        <w:rPr>
          <w:sz w:val="20"/>
          <w:szCs w:val="20"/>
        </w:rPr>
      </w:pPr>
      <w:r>
        <w:rPr>
          <w:sz w:val="20"/>
          <w:szCs w:val="20"/>
        </w:rPr>
        <w:t>In connection with the closing of our initial public offering, Polar Asset Management Partners Inc., our anchor i</w:t>
      </w:r>
      <w:r>
        <w:rPr>
          <w:sz w:val="20"/>
          <w:szCs w:val="20"/>
        </w:rPr>
        <w:t>nvestor, acquired from our sponsor an indirect economic interest in an aggregate of 635,625 founder shares at the original purchase price that our sponsor paid for the founder shares. Our sponsor has agreed to distribute such founder shares to the anchor i</w:t>
      </w:r>
      <w:r>
        <w:rPr>
          <w:sz w:val="20"/>
          <w:szCs w:val="20"/>
        </w:rPr>
        <w:t>nvestor after the completion of a business combination (such as the Near Business Combination). The Company estimated the aggregate fair value of the founder shares attributable to the anchor investor to be $4,411,238, or $6.94 per share. The fair value of</w:t>
      </w:r>
      <w:r>
        <w:rPr>
          <w:sz w:val="20"/>
          <w:szCs w:val="20"/>
        </w:rPr>
        <w:t xml:space="preserve"> the founder shares was estimated using the income approach. The excess of the fair value of the founder shares was determined to be an offering cost in accordance with Staff Accounting Bulletin Topic 5A and a capital contribution from the sponsor in accor</w:t>
      </w:r>
      <w:r>
        <w:rPr>
          <w:sz w:val="20"/>
          <w:szCs w:val="20"/>
        </w:rPr>
        <w:t>dance with Topic 5T.  Accordingly, the offering cost was allocated to the separable financial instruments issued in our initial public offering using the with-and-without method, compared to total proceeds received. Offering costs related to the founder sh</w:t>
      </w:r>
      <w:r>
        <w:rPr>
          <w:sz w:val="20"/>
          <w:szCs w:val="20"/>
        </w:rPr>
        <w:t>ares amounted to a contribution to additional paid-in capital $4,411,238, of which $158,805 were expensed to the statements of operations and included in transaction costs attributable to warrant liabilities and the remaining $4,252,433 recorded as an addi</w:t>
      </w:r>
      <w:r>
        <w:rPr>
          <w:sz w:val="20"/>
          <w:szCs w:val="20"/>
        </w:rPr>
        <w:t>tional offering cost as a reduction of temporary equity, and re-measured to accumulated deficit upon recording temporary equity at redemption value.</w:t>
      </w:r>
    </w:p>
    <w:p w14:paraId="626C17E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7DD13D6" w14:textId="77777777" w:rsidR="00000000" w:rsidRDefault="00087966">
      <w:pPr>
        <w:pStyle w:val="a3"/>
        <w:spacing w:before="0" w:beforeAutospacing="0" w:after="0" w:afterAutospacing="0"/>
        <w:ind w:firstLine="720"/>
        <w:jc w:val="both"/>
        <w:divId w:val="1595479706"/>
        <w:rPr>
          <w:sz w:val="20"/>
          <w:szCs w:val="20"/>
        </w:rPr>
      </w:pPr>
      <w:r>
        <w:rPr>
          <w:sz w:val="20"/>
          <w:szCs w:val="20"/>
        </w:rPr>
        <w:t>We currently utilize office space at 1096 Keeler Avenue, Berkeley CA 94708. Our executive offices are pro</w:t>
      </w:r>
      <w:r>
        <w:rPr>
          <w:sz w:val="20"/>
          <w:szCs w:val="20"/>
        </w:rPr>
        <w:t>vided to us by an affiliate of Arjun Divecha, our Special Advisor, at no charge, until such time as we may enter into a lease for office space with an unaffiliated third party.</w:t>
      </w:r>
    </w:p>
    <w:p w14:paraId="274EF7AC"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B804FC9" w14:textId="77777777" w:rsidR="00000000" w:rsidRDefault="00087966">
      <w:pPr>
        <w:pStyle w:val="a3"/>
        <w:spacing w:before="0" w:beforeAutospacing="0" w:after="0" w:afterAutospacing="0"/>
        <w:ind w:firstLine="720"/>
        <w:jc w:val="both"/>
        <w:divId w:val="1595479706"/>
        <w:rPr>
          <w:sz w:val="20"/>
          <w:szCs w:val="20"/>
        </w:rPr>
      </w:pPr>
      <w:r>
        <w:rPr>
          <w:sz w:val="20"/>
          <w:szCs w:val="20"/>
        </w:rPr>
        <w:t>On January 21, 2022, we issued a promissory note in the principal amount of u</w:t>
      </w:r>
      <w:r>
        <w:rPr>
          <w:sz w:val="20"/>
          <w:szCs w:val="20"/>
        </w:rPr>
        <w:t xml:space="preserve">p to $1,500,000 for working capital expenses. The Working Capital Loan is non-interest bearing and payable upon the consummation of a business combination, such as the Near Business Combination, or may be convertible into warrants of the Company following </w:t>
      </w:r>
      <w:r>
        <w:rPr>
          <w:sz w:val="20"/>
          <w:szCs w:val="20"/>
        </w:rPr>
        <w:t xml:space="preserve">a business combination (such as the Near Business Combination) at a price of $1.00 per warrant at the lender’s discretion. During the fiscal year ended December 31, 2022, an aggregate of $1,225,000 was drawn on the Working Capital Loan and is included (at </w:t>
      </w:r>
      <w:r>
        <w:rPr>
          <w:sz w:val="20"/>
          <w:szCs w:val="20"/>
        </w:rPr>
        <w:t>its then current fair value) in Working Capital Loan on the accompanying consolidated balance sheet as of December 31, 2022. The Working Capital Loan was valued using the fair value method. The discounted cash flow method was used to value the debt compone</w:t>
      </w:r>
      <w:r>
        <w:rPr>
          <w:sz w:val="20"/>
          <w:szCs w:val="20"/>
        </w:rPr>
        <w:t xml:space="preserve">nt of the Working Capital Loan and the black scholes option pricing model (the “Black Scholes Option Pricing Model”) was used to value the debt conversion option. The Working Capital Loan is required to be recorded at its initial fair value on the date of </w:t>
      </w:r>
      <w:r>
        <w:rPr>
          <w:sz w:val="20"/>
          <w:szCs w:val="20"/>
        </w:rPr>
        <w:t>issuance, and each balance sheet date thereafter. Changes in the estimated fair value of the notes are recognized as a non-cash gain or loss on the condensed statements of operations. The initial fair value of the Working Capital Loan draw on January 31, 2</w:t>
      </w:r>
      <w:r>
        <w:rPr>
          <w:sz w:val="20"/>
          <w:szCs w:val="20"/>
        </w:rPr>
        <w:t xml:space="preserve">022 was $264,900, which resulted in a contribution of $85,100 to stockholders’ deficit. The initial fair value of the Working Capital Loan draws on April 1, 2022, June 30, 2022, September 30, 2022 and December 31, 2022 were $83,396, $184,807, $177,331 and </w:t>
      </w:r>
      <w:r>
        <w:rPr>
          <w:sz w:val="20"/>
          <w:szCs w:val="20"/>
        </w:rPr>
        <w:t>$52,522, which resulted in a contribution of $29,104, $65,193, $182,669 and $99,977 to stockholders’ deficit, respectively. The fair value of the Working Capital Loan as of December 31, 2022 was $421,900, which resulted in a change in fair value of the Wor</w:t>
      </w:r>
      <w:r>
        <w:rPr>
          <w:sz w:val="20"/>
          <w:szCs w:val="20"/>
        </w:rPr>
        <w:t>king Capital Loan of $341,057 recorded in the consolidated statements of operations for the year ended December 31, 2022.</w:t>
      </w:r>
    </w:p>
    <w:p w14:paraId="2481A4B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C99D4E2" w14:textId="77777777" w:rsidR="00000000" w:rsidRDefault="00087966">
      <w:pPr>
        <w:pStyle w:val="a3"/>
        <w:spacing w:before="0" w:beforeAutospacing="0" w:after="0" w:afterAutospacing="0"/>
        <w:ind w:firstLine="720"/>
        <w:jc w:val="both"/>
        <w:divId w:val="1595479706"/>
        <w:rPr>
          <w:sz w:val="20"/>
          <w:szCs w:val="20"/>
        </w:rPr>
      </w:pPr>
      <w:r>
        <w:rPr>
          <w:sz w:val="20"/>
          <w:szCs w:val="20"/>
        </w:rPr>
        <w:t>On July 7, 2022, our stockholders approved the First Extension, pursuant to which the original date by which we were required to con</w:t>
      </w:r>
      <w:r>
        <w:rPr>
          <w:sz w:val="20"/>
          <w:szCs w:val="20"/>
        </w:rPr>
        <w:t xml:space="preserve">summate our initial business combination was extended from July 11, 2022 to January 11, 2023. In connection with that First Extension, our stockholders then holding 6,845,606 public shares exercised their right to redeem such shares for a pro rata portion </w:t>
      </w:r>
      <w:r>
        <w:rPr>
          <w:sz w:val="20"/>
          <w:szCs w:val="20"/>
        </w:rPr>
        <w:t>of the funds then in the trust account. As a result, $68,488,348 (approximately $10.00 per share) was removed from the trust account to pay such holders. In connection with the First Extension, on July 7, 2022, we issued a promissory note to the sponsor in</w:t>
      </w:r>
      <w:r>
        <w:rPr>
          <w:sz w:val="20"/>
          <w:szCs w:val="20"/>
        </w:rPr>
        <w:t xml:space="preserve"> the aggregate principal amount of up to $2,060,070, pursuant to which the sponsor agreed to provide us with equal monthly installments of such funds, or $343,345 to be deposited into the trust account for each month in which the date by which we were orig</w:t>
      </w:r>
      <w:r>
        <w:rPr>
          <w:sz w:val="20"/>
          <w:szCs w:val="20"/>
        </w:rPr>
        <w:t>inally required to consummate our initial business combination is extended, from July 11, 2022 until January 11, 2023. As of December 31, 2022, an aggregate of $1,373,380 had been drawn down on the First Extension Funds and deposited into the trust account</w:t>
      </w:r>
      <w:r>
        <w:rPr>
          <w:sz w:val="20"/>
          <w:szCs w:val="20"/>
        </w:rPr>
        <w:t xml:space="preserve"> to cover the first four months of the extension.</w:t>
      </w:r>
    </w:p>
    <w:p w14:paraId="54889CF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7FBB3A3" w14:textId="77777777" w:rsidR="00000000" w:rsidRDefault="00087966">
      <w:pPr>
        <w:pStyle w:val="a3"/>
        <w:spacing w:before="0" w:beforeAutospacing="0" w:after="0" w:afterAutospacing="0"/>
        <w:jc w:val="center"/>
        <w:divId w:val="1744133593"/>
        <w:rPr>
          <w:sz w:val="20"/>
          <w:szCs w:val="20"/>
        </w:rPr>
      </w:pPr>
      <w:r>
        <w:rPr>
          <w:sz w:val="20"/>
          <w:szCs w:val="20"/>
        </w:rPr>
        <w:t>4</w:t>
      </w:r>
      <w:r>
        <w:rPr>
          <w:sz w:val="20"/>
          <w:szCs w:val="20"/>
        </w:rPr>
        <w:t>9</w:t>
      </w:r>
    </w:p>
    <w:p w14:paraId="2E273541" w14:textId="77777777" w:rsidR="00000000" w:rsidRDefault="00087966">
      <w:pPr>
        <w:pStyle w:val="a3"/>
        <w:spacing w:before="0" w:beforeAutospacing="0" w:after="0" w:afterAutospacing="0"/>
        <w:divId w:val="1904245593"/>
        <w:rPr>
          <w:sz w:val="20"/>
          <w:szCs w:val="20"/>
        </w:rPr>
      </w:pPr>
      <w:r>
        <w:rPr>
          <w:sz w:val="20"/>
          <w:szCs w:val="20"/>
        </w:rPr>
        <w:t> </w:t>
      </w:r>
    </w:p>
    <w:p w14:paraId="3132CB9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4B8420F"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On November 23, 2022, Near </w:t>
      </w:r>
      <w:r>
        <w:rPr>
          <w:sz w:val="20"/>
          <w:szCs w:val="20"/>
        </w:rPr>
        <w:t xml:space="preserve">agreed to fund the extension funds starting November 2022. Near committed to loan certain of the extension funds to us in connection with the First Extension, and we issued the Near Extension Note, dated as of November 18, 2022, in the aggregate principal </w:t>
      </w:r>
      <w:r>
        <w:rPr>
          <w:sz w:val="20"/>
          <w:szCs w:val="20"/>
        </w:rPr>
        <w:t>amount of up to $686,690, to Near. The Near Extension Note relates to the final two payments of the extension funds of $343,345 each. As of December 31, 2022, an aggregate of $686,690 has been drawn down on the Near Extension Note and deposited into the tr</w:t>
      </w:r>
      <w:r>
        <w:rPr>
          <w:sz w:val="20"/>
          <w:szCs w:val="20"/>
        </w:rPr>
        <w:t>ust account to cover the last two months of the extension.</w:t>
      </w:r>
    </w:p>
    <w:p w14:paraId="2BCAFEC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59C32FE" w14:textId="77777777" w:rsidR="00000000" w:rsidRDefault="00087966">
      <w:pPr>
        <w:pStyle w:val="a3"/>
        <w:spacing w:before="0" w:beforeAutospacing="0" w:after="0" w:afterAutospacing="0"/>
        <w:ind w:firstLine="720"/>
        <w:jc w:val="both"/>
        <w:divId w:val="1595479706"/>
        <w:rPr>
          <w:sz w:val="20"/>
          <w:szCs w:val="20"/>
        </w:rPr>
      </w:pPr>
      <w:r>
        <w:rPr>
          <w:sz w:val="20"/>
          <w:szCs w:val="20"/>
        </w:rPr>
        <w:t>As of January 17, 2023, an aggregate of $2,060,070 has been drawn down on the First Extension Funds and Near Extension Note and deposited into the trust account to cover the six months paid in co</w:t>
      </w:r>
      <w:r>
        <w:rPr>
          <w:sz w:val="20"/>
          <w:szCs w:val="20"/>
        </w:rPr>
        <w:t>nnection with the First Extension.</w:t>
      </w:r>
    </w:p>
    <w:p w14:paraId="745CFDE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2E86947D"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On January 6, 2023, our stockholders approved the Second Extension, extending the date by which the Company must consummate its initial business combination from January 11, 2023 to April 11, 2023 (or such earlier date </w:t>
      </w:r>
      <w:r>
        <w:rPr>
          <w:sz w:val="20"/>
          <w:szCs w:val="20"/>
        </w:rPr>
        <w:t>as determined by the board of directors). In connection with the Second Extension, stockholders holding 9,786,530 public shares exercised their right to redeem their shares for a pro rata portion of the funds in the trust account. As a result, approximatel</w:t>
      </w:r>
      <w:r>
        <w:rPr>
          <w:sz w:val="20"/>
          <w:szCs w:val="20"/>
        </w:rPr>
        <w:t>y $101 million (approximately $10.32 per public share) was removed from the trust account to pay such holders and approximately $6.376 million remained in the trust account. Following redemptions, the Company has 617,864 public shares outstanding.</w:t>
      </w:r>
    </w:p>
    <w:p w14:paraId="7BFB512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3654BE3" w14:textId="77777777" w:rsidR="00000000" w:rsidRDefault="00087966">
      <w:pPr>
        <w:pStyle w:val="a3"/>
        <w:spacing w:before="0" w:beforeAutospacing="0" w:after="0" w:afterAutospacing="0"/>
        <w:ind w:firstLine="720"/>
        <w:jc w:val="both"/>
        <w:divId w:val="1595479706"/>
        <w:rPr>
          <w:sz w:val="20"/>
          <w:szCs w:val="20"/>
        </w:rPr>
      </w:pPr>
      <w:r>
        <w:rPr>
          <w:sz w:val="20"/>
          <w:szCs w:val="20"/>
        </w:rPr>
        <w:t>Except</w:t>
      </w:r>
      <w:r>
        <w:rPr>
          <w:sz w:val="20"/>
          <w:szCs w:val="20"/>
        </w:rPr>
        <w:t xml:space="preserve"> as otherwise disclosed in the Near Registration Statement, no compensation of any kind, including finder’s and consulting fees, will be paid by us to the sponsor, our executive officers and directors, or any of their respective affiliates, for services re</w:t>
      </w:r>
      <w:r>
        <w:rPr>
          <w:sz w:val="20"/>
          <w:szCs w:val="20"/>
        </w:rPr>
        <w:t>ndered prior to or in connection with the completion of our initial business combination (including the Near Business Combination). However, these individuals will be reimbursed for any out-of-pocket expenses incurred in connection with activities on our b</w:t>
      </w:r>
      <w:r>
        <w:rPr>
          <w:sz w:val="20"/>
          <w:szCs w:val="20"/>
        </w:rPr>
        <w:t>ehalf such as identifying potential target businesses and performing due diligence on suitable business combinations. Our audit committee will review on a quarterly basis all payments that were made to the sponsor, officers, directors or us or our affiliat</w:t>
      </w:r>
      <w:r>
        <w:rPr>
          <w:sz w:val="20"/>
          <w:szCs w:val="20"/>
        </w:rPr>
        <w:t>es.</w:t>
      </w:r>
    </w:p>
    <w:p w14:paraId="101D341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B63E3C4" w14:textId="77777777" w:rsidR="00000000" w:rsidRDefault="00087966">
      <w:pPr>
        <w:pStyle w:val="a3"/>
        <w:spacing w:before="0" w:beforeAutospacing="0" w:after="0" w:afterAutospacing="0"/>
        <w:ind w:firstLine="720"/>
        <w:jc w:val="both"/>
        <w:divId w:val="1595479706"/>
        <w:rPr>
          <w:sz w:val="20"/>
          <w:szCs w:val="20"/>
        </w:rPr>
      </w:pPr>
      <w:r>
        <w:rPr>
          <w:sz w:val="20"/>
          <w:szCs w:val="20"/>
        </w:rPr>
        <w:t>We engaged Cantor as a financial advisor in connection with the Near Business Combination and the transactions contemplated by the Near Merger Agreement and agreed to pay a customary financial advisory fee in an amount that constitutes a market stand</w:t>
      </w:r>
      <w:r>
        <w:rPr>
          <w:sz w:val="20"/>
          <w:szCs w:val="20"/>
        </w:rPr>
        <w:t>ard financial advisory fee for comparable transactions.</w:t>
      </w:r>
    </w:p>
    <w:p w14:paraId="5225C3BF"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DD365A9"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After our initial business combination (such as the Near Business Combination), members of our management team who remain with the surviving company may be paid consulting, management or other fees </w:t>
      </w:r>
      <w:r>
        <w:rPr>
          <w:sz w:val="20"/>
          <w:szCs w:val="20"/>
        </w:rPr>
        <w:t>from the surviving company with any and all amounts being fully disclosed to stockholders, to the extent then known. The amount of such compensation will be up to the directors of the surviving company to determine executive and director compensation.</w:t>
      </w:r>
    </w:p>
    <w:p w14:paraId="01EFADC2"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62E9A924" w14:textId="77777777" w:rsidR="00000000" w:rsidRDefault="00087966">
      <w:pPr>
        <w:pStyle w:val="a3"/>
        <w:spacing w:before="0" w:beforeAutospacing="0" w:after="0" w:afterAutospacing="0"/>
        <w:ind w:firstLine="720"/>
        <w:jc w:val="both"/>
        <w:divId w:val="1595479706"/>
        <w:rPr>
          <w:sz w:val="20"/>
          <w:szCs w:val="20"/>
        </w:rPr>
      </w:pPr>
      <w:r>
        <w:rPr>
          <w:sz w:val="20"/>
          <w:szCs w:val="20"/>
        </w:rPr>
        <w:t>Fo</w:t>
      </w:r>
      <w:r>
        <w:rPr>
          <w:sz w:val="20"/>
          <w:szCs w:val="20"/>
        </w:rPr>
        <w:t>r more information on the agreements entered into in connection with the Near Business Combination, please see “Item 1. Business”.</w:t>
      </w:r>
    </w:p>
    <w:p w14:paraId="390AB6BA"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6B10D695" w14:textId="77777777" w:rsidR="00000000" w:rsidRDefault="00087966">
      <w:pPr>
        <w:pStyle w:val="a3"/>
        <w:spacing w:before="0" w:beforeAutospacing="0" w:after="0" w:afterAutospacing="0"/>
        <w:jc w:val="both"/>
        <w:divId w:val="1595479706"/>
        <w:rPr>
          <w:sz w:val="20"/>
          <w:szCs w:val="20"/>
        </w:rPr>
      </w:pPr>
      <w:r>
        <w:rPr>
          <w:b/>
          <w:bCs/>
          <w:sz w:val="20"/>
          <w:szCs w:val="20"/>
        </w:rPr>
        <w:t>Director Independence</w:t>
      </w:r>
    </w:p>
    <w:p w14:paraId="00050A3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C66A697" w14:textId="77777777" w:rsidR="00000000" w:rsidRDefault="00087966">
      <w:pPr>
        <w:pStyle w:val="a3"/>
        <w:spacing w:before="0" w:beforeAutospacing="0" w:after="0" w:afterAutospacing="0"/>
        <w:ind w:firstLine="720"/>
        <w:jc w:val="both"/>
        <w:divId w:val="1595479706"/>
        <w:rPr>
          <w:sz w:val="20"/>
          <w:szCs w:val="20"/>
        </w:rPr>
      </w:pPr>
      <w:r>
        <w:rPr>
          <w:sz w:val="20"/>
          <w:szCs w:val="20"/>
        </w:rPr>
        <w:t>Nasdaq listing standards require that a majority of our board of directors be independent. An “inde</w:t>
      </w:r>
      <w:r>
        <w:rPr>
          <w:sz w:val="20"/>
          <w:szCs w:val="20"/>
        </w:rPr>
        <w:t>pendent director” is defined generally as a person other than an officer or employee of the company or its subsidiaries or any other individual having a relationship which in the opinion of the company’s board of directors, would interfere with the directo</w:t>
      </w:r>
      <w:r>
        <w:rPr>
          <w:sz w:val="20"/>
          <w:szCs w:val="20"/>
        </w:rPr>
        <w:t>r’s exercise of independent judgment in carrying out the responsibilities of a director. Our board of directors has determined that Messrs. Rajagopalan, Rangaswami and Bailey are “independent directors” as defined in the Nasdaq listing standards and applic</w:t>
      </w:r>
      <w:r>
        <w:rPr>
          <w:sz w:val="20"/>
          <w:szCs w:val="20"/>
        </w:rPr>
        <w:t>able SEC rules. Our independent directors have regularly scheduled meetings at which only independent directors are present.</w:t>
      </w:r>
    </w:p>
    <w:p w14:paraId="6911E64A" w14:textId="77777777" w:rsidR="00000000" w:rsidRDefault="00087966">
      <w:pPr>
        <w:pStyle w:val="a3"/>
        <w:spacing w:before="0" w:beforeAutospacing="0" w:after="0" w:afterAutospacing="0"/>
        <w:ind w:firstLine="480"/>
        <w:jc w:val="both"/>
        <w:divId w:val="1595479706"/>
        <w:rPr>
          <w:sz w:val="20"/>
          <w:szCs w:val="20"/>
        </w:rPr>
      </w:pPr>
      <w:r>
        <w:rPr>
          <w:sz w:val="20"/>
          <w:szCs w:val="20"/>
        </w:rPr>
        <w:t> </w:t>
      </w:r>
    </w:p>
    <w:p w14:paraId="6EBCA11D" w14:textId="77777777" w:rsidR="00000000" w:rsidRDefault="00087966">
      <w:pPr>
        <w:pStyle w:val="a3"/>
        <w:spacing w:before="0" w:beforeAutospacing="0" w:after="0" w:afterAutospacing="0"/>
        <w:jc w:val="center"/>
        <w:divId w:val="888613757"/>
        <w:rPr>
          <w:sz w:val="20"/>
          <w:szCs w:val="20"/>
        </w:rPr>
      </w:pPr>
      <w:r>
        <w:rPr>
          <w:sz w:val="20"/>
          <w:szCs w:val="20"/>
        </w:rPr>
        <w:t>5</w:t>
      </w:r>
      <w:r>
        <w:rPr>
          <w:sz w:val="20"/>
          <w:szCs w:val="20"/>
        </w:rPr>
        <w:t>0</w:t>
      </w:r>
    </w:p>
    <w:p w14:paraId="557DB584" w14:textId="77777777" w:rsidR="00000000" w:rsidRDefault="00087966">
      <w:pPr>
        <w:pStyle w:val="a3"/>
        <w:spacing w:before="0" w:beforeAutospacing="0" w:after="0" w:afterAutospacing="0"/>
        <w:divId w:val="2139451882"/>
        <w:rPr>
          <w:sz w:val="20"/>
          <w:szCs w:val="20"/>
        </w:rPr>
      </w:pPr>
      <w:r>
        <w:rPr>
          <w:sz w:val="20"/>
          <w:szCs w:val="20"/>
        </w:rPr>
        <w:t> </w:t>
      </w:r>
    </w:p>
    <w:p w14:paraId="52A97D04" w14:textId="77777777" w:rsidR="00000000" w:rsidRDefault="00087966">
      <w:pPr>
        <w:pStyle w:val="a3"/>
        <w:spacing w:before="0" w:beforeAutospacing="0" w:after="0" w:afterAutospacing="0"/>
        <w:ind w:firstLine="480"/>
        <w:jc w:val="both"/>
        <w:divId w:val="1595479706"/>
        <w:rPr>
          <w:sz w:val="20"/>
          <w:szCs w:val="20"/>
        </w:rPr>
      </w:pPr>
      <w:r>
        <w:rPr>
          <w:sz w:val="20"/>
          <w:szCs w:val="20"/>
        </w:rPr>
        <w:t> </w:t>
      </w:r>
    </w:p>
    <w:p w14:paraId="4B2DEA27" w14:textId="77777777" w:rsidR="00000000" w:rsidRDefault="00087966">
      <w:pPr>
        <w:pStyle w:val="a3"/>
        <w:spacing w:before="0" w:beforeAutospacing="0" w:after="0" w:afterAutospacing="0"/>
        <w:jc w:val="both"/>
        <w:divId w:val="1595479706"/>
        <w:rPr>
          <w:sz w:val="20"/>
          <w:szCs w:val="20"/>
        </w:rPr>
      </w:pPr>
      <w:r>
        <w:rPr>
          <w:b/>
          <w:bCs/>
          <w:sz w:val="20"/>
          <w:szCs w:val="20"/>
        </w:rPr>
        <w:t>Item 14</w:t>
      </w:r>
      <w:r>
        <w:rPr>
          <w:b/>
          <w:bCs/>
          <w:i/>
          <w:iCs/>
          <w:sz w:val="20"/>
          <w:szCs w:val="20"/>
        </w:rPr>
        <w:t>.</w:t>
      </w:r>
      <w:r>
        <w:rPr>
          <w:b/>
          <w:bCs/>
          <w:sz w:val="20"/>
          <w:szCs w:val="20"/>
        </w:rPr>
        <w:t xml:space="preserve"> Principal Accountant Fees and Services.</w:t>
      </w:r>
    </w:p>
    <w:p w14:paraId="3B7CC2FE" w14:textId="77777777" w:rsidR="00000000" w:rsidRDefault="00087966">
      <w:pPr>
        <w:pStyle w:val="a3"/>
        <w:spacing w:before="0" w:beforeAutospacing="0" w:after="0" w:afterAutospacing="0"/>
        <w:ind w:firstLine="490"/>
        <w:jc w:val="both"/>
        <w:divId w:val="1595479706"/>
        <w:rPr>
          <w:sz w:val="20"/>
          <w:szCs w:val="20"/>
        </w:rPr>
      </w:pPr>
      <w:r>
        <w:rPr>
          <w:sz w:val="20"/>
          <w:szCs w:val="20"/>
        </w:rPr>
        <w:t> </w:t>
      </w:r>
    </w:p>
    <w:p w14:paraId="3C516889"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The following is a summary </w:t>
      </w:r>
      <w:r>
        <w:rPr>
          <w:sz w:val="20"/>
          <w:szCs w:val="20"/>
        </w:rPr>
        <w:t>of fees paid or to be paid to Marcum LLP (“Marcum”), our independent registered public accountants, for services rendered.</w:t>
      </w:r>
    </w:p>
    <w:p w14:paraId="1A24169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7582F831" w14:textId="77777777" w:rsidR="00000000" w:rsidRDefault="00087966">
      <w:pPr>
        <w:pStyle w:val="a3"/>
        <w:spacing w:before="0" w:beforeAutospacing="0" w:after="0" w:afterAutospacing="0"/>
        <w:jc w:val="both"/>
        <w:divId w:val="1595479706"/>
        <w:rPr>
          <w:sz w:val="20"/>
          <w:szCs w:val="20"/>
        </w:rPr>
      </w:pPr>
      <w:r>
        <w:rPr>
          <w:b/>
          <w:bCs/>
          <w:sz w:val="20"/>
          <w:szCs w:val="20"/>
        </w:rPr>
        <w:t>Audit Fees</w:t>
      </w:r>
    </w:p>
    <w:p w14:paraId="3C785421"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6F405837" w14:textId="77777777" w:rsidR="00000000" w:rsidRDefault="00087966">
      <w:pPr>
        <w:pStyle w:val="a3"/>
        <w:spacing w:before="0" w:beforeAutospacing="0" w:after="0" w:afterAutospacing="0"/>
        <w:ind w:firstLine="720"/>
        <w:jc w:val="both"/>
        <w:divId w:val="1595479706"/>
        <w:rPr>
          <w:sz w:val="20"/>
          <w:szCs w:val="20"/>
        </w:rPr>
      </w:pPr>
      <w:r>
        <w:rPr>
          <w:sz w:val="20"/>
          <w:szCs w:val="20"/>
        </w:rPr>
        <w:t>Audit fees consist of fees billed for professional services rendered for the audit of our year-end financial statement</w:t>
      </w:r>
      <w:r>
        <w:rPr>
          <w:sz w:val="20"/>
          <w:szCs w:val="20"/>
        </w:rPr>
        <w:t>s and services that are normally provided by Marcum in connection with regulatory filings. The aggregate fees billed by Marcum for professional services rendered for the audit of our annual financial statements and other required filings with the SEC for t</w:t>
      </w:r>
      <w:r>
        <w:rPr>
          <w:sz w:val="20"/>
          <w:szCs w:val="20"/>
        </w:rPr>
        <w:t>he years ended December 31, 2022 and December 31, 2021 totaled approximately $232,510 and $107,665, respectively. The above amounts include fees for interim procedures and audit fees, as well as fees related to attendance at audit committee meetings and in</w:t>
      </w:r>
      <w:r>
        <w:rPr>
          <w:sz w:val="20"/>
          <w:szCs w:val="20"/>
        </w:rPr>
        <w:t>itial public offering.</w:t>
      </w:r>
    </w:p>
    <w:p w14:paraId="12853B3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C3D123C" w14:textId="77777777" w:rsidR="00000000" w:rsidRDefault="00087966">
      <w:pPr>
        <w:pStyle w:val="a3"/>
        <w:spacing w:before="0" w:beforeAutospacing="0" w:after="0" w:afterAutospacing="0"/>
        <w:jc w:val="both"/>
        <w:divId w:val="1595479706"/>
        <w:rPr>
          <w:sz w:val="20"/>
          <w:szCs w:val="20"/>
        </w:rPr>
      </w:pPr>
      <w:r>
        <w:rPr>
          <w:b/>
          <w:bCs/>
          <w:sz w:val="20"/>
          <w:szCs w:val="20"/>
        </w:rPr>
        <w:t>Audit-Related Fees</w:t>
      </w:r>
    </w:p>
    <w:p w14:paraId="6DF1413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B5ED3E2" w14:textId="77777777" w:rsidR="00000000" w:rsidRDefault="00087966">
      <w:pPr>
        <w:pStyle w:val="a3"/>
        <w:spacing w:before="0" w:beforeAutospacing="0" w:after="0" w:afterAutospacing="0"/>
        <w:ind w:firstLine="720"/>
        <w:jc w:val="both"/>
        <w:divId w:val="1595479706"/>
        <w:rPr>
          <w:sz w:val="20"/>
          <w:szCs w:val="20"/>
        </w:rPr>
      </w:pPr>
      <w:r>
        <w:rPr>
          <w:sz w:val="20"/>
          <w:szCs w:val="20"/>
        </w:rPr>
        <w:t>Audit-related fees consist of fees billed for assurance and related services that are reasonably related to performance of the audit or review of our financial statements and are not reported under “Audit Fees.</w:t>
      </w:r>
      <w:r>
        <w:rPr>
          <w:sz w:val="20"/>
          <w:szCs w:val="20"/>
        </w:rPr>
        <w:t>” These services include attest services that are not required by statute or regulation and consultations concerning financial accounting and reporting standards. We did not pay Marcum for consultations concerning financial accounting and reporting standar</w:t>
      </w:r>
      <w:r>
        <w:rPr>
          <w:sz w:val="20"/>
          <w:szCs w:val="20"/>
        </w:rPr>
        <w:t>ds or other audit-related fees for the years ended December 31, 2022 and December 31, 2021.</w:t>
      </w:r>
    </w:p>
    <w:p w14:paraId="5FF37245"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973B3DC" w14:textId="77777777" w:rsidR="00000000" w:rsidRDefault="00087966">
      <w:pPr>
        <w:pStyle w:val="a3"/>
        <w:spacing w:before="0" w:beforeAutospacing="0" w:after="0" w:afterAutospacing="0"/>
        <w:jc w:val="both"/>
        <w:divId w:val="1595479706"/>
        <w:rPr>
          <w:sz w:val="20"/>
          <w:szCs w:val="20"/>
        </w:rPr>
      </w:pPr>
      <w:r>
        <w:rPr>
          <w:b/>
          <w:bCs/>
          <w:sz w:val="20"/>
          <w:szCs w:val="20"/>
        </w:rPr>
        <w:t>Tax Fees</w:t>
      </w:r>
    </w:p>
    <w:p w14:paraId="06C7BCE4" w14:textId="77777777" w:rsidR="00000000" w:rsidRDefault="00087966">
      <w:pPr>
        <w:pStyle w:val="a3"/>
        <w:spacing w:before="0" w:beforeAutospacing="0" w:after="0" w:afterAutospacing="0"/>
        <w:jc w:val="both"/>
        <w:divId w:val="1595479706"/>
        <w:rPr>
          <w:sz w:val="20"/>
          <w:szCs w:val="20"/>
        </w:rPr>
      </w:pPr>
      <w:r>
        <w:rPr>
          <w:sz w:val="20"/>
          <w:szCs w:val="20"/>
        </w:rPr>
        <w:t> </w:t>
      </w:r>
    </w:p>
    <w:p w14:paraId="37A6329F" w14:textId="77777777" w:rsidR="00000000" w:rsidRDefault="00087966">
      <w:pPr>
        <w:pStyle w:val="a3"/>
        <w:spacing w:before="0" w:beforeAutospacing="0" w:after="0" w:afterAutospacing="0"/>
        <w:ind w:firstLine="720"/>
        <w:jc w:val="both"/>
        <w:divId w:val="1595479706"/>
        <w:rPr>
          <w:sz w:val="20"/>
          <w:szCs w:val="20"/>
        </w:rPr>
      </w:pPr>
      <w:r>
        <w:rPr>
          <w:sz w:val="20"/>
          <w:szCs w:val="20"/>
        </w:rPr>
        <w:t>The aggregate fees billed by Marcum for professional services rendered for tax return preparation for the years ended December 31, 2022 and December 31</w:t>
      </w:r>
      <w:r>
        <w:rPr>
          <w:sz w:val="20"/>
          <w:szCs w:val="20"/>
        </w:rPr>
        <w:t>, 2021 were $17,510 and $0, respectively.</w:t>
      </w:r>
    </w:p>
    <w:p w14:paraId="7DF0D5A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B4143FB" w14:textId="77777777" w:rsidR="00000000" w:rsidRDefault="00087966">
      <w:pPr>
        <w:pStyle w:val="a3"/>
        <w:spacing w:before="0" w:beforeAutospacing="0" w:after="0" w:afterAutospacing="0"/>
        <w:jc w:val="both"/>
        <w:divId w:val="1595479706"/>
        <w:rPr>
          <w:sz w:val="20"/>
          <w:szCs w:val="20"/>
        </w:rPr>
      </w:pPr>
      <w:r>
        <w:rPr>
          <w:b/>
          <w:bCs/>
          <w:sz w:val="20"/>
          <w:szCs w:val="20"/>
        </w:rPr>
        <w:t xml:space="preserve">All Other Fees </w:t>
      </w:r>
    </w:p>
    <w:p w14:paraId="31D9C5A2" w14:textId="77777777" w:rsidR="00000000" w:rsidRDefault="00087966">
      <w:pPr>
        <w:pStyle w:val="a3"/>
        <w:spacing w:before="0" w:beforeAutospacing="0" w:after="0" w:afterAutospacing="0"/>
        <w:jc w:val="both"/>
        <w:divId w:val="1595479706"/>
        <w:rPr>
          <w:sz w:val="20"/>
          <w:szCs w:val="20"/>
        </w:rPr>
      </w:pPr>
      <w:r>
        <w:rPr>
          <w:sz w:val="20"/>
          <w:szCs w:val="20"/>
        </w:rPr>
        <w:t> </w:t>
      </w:r>
    </w:p>
    <w:p w14:paraId="0A7F9C57" w14:textId="77777777" w:rsidR="00000000" w:rsidRDefault="00087966">
      <w:pPr>
        <w:pStyle w:val="a3"/>
        <w:spacing w:before="0" w:beforeAutospacing="0" w:after="0" w:afterAutospacing="0"/>
        <w:ind w:firstLine="720"/>
        <w:jc w:val="both"/>
        <w:divId w:val="1595479706"/>
        <w:rPr>
          <w:sz w:val="20"/>
          <w:szCs w:val="20"/>
        </w:rPr>
      </w:pPr>
      <w:r>
        <w:rPr>
          <w:sz w:val="20"/>
          <w:szCs w:val="20"/>
        </w:rPr>
        <w:t>We did not pay Marcum for any other services for the years ended December 31, 2022 and December 31, 2021.</w:t>
      </w:r>
    </w:p>
    <w:p w14:paraId="5C9D69D4"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1DF1DB03" w14:textId="77777777" w:rsidR="00000000" w:rsidRDefault="00087966">
      <w:pPr>
        <w:pStyle w:val="a3"/>
        <w:spacing w:before="0" w:beforeAutospacing="0" w:after="0" w:afterAutospacing="0"/>
        <w:jc w:val="both"/>
        <w:divId w:val="1595479706"/>
        <w:rPr>
          <w:sz w:val="20"/>
          <w:szCs w:val="20"/>
        </w:rPr>
      </w:pPr>
      <w:r>
        <w:rPr>
          <w:b/>
          <w:bCs/>
          <w:sz w:val="20"/>
          <w:szCs w:val="20"/>
        </w:rPr>
        <w:t>Pre-Approval Policy</w:t>
      </w:r>
    </w:p>
    <w:p w14:paraId="626BB244" w14:textId="77777777" w:rsidR="00000000" w:rsidRDefault="00087966">
      <w:pPr>
        <w:pStyle w:val="a3"/>
        <w:spacing w:before="0" w:beforeAutospacing="0" w:after="0" w:afterAutospacing="0"/>
        <w:ind w:firstLine="490"/>
        <w:jc w:val="both"/>
        <w:divId w:val="1595479706"/>
        <w:rPr>
          <w:sz w:val="20"/>
          <w:szCs w:val="20"/>
        </w:rPr>
      </w:pPr>
      <w:r>
        <w:rPr>
          <w:sz w:val="20"/>
          <w:szCs w:val="20"/>
        </w:rPr>
        <w:t> </w:t>
      </w:r>
    </w:p>
    <w:p w14:paraId="58A2D309"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Our audit committee was formed </w:t>
      </w:r>
      <w:r>
        <w:rPr>
          <w:sz w:val="20"/>
          <w:szCs w:val="20"/>
        </w:rPr>
        <w:t>upon the consummation of our initial public offering in January 2021. As a result, the audit committee did not pre-approve all of the foregoing services, although any services rendered prior to the formation of our audit committee were approved by our boar</w:t>
      </w:r>
      <w:r>
        <w:rPr>
          <w:sz w:val="20"/>
          <w:szCs w:val="20"/>
        </w:rPr>
        <w:t>d of directors. Since the formation of our audit committee, and on a going-forward basis, the audit committee has and will pre-approve all auditing services and permitted non-audit services to be performed for us by our auditors, including the fees and ter</w:t>
      </w:r>
      <w:r>
        <w:rPr>
          <w:sz w:val="20"/>
          <w:szCs w:val="20"/>
        </w:rPr>
        <w:t>ms thereof (subject to the de minimis exceptions for non-audit services described in the Exchange Act which are approved by the audit committee prior to the completion of the audit).</w:t>
      </w:r>
    </w:p>
    <w:p w14:paraId="7986F587"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49864683" w14:textId="77777777" w:rsidR="00000000" w:rsidRDefault="00087966">
      <w:pPr>
        <w:pStyle w:val="a3"/>
        <w:spacing w:before="0" w:beforeAutospacing="0" w:after="0" w:afterAutospacing="0"/>
        <w:jc w:val="center"/>
        <w:divId w:val="906381962"/>
        <w:rPr>
          <w:sz w:val="20"/>
          <w:szCs w:val="20"/>
        </w:rPr>
      </w:pPr>
      <w:r>
        <w:rPr>
          <w:sz w:val="20"/>
          <w:szCs w:val="20"/>
        </w:rPr>
        <w:t>5</w:t>
      </w:r>
      <w:r>
        <w:rPr>
          <w:sz w:val="20"/>
          <w:szCs w:val="20"/>
        </w:rPr>
        <w:t>1</w:t>
      </w:r>
    </w:p>
    <w:p w14:paraId="3F4BDCD7" w14:textId="77777777" w:rsidR="00000000" w:rsidRDefault="00087966">
      <w:pPr>
        <w:pStyle w:val="a3"/>
        <w:spacing w:before="0" w:beforeAutospacing="0" w:after="0" w:afterAutospacing="0"/>
        <w:divId w:val="893737819"/>
        <w:rPr>
          <w:sz w:val="20"/>
          <w:szCs w:val="20"/>
        </w:rPr>
      </w:pPr>
      <w:r>
        <w:rPr>
          <w:sz w:val="20"/>
          <w:szCs w:val="20"/>
        </w:rPr>
        <w:t> </w:t>
      </w:r>
    </w:p>
    <w:p w14:paraId="5C64085C" w14:textId="77777777" w:rsidR="00000000" w:rsidRDefault="00087966">
      <w:pPr>
        <w:pStyle w:val="a3"/>
        <w:spacing w:before="0" w:beforeAutospacing="0" w:after="0" w:afterAutospacing="0"/>
        <w:jc w:val="both"/>
        <w:divId w:val="1595479706"/>
        <w:rPr>
          <w:sz w:val="20"/>
          <w:szCs w:val="20"/>
        </w:rPr>
      </w:pPr>
      <w:r>
        <w:rPr>
          <w:sz w:val="20"/>
          <w:szCs w:val="20"/>
        </w:rPr>
        <w:t> </w:t>
      </w:r>
    </w:p>
    <w:p w14:paraId="04A18C9D" w14:textId="77777777" w:rsidR="00000000" w:rsidRDefault="00087966">
      <w:pPr>
        <w:pStyle w:val="a3"/>
        <w:spacing w:before="0" w:beforeAutospacing="0" w:after="0" w:afterAutospacing="0"/>
        <w:jc w:val="center"/>
        <w:divId w:val="1595479706"/>
        <w:rPr>
          <w:sz w:val="20"/>
          <w:szCs w:val="20"/>
        </w:rPr>
      </w:pPr>
      <w:r>
        <w:rPr>
          <w:b/>
          <w:bCs/>
          <w:sz w:val="20"/>
          <w:szCs w:val="20"/>
        </w:rPr>
        <w:t>PART IV</w:t>
      </w:r>
    </w:p>
    <w:p w14:paraId="449C18AF"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336BCD83" w14:textId="77777777" w:rsidR="00000000" w:rsidRDefault="00087966">
      <w:pPr>
        <w:pStyle w:val="a3"/>
        <w:spacing w:before="0" w:beforeAutospacing="0" w:after="0" w:afterAutospacing="0"/>
        <w:jc w:val="both"/>
        <w:divId w:val="1595479706"/>
        <w:rPr>
          <w:sz w:val="20"/>
          <w:szCs w:val="20"/>
        </w:rPr>
      </w:pPr>
      <w:r>
        <w:rPr>
          <w:b/>
          <w:bCs/>
          <w:sz w:val="20"/>
          <w:szCs w:val="20"/>
        </w:rPr>
        <w:t>Item 15. Exhibit and Financial Statement Schedules.</w:t>
      </w:r>
    </w:p>
    <w:p w14:paraId="49B7EF8F"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8C46F85" w14:textId="77777777">
        <w:trPr>
          <w:divId w:val="1595479706"/>
        </w:trPr>
        <w:tc>
          <w:tcPr>
            <w:tcW w:w="360" w:type="dxa"/>
            <w:hideMark/>
          </w:tcPr>
          <w:p w14:paraId="306E1A0A"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0AE9CA5A" w14:textId="77777777" w:rsidR="00000000" w:rsidRDefault="00087966">
            <w:pPr>
              <w:jc w:val="both"/>
              <w:rPr>
                <w:rFonts w:eastAsia="Times New Roman"/>
                <w:sz w:val="20"/>
                <w:szCs w:val="20"/>
              </w:rPr>
            </w:pPr>
            <w:r>
              <w:rPr>
                <w:rFonts w:eastAsia="Times New Roman"/>
                <w:sz w:val="20"/>
                <w:szCs w:val="20"/>
              </w:rPr>
              <w:t>(a)</w:t>
            </w:r>
          </w:p>
        </w:tc>
        <w:tc>
          <w:tcPr>
            <w:tcW w:w="0" w:type="auto"/>
            <w:hideMark/>
          </w:tcPr>
          <w:p w14:paraId="46049492" w14:textId="77777777" w:rsidR="00000000" w:rsidRDefault="00087966">
            <w:pPr>
              <w:jc w:val="both"/>
              <w:rPr>
                <w:rFonts w:eastAsia="Times New Roman"/>
                <w:sz w:val="20"/>
                <w:szCs w:val="20"/>
              </w:rPr>
            </w:pPr>
            <w:r>
              <w:rPr>
                <w:rFonts w:eastAsia="Times New Roman"/>
                <w:sz w:val="20"/>
                <w:szCs w:val="20"/>
              </w:rPr>
              <w:t>The following documents are filed as part of this Report:</w:t>
            </w:r>
          </w:p>
        </w:tc>
      </w:tr>
    </w:tbl>
    <w:p w14:paraId="62F709EC"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1C7D13A3" w14:textId="77777777">
        <w:trPr>
          <w:divId w:val="1595479706"/>
        </w:trPr>
        <w:tc>
          <w:tcPr>
            <w:tcW w:w="360" w:type="dxa"/>
            <w:hideMark/>
          </w:tcPr>
          <w:p w14:paraId="3A447CF3" w14:textId="77777777" w:rsidR="00000000" w:rsidRDefault="00087966">
            <w:pPr>
              <w:rPr>
                <w:sz w:val="20"/>
                <w:szCs w:val="20"/>
              </w:rPr>
            </w:pPr>
          </w:p>
        </w:tc>
        <w:tc>
          <w:tcPr>
            <w:tcW w:w="360" w:type="dxa"/>
            <w:hideMark/>
          </w:tcPr>
          <w:p w14:paraId="707A446D" w14:textId="77777777" w:rsidR="00000000" w:rsidRDefault="00087966">
            <w:pPr>
              <w:rPr>
                <w:rFonts w:eastAsia="Times New Roman"/>
                <w:sz w:val="20"/>
                <w:szCs w:val="20"/>
              </w:rPr>
            </w:pPr>
            <w:r>
              <w:rPr>
                <w:rFonts w:eastAsia="Times New Roman"/>
                <w:sz w:val="20"/>
                <w:szCs w:val="20"/>
              </w:rPr>
              <w:t>(1)</w:t>
            </w:r>
          </w:p>
        </w:tc>
        <w:tc>
          <w:tcPr>
            <w:tcW w:w="0" w:type="auto"/>
            <w:hideMark/>
          </w:tcPr>
          <w:p w14:paraId="1D9FF4BF" w14:textId="77777777" w:rsidR="00000000" w:rsidRDefault="00087966">
            <w:pPr>
              <w:jc w:val="both"/>
              <w:rPr>
                <w:rFonts w:eastAsia="Times New Roman"/>
                <w:sz w:val="20"/>
                <w:szCs w:val="20"/>
              </w:rPr>
            </w:pPr>
            <w:r>
              <w:rPr>
                <w:rFonts w:eastAsia="Times New Roman"/>
                <w:sz w:val="20"/>
                <w:szCs w:val="20"/>
              </w:rPr>
              <w:t>Financial Statements</w:t>
            </w:r>
          </w:p>
        </w:tc>
      </w:tr>
    </w:tbl>
    <w:p w14:paraId="05671C4D"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642"/>
        <w:gridCol w:w="664"/>
      </w:tblGrid>
      <w:tr w:rsidR="00000000" w14:paraId="1D0FD1D2" w14:textId="77777777">
        <w:trPr>
          <w:divId w:val="1595479706"/>
        </w:trPr>
        <w:tc>
          <w:tcPr>
            <w:tcW w:w="0" w:type="auto"/>
            <w:tcMar>
              <w:top w:w="0" w:type="dxa"/>
              <w:left w:w="180" w:type="dxa"/>
              <w:bottom w:w="0" w:type="dxa"/>
              <w:right w:w="0" w:type="dxa"/>
            </w:tcMar>
            <w:hideMark/>
          </w:tcPr>
          <w:p w14:paraId="5FB55F68" w14:textId="77777777" w:rsidR="00000000" w:rsidRDefault="00087966">
            <w:pPr>
              <w:ind w:hanging="180"/>
              <w:rPr>
                <w:rFonts w:eastAsia="Times New Roman"/>
                <w:sz w:val="20"/>
                <w:szCs w:val="20"/>
              </w:rPr>
            </w:pPr>
            <w:r>
              <w:rPr>
                <w:rFonts w:eastAsia="Times New Roman"/>
                <w:sz w:val="20"/>
                <w:szCs w:val="20"/>
              </w:rPr>
              <w:t> </w:t>
            </w:r>
          </w:p>
        </w:tc>
        <w:tc>
          <w:tcPr>
            <w:tcW w:w="0" w:type="auto"/>
            <w:tcBorders>
              <w:bottom w:val="single" w:sz="12" w:space="0" w:color="000000"/>
            </w:tcBorders>
            <w:hideMark/>
          </w:tcPr>
          <w:p w14:paraId="4C1A03C7" w14:textId="77777777" w:rsidR="00000000" w:rsidRDefault="00087966">
            <w:pPr>
              <w:jc w:val="center"/>
              <w:rPr>
                <w:rFonts w:eastAsia="Times New Roman"/>
                <w:sz w:val="20"/>
                <w:szCs w:val="20"/>
              </w:rPr>
            </w:pPr>
            <w:r>
              <w:rPr>
                <w:rFonts w:eastAsia="Times New Roman"/>
                <w:b/>
                <w:bCs/>
                <w:sz w:val="20"/>
                <w:szCs w:val="20"/>
              </w:rPr>
              <w:t>Page</w:t>
            </w:r>
            <w:r>
              <w:rPr>
                <w:rFonts w:eastAsia="Times New Roman"/>
                <w:sz w:val="20"/>
                <w:szCs w:val="20"/>
              </w:rPr>
              <w:t xml:space="preserve"> </w:t>
            </w:r>
          </w:p>
        </w:tc>
      </w:tr>
      <w:tr w:rsidR="00000000" w14:paraId="2B620303" w14:textId="77777777">
        <w:trPr>
          <w:divId w:val="1595479706"/>
        </w:trPr>
        <w:tc>
          <w:tcPr>
            <w:tcW w:w="4600" w:type="pct"/>
            <w:shd w:val="clear" w:color="auto" w:fill="CCEEFF"/>
            <w:tcMar>
              <w:top w:w="0" w:type="dxa"/>
              <w:left w:w="180" w:type="dxa"/>
              <w:bottom w:w="0" w:type="dxa"/>
              <w:right w:w="0" w:type="dxa"/>
            </w:tcMar>
            <w:hideMark/>
          </w:tcPr>
          <w:p w14:paraId="02F127AE" w14:textId="77777777" w:rsidR="00000000" w:rsidRDefault="00087966">
            <w:pPr>
              <w:ind w:hanging="180"/>
              <w:rPr>
                <w:rFonts w:eastAsia="Times New Roman"/>
                <w:sz w:val="20"/>
                <w:szCs w:val="20"/>
              </w:rPr>
            </w:pPr>
            <w:hyperlink w:anchor="f_001" w:history="1">
              <w:r>
                <w:rPr>
                  <w:rStyle w:val="a4"/>
                  <w:rFonts w:eastAsia="Times New Roman"/>
                  <w:sz w:val="20"/>
                  <w:szCs w:val="20"/>
                </w:rPr>
                <w:t xml:space="preserve">Report of Independent Registered Public Accounting Firm (PCAOB ID #688) </w:t>
              </w:r>
            </w:hyperlink>
          </w:p>
        </w:tc>
        <w:tc>
          <w:tcPr>
            <w:tcW w:w="400" w:type="pct"/>
            <w:shd w:val="clear" w:color="auto" w:fill="CCEEFF"/>
            <w:hideMark/>
          </w:tcPr>
          <w:p w14:paraId="788BEF23" w14:textId="77777777" w:rsidR="00000000" w:rsidRDefault="00087966">
            <w:pPr>
              <w:jc w:val="center"/>
              <w:rPr>
                <w:rFonts w:eastAsia="Times New Roman"/>
                <w:sz w:val="20"/>
                <w:szCs w:val="20"/>
              </w:rPr>
            </w:pPr>
            <w:r>
              <w:rPr>
                <w:rFonts w:eastAsia="Times New Roman"/>
                <w:sz w:val="20"/>
                <w:szCs w:val="20"/>
              </w:rPr>
              <w:t>F-1</w:t>
            </w:r>
          </w:p>
        </w:tc>
      </w:tr>
      <w:tr w:rsidR="00000000" w14:paraId="322D3B2A" w14:textId="77777777">
        <w:trPr>
          <w:divId w:val="1595479706"/>
        </w:trPr>
        <w:tc>
          <w:tcPr>
            <w:tcW w:w="0" w:type="auto"/>
            <w:tcMar>
              <w:top w:w="0" w:type="dxa"/>
              <w:left w:w="180" w:type="dxa"/>
              <w:bottom w:w="0" w:type="dxa"/>
              <w:right w:w="0" w:type="dxa"/>
            </w:tcMar>
            <w:hideMark/>
          </w:tcPr>
          <w:p w14:paraId="6A1A46DB" w14:textId="77777777" w:rsidR="00000000" w:rsidRDefault="00087966">
            <w:pPr>
              <w:ind w:hanging="180"/>
              <w:rPr>
                <w:rFonts w:eastAsia="Times New Roman"/>
                <w:sz w:val="20"/>
                <w:szCs w:val="20"/>
              </w:rPr>
            </w:pPr>
            <w:hyperlink w:anchor="f_002" w:history="1">
              <w:r>
                <w:rPr>
                  <w:rStyle w:val="a4"/>
                  <w:rFonts w:eastAsia="Times New Roman"/>
                  <w:sz w:val="20"/>
                  <w:szCs w:val="20"/>
                </w:rPr>
                <w:t xml:space="preserve">Consolidated Balance Sheets as of December 31, 2022 and 2021 </w:t>
              </w:r>
            </w:hyperlink>
          </w:p>
        </w:tc>
        <w:tc>
          <w:tcPr>
            <w:tcW w:w="0" w:type="auto"/>
            <w:hideMark/>
          </w:tcPr>
          <w:p w14:paraId="0D1D2551" w14:textId="77777777" w:rsidR="00000000" w:rsidRDefault="00087966">
            <w:pPr>
              <w:jc w:val="center"/>
              <w:rPr>
                <w:rFonts w:eastAsia="Times New Roman"/>
                <w:sz w:val="20"/>
                <w:szCs w:val="20"/>
              </w:rPr>
            </w:pPr>
            <w:r>
              <w:rPr>
                <w:rFonts w:eastAsia="Times New Roman"/>
                <w:sz w:val="20"/>
                <w:szCs w:val="20"/>
              </w:rPr>
              <w:t>F-2</w:t>
            </w:r>
          </w:p>
        </w:tc>
      </w:tr>
      <w:tr w:rsidR="00000000" w14:paraId="17F3D8A5" w14:textId="77777777">
        <w:trPr>
          <w:divId w:val="1595479706"/>
        </w:trPr>
        <w:tc>
          <w:tcPr>
            <w:tcW w:w="0" w:type="auto"/>
            <w:shd w:val="clear" w:color="auto" w:fill="CCEEFF"/>
            <w:tcMar>
              <w:top w:w="0" w:type="dxa"/>
              <w:left w:w="180" w:type="dxa"/>
              <w:bottom w:w="0" w:type="dxa"/>
              <w:right w:w="0" w:type="dxa"/>
            </w:tcMar>
            <w:hideMark/>
          </w:tcPr>
          <w:p w14:paraId="0C439094" w14:textId="77777777" w:rsidR="00000000" w:rsidRDefault="00087966">
            <w:pPr>
              <w:ind w:hanging="180"/>
              <w:rPr>
                <w:rFonts w:eastAsia="Times New Roman"/>
                <w:sz w:val="20"/>
                <w:szCs w:val="20"/>
              </w:rPr>
            </w:pPr>
            <w:hyperlink w:anchor="f_003" w:history="1">
              <w:r>
                <w:rPr>
                  <w:rStyle w:val="a4"/>
                  <w:rFonts w:eastAsia="Times New Roman"/>
                  <w:sz w:val="20"/>
                  <w:szCs w:val="20"/>
                </w:rPr>
                <w:t>Consolidated Statements of Operations for the years end</w:t>
              </w:r>
              <w:r>
                <w:rPr>
                  <w:rStyle w:val="a4"/>
                  <w:rFonts w:eastAsia="Times New Roman"/>
                  <w:sz w:val="20"/>
                  <w:szCs w:val="20"/>
                </w:rPr>
                <w:t xml:space="preserve">ed December 31, 2022 and December 31, 2021 </w:t>
              </w:r>
            </w:hyperlink>
          </w:p>
        </w:tc>
        <w:tc>
          <w:tcPr>
            <w:tcW w:w="0" w:type="auto"/>
            <w:shd w:val="clear" w:color="auto" w:fill="CCEEFF"/>
            <w:hideMark/>
          </w:tcPr>
          <w:p w14:paraId="170E3AD6" w14:textId="77777777" w:rsidR="00000000" w:rsidRDefault="00087966">
            <w:pPr>
              <w:jc w:val="center"/>
              <w:rPr>
                <w:rFonts w:eastAsia="Times New Roman"/>
                <w:sz w:val="20"/>
                <w:szCs w:val="20"/>
              </w:rPr>
            </w:pPr>
            <w:r>
              <w:rPr>
                <w:rFonts w:eastAsia="Times New Roman"/>
                <w:sz w:val="20"/>
                <w:szCs w:val="20"/>
              </w:rPr>
              <w:t>F-3</w:t>
            </w:r>
          </w:p>
        </w:tc>
      </w:tr>
      <w:tr w:rsidR="00000000" w14:paraId="0FE6238D" w14:textId="77777777">
        <w:trPr>
          <w:divId w:val="1595479706"/>
        </w:trPr>
        <w:tc>
          <w:tcPr>
            <w:tcW w:w="0" w:type="auto"/>
            <w:tcMar>
              <w:top w:w="0" w:type="dxa"/>
              <w:left w:w="180" w:type="dxa"/>
              <w:bottom w:w="0" w:type="dxa"/>
              <w:right w:w="0" w:type="dxa"/>
            </w:tcMar>
            <w:hideMark/>
          </w:tcPr>
          <w:p w14:paraId="00CAEE90" w14:textId="77777777" w:rsidR="00000000" w:rsidRDefault="00087966">
            <w:pPr>
              <w:ind w:hanging="180"/>
              <w:rPr>
                <w:rFonts w:eastAsia="Times New Roman"/>
                <w:sz w:val="20"/>
                <w:szCs w:val="20"/>
              </w:rPr>
            </w:pPr>
            <w:hyperlink w:anchor="f_004" w:history="1">
              <w:r>
                <w:rPr>
                  <w:rStyle w:val="a4"/>
                  <w:rFonts w:eastAsia="Times New Roman"/>
                  <w:sz w:val="20"/>
                  <w:szCs w:val="20"/>
                </w:rPr>
                <w:t xml:space="preserve">Consolidated Statements of Changes in Stockholders’ </w:t>
              </w:r>
              <w:r>
                <w:rPr>
                  <w:rStyle w:val="a4"/>
                  <w:rFonts w:eastAsia="Times New Roman"/>
                  <w:sz w:val="20"/>
                  <w:szCs w:val="20"/>
                </w:rPr>
                <w:t>Deficit for the years ended December 31, 2022 and December 31, 2021</w:t>
              </w:r>
            </w:hyperlink>
          </w:p>
        </w:tc>
        <w:tc>
          <w:tcPr>
            <w:tcW w:w="0" w:type="auto"/>
            <w:hideMark/>
          </w:tcPr>
          <w:p w14:paraId="042EBBC5" w14:textId="77777777" w:rsidR="00000000" w:rsidRDefault="00087966">
            <w:pPr>
              <w:jc w:val="center"/>
              <w:rPr>
                <w:rFonts w:eastAsia="Times New Roman"/>
                <w:sz w:val="20"/>
                <w:szCs w:val="20"/>
              </w:rPr>
            </w:pPr>
            <w:r>
              <w:rPr>
                <w:rFonts w:eastAsia="Times New Roman"/>
                <w:sz w:val="20"/>
                <w:szCs w:val="20"/>
              </w:rPr>
              <w:t>F-4</w:t>
            </w:r>
          </w:p>
        </w:tc>
      </w:tr>
      <w:tr w:rsidR="00000000" w14:paraId="4C77153D" w14:textId="77777777">
        <w:trPr>
          <w:divId w:val="1595479706"/>
        </w:trPr>
        <w:tc>
          <w:tcPr>
            <w:tcW w:w="0" w:type="auto"/>
            <w:shd w:val="clear" w:color="auto" w:fill="CCEEFF"/>
            <w:tcMar>
              <w:top w:w="0" w:type="dxa"/>
              <w:left w:w="180" w:type="dxa"/>
              <w:bottom w:w="0" w:type="dxa"/>
              <w:right w:w="0" w:type="dxa"/>
            </w:tcMar>
            <w:hideMark/>
          </w:tcPr>
          <w:p w14:paraId="0AEE92EE" w14:textId="77777777" w:rsidR="00000000" w:rsidRDefault="00087966">
            <w:pPr>
              <w:ind w:hanging="180"/>
              <w:rPr>
                <w:rFonts w:eastAsia="Times New Roman"/>
                <w:sz w:val="20"/>
                <w:szCs w:val="20"/>
              </w:rPr>
            </w:pPr>
            <w:hyperlink w:anchor="f_005" w:history="1">
              <w:r>
                <w:rPr>
                  <w:rStyle w:val="a4"/>
                  <w:rFonts w:eastAsia="Times New Roman"/>
                  <w:sz w:val="20"/>
                  <w:szCs w:val="20"/>
                </w:rPr>
                <w:t xml:space="preserve">Consolidated Statements of Cash Flows for the years ended December 31, 2022 and December 31, 2021 </w:t>
              </w:r>
            </w:hyperlink>
          </w:p>
        </w:tc>
        <w:tc>
          <w:tcPr>
            <w:tcW w:w="0" w:type="auto"/>
            <w:shd w:val="clear" w:color="auto" w:fill="CCEEFF"/>
            <w:hideMark/>
          </w:tcPr>
          <w:p w14:paraId="7D87593B" w14:textId="77777777" w:rsidR="00000000" w:rsidRDefault="00087966">
            <w:pPr>
              <w:jc w:val="center"/>
              <w:rPr>
                <w:rFonts w:eastAsia="Times New Roman"/>
                <w:sz w:val="20"/>
                <w:szCs w:val="20"/>
              </w:rPr>
            </w:pPr>
            <w:r>
              <w:rPr>
                <w:rFonts w:eastAsia="Times New Roman"/>
                <w:sz w:val="20"/>
                <w:szCs w:val="20"/>
              </w:rPr>
              <w:t>F-5</w:t>
            </w:r>
          </w:p>
        </w:tc>
      </w:tr>
      <w:tr w:rsidR="00000000" w14:paraId="537639F1" w14:textId="77777777">
        <w:trPr>
          <w:divId w:val="1595479706"/>
        </w:trPr>
        <w:tc>
          <w:tcPr>
            <w:tcW w:w="0" w:type="auto"/>
            <w:tcMar>
              <w:top w:w="0" w:type="dxa"/>
              <w:left w:w="180" w:type="dxa"/>
              <w:bottom w:w="0" w:type="dxa"/>
              <w:right w:w="0" w:type="dxa"/>
            </w:tcMar>
            <w:hideMark/>
          </w:tcPr>
          <w:p w14:paraId="0F76AB4A" w14:textId="77777777" w:rsidR="00000000" w:rsidRDefault="00087966">
            <w:pPr>
              <w:ind w:hanging="180"/>
              <w:rPr>
                <w:rFonts w:eastAsia="Times New Roman"/>
                <w:sz w:val="20"/>
                <w:szCs w:val="20"/>
              </w:rPr>
            </w:pPr>
            <w:hyperlink w:anchor="f_006" w:history="1">
              <w:r>
                <w:rPr>
                  <w:rStyle w:val="a4"/>
                  <w:rFonts w:eastAsia="Times New Roman"/>
                  <w:sz w:val="20"/>
                  <w:szCs w:val="20"/>
                </w:rPr>
                <w:t>Notes to Consolidated F</w:t>
              </w:r>
              <w:r>
                <w:rPr>
                  <w:rStyle w:val="a4"/>
                  <w:rFonts w:eastAsia="Times New Roman"/>
                  <w:sz w:val="20"/>
                  <w:szCs w:val="20"/>
                </w:rPr>
                <w:t xml:space="preserve">inancial Statements </w:t>
              </w:r>
            </w:hyperlink>
          </w:p>
        </w:tc>
        <w:tc>
          <w:tcPr>
            <w:tcW w:w="0" w:type="auto"/>
            <w:hideMark/>
          </w:tcPr>
          <w:p w14:paraId="5695FF76" w14:textId="77777777" w:rsidR="00000000" w:rsidRDefault="00087966">
            <w:pPr>
              <w:jc w:val="center"/>
              <w:rPr>
                <w:rFonts w:eastAsia="Times New Roman"/>
                <w:sz w:val="20"/>
                <w:szCs w:val="20"/>
              </w:rPr>
            </w:pPr>
            <w:r>
              <w:rPr>
                <w:rFonts w:eastAsia="Times New Roman"/>
                <w:sz w:val="20"/>
                <w:szCs w:val="20"/>
              </w:rPr>
              <w:t>F-6</w:t>
            </w:r>
          </w:p>
        </w:tc>
      </w:tr>
    </w:tbl>
    <w:p w14:paraId="7999B7DA"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E0D69B0" w14:textId="77777777">
        <w:trPr>
          <w:divId w:val="1595479706"/>
        </w:trPr>
        <w:tc>
          <w:tcPr>
            <w:tcW w:w="360" w:type="dxa"/>
            <w:hideMark/>
          </w:tcPr>
          <w:p w14:paraId="192F1637"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3E7404BC" w14:textId="77777777" w:rsidR="00000000" w:rsidRDefault="00087966">
            <w:pPr>
              <w:jc w:val="both"/>
              <w:rPr>
                <w:rFonts w:eastAsia="Times New Roman"/>
                <w:sz w:val="20"/>
                <w:szCs w:val="20"/>
              </w:rPr>
            </w:pPr>
            <w:r>
              <w:rPr>
                <w:rFonts w:eastAsia="Times New Roman"/>
                <w:sz w:val="20"/>
                <w:szCs w:val="20"/>
              </w:rPr>
              <w:t>(2)</w:t>
            </w:r>
          </w:p>
        </w:tc>
        <w:tc>
          <w:tcPr>
            <w:tcW w:w="0" w:type="auto"/>
            <w:hideMark/>
          </w:tcPr>
          <w:p w14:paraId="03E68874" w14:textId="77777777" w:rsidR="00000000" w:rsidRDefault="00087966">
            <w:pPr>
              <w:jc w:val="both"/>
              <w:rPr>
                <w:rFonts w:eastAsia="Times New Roman"/>
                <w:sz w:val="20"/>
                <w:szCs w:val="20"/>
              </w:rPr>
            </w:pPr>
            <w:r>
              <w:rPr>
                <w:rFonts w:eastAsia="Times New Roman"/>
                <w:sz w:val="20"/>
                <w:szCs w:val="20"/>
              </w:rPr>
              <w:t>Financial Statement Schedules</w:t>
            </w:r>
          </w:p>
        </w:tc>
      </w:tr>
    </w:tbl>
    <w:p w14:paraId="239C4A79" w14:textId="77777777" w:rsidR="00000000" w:rsidRDefault="00087966">
      <w:pPr>
        <w:pStyle w:val="a3"/>
        <w:spacing w:before="0" w:beforeAutospacing="0" w:after="0" w:afterAutospacing="0"/>
        <w:jc w:val="both"/>
        <w:divId w:val="1595479706"/>
        <w:rPr>
          <w:sz w:val="20"/>
          <w:szCs w:val="20"/>
        </w:rPr>
      </w:pPr>
      <w:r>
        <w:rPr>
          <w:sz w:val="20"/>
          <w:szCs w:val="20"/>
        </w:rPr>
        <w:t> </w:t>
      </w:r>
    </w:p>
    <w:p w14:paraId="3DE1CD03" w14:textId="77777777" w:rsidR="00000000" w:rsidRDefault="00087966">
      <w:pPr>
        <w:pStyle w:val="a3"/>
        <w:spacing w:before="0" w:beforeAutospacing="0" w:after="0" w:afterAutospacing="0"/>
        <w:ind w:firstLine="720"/>
        <w:jc w:val="both"/>
        <w:divId w:val="1595479706"/>
        <w:rPr>
          <w:sz w:val="20"/>
          <w:szCs w:val="20"/>
        </w:rPr>
      </w:pPr>
      <w:r>
        <w:rPr>
          <w:sz w:val="20"/>
          <w:szCs w:val="20"/>
        </w:rPr>
        <w:t>All financial statement schedules are omitted because they are not applicable or the amounts are immaterial and not required, or the required information is presented in the financial stat</w:t>
      </w:r>
      <w:r>
        <w:rPr>
          <w:sz w:val="20"/>
          <w:szCs w:val="20"/>
        </w:rPr>
        <w:t>ements and notes thereto beginning on page F-1 of this Report.</w:t>
      </w:r>
    </w:p>
    <w:p w14:paraId="1A82C9C1"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9858FE6" w14:textId="77777777">
        <w:trPr>
          <w:divId w:val="1595479706"/>
        </w:trPr>
        <w:tc>
          <w:tcPr>
            <w:tcW w:w="360" w:type="dxa"/>
            <w:hideMark/>
          </w:tcPr>
          <w:p w14:paraId="2682A68A"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7D3BC329" w14:textId="77777777" w:rsidR="00000000" w:rsidRDefault="00087966">
            <w:pPr>
              <w:jc w:val="both"/>
              <w:rPr>
                <w:rFonts w:eastAsia="Times New Roman"/>
                <w:sz w:val="20"/>
                <w:szCs w:val="20"/>
              </w:rPr>
            </w:pPr>
            <w:r>
              <w:rPr>
                <w:rFonts w:eastAsia="Times New Roman"/>
                <w:sz w:val="20"/>
                <w:szCs w:val="20"/>
              </w:rPr>
              <w:t>(3)</w:t>
            </w:r>
          </w:p>
        </w:tc>
        <w:tc>
          <w:tcPr>
            <w:tcW w:w="0" w:type="auto"/>
            <w:hideMark/>
          </w:tcPr>
          <w:p w14:paraId="78BB0396" w14:textId="77777777" w:rsidR="00000000" w:rsidRDefault="00087966">
            <w:pPr>
              <w:jc w:val="both"/>
              <w:rPr>
                <w:rFonts w:eastAsia="Times New Roman"/>
                <w:sz w:val="20"/>
                <w:szCs w:val="20"/>
              </w:rPr>
            </w:pPr>
            <w:r>
              <w:rPr>
                <w:rFonts w:eastAsia="Times New Roman"/>
                <w:sz w:val="20"/>
                <w:szCs w:val="20"/>
              </w:rPr>
              <w:t>Exhibits</w:t>
            </w:r>
          </w:p>
        </w:tc>
      </w:tr>
    </w:tbl>
    <w:p w14:paraId="53EE2E84" w14:textId="77777777" w:rsidR="00000000" w:rsidRDefault="00087966">
      <w:pPr>
        <w:pStyle w:val="a3"/>
        <w:spacing w:before="0" w:beforeAutospacing="0" w:after="0" w:afterAutospacing="0"/>
        <w:jc w:val="both"/>
        <w:divId w:val="1595479706"/>
        <w:rPr>
          <w:sz w:val="20"/>
          <w:szCs w:val="20"/>
        </w:rPr>
      </w:pPr>
      <w:r>
        <w:rPr>
          <w:sz w:val="20"/>
          <w:szCs w:val="20"/>
        </w:rPr>
        <w:t> </w:t>
      </w:r>
    </w:p>
    <w:p w14:paraId="737B4E20" w14:textId="77777777" w:rsidR="00000000" w:rsidRDefault="00087966">
      <w:pPr>
        <w:pStyle w:val="a3"/>
        <w:spacing w:before="0" w:beforeAutospacing="0" w:after="0" w:afterAutospacing="0"/>
        <w:ind w:firstLine="720"/>
        <w:jc w:val="both"/>
        <w:divId w:val="1595479706"/>
        <w:rPr>
          <w:sz w:val="20"/>
          <w:szCs w:val="20"/>
        </w:rPr>
      </w:pPr>
      <w:r>
        <w:rPr>
          <w:sz w:val="20"/>
          <w:szCs w:val="20"/>
        </w:rPr>
        <w:t xml:space="preserve">We hereby file as part of </w:t>
      </w:r>
      <w:r>
        <w:rPr>
          <w:sz w:val="20"/>
          <w:szCs w:val="20"/>
        </w:rPr>
        <w:t>this Report the exhibits listed in the attached Exhibit Index. Exhibits that are incorporated herein by reference can be inspected on the SEC website at www.sec.gov. </w:t>
      </w:r>
    </w:p>
    <w:p w14:paraId="5C710919" w14:textId="77777777" w:rsidR="00000000" w:rsidRDefault="00087966">
      <w:pPr>
        <w:pStyle w:val="a3"/>
        <w:spacing w:before="0" w:beforeAutospacing="0" w:after="0" w:afterAutospacing="0"/>
        <w:jc w:val="both"/>
        <w:divId w:val="1595479706"/>
        <w:rPr>
          <w:sz w:val="20"/>
          <w:szCs w:val="20"/>
        </w:rPr>
      </w:pPr>
      <w:r>
        <w:rPr>
          <w:sz w:val="20"/>
          <w:szCs w:val="20"/>
        </w:rPr>
        <w:t> </w:t>
      </w:r>
    </w:p>
    <w:p w14:paraId="7776FE70" w14:textId="77777777" w:rsidR="00000000" w:rsidRDefault="00087966">
      <w:pPr>
        <w:pStyle w:val="a3"/>
        <w:spacing w:before="0" w:beforeAutospacing="0" w:after="0" w:afterAutospacing="0"/>
        <w:jc w:val="both"/>
        <w:divId w:val="1595479706"/>
        <w:rPr>
          <w:sz w:val="20"/>
          <w:szCs w:val="20"/>
        </w:rPr>
      </w:pPr>
      <w:r>
        <w:rPr>
          <w:b/>
          <w:bCs/>
          <w:sz w:val="20"/>
          <w:szCs w:val="20"/>
        </w:rPr>
        <w:t>Item 16. Form 10-K Summary.</w:t>
      </w:r>
    </w:p>
    <w:p w14:paraId="2B0C0048" w14:textId="77777777" w:rsidR="00000000" w:rsidRDefault="00087966">
      <w:pPr>
        <w:pStyle w:val="a3"/>
        <w:spacing w:before="0" w:beforeAutospacing="0" w:after="0" w:afterAutospacing="0"/>
        <w:jc w:val="both"/>
        <w:divId w:val="1595479706"/>
        <w:rPr>
          <w:sz w:val="20"/>
          <w:szCs w:val="20"/>
        </w:rPr>
      </w:pPr>
      <w:r>
        <w:rPr>
          <w:sz w:val="20"/>
          <w:szCs w:val="20"/>
        </w:rPr>
        <w:t> </w:t>
      </w:r>
    </w:p>
    <w:p w14:paraId="06738BB9" w14:textId="77777777" w:rsidR="00000000" w:rsidRDefault="00087966">
      <w:pPr>
        <w:pStyle w:val="a3"/>
        <w:spacing w:before="0" w:beforeAutospacing="0" w:after="0" w:afterAutospacing="0"/>
        <w:ind w:firstLine="720"/>
        <w:jc w:val="both"/>
        <w:divId w:val="1595479706"/>
        <w:rPr>
          <w:sz w:val="20"/>
          <w:szCs w:val="20"/>
        </w:rPr>
      </w:pPr>
      <w:r>
        <w:rPr>
          <w:sz w:val="20"/>
          <w:szCs w:val="20"/>
        </w:rPr>
        <w:t>Not applicable.</w:t>
      </w:r>
    </w:p>
    <w:p w14:paraId="19C3E936"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BD68E84" w14:textId="77777777" w:rsidR="00000000" w:rsidRDefault="00087966">
      <w:pPr>
        <w:pStyle w:val="a3"/>
        <w:spacing w:before="0" w:beforeAutospacing="0" w:after="0" w:afterAutospacing="0"/>
        <w:jc w:val="center"/>
        <w:divId w:val="151996078"/>
        <w:rPr>
          <w:sz w:val="20"/>
          <w:szCs w:val="20"/>
        </w:rPr>
      </w:pPr>
      <w:r>
        <w:rPr>
          <w:sz w:val="20"/>
          <w:szCs w:val="20"/>
        </w:rPr>
        <w:t>5</w:t>
      </w:r>
      <w:r>
        <w:rPr>
          <w:sz w:val="20"/>
          <w:szCs w:val="20"/>
        </w:rPr>
        <w:t>2</w:t>
      </w:r>
    </w:p>
    <w:p w14:paraId="412625E2" w14:textId="77777777" w:rsidR="00000000" w:rsidRDefault="00087966">
      <w:pPr>
        <w:pStyle w:val="a3"/>
        <w:spacing w:before="0" w:beforeAutospacing="0" w:after="0" w:afterAutospacing="0"/>
        <w:divId w:val="537595763"/>
        <w:rPr>
          <w:sz w:val="20"/>
          <w:szCs w:val="20"/>
        </w:rPr>
      </w:pPr>
      <w:r>
        <w:rPr>
          <w:sz w:val="20"/>
          <w:szCs w:val="20"/>
        </w:rPr>
        <w:t> </w:t>
      </w:r>
    </w:p>
    <w:p w14:paraId="6F88375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57BF5E64" w14:textId="77777777" w:rsidR="00000000" w:rsidRDefault="00087966">
      <w:pPr>
        <w:pStyle w:val="a3"/>
        <w:spacing w:before="0" w:beforeAutospacing="0" w:after="0" w:afterAutospacing="0"/>
        <w:jc w:val="center"/>
        <w:divId w:val="1595479706"/>
        <w:rPr>
          <w:sz w:val="20"/>
          <w:szCs w:val="20"/>
        </w:rPr>
      </w:pPr>
      <w:r>
        <w:rPr>
          <w:b/>
          <w:bCs/>
          <w:sz w:val="20"/>
          <w:szCs w:val="20"/>
        </w:rPr>
        <w:t>REPORT OF INDEPENDENT REGISTERED</w:t>
      </w:r>
      <w:r>
        <w:rPr>
          <w:b/>
          <w:bCs/>
          <w:sz w:val="20"/>
          <w:szCs w:val="20"/>
        </w:rPr>
        <w:t xml:space="preserve"> PUBLIC ACCOUNTING FIRM</w:t>
      </w:r>
    </w:p>
    <w:p w14:paraId="63950A40" w14:textId="77777777" w:rsidR="00000000" w:rsidRDefault="00087966">
      <w:pPr>
        <w:pStyle w:val="a3"/>
        <w:spacing w:before="0" w:beforeAutospacing="0" w:after="0" w:afterAutospacing="0"/>
        <w:jc w:val="center"/>
        <w:divId w:val="1595479706"/>
        <w:rPr>
          <w:sz w:val="20"/>
          <w:szCs w:val="20"/>
        </w:rPr>
      </w:pPr>
      <w:r>
        <w:rPr>
          <w:sz w:val="20"/>
          <w:szCs w:val="20"/>
        </w:rPr>
        <w:t> </w:t>
      </w:r>
    </w:p>
    <w:p w14:paraId="67B736FA" w14:textId="77777777" w:rsidR="00000000" w:rsidRDefault="00087966">
      <w:pPr>
        <w:pStyle w:val="a3"/>
        <w:spacing w:before="0" w:beforeAutospacing="0" w:after="0" w:afterAutospacing="0"/>
        <w:divId w:val="1595479706"/>
        <w:rPr>
          <w:sz w:val="20"/>
          <w:szCs w:val="20"/>
        </w:rPr>
      </w:pPr>
      <w:r>
        <w:rPr>
          <w:sz w:val="20"/>
          <w:szCs w:val="20"/>
        </w:rPr>
        <w:t>To the Stockholders and the Board of Directors of</w:t>
      </w:r>
    </w:p>
    <w:p w14:paraId="7AC50D14" w14:textId="77777777" w:rsidR="00000000" w:rsidRDefault="00087966">
      <w:pPr>
        <w:pStyle w:val="a3"/>
        <w:spacing w:before="0" w:beforeAutospacing="0" w:after="0" w:afterAutospacing="0"/>
        <w:jc w:val="both"/>
        <w:divId w:val="1595479706"/>
        <w:rPr>
          <w:sz w:val="20"/>
          <w:szCs w:val="20"/>
        </w:rPr>
      </w:pPr>
      <w:r>
        <w:rPr>
          <w:sz w:val="20"/>
          <w:szCs w:val="20"/>
        </w:rPr>
        <w:t>KludeIn I Acquisition Corp.</w:t>
      </w:r>
    </w:p>
    <w:p w14:paraId="7493A68F" w14:textId="77777777" w:rsidR="00000000" w:rsidRDefault="00087966">
      <w:pPr>
        <w:pStyle w:val="a3"/>
        <w:spacing w:before="0" w:beforeAutospacing="0" w:after="0" w:afterAutospacing="0"/>
        <w:jc w:val="both"/>
        <w:divId w:val="1595479706"/>
        <w:rPr>
          <w:sz w:val="20"/>
          <w:szCs w:val="20"/>
        </w:rPr>
      </w:pPr>
      <w:r>
        <w:rPr>
          <w:sz w:val="20"/>
          <w:szCs w:val="20"/>
        </w:rPr>
        <w:t> </w:t>
      </w:r>
    </w:p>
    <w:p w14:paraId="5F69A42C" w14:textId="77777777" w:rsidR="00000000" w:rsidRDefault="00087966">
      <w:pPr>
        <w:pStyle w:val="a3"/>
        <w:spacing w:before="0" w:beforeAutospacing="0" w:after="0" w:afterAutospacing="0"/>
        <w:jc w:val="both"/>
        <w:divId w:val="1595479706"/>
        <w:rPr>
          <w:sz w:val="20"/>
          <w:szCs w:val="20"/>
        </w:rPr>
      </w:pPr>
      <w:r>
        <w:rPr>
          <w:b/>
          <w:bCs/>
          <w:sz w:val="20"/>
          <w:szCs w:val="20"/>
        </w:rPr>
        <w:t>Opinion on the Financial Statements</w:t>
      </w:r>
    </w:p>
    <w:p w14:paraId="72CC1F4C"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1BD9955B" w14:textId="77777777" w:rsidR="00000000" w:rsidRDefault="00087966">
      <w:pPr>
        <w:pStyle w:val="a3"/>
        <w:spacing w:before="0" w:beforeAutospacing="0" w:after="0" w:afterAutospacing="0"/>
        <w:jc w:val="both"/>
        <w:divId w:val="1595479706"/>
        <w:rPr>
          <w:sz w:val="20"/>
          <w:szCs w:val="20"/>
        </w:rPr>
      </w:pPr>
      <w:r>
        <w:rPr>
          <w:sz w:val="20"/>
          <w:szCs w:val="20"/>
        </w:rPr>
        <w:t xml:space="preserve">We have audited the accompanying </w:t>
      </w:r>
      <w:r>
        <w:rPr>
          <w:sz w:val="20"/>
          <w:szCs w:val="20"/>
        </w:rPr>
        <w:t>consolidated balance sheets of KludeIn I Acquisition Corp. (the “Company”) as of December 31, 2022 and 2021, the related consolidated statements of operations, changes in stockholders’ deficit and cash flows for each of the two years in the period ended De</w:t>
      </w:r>
      <w:r>
        <w:rPr>
          <w:sz w:val="20"/>
          <w:szCs w:val="20"/>
        </w:rPr>
        <w:t xml:space="preserve">cember 31, 2022, and the related notes (collectively referred to as the “financial statements”). In our opinion, the financial statements present fairly, in all material respects, the financial position of the Company as of December 31, 2022 and 2021, and </w:t>
      </w:r>
      <w:r>
        <w:rPr>
          <w:sz w:val="20"/>
          <w:szCs w:val="20"/>
        </w:rPr>
        <w:t>the results of its operations and its cash flows for each of the two years in the period ended December 31, 2022, in conformity with accounting principles generally accepted in the United States of America.</w:t>
      </w:r>
    </w:p>
    <w:p w14:paraId="05438985" w14:textId="77777777" w:rsidR="00000000" w:rsidRDefault="00087966">
      <w:pPr>
        <w:pStyle w:val="a3"/>
        <w:spacing w:before="0" w:beforeAutospacing="0" w:after="0" w:afterAutospacing="0"/>
        <w:jc w:val="both"/>
        <w:divId w:val="1595479706"/>
        <w:rPr>
          <w:sz w:val="20"/>
          <w:szCs w:val="20"/>
        </w:rPr>
      </w:pPr>
      <w:r>
        <w:rPr>
          <w:sz w:val="20"/>
          <w:szCs w:val="20"/>
        </w:rPr>
        <w:t> </w:t>
      </w:r>
    </w:p>
    <w:p w14:paraId="0AFF7568" w14:textId="77777777" w:rsidR="00000000" w:rsidRDefault="00087966">
      <w:pPr>
        <w:pStyle w:val="a3"/>
        <w:spacing w:before="0" w:beforeAutospacing="0" w:after="0" w:afterAutospacing="0"/>
        <w:divId w:val="1595479706"/>
        <w:rPr>
          <w:sz w:val="20"/>
          <w:szCs w:val="20"/>
        </w:rPr>
      </w:pPr>
      <w:r>
        <w:rPr>
          <w:b/>
          <w:bCs/>
          <w:sz w:val="20"/>
          <w:szCs w:val="20"/>
        </w:rPr>
        <w:t>Explanatory Paragraph – Going Concern</w:t>
      </w:r>
    </w:p>
    <w:p w14:paraId="0547D234" w14:textId="77777777" w:rsidR="00000000" w:rsidRDefault="00087966">
      <w:pPr>
        <w:pStyle w:val="a3"/>
        <w:spacing w:before="0" w:beforeAutospacing="0" w:after="0" w:afterAutospacing="0"/>
        <w:divId w:val="1595479706"/>
        <w:rPr>
          <w:sz w:val="20"/>
          <w:szCs w:val="20"/>
        </w:rPr>
      </w:pPr>
      <w:r>
        <w:rPr>
          <w:sz w:val="20"/>
          <w:szCs w:val="20"/>
        </w:rPr>
        <w:t> </w:t>
      </w:r>
    </w:p>
    <w:p w14:paraId="2F57C9F1" w14:textId="77777777" w:rsidR="00000000" w:rsidRDefault="00087966">
      <w:pPr>
        <w:pStyle w:val="a3"/>
        <w:spacing w:before="0" w:beforeAutospacing="0" w:after="0" w:afterAutospacing="0"/>
        <w:jc w:val="both"/>
        <w:divId w:val="1595479706"/>
        <w:rPr>
          <w:sz w:val="20"/>
          <w:szCs w:val="20"/>
        </w:rPr>
      </w:pPr>
      <w:r>
        <w:rPr>
          <w:sz w:val="20"/>
          <w:szCs w:val="20"/>
        </w:rPr>
        <w:t>The acc</w:t>
      </w:r>
      <w:r>
        <w:rPr>
          <w:sz w:val="20"/>
          <w:szCs w:val="20"/>
        </w:rPr>
        <w:t>ompanying financial statements have been prepared assuming that the Company will continue as a going concern. As more fully described in Note 1, the Company has until April 11, 2023 to complete a Business Combination or the Company will cease all operation</w:t>
      </w:r>
      <w:r>
        <w:rPr>
          <w:sz w:val="20"/>
          <w:szCs w:val="20"/>
        </w:rPr>
        <w:t>s except for the purpose of liquidating. Further, the Company’s cash and working capital as of December 31, 2022 are not sufficient to complete its planned activities for a reasonable period of time, which is considered to be one year from the issuance dat</w:t>
      </w:r>
      <w:r>
        <w:rPr>
          <w:sz w:val="20"/>
          <w:szCs w:val="20"/>
        </w:rPr>
        <w:t>e of the financial statements. These conditions raise substantial doubt about the Company's ability to continue as a going concern. Management's plans in regard to these matters are also described in Note 1. The financial statements do not include any adju</w:t>
      </w:r>
      <w:r>
        <w:rPr>
          <w:sz w:val="20"/>
          <w:szCs w:val="20"/>
        </w:rPr>
        <w:t>stments that might result from the outcome of this uncertainty.</w:t>
      </w:r>
    </w:p>
    <w:p w14:paraId="55EAED1A" w14:textId="77777777" w:rsidR="00000000" w:rsidRDefault="00087966">
      <w:pPr>
        <w:pStyle w:val="a3"/>
        <w:spacing w:before="0" w:beforeAutospacing="0" w:after="0" w:afterAutospacing="0"/>
        <w:divId w:val="1595479706"/>
        <w:rPr>
          <w:sz w:val="20"/>
          <w:szCs w:val="20"/>
        </w:rPr>
      </w:pPr>
      <w:r>
        <w:rPr>
          <w:sz w:val="20"/>
          <w:szCs w:val="20"/>
        </w:rPr>
        <w:t> </w:t>
      </w:r>
    </w:p>
    <w:p w14:paraId="3096F462" w14:textId="77777777" w:rsidR="00000000" w:rsidRDefault="00087966">
      <w:pPr>
        <w:pStyle w:val="a3"/>
        <w:spacing w:before="0" w:beforeAutospacing="0" w:after="0" w:afterAutospacing="0"/>
        <w:divId w:val="1595479706"/>
        <w:rPr>
          <w:sz w:val="20"/>
          <w:szCs w:val="20"/>
        </w:rPr>
      </w:pPr>
      <w:r>
        <w:rPr>
          <w:b/>
          <w:bCs/>
          <w:sz w:val="20"/>
          <w:szCs w:val="20"/>
        </w:rPr>
        <w:t>Basis for Opinion</w:t>
      </w:r>
    </w:p>
    <w:p w14:paraId="2A2A29B2" w14:textId="77777777" w:rsidR="00000000" w:rsidRDefault="00087966">
      <w:pPr>
        <w:pStyle w:val="a3"/>
        <w:spacing w:before="0" w:beforeAutospacing="0" w:after="0" w:afterAutospacing="0"/>
        <w:divId w:val="1595479706"/>
        <w:rPr>
          <w:sz w:val="20"/>
          <w:szCs w:val="20"/>
        </w:rPr>
      </w:pPr>
      <w:r>
        <w:rPr>
          <w:sz w:val="20"/>
          <w:szCs w:val="20"/>
        </w:rPr>
        <w:t> </w:t>
      </w:r>
    </w:p>
    <w:p w14:paraId="2E8E6031" w14:textId="77777777" w:rsidR="00000000" w:rsidRDefault="00087966">
      <w:pPr>
        <w:pStyle w:val="a3"/>
        <w:spacing w:before="0" w:beforeAutospacing="0" w:after="0" w:afterAutospacing="0"/>
        <w:jc w:val="both"/>
        <w:divId w:val="1595479706"/>
        <w:rPr>
          <w:sz w:val="20"/>
          <w:szCs w:val="20"/>
        </w:rPr>
      </w:pPr>
      <w:r>
        <w:rPr>
          <w:sz w:val="20"/>
          <w:szCs w:val="20"/>
        </w:rPr>
        <w:t xml:space="preserve">These financial statements are the responsibility of the Company's management. Our responsibility is to express an opinion on the Company's financial statements based on </w:t>
      </w:r>
      <w:r>
        <w:rPr>
          <w:sz w:val="20"/>
          <w:szCs w:val="20"/>
        </w:rPr>
        <w:t>our audits. We are a public accounting firm registered with the Public Company Accounting Oversight Board (United States) ("PCAOB") and are required to be independent with respect to the Company in accordance with the U.S. federal securities laws and the a</w:t>
      </w:r>
      <w:r>
        <w:rPr>
          <w:sz w:val="20"/>
          <w:szCs w:val="20"/>
        </w:rPr>
        <w:t>pplicable rules and regulations of the Securities and Exchange Commission and the PCAOB.</w:t>
      </w:r>
    </w:p>
    <w:p w14:paraId="270CF911" w14:textId="77777777" w:rsidR="00000000" w:rsidRDefault="00087966">
      <w:pPr>
        <w:pStyle w:val="a3"/>
        <w:spacing w:before="0" w:beforeAutospacing="0" w:after="0" w:afterAutospacing="0"/>
        <w:jc w:val="both"/>
        <w:divId w:val="1595479706"/>
        <w:rPr>
          <w:sz w:val="20"/>
          <w:szCs w:val="20"/>
        </w:rPr>
      </w:pPr>
      <w:r>
        <w:rPr>
          <w:sz w:val="20"/>
          <w:szCs w:val="20"/>
        </w:rPr>
        <w:t> </w:t>
      </w:r>
    </w:p>
    <w:p w14:paraId="37BBBCAB" w14:textId="77777777" w:rsidR="00000000" w:rsidRDefault="00087966">
      <w:pPr>
        <w:pStyle w:val="a3"/>
        <w:spacing w:before="0" w:beforeAutospacing="0" w:after="0" w:afterAutospacing="0"/>
        <w:jc w:val="both"/>
        <w:divId w:val="1595479706"/>
        <w:rPr>
          <w:sz w:val="20"/>
          <w:szCs w:val="20"/>
        </w:rPr>
      </w:pPr>
      <w:r>
        <w:rPr>
          <w:sz w:val="20"/>
          <w:szCs w:val="20"/>
        </w:rPr>
        <w:t>We conducted our audits in accordance with the standards of the PCAOB. Those standards require that we plan and perform the audits to obtain reasonable assurance abo</w:t>
      </w:r>
      <w:r>
        <w:rPr>
          <w:sz w:val="20"/>
          <w:szCs w:val="20"/>
        </w:rPr>
        <w:t>ut whether the financial statements are free of material misstatement, whether due to error or fraud. The Company is not required to have, nor were we engaged to perform, an audit of its internal control over financial reporting. As part of our audits we a</w:t>
      </w:r>
      <w:r>
        <w:rPr>
          <w:sz w:val="20"/>
          <w:szCs w:val="20"/>
        </w:rPr>
        <w:t>re required to obtain an understanding of internal control over financial reporting but not for the purpose of expressing an opinion on the effectiveness of the Company's internal control over financial reporting. Accordingly, we express no such opinion.</w:t>
      </w:r>
    </w:p>
    <w:p w14:paraId="3841CE81" w14:textId="77777777" w:rsidR="00000000" w:rsidRDefault="00087966">
      <w:pPr>
        <w:pStyle w:val="a3"/>
        <w:spacing w:before="0" w:beforeAutospacing="0" w:after="0" w:afterAutospacing="0"/>
        <w:jc w:val="both"/>
        <w:divId w:val="1595479706"/>
        <w:rPr>
          <w:sz w:val="20"/>
          <w:szCs w:val="20"/>
        </w:rPr>
      </w:pPr>
      <w:r>
        <w:rPr>
          <w:sz w:val="20"/>
          <w:szCs w:val="20"/>
        </w:rPr>
        <w:t> </w:t>
      </w:r>
    </w:p>
    <w:p w14:paraId="4F9BF14C" w14:textId="77777777" w:rsidR="00000000" w:rsidRDefault="00087966">
      <w:pPr>
        <w:pStyle w:val="a3"/>
        <w:spacing w:before="0" w:beforeAutospacing="0" w:after="0" w:afterAutospacing="0"/>
        <w:jc w:val="both"/>
        <w:divId w:val="1595479706"/>
        <w:rPr>
          <w:sz w:val="20"/>
          <w:szCs w:val="20"/>
        </w:rPr>
      </w:pPr>
      <w:r>
        <w:rPr>
          <w:sz w:val="20"/>
          <w:szCs w:val="20"/>
        </w:rPr>
        <w:t xml:space="preserve">Our audits included performing procedures to assess the risks of material misstatement of the financial statements, whether due to error or fraud, and performing procedures that respond to those risks. Such procedures included examining, on a test basis, </w:t>
      </w:r>
      <w:r>
        <w:rPr>
          <w:sz w:val="20"/>
          <w:szCs w:val="20"/>
        </w:rPr>
        <w:t>evidence regarding the amounts and disclosures in the financial statements. Our audits also included evaluating the accounting principles used and significant estimates made by management, as well as evaluating the overall presentation of the financial sta</w:t>
      </w:r>
      <w:r>
        <w:rPr>
          <w:sz w:val="20"/>
          <w:szCs w:val="20"/>
        </w:rPr>
        <w:t>tements. We believe that our audits provide a reasonable basis for our opinion.</w:t>
      </w:r>
    </w:p>
    <w:p w14:paraId="2C84C08F" w14:textId="77777777" w:rsidR="00000000" w:rsidRDefault="00087966">
      <w:pPr>
        <w:pStyle w:val="a3"/>
        <w:spacing w:before="0" w:beforeAutospacing="0" w:after="0" w:afterAutospacing="0"/>
        <w:jc w:val="both"/>
        <w:divId w:val="1595479706"/>
        <w:rPr>
          <w:sz w:val="20"/>
          <w:szCs w:val="20"/>
        </w:rPr>
      </w:pPr>
      <w:r>
        <w:rPr>
          <w:sz w:val="20"/>
          <w:szCs w:val="20"/>
        </w:rPr>
        <w:t> </w:t>
      </w:r>
    </w:p>
    <w:p w14:paraId="7BDC0084" w14:textId="77777777" w:rsidR="00000000" w:rsidRDefault="00087966">
      <w:pPr>
        <w:pStyle w:val="a3"/>
        <w:spacing w:before="0" w:beforeAutospacing="0" w:after="0" w:afterAutospacing="0"/>
        <w:divId w:val="1595479706"/>
        <w:rPr>
          <w:sz w:val="20"/>
          <w:szCs w:val="20"/>
        </w:rPr>
      </w:pPr>
      <w:r>
        <w:rPr>
          <w:sz w:val="20"/>
          <w:szCs w:val="20"/>
        </w:rPr>
        <w:t xml:space="preserve">/s/ Marcum </w:t>
      </w:r>
      <w:r>
        <w:rPr>
          <w:smallCaps/>
          <w:sz w:val="20"/>
          <w:szCs w:val="20"/>
        </w:rPr>
        <w:t>llp</w:t>
      </w:r>
    </w:p>
    <w:p w14:paraId="420CCE99" w14:textId="77777777" w:rsidR="00000000" w:rsidRDefault="00087966">
      <w:pPr>
        <w:pStyle w:val="a3"/>
        <w:spacing w:before="0" w:beforeAutospacing="0" w:after="0" w:afterAutospacing="0"/>
        <w:divId w:val="1595479706"/>
        <w:rPr>
          <w:sz w:val="20"/>
          <w:szCs w:val="20"/>
        </w:rPr>
      </w:pPr>
      <w:r>
        <w:rPr>
          <w:smallCaps/>
          <w:sz w:val="20"/>
          <w:szCs w:val="20"/>
        </w:rPr>
        <w:t> </w:t>
      </w:r>
    </w:p>
    <w:p w14:paraId="005EAD29" w14:textId="77777777" w:rsidR="00000000" w:rsidRDefault="00087966">
      <w:pPr>
        <w:pStyle w:val="a3"/>
        <w:spacing w:before="0" w:beforeAutospacing="0" w:after="0" w:afterAutospacing="0"/>
        <w:divId w:val="1595479706"/>
        <w:rPr>
          <w:sz w:val="20"/>
          <w:szCs w:val="20"/>
        </w:rPr>
      </w:pPr>
      <w:r>
        <w:rPr>
          <w:sz w:val="20"/>
          <w:szCs w:val="20"/>
        </w:rPr>
        <w:t xml:space="preserve">Marcum </w:t>
      </w:r>
      <w:r>
        <w:rPr>
          <w:smallCaps/>
          <w:sz w:val="20"/>
          <w:szCs w:val="20"/>
        </w:rPr>
        <w:t>llp</w:t>
      </w:r>
    </w:p>
    <w:p w14:paraId="4B25AEBF" w14:textId="77777777" w:rsidR="00000000" w:rsidRDefault="00087966">
      <w:pPr>
        <w:pStyle w:val="a3"/>
        <w:spacing w:before="0" w:beforeAutospacing="0" w:after="0" w:afterAutospacing="0"/>
        <w:divId w:val="1595479706"/>
        <w:rPr>
          <w:sz w:val="20"/>
          <w:szCs w:val="20"/>
        </w:rPr>
      </w:pPr>
      <w:r>
        <w:rPr>
          <w:smallCaps/>
          <w:sz w:val="20"/>
          <w:szCs w:val="20"/>
        </w:rPr>
        <w:t> </w:t>
      </w:r>
    </w:p>
    <w:p w14:paraId="7FADBFB5" w14:textId="77777777" w:rsidR="00000000" w:rsidRDefault="00087966">
      <w:pPr>
        <w:pStyle w:val="a3"/>
        <w:spacing w:before="0" w:beforeAutospacing="0" w:after="0" w:afterAutospacing="0"/>
        <w:divId w:val="1595479706"/>
        <w:rPr>
          <w:sz w:val="20"/>
          <w:szCs w:val="20"/>
        </w:rPr>
      </w:pPr>
      <w:r>
        <w:rPr>
          <w:sz w:val="20"/>
          <w:szCs w:val="20"/>
        </w:rPr>
        <w:t>We have served as the Company’s auditor since 2020.</w:t>
      </w:r>
    </w:p>
    <w:p w14:paraId="47A087AD" w14:textId="77777777" w:rsidR="00000000" w:rsidRDefault="00087966">
      <w:pPr>
        <w:pStyle w:val="a3"/>
        <w:spacing w:before="0" w:beforeAutospacing="0" w:after="0" w:afterAutospacing="0"/>
        <w:divId w:val="1595479706"/>
        <w:rPr>
          <w:sz w:val="20"/>
          <w:szCs w:val="20"/>
        </w:rPr>
      </w:pPr>
      <w:r>
        <w:rPr>
          <w:sz w:val="20"/>
          <w:szCs w:val="20"/>
        </w:rPr>
        <w:t> </w:t>
      </w:r>
    </w:p>
    <w:p w14:paraId="7481DAAD" w14:textId="77777777" w:rsidR="00000000" w:rsidRDefault="00087966">
      <w:pPr>
        <w:pStyle w:val="a3"/>
        <w:spacing w:before="0" w:beforeAutospacing="0" w:after="0" w:afterAutospacing="0"/>
        <w:divId w:val="1595479706"/>
        <w:rPr>
          <w:sz w:val="20"/>
          <w:szCs w:val="20"/>
        </w:rPr>
      </w:pPr>
      <w:r>
        <w:rPr>
          <w:sz w:val="20"/>
          <w:szCs w:val="20"/>
        </w:rPr>
        <w:t xml:space="preserve">Hartford, CT </w:t>
      </w:r>
      <w:r>
        <w:rPr>
          <w:b/>
          <w:bCs/>
          <w:sz w:val="20"/>
          <w:szCs w:val="20"/>
        </w:rPr>
        <w:br/>
      </w:r>
      <w:r>
        <w:rPr>
          <w:sz w:val="20"/>
          <w:szCs w:val="20"/>
        </w:rPr>
        <w:t>March 17, 2023</w:t>
      </w:r>
    </w:p>
    <w:p w14:paraId="34AF0F17" w14:textId="77777777" w:rsidR="00000000" w:rsidRDefault="00087966">
      <w:pPr>
        <w:pStyle w:val="a3"/>
        <w:spacing w:before="0" w:beforeAutospacing="0" w:after="0" w:afterAutospacing="0"/>
        <w:divId w:val="1595479706"/>
        <w:rPr>
          <w:sz w:val="20"/>
          <w:szCs w:val="20"/>
        </w:rPr>
      </w:pPr>
      <w:r>
        <w:rPr>
          <w:sz w:val="20"/>
          <w:szCs w:val="20"/>
        </w:rPr>
        <w:t> </w:t>
      </w:r>
    </w:p>
    <w:p w14:paraId="3AE2C317" w14:textId="77777777" w:rsidR="00000000" w:rsidRDefault="00087966">
      <w:pPr>
        <w:pStyle w:val="a3"/>
        <w:spacing w:before="0" w:beforeAutospacing="0" w:after="0" w:afterAutospacing="0"/>
        <w:jc w:val="center"/>
        <w:divId w:val="1165705104"/>
        <w:rPr>
          <w:sz w:val="20"/>
          <w:szCs w:val="20"/>
        </w:rPr>
      </w:pPr>
      <w:r>
        <w:rPr>
          <w:sz w:val="20"/>
          <w:szCs w:val="20"/>
        </w:rPr>
        <w:t>F</w:t>
      </w:r>
      <w:r>
        <w:rPr>
          <w:sz w:val="20"/>
          <w:szCs w:val="20"/>
        </w:rPr>
        <w:t>-</w:t>
      </w:r>
      <w:r>
        <w:rPr>
          <w:sz w:val="20"/>
          <w:szCs w:val="20"/>
        </w:rPr>
        <w:t>1</w:t>
      </w:r>
    </w:p>
    <w:p w14:paraId="28632C1D" w14:textId="77777777" w:rsidR="00000000" w:rsidRDefault="00087966">
      <w:pPr>
        <w:pStyle w:val="a3"/>
        <w:spacing w:before="0" w:beforeAutospacing="0" w:after="0" w:afterAutospacing="0"/>
        <w:divId w:val="220403985"/>
        <w:rPr>
          <w:sz w:val="20"/>
          <w:szCs w:val="20"/>
        </w:rPr>
      </w:pPr>
      <w:r>
        <w:rPr>
          <w:sz w:val="20"/>
          <w:szCs w:val="20"/>
        </w:rPr>
        <w:t> </w:t>
      </w:r>
    </w:p>
    <w:p w14:paraId="7FA01771" w14:textId="77777777" w:rsidR="00000000" w:rsidRDefault="00087966">
      <w:pPr>
        <w:pStyle w:val="a3"/>
        <w:spacing w:before="0" w:beforeAutospacing="0" w:after="0" w:afterAutospacing="0"/>
        <w:divId w:val="1595479706"/>
        <w:rPr>
          <w:sz w:val="20"/>
          <w:szCs w:val="20"/>
        </w:rPr>
      </w:pPr>
      <w:r>
        <w:rPr>
          <w:b/>
          <w:bCs/>
          <w:sz w:val="20"/>
          <w:szCs w:val="20"/>
        </w:rPr>
        <w:t> </w:t>
      </w:r>
    </w:p>
    <w:p w14:paraId="3BB0521F"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764B43B4" w14:textId="77777777" w:rsidR="00000000" w:rsidRDefault="00087966">
      <w:pPr>
        <w:pStyle w:val="a3"/>
        <w:spacing w:before="0" w:beforeAutospacing="0" w:after="0" w:afterAutospacing="0"/>
        <w:jc w:val="center"/>
        <w:divId w:val="1595479706"/>
        <w:rPr>
          <w:sz w:val="20"/>
          <w:szCs w:val="20"/>
        </w:rPr>
      </w:pPr>
      <w:r>
        <w:rPr>
          <w:b/>
          <w:bCs/>
          <w:sz w:val="20"/>
          <w:szCs w:val="20"/>
        </w:rPr>
        <w:t>CONSOLIDATED BALANCE SHEETS</w:t>
      </w:r>
    </w:p>
    <w:p w14:paraId="4071456E" w14:textId="77777777" w:rsidR="00000000" w:rsidRDefault="00087966">
      <w:pPr>
        <w:pStyle w:val="a3"/>
        <w:spacing w:before="0" w:beforeAutospacing="0" w:after="0" w:afterAutospacing="0"/>
        <w:jc w:val="center"/>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17"/>
        <w:gridCol w:w="1050"/>
        <w:gridCol w:w="67"/>
        <w:gridCol w:w="50"/>
        <w:gridCol w:w="117"/>
        <w:gridCol w:w="1050"/>
        <w:gridCol w:w="67"/>
      </w:tblGrid>
      <w:tr w:rsidR="00000000" w14:paraId="5AB87C3C" w14:textId="77777777">
        <w:trPr>
          <w:divId w:val="1595479706"/>
        </w:trPr>
        <w:tc>
          <w:tcPr>
            <w:tcW w:w="0" w:type="auto"/>
            <w:vAlign w:val="bottom"/>
            <w:hideMark/>
          </w:tcPr>
          <w:p w14:paraId="54815C4F" w14:textId="77777777" w:rsidR="00000000" w:rsidRDefault="0008796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1BF2A41" w14:textId="77777777" w:rsidR="00000000" w:rsidRDefault="0008796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DC4B424" w14:textId="77777777" w:rsidR="00000000" w:rsidRDefault="00087966">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2022</w:t>
            </w:r>
          </w:p>
        </w:tc>
        <w:tc>
          <w:tcPr>
            <w:tcW w:w="0" w:type="auto"/>
            <w:tcMar>
              <w:top w:w="0" w:type="dxa"/>
              <w:left w:w="0" w:type="dxa"/>
              <w:bottom w:w="30" w:type="dxa"/>
              <w:right w:w="0" w:type="dxa"/>
            </w:tcMar>
            <w:vAlign w:val="bottom"/>
            <w:hideMark/>
          </w:tcPr>
          <w:p w14:paraId="1E3F8939" w14:textId="77777777" w:rsidR="00000000" w:rsidRDefault="00087966">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6800669" w14:textId="77777777" w:rsidR="00000000" w:rsidRDefault="0008796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8828E2F" w14:textId="77777777" w:rsidR="00000000" w:rsidRDefault="00087966">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14:paraId="43958913" w14:textId="77777777" w:rsidR="00000000" w:rsidRDefault="00087966">
            <w:pPr>
              <w:jc w:val="center"/>
              <w:rPr>
                <w:rFonts w:eastAsia="Times New Roman"/>
                <w:b/>
                <w:bCs/>
                <w:sz w:val="20"/>
                <w:szCs w:val="20"/>
              </w:rPr>
            </w:pPr>
            <w:r>
              <w:rPr>
                <w:rFonts w:eastAsia="Times New Roman"/>
                <w:b/>
                <w:bCs/>
                <w:sz w:val="20"/>
                <w:szCs w:val="20"/>
              </w:rPr>
              <w:t> </w:t>
            </w:r>
          </w:p>
        </w:tc>
      </w:tr>
      <w:tr w:rsidR="00000000" w14:paraId="425081B1" w14:textId="77777777">
        <w:trPr>
          <w:divId w:val="1595479706"/>
        </w:trPr>
        <w:tc>
          <w:tcPr>
            <w:tcW w:w="0" w:type="auto"/>
            <w:vAlign w:val="bottom"/>
            <w:hideMark/>
          </w:tcPr>
          <w:p w14:paraId="7282FDEF" w14:textId="77777777" w:rsidR="00000000" w:rsidRDefault="00087966">
            <w:pPr>
              <w:jc w:val="center"/>
              <w:rPr>
                <w:rFonts w:eastAsia="Times New Roman"/>
                <w:sz w:val="20"/>
                <w:szCs w:val="20"/>
              </w:rPr>
            </w:pPr>
            <w:r>
              <w:rPr>
                <w:rFonts w:eastAsia="Times New Roman"/>
                <w:sz w:val="20"/>
                <w:szCs w:val="20"/>
              </w:rPr>
              <w:t> </w:t>
            </w:r>
          </w:p>
        </w:tc>
        <w:tc>
          <w:tcPr>
            <w:tcW w:w="0" w:type="auto"/>
            <w:vAlign w:val="bottom"/>
            <w:hideMark/>
          </w:tcPr>
          <w:p w14:paraId="2654A87F"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18D0CE8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D90DCD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974702E"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6300734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35300C0" w14:textId="77777777" w:rsidR="00000000" w:rsidRDefault="00087966">
            <w:pPr>
              <w:rPr>
                <w:rFonts w:eastAsia="Times New Roman"/>
                <w:sz w:val="20"/>
                <w:szCs w:val="20"/>
              </w:rPr>
            </w:pPr>
            <w:r>
              <w:rPr>
                <w:rFonts w:eastAsia="Times New Roman"/>
                <w:sz w:val="20"/>
                <w:szCs w:val="20"/>
              </w:rPr>
              <w:t> </w:t>
            </w:r>
          </w:p>
        </w:tc>
      </w:tr>
      <w:tr w:rsidR="00000000" w14:paraId="752120CB" w14:textId="77777777">
        <w:trPr>
          <w:divId w:val="1595479706"/>
        </w:trPr>
        <w:tc>
          <w:tcPr>
            <w:tcW w:w="0" w:type="auto"/>
            <w:vAlign w:val="bottom"/>
            <w:hideMark/>
          </w:tcPr>
          <w:p w14:paraId="258C4921" w14:textId="77777777" w:rsidR="00000000" w:rsidRDefault="00087966">
            <w:pPr>
              <w:rPr>
                <w:rFonts w:eastAsia="Times New Roman"/>
                <w:b/>
                <w:bCs/>
                <w:sz w:val="20"/>
                <w:szCs w:val="20"/>
              </w:rPr>
            </w:pPr>
            <w:r>
              <w:rPr>
                <w:rFonts w:eastAsia="Times New Roman"/>
                <w:b/>
                <w:bCs/>
                <w:sz w:val="20"/>
                <w:szCs w:val="20"/>
              </w:rPr>
              <w:t>ASSETS</w:t>
            </w:r>
          </w:p>
        </w:tc>
        <w:tc>
          <w:tcPr>
            <w:tcW w:w="0" w:type="auto"/>
            <w:vAlign w:val="bottom"/>
            <w:hideMark/>
          </w:tcPr>
          <w:p w14:paraId="11DE4B10"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17F250A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60CADB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F725020"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0F78D05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8DE59A0" w14:textId="77777777" w:rsidR="00000000" w:rsidRDefault="00087966">
            <w:pPr>
              <w:rPr>
                <w:rFonts w:eastAsia="Times New Roman"/>
                <w:sz w:val="20"/>
                <w:szCs w:val="20"/>
              </w:rPr>
            </w:pPr>
            <w:r>
              <w:rPr>
                <w:rFonts w:eastAsia="Times New Roman"/>
                <w:sz w:val="20"/>
                <w:szCs w:val="20"/>
              </w:rPr>
              <w:t> </w:t>
            </w:r>
          </w:p>
        </w:tc>
      </w:tr>
      <w:tr w:rsidR="00000000" w14:paraId="466E920C" w14:textId="77777777">
        <w:trPr>
          <w:divId w:val="1595479706"/>
        </w:trPr>
        <w:tc>
          <w:tcPr>
            <w:tcW w:w="0" w:type="auto"/>
            <w:vAlign w:val="bottom"/>
            <w:hideMark/>
          </w:tcPr>
          <w:p w14:paraId="12F40B80" w14:textId="77777777" w:rsidR="00000000" w:rsidRDefault="00087966">
            <w:pPr>
              <w:rPr>
                <w:rFonts w:eastAsia="Times New Roman"/>
                <w:sz w:val="20"/>
                <w:szCs w:val="20"/>
              </w:rPr>
            </w:pPr>
            <w:r>
              <w:rPr>
                <w:rFonts w:eastAsia="Times New Roman"/>
                <w:sz w:val="20"/>
                <w:szCs w:val="20"/>
              </w:rPr>
              <w:t>Current assets</w:t>
            </w:r>
          </w:p>
        </w:tc>
        <w:tc>
          <w:tcPr>
            <w:tcW w:w="0" w:type="auto"/>
            <w:vAlign w:val="bottom"/>
            <w:hideMark/>
          </w:tcPr>
          <w:p w14:paraId="3769FBCD"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77EDBA3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60CD80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5C81925"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48799ED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CCFAEB7" w14:textId="77777777" w:rsidR="00000000" w:rsidRDefault="00087966">
            <w:pPr>
              <w:rPr>
                <w:rFonts w:eastAsia="Times New Roman"/>
                <w:sz w:val="20"/>
                <w:szCs w:val="20"/>
              </w:rPr>
            </w:pPr>
            <w:r>
              <w:rPr>
                <w:rFonts w:eastAsia="Times New Roman"/>
                <w:sz w:val="20"/>
                <w:szCs w:val="20"/>
              </w:rPr>
              <w:t> </w:t>
            </w:r>
          </w:p>
        </w:tc>
      </w:tr>
      <w:tr w:rsidR="00000000" w14:paraId="0F449C89" w14:textId="77777777">
        <w:trPr>
          <w:divId w:val="1595479706"/>
        </w:trPr>
        <w:tc>
          <w:tcPr>
            <w:tcW w:w="3800" w:type="pct"/>
            <w:shd w:val="clear" w:color="auto" w:fill="CCEEFF"/>
            <w:tcMar>
              <w:top w:w="0" w:type="dxa"/>
              <w:left w:w="180" w:type="dxa"/>
              <w:bottom w:w="30" w:type="dxa"/>
              <w:right w:w="0" w:type="dxa"/>
            </w:tcMar>
            <w:vAlign w:val="bottom"/>
            <w:hideMark/>
          </w:tcPr>
          <w:p w14:paraId="1AE5C209" w14:textId="77777777" w:rsidR="00000000" w:rsidRDefault="00087966">
            <w:pPr>
              <w:ind w:hanging="180"/>
              <w:rPr>
                <w:rFonts w:eastAsia="Times New Roman"/>
                <w:sz w:val="20"/>
                <w:szCs w:val="20"/>
              </w:rPr>
            </w:pPr>
            <w:r>
              <w:rPr>
                <w:rFonts w:eastAsia="Times New Roman"/>
                <w:sz w:val="20"/>
                <w:szCs w:val="20"/>
              </w:rPr>
              <w:t>Cash</w:t>
            </w:r>
          </w:p>
        </w:tc>
        <w:tc>
          <w:tcPr>
            <w:tcW w:w="50" w:type="pct"/>
            <w:shd w:val="clear" w:color="auto" w:fill="CCEEFF"/>
            <w:tcMar>
              <w:top w:w="0" w:type="dxa"/>
              <w:left w:w="0" w:type="dxa"/>
              <w:bottom w:w="30" w:type="dxa"/>
              <w:right w:w="0" w:type="dxa"/>
            </w:tcMar>
            <w:vAlign w:val="bottom"/>
            <w:hideMark/>
          </w:tcPr>
          <w:p w14:paraId="7B51876B" w14:textId="77777777" w:rsidR="00000000" w:rsidRDefault="0008796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01C4FDE6" w14:textId="77777777" w:rsidR="00000000" w:rsidRDefault="00087966">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7D4D14ED" w14:textId="77777777" w:rsidR="00000000" w:rsidRDefault="00087966">
            <w:pPr>
              <w:jc w:val="right"/>
              <w:rPr>
                <w:rFonts w:eastAsia="Times New Roman"/>
                <w:sz w:val="20"/>
                <w:szCs w:val="20"/>
              </w:rPr>
            </w:pPr>
            <w:r>
              <w:rPr>
                <w:rFonts w:eastAsia="Times New Roman"/>
                <w:sz w:val="20"/>
                <w:szCs w:val="20"/>
              </w:rPr>
              <w:t>101,161</w:t>
            </w:r>
          </w:p>
        </w:tc>
        <w:tc>
          <w:tcPr>
            <w:tcW w:w="50" w:type="pct"/>
            <w:shd w:val="clear" w:color="auto" w:fill="CCEEFF"/>
            <w:tcMar>
              <w:top w:w="0" w:type="dxa"/>
              <w:left w:w="0" w:type="dxa"/>
              <w:bottom w:w="30" w:type="dxa"/>
              <w:right w:w="0" w:type="dxa"/>
            </w:tcMar>
            <w:vAlign w:val="bottom"/>
            <w:hideMark/>
          </w:tcPr>
          <w:p w14:paraId="1128C708"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64683CEB" w14:textId="77777777" w:rsidR="00000000" w:rsidRDefault="0008796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0DF5FA5C" w14:textId="77777777" w:rsidR="00000000" w:rsidRDefault="00087966">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30925FFC" w14:textId="77777777" w:rsidR="00000000" w:rsidRDefault="00087966">
            <w:pPr>
              <w:jc w:val="right"/>
              <w:rPr>
                <w:rFonts w:eastAsia="Times New Roman"/>
                <w:sz w:val="20"/>
                <w:szCs w:val="20"/>
              </w:rPr>
            </w:pPr>
            <w:r>
              <w:rPr>
                <w:rFonts w:eastAsia="Times New Roman"/>
                <w:sz w:val="20"/>
                <w:szCs w:val="20"/>
              </w:rPr>
              <w:t>400,073</w:t>
            </w:r>
          </w:p>
        </w:tc>
        <w:tc>
          <w:tcPr>
            <w:tcW w:w="50" w:type="pct"/>
            <w:shd w:val="clear" w:color="auto" w:fill="CCEEFF"/>
            <w:tcMar>
              <w:top w:w="0" w:type="dxa"/>
              <w:left w:w="0" w:type="dxa"/>
              <w:bottom w:w="30" w:type="dxa"/>
              <w:right w:w="0" w:type="dxa"/>
            </w:tcMar>
            <w:vAlign w:val="bottom"/>
            <w:hideMark/>
          </w:tcPr>
          <w:p w14:paraId="7A7901BD" w14:textId="77777777" w:rsidR="00000000" w:rsidRDefault="00087966">
            <w:pPr>
              <w:rPr>
                <w:rFonts w:eastAsia="Times New Roman"/>
                <w:sz w:val="20"/>
                <w:szCs w:val="20"/>
              </w:rPr>
            </w:pPr>
            <w:r>
              <w:rPr>
                <w:rFonts w:eastAsia="Times New Roman"/>
                <w:sz w:val="20"/>
                <w:szCs w:val="20"/>
              </w:rPr>
              <w:t> </w:t>
            </w:r>
          </w:p>
        </w:tc>
      </w:tr>
      <w:tr w:rsidR="00000000" w14:paraId="5629EC65" w14:textId="77777777">
        <w:trPr>
          <w:divId w:val="1595479706"/>
        </w:trPr>
        <w:tc>
          <w:tcPr>
            <w:tcW w:w="0" w:type="auto"/>
            <w:tcMar>
              <w:top w:w="0" w:type="dxa"/>
              <w:left w:w="180" w:type="dxa"/>
              <w:bottom w:w="0" w:type="dxa"/>
              <w:right w:w="0" w:type="dxa"/>
            </w:tcMar>
            <w:vAlign w:val="bottom"/>
            <w:hideMark/>
          </w:tcPr>
          <w:p w14:paraId="5635E466" w14:textId="77777777" w:rsidR="00000000" w:rsidRDefault="00087966">
            <w:pPr>
              <w:ind w:hanging="180"/>
              <w:rPr>
                <w:rFonts w:eastAsia="Times New Roman"/>
                <w:sz w:val="20"/>
                <w:szCs w:val="20"/>
              </w:rPr>
            </w:pPr>
            <w:r>
              <w:rPr>
                <w:rFonts w:eastAsia="Times New Roman"/>
                <w:sz w:val="20"/>
                <w:szCs w:val="20"/>
              </w:rPr>
              <w:t>Total current assets</w:t>
            </w:r>
          </w:p>
        </w:tc>
        <w:tc>
          <w:tcPr>
            <w:tcW w:w="0" w:type="auto"/>
            <w:vAlign w:val="bottom"/>
            <w:hideMark/>
          </w:tcPr>
          <w:p w14:paraId="6C87F27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66DE87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17D1034" w14:textId="77777777" w:rsidR="00000000" w:rsidRDefault="00087966">
            <w:pPr>
              <w:jc w:val="right"/>
              <w:rPr>
                <w:rFonts w:eastAsia="Times New Roman"/>
                <w:sz w:val="20"/>
                <w:szCs w:val="20"/>
              </w:rPr>
            </w:pPr>
            <w:r>
              <w:rPr>
                <w:rFonts w:eastAsia="Times New Roman"/>
                <w:sz w:val="20"/>
                <w:szCs w:val="20"/>
              </w:rPr>
              <w:t>101,161</w:t>
            </w:r>
          </w:p>
        </w:tc>
        <w:tc>
          <w:tcPr>
            <w:tcW w:w="0" w:type="auto"/>
            <w:vAlign w:val="bottom"/>
            <w:hideMark/>
          </w:tcPr>
          <w:p w14:paraId="25E359F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DFFC9C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8EC97B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785C2DE" w14:textId="77777777" w:rsidR="00000000" w:rsidRDefault="00087966">
            <w:pPr>
              <w:jc w:val="right"/>
              <w:rPr>
                <w:rFonts w:eastAsia="Times New Roman"/>
                <w:sz w:val="20"/>
                <w:szCs w:val="20"/>
              </w:rPr>
            </w:pPr>
            <w:r>
              <w:rPr>
                <w:rFonts w:eastAsia="Times New Roman"/>
                <w:sz w:val="20"/>
                <w:szCs w:val="20"/>
              </w:rPr>
              <w:t>400,073</w:t>
            </w:r>
          </w:p>
        </w:tc>
        <w:tc>
          <w:tcPr>
            <w:tcW w:w="0" w:type="auto"/>
            <w:vAlign w:val="bottom"/>
            <w:hideMark/>
          </w:tcPr>
          <w:p w14:paraId="519181B5" w14:textId="77777777" w:rsidR="00000000" w:rsidRDefault="00087966">
            <w:pPr>
              <w:rPr>
                <w:rFonts w:eastAsia="Times New Roman"/>
                <w:sz w:val="20"/>
                <w:szCs w:val="20"/>
              </w:rPr>
            </w:pPr>
            <w:r>
              <w:rPr>
                <w:rFonts w:eastAsia="Times New Roman"/>
                <w:sz w:val="20"/>
                <w:szCs w:val="20"/>
              </w:rPr>
              <w:t> </w:t>
            </w:r>
          </w:p>
        </w:tc>
      </w:tr>
      <w:tr w:rsidR="00000000" w14:paraId="1CE949C8" w14:textId="77777777">
        <w:trPr>
          <w:divId w:val="1595479706"/>
        </w:trPr>
        <w:tc>
          <w:tcPr>
            <w:tcW w:w="0" w:type="auto"/>
            <w:shd w:val="clear" w:color="auto" w:fill="CCEEFF"/>
            <w:tcMar>
              <w:top w:w="0" w:type="dxa"/>
              <w:left w:w="180" w:type="dxa"/>
              <w:bottom w:w="0" w:type="dxa"/>
              <w:right w:w="0" w:type="dxa"/>
            </w:tcMar>
            <w:vAlign w:val="bottom"/>
            <w:hideMark/>
          </w:tcPr>
          <w:p w14:paraId="215ED142" w14:textId="77777777" w:rsidR="00000000" w:rsidRDefault="00087966">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14:paraId="4D8EA06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AC579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A8792C"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B3D4DA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D8A9C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F6144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74D198"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A9979FA" w14:textId="77777777" w:rsidR="00000000" w:rsidRDefault="00087966">
            <w:pPr>
              <w:rPr>
                <w:rFonts w:eastAsia="Times New Roman"/>
                <w:sz w:val="20"/>
                <w:szCs w:val="20"/>
              </w:rPr>
            </w:pPr>
            <w:r>
              <w:rPr>
                <w:rFonts w:eastAsia="Times New Roman"/>
                <w:sz w:val="20"/>
                <w:szCs w:val="20"/>
              </w:rPr>
              <w:t> </w:t>
            </w:r>
          </w:p>
        </w:tc>
      </w:tr>
      <w:tr w:rsidR="00000000" w14:paraId="3CD0677E" w14:textId="77777777">
        <w:trPr>
          <w:divId w:val="1595479706"/>
        </w:trPr>
        <w:tc>
          <w:tcPr>
            <w:tcW w:w="0" w:type="auto"/>
            <w:tcMar>
              <w:top w:w="0" w:type="dxa"/>
              <w:left w:w="180" w:type="dxa"/>
              <w:bottom w:w="30" w:type="dxa"/>
              <w:right w:w="0" w:type="dxa"/>
            </w:tcMar>
            <w:vAlign w:val="bottom"/>
            <w:hideMark/>
          </w:tcPr>
          <w:p w14:paraId="3CC04EF4" w14:textId="77777777" w:rsidR="00000000" w:rsidRDefault="00087966">
            <w:pPr>
              <w:ind w:hanging="180"/>
              <w:rPr>
                <w:rFonts w:eastAsia="Times New Roman"/>
                <w:sz w:val="20"/>
                <w:szCs w:val="20"/>
              </w:rPr>
            </w:pPr>
            <w:r>
              <w:rPr>
                <w:rFonts w:eastAsia="Times New Roman"/>
                <w:sz w:val="20"/>
                <w:szCs w:val="20"/>
              </w:rPr>
              <w:t>Cash and marketable securities held in Trust Account</w:t>
            </w:r>
          </w:p>
        </w:tc>
        <w:tc>
          <w:tcPr>
            <w:tcW w:w="0" w:type="auto"/>
            <w:tcMar>
              <w:top w:w="0" w:type="dxa"/>
              <w:left w:w="0" w:type="dxa"/>
              <w:bottom w:w="30" w:type="dxa"/>
              <w:right w:w="0" w:type="dxa"/>
            </w:tcMar>
            <w:vAlign w:val="bottom"/>
            <w:hideMark/>
          </w:tcPr>
          <w:p w14:paraId="38A1C38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0D7DB0E"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3FB71F7" w14:textId="77777777" w:rsidR="00000000" w:rsidRDefault="00087966">
            <w:pPr>
              <w:jc w:val="right"/>
              <w:rPr>
                <w:rFonts w:eastAsia="Times New Roman"/>
                <w:sz w:val="20"/>
                <w:szCs w:val="20"/>
              </w:rPr>
            </w:pPr>
            <w:r>
              <w:rPr>
                <w:rFonts w:eastAsia="Times New Roman"/>
                <w:sz w:val="20"/>
                <w:szCs w:val="20"/>
              </w:rPr>
              <w:t>107,332,749</w:t>
            </w:r>
          </w:p>
        </w:tc>
        <w:tc>
          <w:tcPr>
            <w:tcW w:w="0" w:type="auto"/>
            <w:tcMar>
              <w:top w:w="0" w:type="dxa"/>
              <w:left w:w="0" w:type="dxa"/>
              <w:bottom w:w="30" w:type="dxa"/>
              <w:right w:w="0" w:type="dxa"/>
            </w:tcMar>
            <w:vAlign w:val="bottom"/>
            <w:hideMark/>
          </w:tcPr>
          <w:p w14:paraId="404FEE51"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5766E3E"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B70320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A3C8A97" w14:textId="77777777" w:rsidR="00000000" w:rsidRDefault="00087966">
            <w:pPr>
              <w:jc w:val="right"/>
              <w:rPr>
                <w:rFonts w:eastAsia="Times New Roman"/>
                <w:sz w:val="20"/>
                <w:szCs w:val="20"/>
              </w:rPr>
            </w:pPr>
            <w:r>
              <w:rPr>
                <w:rFonts w:eastAsia="Times New Roman"/>
                <w:sz w:val="20"/>
                <w:szCs w:val="20"/>
              </w:rPr>
              <w:t>172,580,609</w:t>
            </w:r>
          </w:p>
        </w:tc>
        <w:tc>
          <w:tcPr>
            <w:tcW w:w="0" w:type="auto"/>
            <w:tcMar>
              <w:top w:w="0" w:type="dxa"/>
              <w:left w:w="0" w:type="dxa"/>
              <w:bottom w:w="30" w:type="dxa"/>
              <w:right w:w="0" w:type="dxa"/>
            </w:tcMar>
            <w:vAlign w:val="bottom"/>
            <w:hideMark/>
          </w:tcPr>
          <w:p w14:paraId="5F9D9E57" w14:textId="77777777" w:rsidR="00000000" w:rsidRDefault="00087966">
            <w:pPr>
              <w:rPr>
                <w:rFonts w:eastAsia="Times New Roman"/>
                <w:sz w:val="20"/>
                <w:szCs w:val="20"/>
              </w:rPr>
            </w:pPr>
            <w:r>
              <w:rPr>
                <w:rFonts w:eastAsia="Times New Roman"/>
                <w:sz w:val="20"/>
                <w:szCs w:val="20"/>
              </w:rPr>
              <w:t> </w:t>
            </w:r>
          </w:p>
        </w:tc>
      </w:tr>
      <w:tr w:rsidR="00000000" w14:paraId="04E70C23" w14:textId="77777777">
        <w:trPr>
          <w:divId w:val="1595479706"/>
        </w:trPr>
        <w:tc>
          <w:tcPr>
            <w:tcW w:w="0" w:type="auto"/>
            <w:shd w:val="clear" w:color="auto" w:fill="CCEEFF"/>
            <w:tcMar>
              <w:top w:w="0" w:type="dxa"/>
              <w:left w:w="180" w:type="dxa"/>
              <w:bottom w:w="80" w:type="dxa"/>
              <w:right w:w="0" w:type="dxa"/>
            </w:tcMar>
            <w:vAlign w:val="bottom"/>
            <w:hideMark/>
          </w:tcPr>
          <w:p w14:paraId="221F183A" w14:textId="77777777" w:rsidR="00000000" w:rsidRDefault="00087966">
            <w:pPr>
              <w:ind w:hanging="180"/>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80" w:type="dxa"/>
              <w:right w:w="0" w:type="dxa"/>
            </w:tcMar>
            <w:vAlign w:val="bottom"/>
            <w:hideMark/>
          </w:tcPr>
          <w:p w14:paraId="1DF13F8A"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B1F5C23"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0D1E7DBD" w14:textId="77777777" w:rsidR="00000000" w:rsidRDefault="00087966">
            <w:pPr>
              <w:jc w:val="right"/>
              <w:rPr>
                <w:rFonts w:eastAsia="Times New Roman"/>
                <w:b/>
                <w:bCs/>
                <w:sz w:val="20"/>
                <w:szCs w:val="20"/>
              </w:rPr>
            </w:pPr>
            <w:r>
              <w:rPr>
                <w:rFonts w:eastAsia="Times New Roman"/>
                <w:b/>
                <w:bCs/>
                <w:sz w:val="20"/>
                <w:szCs w:val="20"/>
              </w:rPr>
              <w:t>107,433,910</w:t>
            </w:r>
          </w:p>
        </w:tc>
        <w:tc>
          <w:tcPr>
            <w:tcW w:w="0" w:type="auto"/>
            <w:shd w:val="clear" w:color="auto" w:fill="CCEEFF"/>
            <w:tcMar>
              <w:top w:w="0" w:type="dxa"/>
              <w:left w:w="0" w:type="dxa"/>
              <w:bottom w:w="80" w:type="dxa"/>
              <w:right w:w="0" w:type="dxa"/>
            </w:tcMar>
            <w:vAlign w:val="bottom"/>
            <w:hideMark/>
          </w:tcPr>
          <w:p w14:paraId="65CA7906"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2391D251"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C3E3FEC"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6B271A0C" w14:textId="77777777" w:rsidR="00000000" w:rsidRDefault="00087966">
            <w:pPr>
              <w:jc w:val="right"/>
              <w:rPr>
                <w:rFonts w:eastAsia="Times New Roman"/>
                <w:b/>
                <w:bCs/>
                <w:sz w:val="20"/>
                <w:szCs w:val="20"/>
              </w:rPr>
            </w:pPr>
            <w:r>
              <w:rPr>
                <w:rFonts w:eastAsia="Times New Roman"/>
                <w:b/>
                <w:bCs/>
                <w:sz w:val="20"/>
                <w:szCs w:val="20"/>
              </w:rPr>
              <w:t>172,980,682</w:t>
            </w:r>
          </w:p>
        </w:tc>
        <w:tc>
          <w:tcPr>
            <w:tcW w:w="0" w:type="auto"/>
            <w:shd w:val="clear" w:color="auto" w:fill="CCEEFF"/>
            <w:tcMar>
              <w:top w:w="0" w:type="dxa"/>
              <w:left w:w="0" w:type="dxa"/>
              <w:bottom w:w="80" w:type="dxa"/>
              <w:right w:w="0" w:type="dxa"/>
            </w:tcMar>
            <w:vAlign w:val="bottom"/>
            <w:hideMark/>
          </w:tcPr>
          <w:p w14:paraId="561F2BFA" w14:textId="77777777" w:rsidR="00000000" w:rsidRDefault="00087966">
            <w:pPr>
              <w:rPr>
                <w:rFonts w:eastAsia="Times New Roman"/>
                <w:b/>
                <w:bCs/>
                <w:sz w:val="20"/>
                <w:szCs w:val="20"/>
              </w:rPr>
            </w:pPr>
            <w:r>
              <w:rPr>
                <w:rFonts w:eastAsia="Times New Roman"/>
                <w:b/>
                <w:bCs/>
                <w:sz w:val="20"/>
                <w:szCs w:val="20"/>
              </w:rPr>
              <w:t> </w:t>
            </w:r>
          </w:p>
        </w:tc>
      </w:tr>
      <w:tr w:rsidR="00000000" w14:paraId="6069207C" w14:textId="77777777">
        <w:trPr>
          <w:divId w:val="1595479706"/>
        </w:trPr>
        <w:tc>
          <w:tcPr>
            <w:tcW w:w="0" w:type="auto"/>
            <w:tcMar>
              <w:top w:w="0" w:type="dxa"/>
              <w:left w:w="180" w:type="dxa"/>
              <w:bottom w:w="0" w:type="dxa"/>
              <w:right w:w="0" w:type="dxa"/>
            </w:tcMar>
            <w:vAlign w:val="bottom"/>
            <w:hideMark/>
          </w:tcPr>
          <w:p w14:paraId="2EC946ED" w14:textId="77777777" w:rsidR="00000000" w:rsidRDefault="00087966">
            <w:pPr>
              <w:ind w:hanging="180"/>
              <w:rPr>
                <w:rFonts w:eastAsia="Times New Roman"/>
                <w:sz w:val="20"/>
                <w:szCs w:val="20"/>
              </w:rPr>
            </w:pPr>
            <w:r>
              <w:rPr>
                <w:rFonts w:eastAsia="Times New Roman"/>
                <w:sz w:val="20"/>
                <w:szCs w:val="20"/>
              </w:rPr>
              <w:t> </w:t>
            </w:r>
          </w:p>
        </w:tc>
        <w:tc>
          <w:tcPr>
            <w:tcW w:w="0" w:type="auto"/>
            <w:vAlign w:val="bottom"/>
            <w:hideMark/>
          </w:tcPr>
          <w:p w14:paraId="7AB2AC0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37DFEF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3AAA6E5"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4D140E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AB3FA7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59BAC0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02430E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77436DB" w14:textId="77777777" w:rsidR="00000000" w:rsidRDefault="00087966">
            <w:pPr>
              <w:rPr>
                <w:rFonts w:eastAsia="Times New Roman"/>
                <w:sz w:val="20"/>
                <w:szCs w:val="20"/>
              </w:rPr>
            </w:pPr>
            <w:r>
              <w:rPr>
                <w:rFonts w:eastAsia="Times New Roman"/>
                <w:sz w:val="20"/>
                <w:szCs w:val="20"/>
              </w:rPr>
              <w:t> </w:t>
            </w:r>
          </w:p>
        </w:tc>
      </w:tr>
      <w:tr w:rsidR="00000000" w14:paraId="3B8A6252" w14:textId="77777777">
        <w:trPr>
          <w:divId w:val="1595479706"/>
        </w:trPr>
        <w:tc>
          <w:tcPr>
            <w:tcW w:w="0" w:type="auto"/>
            <w:shd w:val="clear" w:color="auto" w:fill="CCEEFF"/>
            <w:tcMar>
              <w:top w:w="0" w:type="dxa"/>
              <w:left w:w="180" w:type="dxa"/>
              <w:bottom w:w="0" w:type="dxa"/>
              <w:right w:w="0" w:type="dxa"/>
            </w:tcMar>
            <w:vAlign w:val="bottom"/>
            <w:hideMark/>
          </w:tcPr>
          <w:p w14:paraId="3C102657" w14:textId="77777777" w:rsidR="00000000" w:rsidRDefault="00087966">
            <w:pPr>
              <w:ind w:hanging="180"/>
              <w:rPr>
                <w:rFonts w:eastAsia="Times New Roman"/>
                <w:b/>
                <w:bCs/>
                <w:sz w:val="20"/>
                <w:szCs w:val="20"/>
              </w:rPr>
            </w:pPr>
            <w:r>
              <w:rPr>
                <w:rFonts w:eastAsia="Times New Roman"/>
                <w:b/>
                <w:bCs/>
                <w:sz w:val="20"/>
                <w:szCs w:val="20"/>
              </w:rPr>
              <w:t>LIABILITIES, TEMPORARY EQUITY, AND STOCKHOLDERS’ DEFICIT</w:t>
            </w:r>
          </w:p>
        </w:tc>
        <w:tc>
          <w:tcPr>
            <w:tcW w:w="0" w:type="auto"/>
            <w:shd w:val="clear" w:color="auto" w:fill="CCEEFF"/>
            <w:vAlign w:val="bottom"/>
            <w:hideMark/>
          </w:tcPr>
          <w:p w14:paraId="529BA3A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E24BE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85ED7F"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FF51D8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7A3EE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CADCC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83DFF5"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4339FE8" w14:textId="77777777" w:rsidR="00000000" w:rsidRDefault="00087966">
            <w:pPr>
              <w:rPr>
                <w:rFonts w:eastAsia="Times New Roman"/>
                <w:sz w:val="20"/>
                <w:szCs w:val="20"/>
              </w:rPr>
            </w:pPr>
            <w:r>
              <w:rPr>
                <w:rFonts w:eastAsia="Times New Roman"/>
                <w:sz w:val="20"/>
                <w:szCs w:val="20"/>
              </w:rPr>
              <w:t> </w:t>
            </w:r>
          </w:p>
        </w:tc>
      </w:tr>
      <w:tr w:rsidR="00000000" w14:paraId="7674CC62" w14:textId="77777777">
        <w:trPr>
          <w:divId w:val="1595479706"/>
        </w:trPr>
        <w:tc>
          <w:tcPr>
            <w:tcW w:w="0" w:type="auto"/>
            <w:tcMar>
              <w:top w:w="0" w:type="dxa"/>
              <w:left w:w="180" w:type="dxa"/>
              <w:bottom w:w="0" w:type="dxa"/>
              <w:right w:w="0" w:type="dxa"/>
            </w:tcMar>
            <w:vAlign w:val="bottom"/>
            <w:hideMark/>
          </w:tcPr>
          <w:p w14:paraId="46EAB1DD" w14:textId="77777777" w:rsidR="00000000" w:rsidRDefault="00087966">
            <w:pPr>
              <w:ind w:hanging="180"/>
              <w:rPr>
                <w:rFonts w:eastAsia="Times New Roman"/>
                <w:sz w:val="20"/>
                <w:szCs w:val="20"/>
              </w:rPr>
            </w:pPr>
            <w:r>
              <w:rPr>
                <w:rFonts w:eastAsia="Times New Roman"/>
                <w:sz w:val="20"/>
                <w:szCs w:val="20"/>
              </w:rPr>
              <w:t>Current liabilities</w:t>
            </w:r>
          </w:p>
        </w:tc>
        <w:tc>
          <w:tcPr>
            <w:tcW w:w="0" w:type="auto"/>
            <w:vAlign w:val="bottom"/>
            <w:hideMark/>
          </w:tcPr>
          <w:p w14:paraId="34B64F7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1135C7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ECE87E8"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440D13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5A6B6E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7C3447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9263178"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94490D4" w14:textId="77777777" w:rsidR="00000000" w:rsidRDefault="00087966">
            <w:pPr>
              <w:rPr>
                <w:rFonts w:eastAsia="Times New Roman"/>
                <w:sz w:val="20"/>
                <w:szCs w:val="20"/>
              </w:rPr>
            </w:pPr>
            <w:r>
              <w:rPr>
                <w:rFonts w:eastAsia="Times New Roman"/>
                <w:sz w:val="20"/>
                <w:szCs w:val="20"/>
              </w:rPr>
              <w:t> </w:t>
            </w:r>
          </w:p>
        </w:tc>
      </w:tr>
      <w:tr w:rsidR="00000000" w14:paraId="2E82E9A2" w14:textId="77777777">
        <w:trPr>
          <w:divId w:val="1595479706"/>
        </w:trPr>
        <w:tc>
          <w:tcPr>
            <w:tcW w:w="0" w:type="auto"/>
            <w:shd w:val="clear" w:color="auto" w:fill="CCEEFF"/>
            <w:tcMar>
              <w:top w:w="0" w:type="dxa"/>
              <w:left w:w="180" w:type="dxa"/>
              <w:bottom w:w="0" w:type="dxa"/>
              <w:right w:w="0" w:type="dxa"/>
            </w:tcMar>
            <w:vAlign w:val="bottom"/>
            <w:hideMark/>
          </w:tcPr>
          <w:p w14:paraId="79D1D4B8" w14:textId="77777777" w:rsidR="00000000" w:rsidRDefault="00087966">
            <w:pPr>
              <w:ind w:hanging="180"/>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14:paraId="01DA804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77A06C"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26522269" w14:textId="77777777" w:rsidR="00000000" w:rsidRDefault="00087966">
            <w:pPr>
              <w:jc w:val="right"/>
              <w:rPr>
                <w:rFonts w:eastAsia="Times New Roman"/>
                <w:sz w:val="20"/>
                <w:szCs w:val="20"/>
              </w:rPr>
            </w:pPr>
            <w:r>
              <w:rPr>
                <w:rFonts w:eastAsia="Times New Roman"/>
                <w:sz w:val="20"/>
                <w:szCs w:val="20"/>
              </w:rPr>
              <w:t>2,611,826</w:t>
            </w:r>
          </w:p>
        </w:tc>
        <w:tc>
          <w:tcPr>
            <w:tcW w:w="0" w:type="auto"/>
            <w:shd w:val="clear" w:color="auto" w:fill="CCEEFF"/>
            <w:vAlign w:val="bottom"/>
            <w:hideMark/>
          </w:tcPr>
          <w:p w14:paraId="37FED21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CE7BD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70FB5C"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1267CA9F" w14:textId="77777777" w:rsidR="00000000" w:rsidRDefault="00087966">
            <w:pPr>
              <w:jc w:val="right"/>
              <w:rPr>
                <w:rFonts w:eastAsia="Times New Roman"/>
                <w:sz w:val="20"/>
                <w:szCs w:val="20"/>
              </w:rPr>
            </w:pPr>
            <w:r>
              <w:rPr>
                <w:rFonts w:eastAsia="Times New Roman"/>
                <w:sz w:val="20"/>
                <w:szCs w:val="20"/>
              </w:rPr>
              <w:t>637,375</w:t>
            </w:r>
          </w:p>
        </w:tc>
        <w:tc>
          <w:tcPr>
            <w:tcW w:w="0" w:type="auto"/>
            <w:shd w:val="clear" w:color="auto" w:fill="CCEEFF"/>
            <w:vAlign w:val="bottom"/>
            <w:hideMark/>
          </w:tcPr>
          <w:p w14:paraId="32D4F334" w14:textId="77777777" w:rsidR="00000000" w:rsidRDefault="00087966">
            <w:pPr>
              <w:rPr>
                <w:rFonts w:eastAsia="Times New Roman"/>
                <w:sz w:val="20"/>
                <w:szCs w:val="20"/>
              </w:rPr>
            </w:pPr>
            <w:r>
              <w:rPr>
                <w:rFonts w:eastAsia="Times New Roman"/>
                <w:sz w:val="20"/>
                <w:szCs w:val="20"/>
              </w:rPr>
              <w:t> </w:t>
            </w:r>
          </w:p>
        </w:tc>
      </w:tr>
      <w:tr w:rsidR="00000000" w14:paraId="56A72C71" w14:textId="77777777">
        <w:trPr>
          <w:divId w:val="1595479706"/>
        </w:trPr>
        <w:tc>
          <w:tcPr>
            <w:tcW w:w="0" w:type="auto"/>
            <w:tcMar>
              <w:top w:w="0" w:type="dxa"/>
              <w:left w:w="180" w:type="dxa"/>
              <w:bottom w:w="0" w:type="dxa"/>
              <w:right w:w="0" w:type="dxa"/>
            </w:tcMar>
            <w:vAlign w:val="bottom"/>
            <w:hideMark/>
          </w:tcPr>
          <w:p w14:paraId="6F49BA39" w14:textId="77777777" w:rsidR="00000000" w:rsidRDefault="00087966">
            <w:pPr>
              <w:ind w:hanging="180"/>
              <w:rPr>
                <w:rFonts w:eastAsia="Times New Roman"/>
                <w:sz w:val="20"/>
                <w:szCs w:val="20"/>
              </w:rPr>
            </w:pPr>
            <w:r>
              <w:rPr>
                <w:rFonts w:eastAsia="Times New Roman"/>
                <w:sz w:val="20"/>
                <w:szCs w:val="20"/>
              </w:rPr>
              <w:t>Income taxes payable</w:t>
            </w:r>
          </w:p>
        </w:tc>
        <w:tc>
          <w:tcPr>
            <w:tcW w:w="0" w:type="auto"/>
            <w:vAlign w:val="bottom"/>
            <w:hideMark/>
          </w:tcPr>
          <w:p w14:paraId="7A7A1CC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9AE28A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95A50FA" w14:textId="77777777" w:rsidR="00000000" w:rsidRDefault="00087966">
            <w:pPr>
              <w:jc w:val="right"/>
              <w:rPr>
                <w:rFonts w:eastAsia="Times New Roman"/>
                <w:sz w:val="20"/>
                <w:szCs w:val="20"/>
              </w:rPr>
            </w:pPr>
            <w:r>
              <w:rPr>
                <w:rFonts w:eastAsia="Times New Roman"/>
                <w:sz w:val="20"/>
                <w:szCs w:val="20"/>
              </w:rPr>
              <w:t>124,974</w:t>
            </w:r>
          </w:p>
        </w:tc>
        <w:tc>
          <w:tcPr>
            <w:tcW w:w="0" w:type="auto"/>
            <w:vAlign w:val="bottom"/>
            <w:hideMark/>
          </w:tcPr>
          <w:p w14:paraId="48E17D8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D98B34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622767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327C4F7" w14:textId="77777777" w:rsidR="00000000" w:rsidRDefault="00087966">
            <w:pPr>
              <w:jc w:val="right"/>
              <w:divId w:val="583221307"/>
              <w:rPr>
                <w:rFonts w:eastAsia="Times New Roman"/>
                <w:sz w:val="20"/>
                <w:szCs w:val="20"/>
              </w:rPr>
            </w:pPr>
            <w:r>
              <w:rPr>
                <w:rFonts w:eastAsia="Times New Roman"/>
                <w:sz w:val="20"/>
                <w:szCs w:val="20"/>
              </w:rPr>
              <w:t>—</w:t>
            </w:r>
          </w:p>
        </w:tc>
        <w:tc>
          <w:tcPr>
            <w:tcW w:w="0" w:type="auto"/>
            <w:vAlign w:val="bottom"/>
            <w:hideMark/>
          </w:tcPr>
          <w:p w14:paraId="07BC1CBD" w14:textId="77777777" w:rsidR="00000000" w:rsidRDefault="00087966">
            <w:pPr>
              <w:rPr>
                <w:rFonts w:eastAsia="Times New Roman"/>
                <w:sz w:val="20"/>
                <w:szCs w:val="20"/>
              </w:rPr>
            </w:pPr>
            <w:r>
              <w:rPr>
                <w:rFonts w:eastAsia="Times New Roman"/>
                <w:sz w:val="20"/>
                <w:szCs w:val="20"/>
              </w:rPr>
              <w:t> </w:t>
            </w:r>
          </w:p>
        </w:tc>
      </w:tr>
      <w:tr w:rsidR="00000000" w14:paraId="425A87AC" w14:textId="77777777">
        <w:trPr>
          <w:divId w:val="1595479706"/>
        </w:trPr>
        <w:tc>
          <w:tcPr>
            <w:tcW w:w="0" w:type="auto"/>
            <w:shd w:val="clear" w:color="auto" w:fill="CCEEFF"/>
            <w:tcMar>
              <w:top w:w="0" w:type="dxa"/>
              <w:left w:w="180" w:type="dxa"/>
              <w:bottom w:w="0" w:type="dxa"/>
              <w:right w:w="0" w:type="dxa"/>
            </w:tcMar>
            <w:vAlign w:val="bottom"/>
            <w:hideMark/>
          </w:tcPr>
          <w:p w14:paraId="6660C437" w14:textId="77777777" w:rsidR="00000000" w:rsidRDefault="00087966">
            <w:pPr>
              <w:ind w:hanging="180"/>
              <w:rPr>
                <w:rFonts w:eastAsia="Times New Roman"/>
                <w:sz w:val="20"/>
                <w:szCs w:val="20"/>
              </w:rPr>
            </w:pPr>
            <w:r>
              <w:rPr>
                <w:rFonts w:eastAsia="Times New Roman"/>
                <w:sz w:val="20"/>
                <w:szCs w:val="20"/>
              </w:rPr>
              <w:t>Near Extension Note</w:t>
            </w:r>
          </w:p>
        </w:tc>
        <w:tc>
          <w:tcPr>
            <w:tcW w:w="0" w:type="auto"/>
            <w:shd w:val="clear" w:color="auto" w:fill="CCEEFF"/>
            <w:vAlign w:val="bottom"/>
            <w:hideMark/>
          </w:tcPr>
          <w:p w14:paraId="295451A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CDBEE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20623A" w14:textId="77777777" w:rsidR="00000000" w:rsidRDefault="00087966">
            <w:pPr>
              <w:jc w:val="right"/>
              <w:rPr>
                <w:rFonts w:eastAsia="Times New Roman"/>
                <w:sz w:val="20"/>
                <w:szCs w:val="20"/>
              </w:rPr>
            </w:pPr>
            <w:r>
              <w:rPr>
                <w:rFonts w:eastAsia="Times New Roman"/>
                <w:sz w:val="20"/>
                <w:szCs w:val="20"/>
              </w:rPr>
              <w:t>686,690</w:t>
            </w:r>
          </w:p>
        </w:tc>
        <w:tc>
          <w:tcPr>
            <w:tcW w:w="0" w:type="auto"/>
            <w:shd w:val="clear" w:color="auto" w:fill="CCEEFF"/>
            <w:vAlign w:val="bottom"/>
            <w:hideMark/>
          </w:tcPr>
          <w:p w14:paraId="5765368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E951E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F8C11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159BCC" w14:textId="77777777" w:rsidR="00000000" w:rsidRDefault="00087966">
            <w:pPr>
              <w:jc w:val="right"/>
              <w:divId w:val="799493958"/>
              <w:rPr>
                <w:rFonts w:eastAsia="Times New Roman"/>
                <w:sz w:val="20"/>
                <w:szCs w:val="20"/>
              </w:rPr>
            </w:pPr>
            <w:r>
              <w:rPr>
                <w:rFonts w:eastAsia="Times New Roman"/>
                <w:sz w:val="20"/>
                <w:szCs w:val="20"/>
              </w:rPr>
              <w:t>—</w:t>
            </w:r>
          </w:p>
        </w:tc>
        <w:tc>
          <w:tcPr>
            <w:tcW w:w="0" w:type="auto"/>
            <w:shd w:val="clear" w:color="auto" w:fill="CCEEFF"/>
            <w:vAlign w:val="bottom"/>
            <w:hideMark/>
          </w:tcPr>
          <w:p w14:paraId="2B06E3B6" w14:textId="77777777" w:rsidR="00000000" w:rsidRDefault="00087966">
            <w:pPr>
              <w:rPr>
                <w:rFonts w:eastAsia="Times New Roman"/>
                <w:sz w:val="20"/>
                <w:szCs w:val="20"/>
              </w:rPr>
            </w:pPr>
            <w:r>
              <w:rPr>
                <w:rFonts w:eastAsia="Times New Roman"/>
                <w:sz w:val="20"/>
                <w:szCs w:val="20"/>
              </w:rPr>
              <w:t> </w:t>
            </w:r>
          </w:p>
        </w:tc>
      </w:tr>
      <w:tr w:rsidR="00000000" w14:paraId="1BEF2747" w14:textId="77777777">
        <w:trPr>
          <w:divId w:val="1595479706"/>
        </w:trPr>
        <w:tc>
          <w:tcPr>
            <w:tcW w:w="0" w:type="auto"/>
            <w:tcMar>
              <w:top w:w="0" w:type="dxa"/>
              <w:left w:w="180" w:type="dxa"/>
              <w:bottom w:w="30" w:type="dxa"/>
              <w:right w:w="0" w:type="dxa"/>
            </w:tcMar>
            <w:vAlign w:val="bottom"/>
            <w:hideMark/>
          </w:tcPr>
          <w:p w14:paraId="2613A10F" w14:textId="77777777" w:rsidR="00000000" w:rsidRDefault="00087966">
            <w:pPr>
              <w:ind w:hanging="180"/>
              <w:rPr>
                <w:rFonts w:eastAsia="Times New Roman"/>
                <w:sz w:val="20"/>
                <w:szCs w:val="20"/>
              </w:rPr>
            </w:pPr>
            <w:r>
              <w:rPr>
                <w:rFonts w:eastAsia="Times New Roman"/>
                <w:sz w:val="20"/>
                <w:szCs w:val="20"/>
              </w:rPr>
              <w:t>Extension Funds from Sponsor</w:t>
            </w:r>
          </w:p>
        </w:tc>
        <w:tc>
          <w:tcPr>
            <w:tcW w:w="0" w:type="auto"/>
            <w:tcMar>
              <w:top w:w="0" w:type="dxa"/>
              <w:left w:w="0" w:type="dxa"/>
              <w:bottom w:w="30" w:type="dxa"/>
              <w:right w:w="0" w:type="dxa"/>
            </w:tcMar>
            <w:vAlign w:val="bottom"/>
            <w:hideMark/>
          </w:tcPr>
          <w:p w14:paraId="5A16928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F00AD06"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7FA8071" w14:textId="77777777" w:rsidR="00000000" w:rsidRDefault="00087966">
            <w:pPr>
              <w:jc w:val="right"/>
              <w:rPr>
                <w:rFonts w:eastAsia="Times New Roman"/>
                <w:sz w:val="20"/>
                <w:szCs w:val="20"/>
              </w:rPr>
            </w:pPr>
            <w:r>
              <w:rPr>
                <w:rFonts w:eastAsia="Times New Roman"/>
                <w:sz w:val="20"/>
                <w:szCs w:val="20"/>
              </w:rPr>
              <w:t>1,373,380</w:t>
            </w:r>
          </w:p>
        </w:tc>
        <w:tc>
          <w:tcPr>
            <w:tcW w:w="0" w:type="auto"/>
            <w:tcMar>
              <w:top w:w="0" w:type="dxa"/>
              <w:left w:w="0" w:type="dxa"/>
              <w:bottom w:w="30" w:type="dxa"/>
              <w:right w:w="0" w:type="dxa"/>
            </w:tcMar>
            <w:vAlign w:val="bottom"/>
            <w:hideMark/>
          </w:tcPr>
          <w:p w14:paraId="701E50E8"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612B6A9"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26F65E44"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48B2D9E" w14:textId="77777777" w:rsidR="00000000" w:rsidRDefault="00087966">
            <w:pPr>
              <w:jc w:val="right"/>
              <w:divId w:val="119538318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7A61FB35" w14:textId="77777777" w:rsidR="00000000" w:rsidRDefault="00087966">
            <w:pPr>
              <w:rPr>
                <w:rFonts w:eastAsia="Times New Roman"/>
                <w:sz w:val="20"/>
                <w:szCs w:val="20"/>
              </w:rPr>
            </w:pPr>
            <w:r>
              <w:rPr>
                <w:rFonts w:eastAsia="Times New Roman"/>
                <w:sz w:val="20"/>
                <w:szCs w:val="20"/>
              </w:rPr>
              <w:t> </w:t>
            </w:r>
          </w:p>
        </w:tc>
      </w:tr>
      <w:tr w:rsidR="00000000" w14:paraId="07FF6599" w14:textId="77777777">
        <w:trPr>
          <w:divId w:val="1595479706"/>
        </w:trPr>
        <w:tc>
          <w:tcPr>
            <w:tcW w:w="0" w:type="auto"/>
            <w:shd w:val="clear" w:color="auto" w:fill="CCEEFF"/>
            <w:tcMar>
              <w:top w:w="0" w:type="dxa"/>
              <w:left w:w="180" w:type="dxa"/>
              <w:bottom w:w="0" w:type="dxa"/>
              <w:right w:w="0" w:type="dxa"/>
            </w:tcMar>
            <w:vAlign w:val="bottom"/>
            <w:hideMark/>
          </w:tcPr>
          <w:p w14:paraId="40C28E8F" w14:textId="77777777" w:rsidR="00000000" w:rsidRDefault="00087966">
            <w:pPr>
              <w:ind w:hanging="180"/>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14:paraId="02E3CD8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509C1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821034" w14:textId="77777777" w:rsidR="00000000" w:rsidRDefault="00087966">
            <w:pPr>
              <w:jc w:val="right"/>
              <w:rPr>
                <w:rFonts w:eastAsia="Times New Roman"/>
                <w:sz w:val="20"/>
                <w:szCs w:val="20"/>
              </w:rPr>
            </w:pPr>
            <w:r>
              <w:rPr>
                <w:rFonts w:eastAsia="Times New Roman"/>
                <w:sz w:val="20"/>
                <w:szCs w:val="20"/>
              </w:rPr>
              <w:t>4,796,870</w:t>
            </w:r>
          </w:p>
        </w:tc>
        <w:tc>
          <w:tcPr>
            <w:tcW w:w="0" w:type="auto"/>
            <w:shd w:val="clear" w:color="auto" w:fill="CCEEFF"/>
            <w:vAlign w:val="bottom"/>
            <w:hideMark/>
          </w:tcPr>
          <w:p w14:paraId="63B47B9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F76FB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8550A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736DE8" w14:textId="77777777" w:rsidR="00000000" w:rsidRDefault="00087966">
            <w:pPr>
              <w:jc w:val="right"/>
              <w:rPr>
                <w:rFonts w:eastAsia="Times New Roman"/>
                <w:sz w:val="20"/>
                <w:szCs w:val="20"/>
              </w:rPr>
            </w:pPr>
            <w:r>
              <w:rPr>
                <w:rFonts w:eastAsia="Times New Roman"/>
                <w:sz w:val="20"/>
                <w:szCs w:val="20"/>
              </w:rPr>
              <w:t>637,375</w:t>
            </w:r>
          </w:p>
        </w:tc>
        <w:tc>
          <w:tcPr>
            <w:tcW w:w="0" w:type="auto"/>
            <w:shd w:val="clear" w:color="auto" w:fill="CCEEFF"/>
            <w:vAlign w:val="bottom"/>
            <w:hideMark/>
          </w:tcPr>
          <w:p w14:paraId="004C3E51" w14:textId="77777777" w:rsidR="00000000" w:rsidRDefault="00087966">
            <w:pPr>
              <w:rPr>
                <w:rFonts w:eastAsia="Times New Roman"/>
                <w:sz w:val="20"/>
                <w:szCs w:val="20"/>
              </w:rPr>
            </w:pPr>
            <w:r>
              <w:rPr>
                <w:rFonts w:eastAsia="Times New Roman"/>
                <w:sz w:val="20"/>
                <w:szCs w:val="20"/>
              </w:rPr>
              <w:t> </w:t>
            </w:r>
          </w:p>
        </w:tc>
      </w:tr>
      <w:tr w:rsidR="00000000" w14:paraId="139B47FD" w14:textId="77777777">
        <w:trPr>
          <w:divId w:val="1595479706"/>
        </w:trPr>
        <w:tc>
          <w:tcPr>
            <w:tcW w:w="0" w:type="auto"/>
            <w:tcMar>
              <w:top w:w="0" w:type="dxa"/>
              <w:left w:w="180" w:type="dxa"/>
              <w:bottom w:w="0" w:type="dxa"/>
              <w:right w:w="0" w:type="dxa"/>
            </w:tcMar>
            <w:vAlign w:val="bottom"/>
            <w:hideMark/>
          </w:tcPr>
          <w:p w14:paraId="6BE94C96" w14:textId="77777777" w:rsidR="00000000" w:rsidRDefault="00087966">
            <w:pPr>
              <w:ind w:hanging="180"/>
              <w:rPr>
                <w:rFonts w:eastAsia="Times New Roman"/>
                <w:sz w:val="20"/>
                <w:szCs w:val="20"/>
              </w:rPr>
            </w:pPr>
            <w:r>
              <w:rPr>
                <w:rFonts w:eastAsia="Times New Roman"/>
                <w:sz w:val="20"/>
                <w:szCs w:val="20"/>
              </w:rPr>
              <w:t> </w:t>
            </w:r>
          </w:p>
        </w:tc>
        <w:tc>
          <w:tcPr>
            <w:tcW w:w="0" w:type="auto"/>
            <w:vAlign w:val="bottom"/>
            <w:hideMark/>
          </w:tcPr>
          <w:p w14:paraId="702C12F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5DF66D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67A18DB"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55186AF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4CC64A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03EACE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F7C8113"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670773E" w14:textId="77777777" w:rsidR="00000000" w:rsidRDefault="00087966">
            <w:pPr>
              <w:rPr>
                <w:rFonts w:eastAsia="Times New Roman"/>
                <w:sz w:val="20"/>
                <w:szCs w:val="20"/>
              </w:rPr>
            </w:pPr>
            <w:r>
              <w:rPr>
                <w:rFonts w:eastAsia="Times New Roman"/>
                <w:sz w:val="20"/>
                <w:szCs w:val="20"/>
              </w:rPr>
              <w:t> </w:t>
            </w:r>
          </w:p>
        </w:tc>
      </w:tr>
      <w:tr w:rsidR="00000000" w14:paraId="2BE5C21C" w14:textId="77777777">
        <w:trPr>
          <w:divId w:val="1595479706"/>
        </w:trPr>
        <w:tc>
          <w:tcPr>
            <w:tcW w:w="0" w:type="auto"/>
            <w:shd w:val="clear" w:color="auto" w:fill="CCEEFF"/>
            <w:tcMar>
              <w:top w:w="0" w:type="dxa"/>
              <w:left w:w="180" w:type="dxa"/>
              <w:bottom w:w="0" w:type="dxa"/>
              <w:right w:w="0" w:type="dxa"/>
            </w:tcMar>
            <w:vAlign w:val="bottom"/>
            <w:hideMark/>
          </w:tcPr>
          <w:p w14:paraId="47256CCE" w14:textId="77777777" w:rsidR="00000000" w:rsidRDefault="00087966">
            <w:pPr>
              <w:ind w:hanging="180"/>
              <w:rPr>
                <w:rFonts w:eastAsia="Times New Roman"/>
                <w:sz w:val="20"/>
                <w:szCs w:val="20"/>
              </w:rPr>
            </w:pPr>
            <w:r>
              <w:rPr>
                <w:rFonts w:eastAsia="Times New Roman"/>
                <w:sz w:val="20"/>
                <w:szCs w:val="20"/>
              </w:rPr>
              <w:t>Working Capital Loan (at fair value)</w:t>
            </w:r>
          </w:p>
        </w:tc>
        <w:tc>
          <w:tcPr>
            <w:tcW w:w="0" w:type="auto"/>
            <w:shd w:val="clear" w:color="auto" w:fill="CCEEFF"/>
            <w:vAlign w:val="bottom"/>
            <w:hideMark/>
          </w:tcPr>
          <w:p w14:paraId="01CC080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5C012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A5197F" w14:textId="77777777" w:rsidR="00000000" w:rsidRDefault="00087966">
            <w:pPr>
              <w:jc w:val="right"/>
              <w:rPr>
                <w:rFonts w:eastAsia="Times New Roman"/>
                <w:sz w:val="20"/>
                <w:szCs w:val="20"/>
              </w:rPr>
            </w:pPr>
            <w:r>
              <w:rPr>
                <w:rFonts w:eastAsia="Times New Roman"/>
                <w:sz w:val="20"/>
                <w:szCs w:val="20"/>
              </w:rPr>
              <w:t>421,900</w:t>
            </w:r>
          </w:p>
        </w:tc>
        <w:tc>
          <w:tcPr>
            <w:tcW w:w="0" w:type="auto"/>
            <w:shd w:val="clear" w:color="auto" w:fill="CCEEFF"/>
            <w:vAlign w:val="bottom"/>
            <w:hideMark/>
          </w:tcPr>
          <w:p w14:paraId="4FD0164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F3D46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290E4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156195" w14:textId="77777777" w:rsidR="00000000" w:rsidRDefault="00087966">
            <w:pPr>
              <w:jc w:val="right"/>
              <w:divId w:val="588466356"/>
              <w:rPr>
                <w:rFonts w:eastAsia="Times New Roman"/>
                <w:sz w:val="20"/>
                <w:szCs w:val="20"/>
              </w:rPr>
            </w:pPr>
            <w:r>
              <w:rPr>
                <w:rFonts w:eastAsia="Times New Roman"/>
                <w:sz w:val="20"/>
                <w:szCs w:val="20"/>
              </w:rPr>
              <w:t>—</w:t>
            </w:r>
          </w:p>
        </w:tc>
        <w:tc>
          <w:tcPr>
            <w:tcW w:w="0" w:type="auto"/>
            <w:shd w:val="clear" w:color="auto" w:fill="CCEEFF"/>
            <w:vAlign w:val="bottom"/>
            <w:hideMark/>
          </w:tcPr>
          <w:p w14:paraId="424D55EA" w14:textId="77777777" w:rsidR="00000000" w:rsidRDefault="00087966">
            <w:pPr>
              <w:rPr>
                <w:rFonts w:eastAsia="Times New Roman"/>
                <w:sz w:val="20"/>
                <w:szCs w:val="20"/>
              </w:rPr>
            </w:pPr>
            <w:r>
              <w:rPr>
                <w:rFonts w:eastAsia="Times New Roman"/>
                <w:sz w:val="20"/>
                <w:szCs w:val="20"/>
              </w:rPr>
              <w:t> </w:t>
            </w:r>
          </w:p>
        </w:tc>
      </w:tr>
      <w:tr w:rsidR="00000000" w14:paraId="1AB762B2" w14:textId="77777777">
        <w:trPr>
          <w:divId w:val="1595479706"/>
        </w:trPr>
        <w:tc>
          <w:tcPr>
            <w:tcW w:w="0" w:type="auto"/>
            <w:tcMar>
              <w:top w:w="0" w:type="dxa"/>
              <w:left w:w="180" w:type="dxa"/>
              <w:bottom w:w="0" w:type="dxa"/>
              <w:right w:w="0" w:type="dxa"/>
            </w:tcMar>
            <w:vAlign w:val="bottom"/>
            <w:hideMark/>
          </w:tcPr>
          <w:p w14:paraId="28546651" w14:textId="77777777" w:rsidR="00000000" w:rsidRDefault="00087966">
            <w:pPr>
              <w:ind w:hanging="180"/>
              <w:rPr>
                <w:rFonts w:eastAsia="Times New Roman"/>
                <w:sz w:val="20"/>
                <w:szCs w:val="20"/>
              </w:rPr>
            </w:pPr>
            <w:r>
              <w:rPr>
                <w:rFonts w:eastAsia="Times New Roman"/>
                <w:sz w:val="20"/>
                <w:szCs w:val="20"/>
              </w:rPr>
              <w:t>Deferred tax liability, net</w:t>
            </w:r>
          </w:p>
        </w:tc>
        <w:tc>
          <w:tcPr>
            <w:tcW w:w="0" w:type="auto"/>
            <w:vAlign w:val="bottom"/>
            <w:hideMark/>
          </w:tcPr>
          <w:p w14:paraId="48E6097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C06047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DE6ABE3" w14:textId="77777777" w:rsidR="00000000" w:rsidRDefault="00087966">
            <w:pPr>
              <w:jc w:val="right"/>
              <w:rPr>
                <w:rFonts w:eastAsia="Times New Roman"/>
                <w:sz w:val="20"/>
                <w:szCs w:val="20"/>
              </w:rPr>
            </w:pPr>
            <w:r>
              <w:rPr>
                <w:rFonts w:eastAsia="Times New Roman"/>
                <w:sz w:val="20"/>
                <w:szCs w:val="20"/>
              </w:rPr>
              <w:t>71,622</w:t>
            </w:r>
          </w:p>
        </w:tc>
        <w:tc>
          <w:tcPr>
            <w:tcW w:w="0" w:type="auto"/>
            <w:vAlign w:val="bottom"/>
            <w:hideMark/>
          </w:tcPr>
          <w:p w14:paraId="255D0F1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E17AC5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D3C0D3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3D35E55" w14:textId="77777777" w:rsidR="00000000" w:rsidRDefault="00087966">
            <w:pPr>
              <w:jc w:val="right"/>
              <w:rPr>
                <w:rFonts w:eastAsia="Times New Roman"/>
                <w:sz w:val="20"/>
                <w:szCs w:val="20"/>
              </w:rPr>
            </w:pPr>
            <w:r>
              <w:rPr>
                <w:rFonts w:eastAsia="Times New Roman"/>
                <w:sz w:val="20"/>
                <w:szCs w:val="20"/>
              </w:rPr>
              <w:t>—</w:t>
            </w:r>
          </w:p>
        </w:tc>
        <w:tc>
          <w:tcPr>
            <w:tcW w:w="0" w:type="auto"/>
            <w:vAlign w:val="bottom"/>
            <w:hideMark/>
          </w:tcPr>
          <w:p w14:paraId="4ED69FA5" w14:textId="77777777" w:rsidR="00000000" w:rsidRDefault="00087966">
            <w:pPr>
              <w:rPr>
                <w:rFonts w:eastAsia="Times New Roman"/>
                <w:sz w:val="20"/>
                <w:szCs w:val="20"/>
              </w:rPr>
            </w:pPr>
            <w:r>
              <w:rPr>
                <w:rFonts w:eastAsia="Times New Roman"/>
                <w:sz w:val="20"/>
                <w:szCs w:val="20"/>
              </w:rPr>
              <w:t> </w:t>
            </w:r>
          </w:p>
        </w:tc>
      </w:tr>
      <w:tr w:rsidR="00000000" w14:paraId="30DA02EC" w14:textId="77777777">
        <w:trPr>
          <w:divId w:val="1595479706"/>
        </w:trPr>
        <w:tc>
          <w:tcPr>
            <w:tcW w:w="0" w:type="auto"/>
            <w:shd w:val="clear" w:color="auto" w:fill="CCEEFF"/>
            <w:tcMar>
              <w:top w:w="0" w:type="dxa"/>
              <w:left w:w="180" w:type="dxa"/>
              <w:bottom w:w="0" w:type="dxa"/>
              <w:right w:w="0" w:type="dxa"/>
            </w:tcMar>
            <w:vAlign w:val="bottom"/>
            <w:hideMark/>
          </w:tcPr>
          <w:p w14:paraId="085213C5" w14:textId="77777777" w:rsidR="00000000" w:rsidRDefault="00087966">
            <w:pPr>
              <w:ind w:hanging="180"/>
              <w:rPr>
                <w:rFonts w:eastAsia="Times New Roman"/>
                <w:sz w:val="20"/>
                <w:szCs w:val="20"/>
              </w:rPr>
            </w:pPr>
            <w:r>
              <w:rPr>
                <w:rFonts w:eastAsia="Times New Roman"/>
                <w:sz w:val="20"/>
                <w:szCs w:val="20"/>
              </w:rPr>
              <w:t>Warrant liabilities</w:t>
            </w:r>
          </w:p>
        </w:tc>
        <w:tc>
          <w:tcPr>
            <w:tcW w:w="0" w:type="auto"/>
            <w:shd w:val="clear" w:color="auto" w:fill="CCEEFF"/>
            <w:vAlign w:val="bottom"/>
            <w:hideMark/>
          </w:tcPr>
          <w:p w14:paraId="4FCD1C8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CBFDC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D263A6" w14:textId="77777777" w:rsidR="00000000" w:rsidRDefault="00087966">
            <w:pPr>
              <w:jc w:val="right"/>
              <w:rPr>
                <w:rFonts w:eastAsia="Times New Roman"/>
                <w:sz w:val="20"/>
                <w:szCs w:val="20"/>
              </w:rPr>
            </w:pPr>
            <w:r>
              <w:rPr>
                <w:rFonts w:eastAsia="Times New Roman"/>
                <w:sz w:val="20"/>
                <w:szCs w:val="20"/>
              </w:rPr>
              <w:t>1,106,000</w:t>
            </w:r>
          </w:p>
        </w:tc>
        <w:tc>
          <w:tcPr>
            <w:tcW w:w="0" w:type="auto"/>
            <w:shd w:val="clear" w:color="auto" w:fill="CCEEFF"/>
            <w:vAlign w:val="bottom"/>
            <w:hideMark/>
          </w:tcPr>
          <w:p w14:paraId="7845BA4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85A5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7E6A9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CBD20F" w14:textId="77777777" w:rsidR="00000000" w:rsidRDefault="00087966">
            <w:pPr>
              <w:jc w:val="right"/>
              <w:rPr>
                <w:rFonts w:eastAsia="Times New Roman"/>
                <w:sz w:val="20"/>
                <w:szCs w:val="20"/>
              </w:rPr>
            </w:pPr>
            <w:r>
              <w:rPr>
                <w:rFonts w:eastAsia="Times New Roman"/>
                <w:sz w:val="20"/>
                <w:szCs w:val="20"/>
              </w:rPr>
              <w:t>8,311,710</w:t>
            </w:r>
          </w:p>
        </w:tc>
        <w:tc>
          <w:tcPr>
            <w:tcW w:w="0" w:type="auto"/>
            <w:shd w:val="clear" w:color="auto" w:fill="CCEEFF"/>
            <w:vAlign w:val="bottom"/>
            <w:hideMark/>
          </w:tcPr>
          <w:p w14:paraId="334673EC" w14:textId="77777777" w:rsidR="00000000" w:rsidRDefault="00087966">
            <w:pPr>
              <w:rPr>
                <w:rFonts w:eastAsia="Times New Roman"/>
                <w:sz w:val="20"/>
                <w:szCs w:val="20"/>
              </w:rPr>
            </w:pPr>
            <w:r>
              <w:rPr>
                <w:rFonts w:eastAsia="Times New Roman"/>
                <w:sz w:val="20"/>
                <w:szCs w:val="20"/>
              </w:rPr>
              <w:t> </w:t>
            </w:r>
          </w:p>
        </w:tc>
      </w:tr>
      <w:tr w:rsidR="00000000" w14:paraId="6A123912" w14:textId="77777777">
        <w:trPr>
          <w:divId w:val="1595479706"/>
        </w:trPr>
        <w:tc>
          <w:tcPr>
            <w:tcW w:w="0" w:type="auto"/>
            <w:tcMar>
              <w:top w:w="0" w:type="dxa"/>
              <w:left w:w="180" w:type="dxa"/>
              <w:bottom w:w="30" w:type="dxa"/>
              <w:right w:w="0" w:type="dxa"/>
            </w:tcMar>
            <w:vAlign w:val="bottom"/>
            <w:hideMark/>
          </w:tcPr>
          <w:p w14:paraId="36AED793" w14:textId="77777777" w:rsidR="00000000" w:rsidRDefault="00087966">
            <w:pPr>
              <w:ind w:hanging="180"/>
              <w:rPr>
                <w:rFonts w:eastAsia="Times New Roman"/>
                <w:sz w:val="20"/>
                <w:szCs w:val="20"/>
              </w:rPr>
            </w:pPr>
            <w:r>
              <w:rPr>
                <w:rFonts w:eastAsia="Times New Roman"/>
                <w:sz w:val="20"/>
                <w:szCs w:val="20"/>
              </w:rPr>
              <w:t>Deferred underwriting fee payable</w:t>
            </w:r>
          </w:p>
        </w:tc>
        <w:tc>
          <w:tcPr>
            <w:tcW w:w="0" w:type="auto"/>
            <w:tcMar>
              <w:top w:w="0" w:type="dxa"/>
              <w:left w:w="0" w:type="dxa"/>
              <w:bottom w:w="30" w:type="dxa"/>
              <w:right w:w="0" w:type="dxa"/>
            </w:tcMar>
            <w:vAlign w:val="bottom"/>
            <w:hideMark/>
          </w:tcPr>
          <w:p w14:paraId="6C90F2F3"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FC5383C"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C0B1543" w14:textId="77777777" w:rsidR="00000000" w:rsidRDefault="00087966">
            <w:pPr>
              <w:jc w:val="right"/>
              <w:rPr>
                <w:rFonts w:eastAsia="Times New Roman"/>
                <w:sz w:val="20"/>
                <w:szCs w:val="20"/>
              </w:rPr>
            </w:pPr>
            <w:r>
              <w:rPr>
                <w:rFonts w:eastAsia="Times New Roman"/>
                <w:sz w:val="20"/>
                <w:szCs w:val="20"/>
              </w:rPr>
              <w:t>6,037,500</w:t>
            </w:r>
          </w:p>
        </w:tc>
        <w:tc>
          <w:tcPr>
            <w:tcW w:w="0" w:type="auto"/>
            <w:tcMar>
              <w:top w:w="0" w:type="dxa"/>
              <w:left w:w="0" w:type="dxa"/>
              <w:bottom w:w="30" w:type="dxa"/>
              <w:right w:w="0" w:type="dxa"/>
            </w:tcMar>
            <w:vAlign w:val="bottom"/>
            <w:hideMark/>
          </w:tcPr>
          <w:p w14:paraId="703B7F68"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593B158"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E073A7B"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65B85C1" w14:textId="77777777" w:rsidR="00000000" w:rsidRDefault="00087966">
            <w:pPr>
              <w:jc w:val="right"/>
              <w:rPr>
                <w:rFonts w:eastAsia="Times New Roman"/>
                <w:sz w:val="20"/>
                <w:szCs w:val="20"/>
              </w:rPr>
            </w:pPr>
            <w:r>
              <w:rPr>
                <w:rFonts w:eastAsia="Times New Roman"/>
                <w:sz w:val="20"/>
                <w:szCs w:val="20"/>
              </w:rPr>
              <w:t>6,037,500</w:t>
            </w:r>
          </w:p>
        </w:tc>
        <w:tc>
          <w:tcPr>
            <w:tcW w:w="0" w:type="auto"/>
            <w:tcMar>
              <w:top w:w="0" w:type="dxa"/>
              <w:left w:w="0" w:type="dxa"/>
              <w:bottom w:w="30" w:type="dxa"/>
              <w:right w:w="0" w:type="dxa"/>
            </w:tcMar>
            <w:vAlign w:val="bottom"/>
            <w:hideMark/>
          </w:tcPr>
          <w:p w14:paraId="30272DBB" w14:textId="77777777" w:rsidR="00000000" w:rsidRDefault="00087966">
            <w:pPr>
              <w:rPr>
                <w:rFonts w:eastAsia="Times New Roman"/>
                <w:sz w:val="20"/>
                <w:szCs w:val="20"/>
              </w:rPr>
            </w:pPr>
            <w:r>
              <w:rPr>
                <w:rFonts w:eastAsia="Times New Roman"/>
                <w:sz w:val="20"/>
                <w:szCs w:val="20"/>
              </w:rPr>
              <w:t> </w:t>
            </w:r>
          </w:p>
        </w:tc>
      </w:tr>
      <w:tr w:rsidR="00000000" w14:paraId="09AA3A47" w14:textId="77777777">
        <w:trPr>
          <w:divId w:val="1595479706"/>
        </w:trPr>
        <w:tc>
          <w:tcPr>
            <w:tcW w:w="0" w:type="auto"/>
            <w:shd w:val="clear" w:color="auto" w:fill="CCEEFF"/>
            <w:tcMar>
              <w:top w:w="0" w:type="dxa"/>
              <w:left w:w="180" w:type="dxa"/>
              <w:bottom w:w="30" w:type="dxa"/>
              <w:right w:w="0" w:type="dxa"/>
            </w:tcMar>
            <w:vAlign w:val="bottom"/>
            <w:hideMark/>
          </w:tcPr>
          <w:p w14:paraId="58245515" w14:textId="77777777" w:rsidR="00000000" w:rsidRDefault="00087966">
            <w:pPr>
              <w:ind w:hanging="180"/>
              <w:rPr>
                <w:rFonts w:eastAsia="Times New Roman"/>
                <w:b/>
                <w:bCs/>
                <w:sz w:val="20"/>
                <w:szCs w:val="20"/>
              </w:rPr>
            </w:pPr>
            <w:r>
              <w:rPr>
                <w:rFonts w:eastAsia="Times New Roman"/>
                <w:b/>
                <w:bCs/>
                <w:sz w:val="20"/>
                <w:szCs w:val="20"/>
              </w:rPr>
              <w:t>Total Liabilities</w:t>
            </w:r>
          </w:p>
        </w:tc>
        <w:tc>
          <w:tcPr>
            <w:tcW w:w="0" w:type="auto"/>
            <w:shd w:val="clear" w:color="auto" w:fill="CCEEFF"/>
            <w:tcMar>
              <w:top w:w="0" w:type="dxa"/>
              <w:left w:w="0" w:type="dxa"/>
              <w:bottom w:w="30" w:type="dxa"/>
              <w:right w:w="0" w:type="dxa"/>
            </w:tcMar>
            <w:vAlign w:val="bottom"/>
            <w:hideMark/>
          </w:tcPr>
          <w:p w14:paraId="04E0F5E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46484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4FAFD3" w14:textId="77777777" w:rsidR="00000000" w:rsidRDefault="00087966">
            <w:pPr>
              <w:jc w:val="right"/>
              <w:rPr>
                <w:rFonts w:eastAsia="Times New Roman"/>
                <w:sz w:val="20"/>
                <w:szCs w:val="20"/>
              </w:rPr>
            </w:pPr>
            <w:r>
              <w:rPr>
                <w:rFonts w:eastAsia="Times New Roman"/>
                <w:b/>
                <w:bCs/>
                <w:sz w:val="20"/>
                <w:szCs w:val="20"/>
              </w:rPr>
              <w:t>12,433,892</w:t>
            </w:r>
          </w:p>
        </w:tc>
        <w:tc>
          <w:tcPr>
            <w:tcW w:w="0" w:type="auto"/>
            <w:shd w:val="clear" w:color="auto" w:fill="CCEEFF"/>
            <w:tcMar>
              <w:top w:w="0" w:type="dxa"/>
              <w:left w:w="0" w:type="dxa"/>
              <w:bottom w:w="30" w:type="dxa"/>
              <w:right w:w="0" w:type="dxa"/>
            </w:tcMar>
            <w:vAlign w:val="bottom"/>
            <w:hideMark/>
          </w:tcPr>
          <w:p w14:paraId="7018F7E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8EC7434"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32A36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B40003" w14:textId="77777777" w:rsidR="00000000" w:rsidRDefault="00087966">
            <w:pPr>
              <w:jc w:val="right"/>
              <w:rPr>
                <w:rFonts w:eastAsia="Times New Roman"/>
                <w:sz w:val="20"/>
                <w:szCs w:val="20"/>
              </w:rPr>
            </w:pPr>
            <w:r>
              <w:rPr>
                <w:rFonts w:eastAsia="Times New Roman"/>
                <w:b/>
                <w:bCs/>
                <w:sz w:val="20"/>
                <w:szCs w:val="20"/>
              </w:rPr>
              <w:t>14,986,585</w:t>
            </w:r>
          </w:p>
        </w:tc>
        <w:tc>
          <w:tcPr>
            <w:tcW w:w="0" w:type="auto"/>
            <w:shd w:val="clear" w:color="auto" w:fill="CCEEFF"/>
            <w:tcMar>
              <w:top w:w="0" w:type="dxa"/>
              <w:left w:w="0" w:type="dxa"/>
              <w:bottom w:w="30" w:type="dxa"/>
              <w:right w:w="0" w:type="dxa"/>
            </w:tcMar>
            <w:vAlign w:val="bottom"/>
            <w:hideMark/>
          </w:tcPr>
          <w:p w14:paraId="63713925" w14:textId="77777777" w:rsidR="00000000" w:rsidRDefault="00087966">
            <w:pPr>
              <w:rPr>
                <w:rFonts w:eastAsia="Times New Roman"/>
                <w:sz w:val="20"/>
                <w:szCs w:val="20"/>
              </w:rPr>
            </w:pPr>
            <w:r>
              <w:rPr>
                <w:rFonts w:eastAsia="Times New Roman"/>
                <w:b/>
                <w:bCs/>
                <w:sz w:val="20"/>
                <w:szCs w:val="20"/>
              </w:rPr>
              <w:t> </w:t>
            </w:r>
          </w:p>
        </w:tc>
      </w:tr>
      <w:tr w:rsidR="00000000" w14:paraId="033AE30E" w14:textId="77777777">
        <w:trPr>
          <w:divId w:val="1595479706"/>
        </w:trPr>
        <w:tc>
          <w:tcPr>
            <w:tcW w:w="0" w:type="auto"/>
            <w:tcMar>
              <w:top w:w="0" w:type="dxa"/>
              <w:left w:w="180" w:type="dxa"/>
              <w:bottom w:w="0" w:type="dxa"/>
              <w:right w:w="0" w:type="dxa"/>
            </w:tcMar>
            <w:vAlign w:val="bottom"/>
            <w:hideMark/>
          </w:tcPr>
          <w:p w14:paraId="628A769B" w14:textId="77777777" w:rsidR="00000000" w:rsidRDefault="00087966">
            <w:pPr>
              <w:ind w:hanging="180"/>
              <w:rPr>
                <w:rFonts w:eastAsia="Times New Roman"/>
                <w:sz w:val="20"/>
                <w:szCs w:val="20"/>
              </w:rPr>
            </w:pPr>
            <w:r>
              <w:rPr>
                <w:rFonts w:eastAsia="Times New Roman"/>
                <w:sz w:val="20"/>
                <w:szCs w:val="20"/>
              </w:rPr>
              <w:t> </w:t>
            </w:r>
          </w:p>
        </w:tc>
        <w:tc>
          <w:tcPr>
            <w:tcW w:w="0" w:type="auto"/>
            <w:vAlign w:val="bottom"/>
            <w:hideMark/>
          </w:tcPr>
          <w:p w14:paraId="74F4F6B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4A9C59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00DF61E"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2A7A2A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417E4F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3B8B59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01A7EF4"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385131B" w14:textId="77777777" w:rsidR="00000000" w:rsidRDefault="00087966">
            <w:pPr>
              <w:rPr>
                <w:rFonts w:eastAsia="Times New Roman"/>
                <w:sz w:val="20"/>
                <w:szCs w:val="20"/>
              </w:rPr>
            </w:pPr>
            <w:r>
              <w:rPr>
                <w:rFonts w:eastAsia="Times New Roman"/>
                <w:sz w:val="20"/>
                <w:szCs w:val="20"/>
              </w:rPr>
              <w:t> </w:t>
            </w:r>
          </w:p>
        </w:tc>
      </w:tr>
      <w:tr w:rsidR="00000000" w14:paraId="7BA5302C" w14:textId="77777777">
        <w:trPr>
          <w:divId w:val="1595479706"/>
        </w:trPr>
        <w:tc>
          <w:tcPr>
            <w:tcW w:w="0" w:type="auto"/>
            <w:shd w:val="clear" w:color="auto" w:fill="CCEEFF"/>
            <w:tcMar>
              <w:top w:w="0" w:type="dxa"/>
              <w:left w:w="180" w:type="dxa"/>
              <w:bottom w:w="0" w:type="dxa"/>
              <w:right w:w="0" w:type="dxa"/>
            </w:tcMar>
            <w:vAlign w:val="bottom"/>
            <w:hideMark/>
          </w:tcPr>
          <w:p w14:paraId="05254750" w14:textId="77777777" w:rsidR="00000000" w:rsidRDefault="00087966">
            <w:pPr>
              <w:ind w:hanging="180"/>
              <w:rPr>
                <w:rFonts w:eastAsia="Times New Roman"/>
                <w:b/>
                <w:bCs/>
                <w:sz w:val="20"/>
                <w:szCs w:val="20"/>
              </w:rPr>
            </w:pPr>
            <w:r>
              <w:rPr>
                <w:rFonts w:eastAsia="Times New Roman"/>
                <w:b/>
                <w:bCs/>
                <w:sz w:val="20"/>
                <w:szCs w:val="20"/>
              </w:rPr>
              <w:t>Commitments and contingencies</w:t>
            </w:r>
          </w:p>
        </w:tc>
        <w:tc>
          <w:tcPr>
            <w:tcW w:w="0" w:type="auto"/>
            <w:shd w:val="clear" w:color="auto" w:fill="CCEEFF"/>
            <w:vAlign w:val="bottom"/>
            <w:hideMark/>
          </w:tcPr>
          <w:p w14:paraId="022D768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28AE7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B9D3DE" w14:textId="77777777" w:rsidR="00000000" w:rsidRDefault="00087966">
            <w:pPr>
              <w:jc w:val="right"/>
              <w:divId w:val="1282304803"/>
              <w:rPr>
                <w:rFonts w:eastAsia="Times New Roman"/>
                <w:sz w:val="20"/>
                <w:szCs w:val="20"/>
              </w:rPr>
            </w:pPr>
            <w:r>
              <w:rPr>
                <w:rFonts w:eastAsia="Times New Roman"/>
                <w:sz w:val="20"/>
                <w:szCs w:val="20"/>
              </w:rPr>
              <w:t> </w:t>
            </w:r>
          </w:p>
        </w:tc>
        <w:tc>
          <w:tcPr>
            <w:tcW w:w="0" w:type="auto"/>
            <w:shd w:val="clear" w:color="auto" w:fill="CCEEFF"/>
            <w:vAlign w:val="bottom"/>
            <w:hideMark/>
          </w:tcPr>
          <w:p w14:paraId="0801BDE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DFCB2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811E1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6B1A90" w14:textId="77777777" w:rsidR="00000000" w:rsidRDefault="00087966">
            <w:pPr>
              <w:jc w:val="right"/>
              <w:divId w:val="929122434"/>
              <w:rPr>
                <w:rFonts w:eastAsia="Times New Roman"/>
                <w:sz w:val="20"/>
                <w:szCs w:val="20"/>
              </w:rPr>
            </w:pPr>
            <w:r>
              <w:rPr>
                <w:rFonts w:eastAsia="Times New Roman"/>
                <w:sz w:val="20"/>
                <w:szCs w:val="20"/>
              </w:rPr>
              <w:t> </w:t>
            </w:r>
          </w:p>
        </w:tc>
        <w:tc>
          <w:tcPr>
            <w:tcW w:w="0" w:type="auto"/>
            <w:shd w:val="clear" w:color="auto" w:fill="CCEEFF"/>
            <w:vAlign w:val="bottom"/>
            <w:hideMark/>
          </w:tcPr>
          <w:p w14:paraId="68E6DC7A" w14:textId="77777777" w:rsidR="00000000" w:rsidRDefault="00087966">
            <w:pPr>
              <w:rPr>
                <w:rFonts w:eastAsia="Times New Roman"/>
                <w:sz w:val="20"/>
                <w:szCs w:val="20"/>
              </w:rPr>
            </w:pPr>
            <w:r>
              <w:rPr>
                <w:rFonts w:eastAsia="Times New Roman"/>
                <w:sz w:val="20"/>
                <w:szCs w:val="20"/>
              </w:rPr>
              <w:t> </w:t>
            </w:r>
          </w:p>
        </w:tc>
      </w:tr>
      <w:tr w:rsidR="00000000" w14:paraId="7F7B2DA4" w14:textId="77777777">
        <w:trPr>
          <w:divId w:val="1595479706"/>
        </w:trPr>
        <w:tc>
          <w:tcPr>
            <w:tcW w:w="0" w:type="auto"/>
            <w:tcMar>
              <w:top w:w="0" w:type="dxa"/>
              <w:left w:w="180" w:type="dxa"/>
              <w:bottom w:w="0" w:type="dxa"/>
              <w:right w:w="0" w:type="dxa"/>
            </w:tcMar>
            <w:vAlign w:val="bottom"/>
            <w:hideMark/>
          </w:tcPr>
          <w:p w14:paraId="0B3611DB" w14:textId="77777777" w:rsidR="00000000" w:rsidRDefault="00087966">
            <w:pPr>
              <w:ind w:hanging="180"/>
              <w:rPr>
                <w:rFonts w:eastAsia="Times New Roman"/>
                <w:sz w:val="20"/>
                <w:szCs w:val="20"/>
              </w:rPr>
            </w:pPr>
            <w:r>
              <w:rPr>
                <w:rFonts w:eastAsia="Times New Roman"/>
                <w:sz w:val="20"/>
                <w:szCs w:val="20"/>
              </w:rPr>
              <w:t> </w:t>
            </w:r>
          </w:p>
        </w:tc>
        <w:tc>
          <w:tcPr>
            <w:tcW w:w="0" w:type="auto"/>
            <w:vAlign w:val="bottom"/>
            <w:hideMark/>
          </w:tcPr>
          <w:p w14:paraId="3457BA6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497C67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DA54EB1"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9C8D47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88C806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125A8E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CCEAC4C"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FB4A06B" w14:textId="77777777" w:rsidR="00000000" w:rsidRDefault="00087966">
            <w:pPr>
              <w:rPr>
                <w:rFonts w:eastAsia="Times New Roman"/>
                <w:sz w:val="20"/>
                <w:szCs w:val="20"/>
              </w:rPr>
            </w:pPr>
            <w:r>
              <w:rPr>
                <w:rFonts w:eastAsia="Times New Roman"/>
                <w:sz w:val="20"/>
                <w:szCs w:val="20"/>
              </w:rPr>
              <w:t> </w:t>
            </w:r>
          </w:p>
        </w:tc>
      </w:tr>
      <w:tr w:rsidR="00000000" w14:paraId="760547CD" w14:textId="77777777">
        <w:trPr>
          <w:divId w:val="1595479706"/>
        </w:trPr>
        <w:tc>
          <w:tcPr>
            <w:tcW w:w="0" w:type="auto"/>
            <w:shd w:val="clear" w:color="auto" w:fill="CCEEFF"/>
            <w:tcMar>
              <w:top w:w="0" w:type="dxa"/>
              <w:left w:w="180" w:type="dxa"/>
              <w:bottom w:w="0" w:type="dxa"/>
              <w:right w:w="0" w:type="dxa"/>
            </w:tcMar>
            <w:vAlign w:val="bottom"/>
            <w:hideMark/>
          </w:tcPr>
          <w:p w14:paraId="3392E7B0" w14:textId="77777777" w:rsidR="00000000" w:rsidRDefault="00087966">
            <w:pPr>
              <w:ind w:hanging="180"/>
              <w:rPr>
                <w:rFonts w:eastAsia="Times New Roman"/>
                <w:sz w:val="20"/>
                <w:szCs w:val="20"/>
              </w:rPr>
            </w:pPr>
            <w:r>
              <w:rPr>
                <w:rFonts w:eastAsia="Times New Roman"/>
                <w:sz w:val="20"/>
                <w:szCs w:val="20"/>
              </w:rPr>
              <w:t>Class A common stock subject to possible redemption; 10,404,394 and 17,250,000 shares at redemption value of $10.30 and $10</w:t>
            </w:r>
            <w:r>
              <w:rPr>
                <w:rFonts w:eastAsia="Times New Roman"/>
                <w:sz w:val="20"/>
                <w:szCs w:val="20"/>
              </w:rPr>
              <w:t>.00 as of December 31, 2022 and 2021, respectively</w:t>
            </w:r>
          </w:p>
        </w:tc>
        <w:tc>
          <w:tcPr>
            <w:tcW w:w="0" w:type="auto"/>
            <w:shd w:val="clear" w:color="auto" w:fill="CCEEFF"/>
            <w:vAlign w:val="bottom"/>
            <w:hideMark/>
          </w:tcPr>
          <w:p w14:paraId="25CF0F3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86DD3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E1379C" w14:textId="77777777" w:rsidR="00000000" w:rsidRDefault="00087966">
            <w:pPr>
              <w:jc w:val="right"/>
              <w:rPr>
                <w:rFonts w:eastAsia="Times New Roman"/>
                <w:sz w:val="20"/>
                <w:szCs w:val="20"/>
              </w:rPr>
            </w:pPr>
            <w:r>
              <w:rPr>
                <w:rFonts w:eastAsia="Times New Roman"/>
                <w:sz w:val="20"/>
                <w:szCs w:val="20"/>
              </w:rPr>
              <w:t>107,207,356</w:t>
            </w:r>
          </w:p>
        </w:tc>
        <w:tc>
          <w:tcPr>
            <w:tcW w:w="0" w:type="auto"/>
            <w:shd w:val="clear" w:color="auto" w:fill="CCEEFF"/>
            <w:vAlign w:val="bottom"/>
            <w:hideMark/>
          </w:tcPr>
          <w:p w14:paraId="561F311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AB1BE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59E02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FA2332" w14:textId="77777777" w:rsidR="00000000" w:rsidRDefault="00087966">
            <w:pPr>
              <w:jc w:val="right"/>
              <w:rPr>
                <w:rFonts w:eastAsia="Times New Roman"/>
                <w:sz w:val="20"/>
                <w:szCs w:val="20"/>
              </w:rPr>
            </w:pPr>
            <w:r>
              <w:rPr>
                <w:rFonts w:eastAsia="Times New Roman"/>
                <w:sz w:val="20"/>
                <w:szCs w:val="20"/>
              </w:rPr>
              <w:t>172,500,000</w:t>
            </w:r>
          </w:p>
        </w:tc>
        <w:tc>
          <w:tcPr>
            <w:tcW w:w="0" w:type="auto"/>
            <w:shd w:val="clear" w:color="auto" w:fill="CCEEFF"/>
            <w:vAlign w:val="bottom"/>
            <w:hideMark/>
          </w:tcPr>
          <w:p w14:paraId="312510E1" w14:textId="77777777" w:rsidR="00000000" w:rsidRDefault="00087966">
            <w:pPr>
              <w:rPr>
                <w:rFonts w:eastAsia="Times New Roman"/>
                <w:sz w:val="20"/>
                <w:szCs w:val="20"/>
              </w:rPr>
            </w:pPr>
            <w:r>
              <w:rPr>
                <w:rFonts w:eastAsia="Times New Roman"/>
                <w:sz w:val="20"/>
                <w:szCs w:val="20"/>
              </w:rPr>
              <w:t> </w:t>
            </w:r>
          </w:p>
        </w:tc>
      </w:tr>
      <w:tr w:rsidR="00000000" w14:paraId="237D2D12" w14:textId="77777777">
        <w:trPr>
          <w:divId w:val="1595479706"/>
        </w:trPr>
        <w:tc>
          <w:tcPr>
            <w:tcW w:w="0" w:type="auto"/>
            <w:tcMar>
              <w:top w:w="0" w:type="dxa"/>
              <w:left w:w="180" w:type="dxa"/>
              <w:bottom w:w="0" w:type="dxa"/>
              <w:right w:w="0" w:type="dxa"/>
            </w:tcMar>
            <w:vAlign w:val="bottom"/>
            <w:hideMark/>
          </w:tcPr>
          <w:p w14:paraId="43A068ED" w14:textId="77777777" w:rsidR="00000000" w:rsidRDefault="00087966">
            <w:pPr>
              <w:ind w:hanging="180"/>
              <w:rPr>
                <w:rFonts w:eastAsia="Times New Roman"/>
                <w:sz w:val="20"/>
                <w:szCs w:val="20"/>
              </w:rPr>
            </w:pPr>
            <w:r>
              <w:rPr>
                <w:rFonts w:eastAsia="Times New Roman"/>
                <w:sz w:val="20"/>
                <w:szCs w:val="20"/>
              </w:rPr>
              <w:t> </w:t>
            </w:r>
          </w:p>
        </w:tc>
        <w:tc>
          <w:tcPr>
            <w:tcW w:w="0" w:type="auto"/>
            <w:vAlign w:val="bottom"/>
            <w:hideMark/>
          </w:tcPr>
          <w:p w14:paraId="7BE623D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6F9BD7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5E6F185"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7CC735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9721D3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9D862F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D593AE1"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53349677" w14:textId="77777777" w:rsidR="00000000" w:rsidRDefault="00087966">
            <w:pPr>
              <w:rPr>
                <w:rFonts w:eastAsia="Times New Roman"/>
                <w:sz w:val="20"/>
                <w:szCs w:val="20"/>
              </w:rPr>
            </w:pPr>
            <w:r>
              <w:rPr>
                <w:rFonts w:eastAsia="Times New Roman"/>
                <w:sz w:val="20"/>
                <w:szCs w:val="20"/>
              </w:rPr>
              <w:t> </w:t>
            </w:r>
          </w:p>
        </w:tc>
      </w:tr>
      <w:tr w:rsidR="00000000" w14:paraId="5D72DD38" w14:textId="77777777">
        <w:trPr>
          <w:divId w:val="1595479706"/>
        </w:trPr>
        <w:tc>
          <w:tcPr>
            <w:tcW w:w="0" w:type="auto"/>
            <w:shd w:val="clear" w:color="auto" w:fill="CCEEFF"/>
            <w:tcMar>
              <w:top w:w="0" w:type="dxa"/>
              <w:left w:w="180" w:type="dxa"/>
              <w:bottom w:w="0" w:type="dxa"/>
              <w:right w:w="0" w:type="dxa"/>
            </w:tcMar>
            <w:vAlign w:val="bottom"/>
            <w:hideMark/>
          </w:tcPr>
          <w:p w14:paraId="1436DD37" w14:textId="77777777" w:rsidR="00000000" w:rsidRDefault="00087966">
            <w:pPr>
              <w:ind w:hanging="180"/>
              <w:rPr>
                <w:rFonts w:eastAsia="Times New Roman"/>
                <w:b/>
                <w:bCs/>
                <w:sz w:val="20"/>
                <w:szCs w:val="20"/>
              </w:rPr>
            </w:pPr>
            <w:r>
              <w:rPr>
                <w:rFonts w:eastAsia="Times New Roman"/>
                <w:b/>
                <w:bCs/>
                <w:sz w:val="20"/>
                <w:szCs w:val="20"/>
              </w:rPr>
              <w:t>Stockholders’ Deficit</w:t>
            </w:r>
          </w:p>
        </w:tc>
        <w:tc>
          <w:tcPr>
            <w:tcW w:w="0" w:type="auto"/>
            <w:shd w:val="clear" w:color="auto" w:fill="CCEEFF"/>
            <w:vAlign w:val="bottom"/>
            <w:hideMark/>
          </w:tcPr>
          <w:p w14:paraId="17D13A0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AB2CF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E85864"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93E6A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050F0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1D6DE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0D4CBF"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4460678" w14:textId="77777777" w:rsidR="00000000" w:rsidRDefault="00087966">
            <w:pPr>
              <w:rPr>
                <w:rFonts w:eastAsia="Times New Roman"/>
                <w:sz w:val="20"/>
                <w:szCs w:val="20"/>
              </w:rPr>
            </w:pPr>
            <w:r>
              <w:rPr>
                <w:rFonts w:eastAsia="Times New Roman"/>
                <w:sz w:val="20"/>
                <w:szCs w:val="20"/>
              </w:rPr>
              <w:t> </w:t>
            </w:r>
          </w:p>
        </w:tc>
      </w:tr>
      <w:tr w:rsidR="00000000" w14:paraId="70150223" w14:textId="77777777">
        <w:trPr>
          <w:divId w:val="1595479706"/>
        </w:trPr>
        <w:tc>
          <w:tcPr>
            <w:tcW w:w="0" w:type="auto"/>
            <w:tcMar>
              <w:top w:w="0" w:type="dxa"/>
              <w:left w:w="180" w:type="dxa"/>
              <w:bottom w:w="0" w:type="dxa"/>
              <w:right w:w="0" w:type="dxa"/>
            </w:tcMar>
            <w:vAlign w:val="bottom"/>
            <w:hideMark/>
          </w:tcPr>
          <w:p w14:paraId="1A9D8CF4" w14:textId="77777777" w:rsidR="00000000" w:rsidRDefault="00087966">
            <w:pPr>
              <w:ind w:hanging="180"/>
              <w:rPr>
                <w:rFonts w:eastAsia="Times New Roman"/>
                <w:sz w:val="20"/>
                <w:szCs w:val="20"/>
              </w:rPr>
            </w:pPr>
            <w:r>
              <w:rPr>
                <w:rFonts w:eastAsia="Times New Roman"/>
                <w:sz w:val="20"/>
                <w:szCs w:val="20"/>
              </w:rPr>
              <w:t>Preferred stock, $0.0001 par value; 1,000,000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w:t>
            </w:r>
            <w:r>
              <w:rPr>
                <w:rFonts w:eastAsia="Times New Roman"/>
                <w:sz w:val="20"/>
                <w:szCs w:val="20"/>
              </w:rPr>
              <w:t>issued or outstanding</w:t>
            </w:r>
          </w:p>
        </w:tc>
        <w:tc>
          <w:tcPr>
            <w:tcW w:w="0" w:type="auto"/>
            <w:vAlign w:val="bottom"/>
            <w:hideMark/>
          </w:tcPr>
          <w:p w14:paraId="29353DC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A903D5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A8EB722" w14:textId="77777777" w:rsidR="00000000" w:rsidRDefault="00087966">
            <w:pPr>
              <w:jc w:val="right"/>
              <w:divId w:val="795367950"/>
              <w:rPr>
                <w:rFonts w:eastAsia="Times New Roman"/>
                <w:sz w:val="20"/>
                <w:szCs w:val="20"/>
              </w:rPr>
            </w:pPr>
            <w:r>
              <w:rPr>
                <w:rFonts w:eastAsia="Times New Roman"/>
                <w:sz w:val="20"/>
                <w:szCs w:val="20"/>
              </w:rPr>
              <w:t>—</w:t>
            </w:r>
          </w:p>
        </w:tc>
        <w:tc>
          <w:tcPr>
            <w:tcW w:w="0" w:type="auto"/>
            <w:vAlign w:val="bottom"/>
            <w:hideMark/>
          </w:tcPr>
          <w:p w14:paraId="20145C8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82F9F2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5FAA19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B17188B" w14:textId="77777777" w:rsidR="00000000" w:rsidRDefault="00087966">
            <w:pPr>
              <w:jc w:val="right"/>
              <w:divId w:val="1779326071"/>
              <w:rPr>
                <w:rFonts w:eastAsia="Times New Roman"/>
                <w:sz w:val="20"/>
                <w:szCs w:val="20"/>
              </w:rPr>
            </w:pPr>
            <w:r>
              <w:rPr>
                <w:rFonts w:eastAsia="Times New Roman"/>
                <w:sz w:val="20"/>
                <w:szCs w:val="20"/>
              </w:rPr>
              <w:t>—</w:t>
            </w:r>
          </w:p>
        </w:tc>
        <w:tc>
          <w:tcPr>
            <w:tcW w:w="0" w:type="auto"/>
            <w:vAlign w:val="bottom"/>
            <w:hideMark/>
          </w:tcPr>
          <w:p w14:paraId="201566C9" w14:textId="77777777" w:rsidR="00000000" w:rsidRDefault="00087966">
            <w:pPr>
              <w:rPr>
                <w:rFonts w:eastAsia="Times New Roman"/>
                <w:sz w:val="20"/>
                <w:szCs w:val="20"/>
              </w:rPr>
            </w:pPr>
            <w:r>
              <w:rPr>
                <w:rFonts w:eastAsia="Times New Roman"/>
                <w:sz w:val="20"/>
                <w:szCs w:val="20"/>
              </w:rPr>
              <w:t> </w:t>
            </w:r>
          </w:p>
        </w:tc>
      </w:tr>
      <w:tr w:rsidR="00000000" w14:paraId="5F2F9A7A" w14:textId="77777777">
        <w:trPr>
          <w:divId w:val="1595479706"/>
        </w:trPr>
        <w:tc>
          <w:tcPr>
            <w:tcW w:w="0" w:type="auto"/>
            <w:shd w:val="clear" w:color="auto" w:fill="CCEEFF"/>
            <w:tcMar>
              <w:top w:w="0" w:type="dxa"/>
              <w:left w:w="180" w:type="dxa"/>
              <w:bottom w:w="0" w:type="dxa"/>
              <w:right w:w="0" w:type="dxa"/>
            </w:tcMar>
            <w:vAlign w:val="bottom"/>
            <w:hideMark/>
          </w:tcPr>
          <w:p w14:paraId="70FFDFBD" w14:textId="77777777" w:rsidR="00000000" w:rsidRDefault="00087966">
            <w:pPr>
              <w:ind w:hanging="180"/>
              <w:rPr>
                <w:rFonts w:eastAsia="Times New Roman"/>
                <w:sz w:val="20"/>
                <w:szCs w:val="20"/>
              </w:rPr>
            </w:pPr>
            <w:r>
              <w:rPr>
                <w:rFonts w:eastAsia="Times New Roman"/>
                <w:sz w:val="20"/>
                <w:szCs w:val="20"/>
              </w:rPr>
              <w:t>Class A common stock, $0.0001 par value; 280,000,000 shares authorized;</w:t>
            </w:r>
            <w:r>
              <w:rPr>
                <w:rFonts w:eastAsia="Times New Roman"/>
                <w:sz w:val="20"/>
                <w:szCs w:val="20"/>
              </w:rPr>
              <w:t xml:space="preserve"> </w:t>
            </w:r>
            <w:r>
              <w:rPr>
                <w:rFonts w:eastAsia="Times New Roman"/>
                <w:sz w:val="20"/>
                <w:szCs w:val="20"/>
              </w:rPr>
              <w:t>non</w:t>
            </w:r>
            <w:r>
              <w:rPr>
                <w:rFonts w:eastAsia="Times New Roman"/>
                <w:sz w:val="20"/>
                <w:szCs w:val="20"/>
              </w:rPr>
              <w:t>e</w:t>
            </w:r>
            <w:r>
              <w:rPr>
                <w:rFonts w:eastAsia="Times New Roman"/>
                <w:sz w:val="20"/>
                <w:szCs w:val="20"/>
              </w:rPr>
              <w:t xml:space="preserve"> issued or outstanding (excluding 10,404,394 and 17,250,000 shares subject to possible redemption as of December 31, 2022 and 2021, respectiv</w:t>
            </w:r>
            <w:r>
              <w:rPr>
                <w:rFonts w:eastAsia="Times New Roman"/>
                <w:sz w:val="20"/>
                <w:szCs w:val="20"/>
              </w:rPr>
              <w:t>ely)</w:t>
            </w:r>
          </w:p>
        </w:tc>
        <w:tc>
          <w:tcPr>
            <w:tcW w:w="0" w:type="auto"/>
            <w:shd w:val="clear" w:color="auto" w:fill="CCEEFF"/>
            <w:vAlign w:val="bottom"/>
            <w:hideMark/>
          </w:tcPr>
          <w:p w14:paraId="23374C9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81611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75B5D2" w14:textId="77777777" w:rsidR="00000000" w:rsidRDefault="00087966">
            <w:pPr>
              <w:jc w:val="right"/>
              <w:divId w:val="1606157199"/>
              <w:rPr>
                <w:rFonts w:eastAsia="Times New Roman"/>
                <w:sz w:val="20"/>
                <w:szCs w:val="20"/>
              </w:rPr>
            </w:pPr>
            <w:r>
              <w:rPr>
                <w:rFonts w:eastAsia="Times New Roman"/>
                <w:sz w:val="20"/>
                <w:szCs w:val="20"/>
              </w:rPr>
              <w:t>—</w:t>
            </w:r>
          </w:p>
        </w:tc>
        <w:tc>
          <w:tcPr>
            <w:tcW w:w="0" w:type="auto"/>
            <w:shd w:val="clear" w:color="auto" w:fill="CCEEFF"/>
            <w:vAlign w:val="bottom"/>
            <w:hideMark/>
          </w:tcPr>
          <w:p w14:paraId="37CD21A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91519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32D9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282A94" w14:textId="77777777" w:rsidR="00000000" w:rsidRDefault="00087966">
            <w:pPr>
              <w:jc w:val="right"/>
              <w:divId w:val="140469725"/>
              <w:rPr>
                <w:rFonts w:eastAsia="Times New Roman"/>
                <w:sz w:val="20"/>
                <w:szCs w:val="20"/>
              </w:rPr>
            </w:pPr>
            <w:r>
              <w:rPr>
                <w:rFonts w:eastAsia="Times New Roman"/>
                <w:sz w:val="20"/>
                <w:szCs w:val="20"/>
              </w:rPr>
              <w:t>—</w:t>
            </w:r>
          </w:p>
        </w:tc>
        <w:tc>
          <w:tcPr>
            <w:tcW w:w="0" w:type="auto"/>
            <w:shd w:val="clear" w:color="auto" w:fill="CCEEFF"/>
            <w:vAlign w:val="bottom"/>
            <w:hideMark/>
          </w:tcPr>
          <w:p w14:paraId="43F66939" w14:textId="77777777" w:rsidR="00000000" w:rsidRDefault="00087966">
            <w:pPr>
              <w:rPr>
                <w:rFonts w:eastAsia="Times New Roman"/>
                <w:sz w:val="20"/>
                <w:szCs w:val="20"/>
              </w:rPr>
            </w:pPr>
            <w:r>
              <w:rPr>
                <w:rFonts w:eastAsia="Times New Roman"/>
                <w:sz w:val="20"/>
                <w:szCs w:val="20"/>
              </w:rPr>
              <w:t> </w:t>
            </w:r>
          </w:p>
        </w:tc>
      </w:tr>
      <w:tr w:rsidR="00000000" w14:paraId="61272CA5" w14:textId="77777777">
        <w:trPr>
          <w:divId w:val="1595479706"/>
        </w:trPr>
        <w:tc>
          <w:tcPr>
            <w:tcW w:w="0" w:type="auto"/>
            <w:tcMar>
              <w:top w:w="0" w:type="dxa"/>
              <w:left w:w="180" w:type="dxa"/>
              <w:bottom w:w="0" w:type="dxa"/>
              <w:right w:w="0" w:type="dxa"/>
            </w:tcMar>
            <w:vAlign w:val="bottom"/>
            <w:hideMark/>
          </w:tcPr>
          <w:p w14:paraId="4046344E" w14:textId="77777777" w:rsidR="00000000" w:rsidRDefault="00087966">
            <w:pPr>
              <w:ind w:hanging="180"/>
              <w:rPr>
                <w:rFonts w:eastAsia="Times New Roman"/>
                <w:sz w:val="20"/>
                <w:szCs w:val="20"/>
              </w:rPr>
            </w:pPr>
            <w:r>
              <w:rPr>
                <w:rFonts w:eastAsia="Times New Roman"/>
                <w:sz w:val="20"/>
                <w:szCs w:val="20"/>
              </w:rPr>
              <w:t>Class B common stock, $0.0001 par value; 20,000,000 shares authorized; 4,312,500 shares issued and outstanding as of December 31, 2022 and 2021</w:t>
            </w:r>
          </w:p>
        </w:tc>
        <w:tc>
          <w:tcPr>
            <w:tcW w:w="0" w:type="auto"/>
            <w:vAlign w:val="bottom"/>
            <w:hideMark/>
          </w:tcPr>
          <w:p w14:paraId="6051631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D53192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7F90F63" w14:textId="77777777" w:rsidR="00000000" w:rsidRDefault="00087966">
            <w:pPr>
              <w:jc w:val="right"/>
              <w:rPr>
                <w:rFonts w:eastAsia="Times New Roman"/>
                <w:sz w:val="20"/>
                <w:szCs w:val="20"/>
              </w:rPr>
            </w:pPr>
            <w:r>
              <w:rPr>
                <w:rFonts w:eastAsia="Times New Roman"/>
                <w:sz w:val="20"/>
                <w:szCs w:val="20"/>
              </w:rPr>
              <w:t>431</w:t>
            </w:r>
          </w:p>
        </w:tc>
        <w:tc>
          <w:tcPr>
            <w:tcW w:w="0" w:type="auto"/>
            <w:vAlign w:val="bottom"/>
            <w:hideMark/>
          </w:tcPr>
          <w:p w14:paraId="58D02C7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546D9D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A1F528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EAD43C8" w14:textId="77777777" w:rsidR="00000000" w:rsidRDefault="00087966">
            <w:pPr>
              <w:jc w:val="right"/>
              <w:rPr>
                <w:rFonts w:eastAsia="Times New Roman"/>
                <w:sz w:val="20"/>
                <w:szCs w:val="20"/>
              </w:rPr>
            </w:pPr>
            <w:r>
              <w:rPr>
                <w:rFonts w:eastAsia="Times New Roman"/>
                <w:sz w:val="20"/>
                <w:szCs w:val="20"/>
              </w:rPr>
              <w:t>431</w:t>
            </w:r>
          </w:p>
        </w:tc>
        <w:tc>
          <w:tcPr>
            <w:tcW w:w="0" w:type="auto"/>
            <w:vAlign w:val="bottom"/>
            <w:hideMark/>
          </w:tcPr>
          <w:p w14:paraId="480E217A" w14:textId="77777777" w:rsidR="00000000" w:rsidRDefault="00087966">
            <w:pPr>
              <w:rPr>
                <w:rFonts w:eastAsia="Times New Roman"/>
                <w:sz w:val="20"/>
                <w:szCs w:val="20"/>
              </w:rPr>
            </w:pPr>
            <w:r>
              <w:rPr>
                <w:rFonts w:eastAsia="Times New Roman"/>
                <w:sz w:val="20"/>
                <w:szCs w:val="20"/>
              </w:rPr>
              <w:t> </w:t>
            </w:r>
          </w:p>
        </w:tc>
      </w:tr>
      <w:tr w:rsidR="00000000" w14:paraId="37B592E9" w14:textId="77777777">
        <w:trPr>
          <w:divId w:val="1595479706"/>
        </w:trPr>
        <w:tc>
          <w:tcPr>
            <w:tcW w:w="0" w:type="auto"/>
            <w:shd w:val="clear" w:color="auto" w:fill="CCEEFF"/>
            <w:tcMar>
              <w:top w:w="0" w:type="dxa"/>
              <w:left w:w="180" w:type="dxa"/>
              <w:bottom w:w="0" w:type="dxa"/>
              <w:right w:w="0" w:type="dxa"/>
            </w:tcMar>
            <w:vAlign w:val="bottom"/>
            <w:hideMark/>
          </w:tcPr>
          <w:p w14:paraId="36E8A24A" w14:textId="77777777" w:rsidR="00000000" w:rsidRDefault="00087966">
            <w:pPr>
              <w:ind w:hanging="180"/>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14:paraId="15A6BD6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BC43E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85AC97" w14:textId="77777777" w:rsidR="00000000" w:rsidRDefault="00087966">
            <w:pPr>
              <w:jc w:val="right"/>
              <w:divId w:val="1983657934"/>
              <w:rPr>
                <w:rFonts w:eastAsia="Times New Roman"/>
                <w:sz w:val="20"/>
                <w:szCs w:val="20"/>
              </w:rPr>
            </w:pPr>
            <w:r>
              <w:rPr>
                <w:rFonts w:eastAsia="Times New Roman"/>
                <w:sz w:val="20"/>
                <w:szCs w:val="20"/>
              </w:rPr>
              <w:t>—</w:t>
            </w:r>
          </w:p>
        </w:tc>
        <w:tc>
          <w:tcPr>
            <w:tcW w:w="0" w:type="auto"/>
            <w:shd w:val="clear" w:color="auto" w:fill="CCEEFF"/>
            <w:vAlign w:val="bottom"/>
            <w:hideMark/>
          </w:tcPr>
          <w:p w14:paraId="083AF52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A7F0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48F8E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8288D1" w14:textId="77777777" w:rsidR="00000000" w:rsidRDefault="00087966">
            <w:pPr>
              <w:jc w:val="right"/>
              <w:divId w:val="1918316862"/>
              <w:rPr>
                <w:rFonts w:eastAsia="Times New Roman"/>
                <w:sz w:val="20"/>
                <w:szCs w:val="20"/>
              </w:rPr>
            </w:pPr>
            <w:r>
              <w:rPr>
                <w:rFonts w:eastAsia="Times New Roman"/>
                <w:sz w:val="20"/>
                <w:szCs w:val="20"/>
              </w:rPr>
              <w:t>—</w:t>
            </w:r>
          </w:p>
        </w:tc>
        <w:tc>
          <w:tcPr>
            <w:tcW w:w="0" w:type="auto"/>
            <w:shd w:val="clear" w:color="auto" w:fill="CCEEFF"/>
            <w:vAlign w:val="bottom"/>
            <w:hideMark/>
          </w:tcPr>
          <w:p w14:paraId="65C7A944" w14:textId="77777777" w:rsidR="00000000" w:rsidRDefault="00087966">
            <w:pPr>
              <w:rPr>
                <w:rFonts w:eastAsia="Times New Roman"/>
                <w:sz w:val="20"/>
                <w:szCs w:val="20"/>
              </w:rPr>
            </w:pPr>
            <w:r>
              <w:rPr>
                <w:rFonts w:eastAsia="Times New Roman"/>
                <w:sz w:val="20"/>
                <w:szCs w:val="20"/>
              </w:rPr>
              <w:t> </w:t>
            </w:r>
          </w:p>
        </w:tc>
      </w:tr>
      <w:tr w:rsidR="00000000" w14:paraId="4D2316BF" w14:textId="77777777">
        <w:trPr>
          <w:divId w:val="1595479706"/>
        </w:trPr>
        <w:tc>
          <w:tcPr>
            <w:tcW w:w="0" w:type="auto"/>
            <w:tcMar>
              <w:top w:w="0" w:type="dxa"/>
              <w:left w:w="180" w:type="dxa"/>
              <w:bottom w:w="30" w:type="dxa"/>
              <w:right w:w="0" w:type="dxa"/>
            </w:tcMar>
            <w:vAlign w:val="bottom"/>
            <w:hideMark/>
          </w:tcPr>
          <w:p w14:paraId="4BD1BC20" w14:textId="77777777" w:rsidR="00000000" w:rsidRDefault="00087966">
            <w:pPr>
              <w:ind w:hanging="180"/>
              <w:rPr>
                <w:rFonts w:eastAsia="Times New Roman"/>
                <w:sz w:val="20"/>
                <w:szCs w:val="20"/>
              </w:rPr>
            </w:pPr>
            <w:r>
              <w:rPr>
                <w:rFonts w:eastAsia="Times New Roman"/>
                <w:sz w:val="20"/>
                <w:szCs w:val="20"/>
              </w:rPr>
              <w:t>Accumulated deficit</w:t>
            </w:r>
          </w:p>
        </w:tc>
        <w:tc>
          <w:tcPr>
            <w:tcW w:w="0" w:type="auto"/>
            <w:tcMar>
              <w:top w:w="0" w:type="dxa"/>
              <w:left w:w="0" w:type="dxa"/>
              <w:bottom w:w="30" w:type="dxa"/>
              <w:right w:w="0" w:type="dxa"/>
            </w:tcMar>
            <w:vAlign w:val="bottom"/>
            <w:hideMark/>
          </w:tcPr>
          <w:p w14:paraId="482AFC6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421E106"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2C26259" w14:textId="77777777" w:rsidR="00000000" w:rsidRDefault="00087966">
            <w:pPr>
              <w:jc w:val="right"/>
              <w:rPr>
                <w:rFonts w:eastAsia="Times New Roman"/>
                <w:sz w:val="20"/>
                <w:szCs w:val="20"/>
              </w:rPr>
            </w:pPr>
            <w:r>
              <w:rPr>
                <w:rFonts w:eastAsia="Times New Roman"/>
                <w:sz w:val="20"/>
                <w:szCs w:val="20"/>
              </w:rPr>
              <w:t>(12,207,769</w:t>
            </w:r>
          </w:p>
        </w:tc>
        <w:tc>
          <w:tcPr>
            <w:tcW w:w="0" w:type="auto"/>
            <w:tcMar>
              <w:top w:w="0" w:type="dxa"/>
              <w:left w:w="0" w:type="dxa"/>
              <w:bottom w:w="30" w:type="dxa"/>
              <w:right w:w="0" w:type="dxa"/>
            </w:tcMar>
            <w:vAlign w:val="bottom"/>
            <w:hideMark/>
          </w:tcPr>
          <w:p w14:paraId="4643A887" w14:textId="77777777" w:rsidR="00000000" w:rsidRDefault="00087966">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CA525B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6A50C83"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4DDE36C" w14:textId="77777777" w:rsidR="00000000" w:rsidRDefault="00087966">
            <w:pPr>
              <w:jc w:val="right"/>
              <w:rPr>
                <w:rFonts w:eastAsia="Times New Roman"/>
                <w:sz w:val="20"/>
                <w:szCs w:val="20"/>
              </w:rPr>
            </w:pPr>
            <w:r>
              <w:rPr>
                <w:rFonts w:eastAsia="Times New Roman"/>
                <w:sz w:val="20"/>
                <w:szCs w:val="20"/>
              </w:rPr>
              <w:t>(14,506,334</w:t>
            </w:r>
          </w:p>
        </w:tc>
        <w:tc>
          <w:tcPr>
            <w:tcW w:w="0" w:type="auto"/>
            <w:tcMar>
              <w:top w:w="0" w:type="dxa"/>
              <w:left w:w="0" w:type="dxa"/>
              <w:bottom w:w="30" w:type="dxa"/>
              <w:right w:w="0" w:type="dxa"/>
            </w:tcMar>
            <w:vAlign w:val="bottom"/>
            <w:hideMark/>
          </w:tcPr>
          <w:p w14:paraId="1F6A53F1" w14:textId="77777777" w:rsidR="00000000" w:rsidRDefault="00087966">
            <w:pPr>
              <w:rPr>
                <w:rFonts w:eastAsia="Times New Roman"/>
                <w:sz w:val="20"/>
                <w:szCs w:val="20"/>
              </w:rPr>
            </w:pPr>
            <w:r>
              <w:rPr>
                <w:rFonts w:eastAsia="Times New Roman"/>
                <w:sz w:val="20"/>
                <w:szCs w:val="20"/>
              </w:rPr>
              <w:t>)</w:t>
            </w:r>
          </w:p>
        </w:tc>
      </w:tr>
      <w:tr w:rsidR="00000000" w14:paraId="3ECE373A" w14:textId="77777777">
        <w:trPr>
          <w:divId w:val="1595479706"/>
        </w:trPr>
        <w:tc>
          <w:tcPr>
            <w:tcW w:w="0" w:type="auto"/>
            <w:shd w:val="clear" w:color="auto" w:fill="CCEEFF"/>
            <w:tcMar>
              <w:top w:w="0" w:type="dxa"/>
              <w:left w:w="180" w:type="dxa"/>
              <w:bottom w:w="30" w:type="dxa"/>
              <w:right w:w="0" w:type="dxa"/>
            </w:tcMar>
            <w:vAlign w:val="bottom"/>
            <w:hideMark/>
          </w:tcPr>
          <w:p w14:paraId="562C8131" w14:textId="77777777" w:rsidR="00000000" w:rsidRDefault="00087966">
            <w:pPr>
              <w:ind w:hanging="180"/>
              <w:rPr>
                <w:rFonts w:eastAsia="Times New Roman"/>
                <w:b/>
                <w:bCs/>
                <w:sz w:val="20"/>
                <w:szCs w:val="20"/>
              </w:rPr>
            </w:pPr>
            <w:r>
              <w:rPr>
                <w:rFonts w:eastAsia="Times New Roman"/>
                <w:b/>
                <w:bCs/>
                <w:sz w:val="20"/>
                <w:szCs w:val="20"/>
              </w:rPr>
              <w:t>Total Stockholders’ Deficit</w:t>
            </w:r>
          </w:p>
        </w:tc>
        <w:tc>
          <w:tcPr>
            <w:tcW w:w="0" w:type="auto"/>
            <w:shd w:val="clear" w:color="auto" w:fill="CCEEFF"/>
            <w:tcMar>
              <w:top w:w="0" w:type="dxa"/>
              <w:left w:w="0" w:type="dxa"/>
              <w:bottom w:w="30" w:type="dxa"/>
              <w:right w:w="0" w:type="dxa"/>
            </w:tcMar>
            <w:vAlign w:val="bottom"/>
            <w:hideMark/>
          </w:tcPr>
          <w:p w14:paraId="04650C8C"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9EFEDF"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5A48AB3" w14:textId="77777777" w:rsidR="00000000" w:rsidRDefault="00087966">
            <w:pPr>
              <w:jc w:val="right"/>
              <w:rPr>
                <w:rFonts w:eastAsia="Times New Roman"/>
                <w:sz w:val="20"/>
                <w:szCs w:val="20"/>
              </w:rPr>
            </w:pPr>
            <w:r>
              <w:rPr>
                <w:rFonts w:eastAsia="Times New Roman"/>
                <w:b/>
                <w:bCs/>
                <w:sz w:val="20"/>
                <w:szCs w:val="20"/>
              </w:rPr>
              <w:t>(12,207,338</w:t>
            </w:r>
          </w:p>
        </w:tc>
        <w:tc>
          <w:tcPr>
            <w:tcW w:w="0" w:type="auto"/>
            <w:shd w:val="clear" w:color="auto" w:fill="CCEEFF"/>
            <w:tcMar>
              <w:top w:w="0" w:type="dxa"/>
              <w:left w:w="0" w:type="dxa"/>
              <w:bottom w:w="30" w:type="dxa"/>
              <w:right w:w="0" w:type="dxa"/>
            </w:tcMar>
            <w:vAlign w:val="bottom"/>
            <w:hideMark/>
          </w:tcPr>
          <w:p w14:paraId="4469DF20" w14:textId="77777777" w:rsidR="00000000" w:rsidRDefault="00087966">
            <w:pPr>
              <w:rPr>
                <w:rFonts w:eastAsia="Times New Roman"/>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14:paraId="2CA1B042" w14:textId="77777777" w:rsidR="00000000" w:rsidRDefault="00087966">
            <w:pP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51F3A174" w14:textId="77777777" w:rsidR="00000000" w:rsidRDefault="00087966">
            <w:pPr>
              <w:rPr>
                <w:rFonts w:eastAsia="Times New Roman"/>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0A85B1F1" w14:textId="77777777" w:rsidR="00000000" w:rsidRDefault="00087966">
            <w:pPr>
              <w:jc w:val="right"/>
              <w:rPr>
                <w:rFonts w:eastAsia="Times New Roman"/>
                <w:sz w:val="20"/>
                <w:szCs w:val="20"/>
              </w:rPr>
            </w:pPr>
            <w:r>
              <w:rPr>
                <w:rFonts w:eastAsia="Times New Roman"/>
                <w:b/>
                <w:bCs/>
                <w:sz w:val="20"/>
                <w:szCs w:val="20"/>
              </w:rPr>
              <w:t>(14,505,903</w:t>
            </w:r>
          </w:p>
        </w:tc>
        <w:tc>
          <w:tcPr>
            <w:tcW w:w="0" w:type="auto"/>
            <w:shd w:val="clear" w:color="auto" w:fill="CCEEFF"/>
            <w:tcMar>
              <w:top w:w="0" w:type="dxa"/>
              <w:left w:w="0" w:type="dxa"/>
              <w:bottom w:w="30" w:type="dxa"/>
              <w:right w:w="0" w:type="dxa"/>
            </w:tcMar>
            <w:vAlign w:val="bottom"/>
            <w:hideMark/>
          </w:tcPr>
          <w:p w14:paraId="46081303" w14:textId="77777777" w:rsidR="00000000" w:rsidRDefault="00087966">
            <w:pPr>
              <w:rPr>
                <w:rFonts w:eastAsia="Times New Roman"/>
                <w:sz w:val="20"/>
                <w:szCs w:val="20"/>
              </w:rPr>
            </w:pPr>
            <w:r>
              <w:rPr>
                <w:rFonts w:eastAsia="Times New Roman"/>
                <w:b/>
                <w:bCs/>
                <w:sz w:val="20"/>
                <w:szCs w:val="20"/>
              </w:rPr>
              <w:t>)</w:t>
            </w:r>
          </w:p>
        </w:tc>
      </w:tr>
      <w:tr w:rsidR="00000000" w14:paraId="0EA4CDE1" w14:textId="77777777">
        <w:trPr>
          <w:divId w:val="1595479706"/>
        </w:trPr>
        <w:tc>
          <w:tcPr>
            <w:tcW w:w="0" w:type="auto"/>
            <w:tcMar>
              <w:top w:w="0" w:type="dxa"/>
              <w:left w:w="180" w:type="dxa"/>
              <w:bottom w:w="80" w:type="dxa"/>
              <w:right w:w="0" w:type="dxa"/>
            </w:tcMar>
            <w:vAlign w:val="bottom"/>
            <w:hideMark/>
          </w:tcPr>
          <w:p w14:paraId="08297D72" w14:textId="77777777" w:rsidR="00000000" w:rsidRDefault="00087966">
            <w:pPr>
              <w:ind w:hanging="180"/>
              <w:rPr>
                <w:rFonts w:eastAsia="Times New Roman"/>
                <w:b/>
                <w:bCs/>
                <w:sz w:val="20"/>
                <w:szCs w:val="20"/>
              </w:rPr>
            </w:pPr>
            <w:r>
              <w:rPr>
                <w:rFonts w:eastAsia="Times New Roman"/>
                <w:b/>
                <w:bCs/>
                <w:sz w:val="20"/>
                <w:szCs w:val="20"/>
              </w:rPr>
              <w:t>TOTAL LIABILITIES, TEMPORARY EQUITY, AND STOCKHOLDERS’ DEFICIT</w:t>
            </w:r>
          </w:p>
        </w:tc>
        <w:tc>
          <w:tcPr>
            <w:tcW w:w="0" w:type="auto"/>
            <w:tcMar>
              <w:top w:w="0" w:type="dxa"/>
              <w:left w:w="0" w:type="dxa"/>
              <w:bottom w:w="80" w:type="dxa"/>
              <w:right w:w="0" w:type="dxa"/>
            </w:tcMar>
            <w:vAlign w:val="bottom"/>
            <w:hideMark/>
          </w:tcPr>
          <w:p w14:paraId="3ABE3BEE"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2F0DF82C"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45F67A3D" w14:textId="77777777" w:rsidR="00000000" w:rsidRDefault="00087966">
            <w:pPr>
              <w:jc w:val="right"/>
              <w:rPr>
                <w:rFonts w:eastAsia="Times New Roman"/>
                <w:b/>
                <w:bCs/>
                <w:sz w:val="20"/>
                <w:szCs w:val="20"/>
              </w:rPr>
            </w:pPr>
            <w:r>
              <w:rPr>
                <w:rFonts w:eastAsia="Times New Roman"/>
                <w:b/>
                <w:bCs/>
                <w:sz w:val="20"/>
                <w:szCs w:val="20"/>
              </w:rPr>
              <w:t>107,433,910</w:t>
            </w:r>
          </w:p>
        </w:tc>
        <w:tc>
          <w:tcPr>
            <w:tcW w:w="0" w:type="auto"/>
            <w:tcMar>
              <w:top w:w="0" w:type="dxa"/>
              <w:left w:w="0" w:type="dxa"/>
              <w:bottom w:w="80" w:type="dxa"/>
              <w:right w:w="0" w:type="dxa"/>
            </w:tcMar>
            <w:vAlign w:val="bottom"/>
            <w:hideMark/>
          </w:tcPr>
          <w:p w14:paraId="1BBC503A"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225E8149"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E929A8C"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793FBC35" w14:textId="77777777" w:rsidR="00000000" w:rsidRDefault="00087966">
            <w:pPr>
              <w:jc w:val="right"/>
              <w:rPr>
                <w:rFonts w:eastAsia="Times New Roman"/>
                <w:b/>
                <w:bCs/>
                <w:sz w:val="20"/>
                <w:szCs w:val="20"/>
              </w:rPr>
            </w:pPr>
            <w:r>
              <w:rPr>
                <w:rFonts w:eastAsia="Times New Roman"/>
                <w:b/>
                <w:bCs/>
                <w:sz w:val="20"/>
                <w:szCs w:val="20"/>
              </w:rPr>
              <w:t>172,980,682</w:t>
            </w:r>
          </w:p>
        </w:tc>
        <w:tc>
          <w:tcPr>
            <w:tcW w:w="0" w:type="auto"/>
            <w:tcMar>
              <w:top w:w="0" w:type="dxa"/>
              <w:left w:w="0" w:type="dxa"/>
              <w:bottom w:w="80" w:type="dxa"/>
              <w:right w:w="0" w:type="dxa"/>
            </w:tcMar>
            <w:vAlign w:val="bottom"/>
            <w:hideMark/>
          </w:tcPr>
          <w:p w14:paraId="1D2424CF" w14:textId="77777777" w:rsidR="00000000" w:rsidRDefault="00087966">
            <w:pPr>
              <w:rPr>
                <w:rFonts w:eastAsia="Times New Roman"/>
                <w:b/>
                <w:bCs/>
                <w:sz w:val="20"/>
                <w:szCs w:val="20"/>
              </w:rPr>
            </w:pPr>
            <w:r>
              <w:rPr>
                <w:rFonts w:eastAsia="Times New Roman"/>
                <w:b/>
                <w:bCs/>
                <w:sz w:val="20"/>
                <w:szCs w:val="20"/>
              </w:rPr>
              <w:t> </w:t>
            </w:r>
          </w:p>
        </w:tc>
      </w:tr>
    </w:tbl>
    <w:p w14:paraId="637AD873" w14:textId="77777777" w:rsidR="00000000" w:rsidRDefault="00087966">
      <w:pPr>
        <w:pStyle w:val="a3"/>
        <w:spacing w:before="0" w:beforeAutospacing="0" w:after="0" w:afterAutospacing="0"/>
        <w:jc w:val="center"/>
        <w:divId w:val="1595479706"/>
        <w:rPr>
          <w:sz w:val="20"/>
          <w:szCs w:val="20"/>
        </w:rPr>
      </w:pPr>
      <w:r>
        <w:rPr>
          <w:b/>
          <w:bCs/>
          <w:sz w:val="20"/>
          <w:szCs w:val="20"/>
        </w:rPr>
        <w:t> </w:t>
      </w:r>
    </w:p>
    <w:p w14:paraId="7ACE97F4" w14:textId="77777777" w:rsidR="00000000" w:rsidRDefault="00087966">
      <w:pPr>
        <w:pStyle w:val="a3"/>
        <w:spacing w:before="0" w:beforeAutospacing="0" w:after="0" w:afterAutospacing="0"/>
        <w:jc w:val="center"/>
        <w:divId w:val="1595479706"/>
        <w:rPr>
          <w:sz w:val="20"/>
          <w:szCs w:val="20"/>
        </w:rPr>
      </w:pPr>
      <w:r>
        <w:rPr>
          <w:i/>
          <w:iCs/>
          <w:sz w:val="20"/>
          <w:szCs w:val="20"/>
        </w:rPr>
        <w:t>The accompanying notes are an integral part of the consolidated financial statements.</w:t>
      </w:r>
    </w:p>
    <w:p w14:paraId="62A86639" w14:textId="77777777" w:rsidR="00000000" w:rsidRDefault="00087966">
      <w:pPr>
        <w:pStyle w:val="a3"/>
        <w:spacing w:before="0" w:beforeAutospacing="0" w:after="0" w:afterAutospacing="0"/>
        <w:jc w:val="center"/>
        <w:divId w:val="1595479706"/>
        <w:rPr>
          <w:sz w:val="20"/>
          <w:szCs w:val="20"/>
        </w:rPr>
      </w:pPr>
      <w:r>
        <w:rPr>
          <w:i/>
          <w:iCs/>
          <w:sz w:val="20"/>
          <w:szCs w:val="20"/>
        </w:rPr>
        <w:t> </w:t>
      </w:r>
    </w:p>
    <w:p w14:paraId="716678D6" w14:textId="77777777" w:rsidR="00000000" w:rsidRDefault="00087966">
      <w:pPr>
        <w:pStyle w:val="a3"/>
        <w:spacing w:before="0" w:beforeAutospacing="0" w:after="0" w:afterAutospacing="0"/>
        <w:jc w:val="center"/>
        <w:divId w:val="1171026487"/>
        <w:rPr>
          <w:sz w:val="20"/>
          <w:szCs w:val="20"/>
        </w:rPr>
      </w:pPr>
      <w:r>
        <w:rPr>
          <w:sz w:val="20"/>
          <w:szCs w:val="20"/>
        </w:rPr>
        <w:t>F</w:t>
      </w:r>
      <w:r>
        <w:rPr>
          <w:sz w:val="20"/>
          <w:szCs w:val="20"/>
        </w:rPr>
        <w:t>-</w:t>
      </w:r>
      <w:r>
        <w:rPr>
          <w:sz w:val="20"/>
          <w:szCs w:val="20"/>
        </w:rPr>
        <w:t>2</w:t>
      </w:r>
    </w:p>
    <w:p w14:paraId="0336ABAC" w14:textId="77777777" w:rsidR="00000000" w:rsidRDefault="00087966">
      <w:pPr>
        <w:pStyle w:val="a3"/>
        <w:spacing w:before="0" w:beforeAutospacing="0" w:after="0" w:afterAutospacing="0"/>
        <w:divId w:val="1687098928"/>
        <w:rPr>
          <w:sz w:val="20"/>
          <w:szCs w:val="20"/>
        </w:rPr>
      </w:pPr>
      <w:r>
        <w:rPr>
          <w:sz w:val="20"/>
          <w:szCs w:val="20"/>
        </w:rPr>
        <w:t> </w:t>
      </w:r>
    </w:p>
    <w:p w14:paraId="636497C2" w14:textId="77777777" w:rsidR="00000000" w:rsidRDefault="00087966">
      <w:pPr>
        <w:pStyle w:val="a3"/>
        <w:spacing w:before="0" w:beforeAutospacing="0" w:after="0" w:afterAutospacing="0"/>
        <w:jc w:val="center"/>
        <w:divId w:val="1595479706"/>
        <w:rPr>
          <w:sz w:val="20"/>
          <w:szCs w:val="20"/>
        </w:rPr>
      </w:pPr>
      <w:r>
        <w:rPr>
          <w:i/>
          <w:iCs/>
          <w:sz w:val="20"/>
          <w:szCs w:val="20"/>
        </w:rPr>
        <w:t> </w:t>
      </w:r>
    </w:p>
    <w:p w14:paraId="251EE91D"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2DE1BCC7" w14:textId="77777777" w:rsidR="00000000" w:rsidRDefault="00087966">
      <w:pPr>
        <w:pStyle w:val="a3"/>
        <w:spacing w:before="0" w:beforeAutospacing="0" w:after="0" w:afterAutospacing="0"/>
        <w:jc w:val="center"/>
        <w:divId w:val="1595479706"/>
        <w:rPr>
          <w:sz w:val="20"/>
          <w:szCs w:val="20"/>
        </w:rPr>
      </w:pPr>
      <w:r>
        <w:rPr>
          <w:b/>
          <w:bCs/>
          <w:sz w:val="20"/>
          <w:szCs w:val="20"/>
        </w:rPr>
        <w:t>CONSOLIDATED STATEMENTS OF OPERATIONS</w:t>
      </w:r>
    </w:p>
    <w:p w14:paraId="4813DD75" w14:textId="77777777" w:rsidR="00000000" w:rsidRDefault="00087966">
      <w:pPr>
        <w:pStyle w:val="a3"/>
        <w:spacing w:before="0" w:beforeAutospacing="0" w:after="0" w:afterAutospacing="0"/>
        <w:jc w:val="center"/>
        <w:divId w:val="1595479706"/>
        <w:rPr>
          <w:sz w:val="20"/>
          <w:szCs w:val="20"/>
        </w:rPr>
      </w:pPr>
      <w:r>
        <w:rPr>
          <w:b/>
          <w:bCs/>
          <w:sz w:val="20"/>
          <w:szCs w:val="20"/>
        </w:rPr>
        <w:t> </w:t>
      </w:r>
    </w:p>
    <w:p w14:paraId="3D23B010" w14:textId="77777777" w:rsidR="00000000" w:rsidRDefault="00087966">
      <w:pPr>
        <w:pStyle w:val="a3"/>
        <w:spacing w:before="0" w:beforeAutospacing="0" w:after="0" w:afterAutospacing="0"/>
        <w:jc w:val="center"/>
        <w:divId w:val="1595479706"/>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072"/>
        <w:gridCol w:w="50"/>
        <w:gridCol w:w="100"/>
        <w:gridCol w:w="900"/>
        <w:gridCol w:w="67"/>
        <w:gridCol w:w="50"/>
        <w:gridCol w:w="100"/>
        <w:gridCol w:w="900"/>
        <w:gridCol w:w="67"/>
      </w:tblGrid>
      <w:tr w:rsidR="00000000" w14:paraId="4830AC94" w14:textId="77777777">
        <w:trPr>
          <w:divId w:val="1595479706"/>
        </w:trPr>
        <w:tc>
          <w:tcPr>
            <w:tcW w:w="0" w:type="auto"/>
            <w:vAlign w:val="bottom"/>
            <w:hideMark/>
          </w:tcPr>
          <w:p w14:paraId="1D26387F" w14:textId="77777777" w:rsidR="00000000" w:rsidRDefault="0008796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E521C14" w14:textId="77777777" w:rsidR="00000000" w:rsidRDefault="00087966">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F0C1119" w14:textId="77777777" w:rsidR="00000000" w:rsidRDefault="00087966">
            <w:pPr>
              <w:jc w:val="center"/>
              <w:rPr>
                <w:rFonts w:eastAsia="Times New Roman"/>
                <w:b/>
                <w:bCs/>
                <w:sz w:val="20"/>
                <w:szCs w:val="20"/>
              </w:rPr>
            </w:pPr>
            <w:r>
              <w:rPr>
                <w:rFonts w:eastAsia="Times New Roman"/>
                <w:b/>
                <w:bCs/>
                <w:sz w:val="20"/>
                <w:szCs w:val="20"/>
              </w:rPr>
              <w:t>For the years ended</w:t>
            </w:r>
            <w:r>
              <w:rPr>
                <w:rFonts w:eastAsia="Times New Roman"/>
                <w:b/>
                <w:bCs/>
                <w:sz w:val="20"/>
                <w:szCs w:val="20"/>
              </w:rPr>
              <w:br/>
              <w:t>December 31,</w:t>
            </w:r>
          </w:p>
        </w:tc>
        <w:tc>
          <w:tcPr>
            <w:tcW w:w="0" w:type="auto"/>
            <w:tcMar>
              <w:top w:w="0" w:type="dxa"/>
              <w:left w:w="0" w:type="dxa"/>
              <w:bottom w:w="30" w:type="dxa"/>
              <w:right w:w="0" w:type="dxa"/>
            </w:tcMar>
            <w:vAlign w:val="bottom"/>
            <w:hideMark/>
          </w:tcPr>
          <w:p w14:paraId="5CF899C9" w14:textId="77777777" w:rsidR="00000000" w:rsidRDefault="00087966">
            <w:pPr>
              <w:rPr>
                <w:rFonts w:eastAsia="Times New Roman"/>
                <w:b/>
                <w:bCs/>
                <w:sz w:val="20"/>
                <w:szCs w:val="20"/>
              </w:rPr>
            </w:pPr>
            <w:r>
              <w:rPr>
                <w:rFonts w:eastAsia="Times New Roman"/>
                <w:b/>
                <w:bCs/>
                <w:sz w:val="20"/>
                <w:szCs w:val="20"/>
              </w:rPr>
              <w:t> </w:t>
            </w:r>
          </w:p>
        </w:tc>
      </w:tr>
      <w:tr w:rsidR="00000000" w14:paraId="48B0D41D" w14:textId="77777777">
        <w:trPr>
          <w:divId w:val="1595479706"/>
        </w:trPr>
        <w:tc>
          <w:tcPr>
            <w:tcW w:w="0" w:type="auto"/>
            <w:vAlign w:val="bottom"/>
            <w:hideMark/>
          </w:tcPr>
          <w:p w14:paraId="0E598D93" w14:textId="77777777" w:rsidR="00000000" w:rsidRDefault="0008796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C98F1C8"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2805408" w14:textId="77777777" w:rsidR="00000000" w:rsidRDefault="00087966">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0024909A"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5CC0152"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E5B620F" w14:textId="77777777" w:rsidR="00000000" w:rsidRDefault="00087966">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22CDB54B" w14:textId="77777777" w:rsidR="00000000" w:rsidRDefault="00087966">
            <w:pPr>
              <w:rPr>
                <w:rFonts w:eastAsia="Times New Roman"/>
                <w:b/>
                <w:bCs/>
                <w:sz w:val="20"/>
                <w:szCs w:val="20"/>
              </w:rPr>
            </w:pPr>
            <w:r>
              <w:rPr>
                <w:rFonts w:eastAsia="Times New Roman"/>
                <w:b/>
                <w:bCs/>
                <w:sz w:val="20"/>
                <w:szCs w:val="20"/>
              </w:rPr>
              <w:t> </w:t>
            </w:r>
          </w:p>
        </w:tc>
      </w:tr>
      <w:tr w:rsidR="00000000" w14:paraId="19FFA6FA" w14:textId="77777777">
        <w:trPr>
          <w:divId w:val="1595479706"/>
        </w:trPr>
        <w:tc>
          <w:tcPr>
            <w:tcW w:w="0" w:type="auto"/>
            <w:vAlign w:val="bottom"/>
            <w:hideMark/>
          </w:tcPr>
          <w:p w14:paraId="42C63C8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A0C87F1"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5DC8094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E18FC1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F8C4F54"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44CC3A3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9E1E449" w14:textId="77777777" w:rsidR="00000000" w:rsidRDefault="00087966">
            <w:pPr>
              <w:rPr>
                <w:rFonts w:eastAsia="Times New Roman"/>
                <w:sz w:val="20"/>
                <w:szCs w:val="20"/>
              </w:rPr>
            </w:pPr>
            <w:r>
              <w:rPr>
                <w:rFonts w:eastAsia="Times New Roman"/>
                <w:sz w:val="20"/>
                <w:szCs w:val="20"/>
              </w:rPr>
              <w:t> </w:t>
            </w:r>
          </w:p>
        </w:tc>
      </w:tr>
      <w:tr w:rsidR="00000000" w14:paraId="0B926570" w14:textId="77777777">
        <w:trPr>
          <w:divId w:val="1595479706"/>
        </w:trPr>
        <w:tc>
          <w:tcPr>
            <w:tcW w:w="3800" w:type="pct"/>
            <w:shd w:val="clear" w:color="auto" w:fill="CCEEFF"/>
            <w:tcMar>
              <w:top w:w="0" w:type="dxa"/>
              <w:left w:w="0" w:type="dxa"/>
              <w:bottom w:w="30" w:type="dxa"/>
              <w:right w:w="0" w:type="dxa"/>
            </w:tcMar>
            <w:vAlign w:val="bottom"/>
            <w:hideMark/>
          </w:tcPr>
          <w:p w14:paraId="7FB59238" w14:textId="77777777" w:rsidR="00000000" w:rsidRDefault="00087966">
            <w:pPr>
              <w:rPr>
                <w:rFonts w:eastAsia="Times New Roman"/>
                <w:sz w:val="20"/>
                <w:szCs w:val="20"/>
              </w:rPr>
            </w:pPr>
            <w:r>
              <w:rPr>
                <w:rFonts w:eastAsia="Times New Roman"/>
                <w:sz w:val="20"/>
                <w:szCs w:val="20"/>
              </w:rPr>
              <w:t>Formation and operational costs</w:t>
            </w:r>
          </w:p>
        </w:tc>
        <w:tc>
          <w:tcPr>
            <w:tcW w:w="50" w:type="pct"/>
            <w:shd w:val="clear" w:color="auto" w:fill="CCEEFF"/>
            <w:tcMar>
              <w:top w:w="0" w:type="dxa"/>
              <w:left w:w="0" w:type="dxa"/>
              <w:bottom w:w="30" w:type="dxa"/>
              <w:right w:w="0" w:type="dxa"/>
            </w:tcMar>
            <w:vAlign w:val="bottom"/>
            <w:hideMark/>
          </w:tcPr>
          <w:p w14:paraId="73B76088" w14:textId="77777777" w:rsidR="00000000" w:rsidRDefault="0008796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5CFF3AB7" w14:textId="77777777" w:rsidR="00000000" w:rsidRDefault="00087966">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467C5B51" w14:textId="77777777" w:rsidR="00000000" w:rsidRDefault="00087966">
            <w:pPr>
              <w:jc w:val="right"/>
              <w:rPr>
                <w:rFonts w:eastAsia="Times New Roman"/>
                <w:sz w:val="20"/>
                <w:szCs w:val="20"/>
              </w:rPr>
            </w:pPr>
            <w:r>
              <w:rPr>
                <w:rFonts w:eastAsia="Times New Roman"/>
                <w:sz w:val="20"/>
                <w:szCs w:val="20"/>
              </w:rPr>
              <w:t>3,900,302</w:t>
            </w:r>
          </w:p>
        </w:tc>
        <w:tc>
          <w:tcPr>
            <w:tcW w:w="50" w:type="pct"/>
            <w:shd w:val="clear" w:color="auto" w:fill="CCEEFF"/>
            <w:tcMar>
              <w:top w:w="0" w:type="dxa"/>
              <w:left w:w="0" w:type="dxa"/>
              <w:bottom w:w="30" w:type="dxa"/>
              <w:right w:w="0" w:type="dxa"/>
            </w:tcMar>
            <w:vAlign w:val="bottom"/>
            <w:hideMark/>
          </w:tcPr>
          <w:p w14:paraId="2BC80E4A"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34D8FAE2" w14:textId="77777777" w:rsidR="00000000" w:rsidRDefault="0008796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031D8D51" w14:textId="77777777" w:rsidR="00000000" w:rsidRDefault="00087966">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1FC30E68" w14:textId="77777777" w:rsidR="00000000" w:rsidRDefault="00087966">
            <w:pPr>
              <w:jc w:val="right"/>
              <w:rPr>
                <w:rFonts w:eastAsia="Times New Roman"/>
                <w:sz w:val="20"/>
                <w:szCs w:val="20"/>
              </w:rPr>
            </w:pPr>
            <w:r>
              <w:rPr>
                <w:rFonts w:eastAsia="Times New Roman"/>
                <w:sz w:val="20"/>
                <w:szCs w:val="20"/>
              </w:rPr>
              <w:t>1,605,912</w:t>
            </w:r>
          </w:p>
        </w:tc>
        <w:tc>
          <w:tcPr>
            <w:tcW w:w="50" w:type="pct"/>
            <w:shd w:val="clear" w:color="auto" w:fill="CCEEFF"/>
            <w:tcMar>
              <w:top w:w="0" w:type="dxa"/>
              <w:left w:w="0" w:type="dxa"/>
              <w:bottom w:w="30" w:type="dxa"/>
              <w:right w:w="0" w:type="dxa"/>
            </w:tcMar>
            <w:vAlign w:val="bottom"/>
            <w:hideMark/>
          </w:tcPr>
          <w:p w14:paraId="190C652E" w14:textId="77777777" w:rsidR="00000000" w:rsidRDefault="00087966">
            <w:pPr>
              <w:rPr>
                <w:rFonts w:eastAsia="Times New Roman"/>
                <w:sz w:val="20"/>
                <w:szCs w:val="20"/>
              </w:rPr>
            </w:pPr>
            <w:r>
              <w:rPr>
                <w:rFonts w:eastAsia="Times New Roman"/>
                <w:sz w:val="20"/>
                <w:szCs w:val="20"/>
              </w:rPr>
              <w:t> </w:t>
            </w:r>
          </w:p>
        </w:tc>
      </w:tr>
      <w:tr w:rsidR="00000000" w14:paraId="7CDACA34" w14:textId="77777777">
        <w:trPr>
          <w:divId w:val="1595479706"/>
        </w:trPr>
        <w:tc>
          <w:tcPr>
            <w:tcW w:w="0" w:type="auto"/>
            <w:tcMar>
              <w:top w:w="0" w:type="dxa"/>
              <w:left w:w="0" w:type="dxa"/>
              <w:bottom w:w="30" w:type="dxa"/>
              <w:right w:w="0" w:type="dxa"/>
            </w:tcMar>
            <w:vAlign w:val="bottom"/>
            <w:hideMark/>
          </w:tcPr>
          <w:p w14:paraId="0A4A375B" w14:textId="77777777" w:rsidR="00000000" w:rsidRDefault="00087966">
            <w:pPr>
              <w:rPr>
                <w:rFonts w:eastAsia="Times New Roman"/>
                <w:b/>
                <w:bCs/>
                <w:sz w:val="20"/>
                <w:szCs w:val="20"/>
              </w:rPr>
            </w:pPr>
            <w:r>
              <w:rPr>
                <w:rFonts w:eastAsia="Times New Roman"/>
                <w:b/>
                <w:bCs/>
                <w:sz w:val="20"/>
                <w:szCs w:val="20"/>
              </w:rPr>
              <w:t>Loss from operations</w:t>
            </w:r>
          </w:p>
        </w:tc>
        <w:tc>
          <w:tcPr>
            <w:tcW w:w="0" w:type="auto"/>
            <w:tcMar>
              <w:top w:w="0" w:type="dxa"/>
              <w:left w:w="0" w:type="dxa"/>
              <w:bottom w:w="30" w:type="dxa"/>
              <w:right w:w="0" w:type="dxa"/>
            </w:tcMar>
            <w:vAlign w:val="bottom"/>
            <w:hideMark/>
          </w:tcPr>
          <w:p w14:paraId="5C3A6457"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472845FB"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6F1188FE" w14:textId="77777777" w:rsidR="00000000" w:rsidRDefault="00087966">
            <w:pPr>
              <w:jc w:val="right"/>
              <w:rPr>
                <w:rFonts w:eastAsia="Times New Roman"/>
                <w:b/>
                <w:bCs/>
                <w:sz w:val="20"/>
                <w:szCs w:val="20"/>
              </w:rPr>
            </w:pPr>
            <w:r>
              <w:rPr>
                <w:rFonts w:eastAsia="Times New Roman"/>
                <w:b/>
                <w:bCs/>
                <w:sz w:val="20"/>
                <w:szCs w:val="20"/>
              </w:rPr>
              <w:t>(3,900,302</w:t>
            </w:r>
          </w:p>
        </w:tc>
        <w:tc>
          <w:tcPr>
            <w:tcW w:w="0" w:type="auto"/>
            <w:tcMar>
              <w:top w:w="0" w:type="dxa"/>
              <w:left w:w="0" w:type="dxa"/>
              <w:bottom w:w="30" w:type="dxa"/>
              <w:right w:w="0" w:type="dxa"/>
            </w:tcMar>
            <w:vAlign w:val="bottom"/>
            <w:hideMark/>
          </w:tcPr>
          <w:p w14:paraId="0EC17E2C" w14:textId="77777777" w:rsidR="00000000" w:rsidRDefault="00087966">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14:paraId="3012283D"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439E8639"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33901F49" w14:textId="77777777" w:rsidR="00000000" w:rsidRDefault="00087966">
            <w:pPr>
              <w:jc w:val="right"/>
              <w:rPr>
                <w:rFonts w:eastAsia="Times New Roman"/>
                <w:b/>
                <w:bCs/>
                <w:sz w:val="20"/>
                <w:szCs w:val="20"/>
              </w:rPr>
            </w:pPr>
            <w:r>
              <w:rPr>
                <w:rFonts w:eastAsia="Times New Roman"/>
                <w:b/>
                <w:bCs/>
                <w:sz w:val="20"/>
                <w:szCs w:val="20"/>
              </w:rPr>
              <w:t>(1,605,912</w:t>
            </w:r>
          </w:p>
        </w:tc>
        <w:tc>
          <w:tcPr>
            <w:tcW w:w="0" w:type="auto"/>
            <w:tcMar>
              <w:top w:w="0" w:type="dxa"/>
              <w:left w:w="0" w:type="dxa"/>
              <w:bottom w:w="30" w:type="dxa"/>
              <w:right w:w="0" w:type="dxa"/>
            </w:tcMar>
            <w:vAlign w:val="bottom"/>
            <w:hideMark/>
          </w:tcPr>
          <w:p w14:paraId="3B0D008C" w14:textId="77777777" w:rsidR="00000000" w:rsidRDefault="00087966">
            <w:pPr>
              <w:rPr>
                <w:rFonts w:eastAsia="Times New Roman"/>
                <w:b/>
                <w:bCs/>
                <w:sz w:val="20"/>
                <w:szCs w:val="20"/>
              </w:rPr>
            </w:pPr>
            <w:r>
              <w:rPr>
                <w:rFonts w:eastAsia="Times New Roman"/>
                <w:b/>
                <w:bCs/>
                <w:sz w:val="20"/>
                <w:szCs w:val="20"/>
              </w:rPr>
              <w:t>)</w:t>
            </w:r>
          </w:p>
        </w:tc>
      </w:tr>
      <w:tr w:rsidR="00000000" w14:paraId="15473CEB" w14:textId="77777777">
        <w:trPr>
          <w:divId w:val="1595479706"/>
        </w:trPr>
        <w:tc>
          <w:tcPr>
            <w:tcW w:w="0" w:type="auto"/>
            <w:shd w:val="clear" w:color="auto" w:fill="CCEEFF"/>
            <w:vAlign w:val="bottom"/>
            <w:hideMark/>
          </w:tcPr>
          <w:p w14:paraId="708C3AC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B8CBE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721E8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09E5D5"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C2C61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37270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E1A90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1EA885"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33BF86" w14:textId="77777777" w:rsidR="00000000" w:rsidRDefault="00087966">
            <w:pPr>
              <w:rPr>
                <w:rFonts w:eastAsia="Times New Roman"/>
                <w:sz w:val="20"/>
                <w:szCs w:val="20"/>
              </w:rPr>
            </w:pPr>
            <w:r>
              <w:rPr>
                <w:rFonts w:eastAsia="Times New Roman"/>
                <w:sz w:val="20"/>
                <w:szCs w:val="20"/>
              </w:rPr>
              <w:t> </w:t>
            </w:r>
          </w:p>
        </w:tc>
      </w:tr>
      <w:tr w:rsidR="00000000" w14:paraId="2DB53412" w14:textId="77777777">
        <w:trPr>
          <w:divId w:val="1595479706"/>
        </w:trPr>
        <w:tc>
          <w:tcPr>
            <w:tcW w:w="0" w:type="auto"/>
            <w:vAlign w:val="bottom"/>
            <w:hideMark/>
          </w:tcPr>
          <w:p w14:paraId="68F8B08D" w14:textId="77777777" w:rsidR="00000000" w:rsidRDefault="00087966">
            <w:pPr>
              <w:rPr>
                <w:rFonts w:eastAsia="Times New Roman"/>
                <w:sz w:val="20"/>
                <w:szCs w:val="20"/>
              </w:rPr>
            </w:pPr>
            <w:r>
              <w:rPr>
                <w:rFonts w:eastAsia="Times New Roman"/>
                <w:sz w:val="20"/>
                <w:szCs w:val="20"/>
              </w:rPr>
              <w:t>Other income (expense):</w:t>
            </w:r>
          </w:p>
        </w:tc>
        <w:tc>
          <w:tcPr>
            <w:tcW w:w="0" w:type="auto"/>
            <w:vAlign w:val="bottom"/>
            <w:hideMark/>
          </w:tcPr>
          <w:p w14:paraId="2799FF5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9E6937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DB304CD"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57CC39D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0D4A3D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89E065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165D08F"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9FEC415" w14:textId="77777777" w:rsidR="00000000" w:rsidRDefault="00087966">
            <w:pPr>
              <w:rPr>
                <w:rFonts w:eastAsia="Times New Roman"/>
                <w:sz w:val="20"/>
                <w:szCs w:val="20"/>
              </w:rPr>
            </w:pPr>
            <w:r>
              <w:rPr>
                <w:rFonts w:eastAsia="Times New Roman"/>
                <w:sz w:val="20"/>
                <w:szCs w:val="20"/>
              </w:rPr>
              <w:t> </w:t>
            </w:r>
          </w:p>
        </w:tc>
      </w:tr>
      <w:tr w:rsidR="00000000" w14:paraId="7EFE8194" w14:textId="77777777">
        <w:trPr>
          <w:divId w:val="1595479706"/>
        </w:trPr>
        <w:tc>
          <w:tcPr>
            <w:tcW w:w="0" w:type="auto"/>
            <w:shd w:val="clear" w:color="auto" w:fill="CCEEFF"/>
            <w:vAlign w:val="bottom"/>
            <w:hideMark/>
          </w:tcPr>
          <w:p w14:paraId="1B9B533C" w14:textId="77777777" w:rsidR="00000000" w:rsidRDefault="00087966">
            <w:pPr>
              <w:rPr>
                <w:rFonts w:eastAsia="Times New Roman"/>
                <w:sz w:val="20"/>
                <w:szCs w:val="20"/>
              </w:rPr>
            </w:pPr>
            <w:r>
              <w:rPr>
                <w:rFonts w:eastAsia="Times New Roman"/>
                <w:sz w:val="20"/>
                <w:szCs w:val="20"/>
              </w:rPr>
              <w:t>Transaction costs allocated to warrants</w:t>
            </w:r>
          </w:p>
        </w:tc>
        <w:tc>
          <w:tcPr>
            <w:tcW w:w="0" w:type="auto"/>
            <w:shd w:val="clear" w:color="auto" w:fill="CCEEFF"/>
            <w:vAlign w:val="bottom"/>
            <w:hideMark/>
          </w:tcPr>
          <w:p w14:paraId="30D4DD3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377E9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FF569E" w14:textId="77777777" w:rsidR="00000000" w:rsidRDefault="00087966">
            <w:pPr>
              <w:jc w:val="right"/>
              <w:divId w:val="894312283"/>
              <w:rPr>
                <w:rFonts w:eastAsia="Times New Roman"/>
                <w:sz w:val="20"/>
                <w:szCs w:val="20"/>
              </w:rPr>
            </w:pPr>
            <w:r>
              <w:rPr>
                <w:rFonts w:eastAsia="Times New Roman"/>
                <w:sz w:val="20"/>
                <w:szCs w:val="20"/>
              </w:rPr>
              <w:t>—</w:t>
            </w:r>
          </w:p>
        </w:tc>
        <w:tc>
          <w:tcPr>
            <w:tcW w:w="0" w:type="auto"/>
            <w:shd w:val="clear" w:color="auto" w:fill="CCEEFF"/>
            <w:vAlign w:val="bottom"/>
            <w:hideMark/>
          </w:tcPr>
          <w:p w14:paraId="76AAD26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57702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761F7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A22B3E" w14:textId="77777777" w:rsidR="00000000" w:rsidRDefault="00087966">
            <w:pPr>
              <w:jc w:val="right"/>
              <w:rPr>
                <w:rFonts w:eastAsia="Times New Roman"/>
                <w:sz w:val="20"/>
                <w:szCs w:val="20"/>
              </w:rPr>
            </w:pPr>
            <w:r>
              <w:rPr>
                <w:rFonts w:eastAsia="Times New Roman"/>
                <w:sz w:val="20"/>
                <w:szCs w:val="20"/>
              </w:rPr>
              <w:t>(523,013</w:t>
            </w:r>
          </w:p>
        </w:tc>
        <w:tc>
          <w:tcPr>
            <w:tcW w:w="0" w:type="auto"/>
            <w:shd w:val="clear" w:color="auto" w:fill="CCEEFF"/>
            <w:vAlign w:val="bottom"/>
            <w:hideMark/>
          </w:tcPr>
          <w:p w14:paraId="3561AB89" w14:textId="77777777" w:rsidR="00000000" w:rsidRDefault="00087966">
            <w:pPr>
              <w:rPr>
                <w:rFonts w:eastAsia="Times New Roman"/>
                <w:sz w:val="20"/>
                <w:szCs w:val="20"/>
              </w:rPr>
            </w:pPr>
            <w:r>
              <w:rPr>
                <w:rFonts w:eastAsia="Times New Roman"/>
                <w:sz w:val="20"/>
                <w:szCs w:val="20"/>
              </w:rPr>
              <w:t>)</w:t>
            </w:r>
          </w:p>
        </w:tc>
      </w:tr>
      <w:tr w:rsidR="00000000" w14:paraId="7DB289B2" w14:textId="77777777">
        <w:trPr>
          <w:divId w:val="1595479706"/>
        </w:trPr>
        <w:tc>
          <w:tcPr>
            <w:tcW w:w="0" w:type="auto"/>
            <w:vAlign w:val="bottom"/>
            <w:hideMark/>
          </w:tcPr>
          <w:p w14:paraId="04BE10AB" w14:textId="77777777" w:rsidR="00000000" w:rsidRDefault="00087966">
            <w:pPr>
              <w:rPr>
                <w:rFonts w:eastAsia="Times New Roman"/>
                <w:sz w:val="20"/>
                <w:szCs w:val="20"/>
              </w:rPr>
            </w:pPr>
            <w:r>
              <w:rPr>
                <w:rFonts w:eastAsia="Times New Roman"/>
                <w:sz w:val="20"/>
                <w:szCs w:val="20"/>
              </w:rPr>
              <w:t>Change in fair value of warrant liabilities</w:t>
            </w:r>
          </w:p>
        </w:tc>
        <w:tc>
          <w:tcPr>
            <w:tcW w:w="0" w:type="auto"/>
            <w:vAlign w:val="bottom"/>
            <w:hideMark/>
          </w:tcPr>
          <w:p w14:paraId="0A92140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116912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9CB6BBE" w14:textId="77777777" w:rsidR="00000000" w:rsidRDefault="00087966">
            <w:pPr>
              <w:jc w:val="right"/>
              <w:rPr>
                <w:rFonts w:eastAsia="Times New Roman"/>
                <w:sz w:val="20"/>
                <w:szCs w:val="20"/>
              </w:rPr>
            </w:pPr>
            <w:r>
              <w:rPr>
                <w:rFonts w:eastAsia="Times New Roman"/>
                <w:sz w:val="20"/>
                <w:szCs w:val="20"/>
              </w:rPr>
              <w:t>7,205,710</w:t>
            </w:r>
          </w:p>
        </w:tc>
        <w:tc>
          <w:tcPr>
            <w:tcW w:w="0" w:type="auto"/>
            <w:vAlign w:val="bottom"/>
            <w:hideMark/>
          </w:tcPr>
          <w:p w14:paraId="0BF14B6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2E6F0D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0B2E91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AA5B20F" w14:textId="77777777" w:rsidR="00000000" w:rsidRDefault="00087966">
            <w:pPr>
              <w:jc w:val="right"/>
              <w:rPr>
                <w:rFonts w:eastAsia="Times New Roman"/>
                <w:sz w:val="20"/>
                <w:szCs w:val="20"/>
              </w:rPr>
            </w:pPr>
            <w:r>
              <w:rPr>
                <w:rFonts w:eastAsia="Times New Roman"/>
                <w:sz w:val="20"/>
                <w:szCs w:val="20"/>
              </w:rPr>
              <w:t>1,642,290</w:t>
            </w:r>
          </w:p>
        </w:tc>
        <w:tc>
          <w:tcPr>
            <w:tcW w:w="0" w:type="auto"/>
            <w:vAlign w:val="bottom"/>
            <w:hideMark/>
          </w:tcPr>
          <w:p w14:paraId="21ACCFF4" w14:textId="77777777" w:rsidR="00000000" w:rsidRDefault="00087966">
            <w:pPr>
              <w:rPr>
                <w:rFonts w:eastAsia="Times New Roman"/>
                <w:sz w:val="20"/>
                <w:szCs w:val="20"/>
              </w:rPr>
            </w:pPr>
            <w:r>
              <w:rPr>
                <w:rFonts w:eastAsia="Times New Roman"/>
                <w:sz w:val="20"/>
                <w:szCs w:val="20"/>
              </w:rPr>
              <w:t> </w:t>
            </w:r>
          </w:p>
        </w:tc>
      </w:tr>
      <w:tr w:rsidR="00000000" w14:paraId="7095E82A" w14:textId="77777777">
        <w:trPr>
          <w:divId w:val="1595479706"/>
        </w:trPr>
        <w:tc>
          <w:tcPr>
            <w:tcW w:w="0" w:type="auto"/>
            <w:shd w:val="clear" w:color="auto" w:fill="CCEEFF"/>
            <w:vAlign w:val="bottom"/>
            <w:hideMark/>
          </w:tcPr>
          <w:p w14:paraId="45596B7F" w14:textId="77777777" w:rsidR="00000000" w:rsidRDefault="00087966">
            <w:pPr>
              <w:rPr>
                <w:rFonts w:eastAsia="Times New Roman"/>
                <w:sz w:val="20"/>
                <w:szCs w:val="20"/>
              </w:rPr>
            </w:pPr>
            <w:r>
              <w:rPr>
                <w:rFonts w:eastAsia="Times New Roman"/>
                <w:sz w:val="20"/>
                <w:szCs w:val="20"/>
              </w:rPr>
              <w:t>Change in fair value of Working Capital Loan</w:t>
            </w:r>
          </w:p>
        </w:tc>
        <w:tc>
          <w:tcPr>
            <w:tcW w:w="0" w:type="auto"/>
            <w:shd w:val="clear" w:color="auto" w:fill="CCEEFF"/>
            <w:vAlign w:val="bottom"/>
            <w:hideMark/>
          </w:tcPr>
          <w:p w14:paraId="127DCE7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66713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12177C" w14:textId="77777777" w:rsidR="00000000" w:rsidRDefault="00087966">
            <w:pPr>
              <w:jc w:val="right"/>
              <w:rPr>
                <w:rFonts w:eastAsia="Times New Roman"/>
                <w:sz w:val="20"/>
                <w:szCs w:val="20"/>
              </w:rPr>
            </w:pPr>
            <w:r>
              <w:rPr>
                <w:rFonts w:eastAsia="Times New Roman"/>
                <w:sz w:val="20"/>
                <w:szCs w:val="20"/>
              </w:rPr>
              <w:t>341,057</w:t>
            </w:r>
          </w:p>
        </w:tc>
        <w:tc>
          <w:tcPr>
            <w:tcW w:w="0" w:type="auto"/>
            <w:shd w:val="clear" w:color="auto" w:fill="CCEEFF"/>
            <w:vAlign w:val="bottom"/>
            <w:hideMark/>
          </w:tcPr>
          <w:p w14:paraId="091BB50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FDBF1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98A98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AB6CAB" w14:textId="77777777" w:rsidR="00000000" w:rsidRDefault="00087966">
            <w:pPr>
              <w:jc w:val="right"/>
              <w:divId w:val="2138374206"/>
              <w:rPr>
                <w:rFonts w:eastAsia="Times New Roman"/>
                <w:sz w:val="20"/>
                <w:szCs w:val="20"/>
              </w:rPr>
            </w:pPr>
            <w:r>
              <w:rPr>
                <w:rFonts w:eastAsia="Times New Roman"/>
                <w:sz w:val="20"/>
                <w:szCs w:val="20"/>
              </w:rPr>
              <w:t>—</w:t>
            </w:r>
          </w:p>
        </w:tc>
        <w:tc>
          <w:tcPr>
            <w:tcW w:w="0" w:type="auto"/>
            <w:shd w:val="clear" w:color="auto" w:fill="CCEEFF"/>
            <w:vAlign w:val="bottom"/>
            <w:hideMark/>
          </w:tcPr>
          <w:p w14:paraId="01749572" w14:textId="77777777" w:rsidR="00000000" w:rsidRDefault="00087966">
            <w:pPr>
              <w:rPr>
                <w:rFonts w:eastAsia="Times New Roman"/>
                <w:sz w:val="20"/>
                <w:szCs w:val="20"/>
              </w:rPr>
            </w:pPr>
            <w:r>
              <w:rPr>
                <w:rFonts w:eastAsia="Times New Roman"/>
                <w:sz w:val="20"/>
                <w:szCs w:val="20"/>
              </w:rPr>
              <w:t> </w:t>
            </w:r>
          </w:p>
        </w:tc>
      </w:tr>
      <w:tr w:rsidR="00000000" w14:paraId="6D25C906" w14:textId="77777777">
        <w:trPr>
          <w:divId w:val="1595479706"/>
        </w:trPr>
        <w:tc>
          <w:tcPr>
            <w:tcW w:w="0" w:type="auto"/>
            <w:vAlign w:val="bottom"/>
            <w:hideMark/>
          </w:tcPr>
          <w:p w14:paraId="41F8847A" w14:textId="77777777" w:rsidR="00000000" w:rsidRDefault="00087966">
            <w:pPr>
              <w:rPr>
                <w:rFonts w:eastAsia="Times New Roman"/>
                <w:sz w:val="20"/>
                <w:szCs w:val="20"/>
              </w:rPr>
            </w:pPr>
            <w:r>
              <w:rPr>
                <w:rFonts w:eastAsia="Times New Roman"/>
                <w:sz w:val="20"/>
                <w:szCs w:val="20"/>
              </w:rPr>
              <w:t>Interest earned on marketable securities held in Trust Account</w:t>
            </w:r>
          </w:p>
        </w:tc>
        <w:tc>
          <w:tcPr>
            <w:tcW w:w="0" w:type="auto"/>
            <w:vAlign w:val="bottom"/>
            <w:hideMark/>
          </w:tcPr>
          <w:p w14:paraId="75FF0D0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4A3445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681C168" w14:textId="77777777" w:rsidR="00000000" w:rsidRDefault="00087966">
            <w:pPr>
              <w:jc w:val="right"/>
              <w:rPr>
                <w:rFonts w:eastAsia="Times New Roman"/>
                <w:sz w:val="20"/>
                <w:szCs w:val="20"/>
              </w:rPr>
            </w:pPr>
            <w:r>
              <w:rPr>
                <w:rFonts w:eastAsia="Times New Roman"/>
                <w:sz w:val="20"/>
                <w:szCs w:val="20"/>
              </w:rPr>
              <w:t>1,760,120</w:t>
            </w:r>
          </w:p>
        </w:tc>
        <w:tc>
          <w:tcPr>
            <w:tcW w:w="0" w:type="auto"/>
            <w:vAlign w:val="bottom"/>
            <w:hideMark/>
          </w:tcPr>
          <w:p w14:paraId="0AE579A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079422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6EBB26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B26EF67" w14:textId="77777777" w:rsidR="00000000" w:rsidRDefault="00087966">
            <w:pPr>
              <w:jc w:val="right"/>
              <w:rPr>
                <w:rFonts w:eastAsia="Times New Roman"/>
                <w:sz w:val="20"/>
                <w:szCs w:val="20"/>
              </w:rPr>
            </w:pPr>
            <w:r>
              <w:rPr>
                <w:rFonts w:eastAsia="Times New Roman"/>
                <w:sz w:val="20"/>
                <w:szCs w:val="20"/>
              </w:rPr>
              <w:t>78,398</w:t>
            </w:r>
          </w:p>
        </w:tc>
        <w:tc>
          <w:tcPr>
            <w:tcW w:w="0" w:type="auto"/>
            <w:vAlign w:val="bottom"/>
            <w:hideMark/>
          </w:tcPr>
          <w:p w14:paraId="1FBB3D27" w14:textId="77777777" w:rsidR="00000000" w:rsidRDefault="00087966">
            <w:pPr>
              <w:rPr>
                <w:rFonts w:eastAsia="Times New Roman"/>
                <w:sz w:val="20"/>
                <w:szCs w:val="20"/>
              </w:rPr>
            </w:pPr>
            <w:r>
              <w:rPr>
                <w:rFonts w:eastAsia="Times New Roman"/>
                <w:sz w:val="20"/>
                <w:szCs w:val="20"/>
              </w:rPr>
              <w:t> </w:t>
            </w:r>
          </w:p>
        </w:tc>
      </w:tr>
      <w:tr w:rsidR="00000000" w14:paraId="77D375C5" w14:textId="77777777">
        <w:trPr>
          <w:divId w:val="1595479706"/>
        </w:trPr>
        <w:tc>
          <w:tcPr>
            <w:tcW w:w="0" w:type="auto"/>
            <w:shd w:val="clear" w:color="auto" w:fill="CCEEFF"/>
            <w:tcMar>
              <w:top w:w="0" w:type="dxa"/>
              <w:left w:w="0" w:type="dxa"/>
              <w:bottom w:w="30" w:type="dxa"/>
              <w:right w:w="0" w:type="dxa"/>
            </w:tcMar>
            <w:vAlign w:val="bottom"/>
            <w:hideMark/>
          </w:tcPr>
          <w:p w14:paraId="5D9DCC6F" w14:textId="77777777" w:rsidR="00000000" w:rsidRDefault="00087966">
            <w:pPr>
              <w:rPr>
                <w:rFonts w:eastAsia="Times New Roman"/>
                <w:sz w:val="20"/>
                <w:szCs w:val="20"/>
              </w:rPr>
            </w:pPr>
            <w:r>
              <w:rPr>
                <w:rFonts w:eastAsia="Times New Roman"/>
                <w:sz w:val="20"/>
                <w:szCs w:val="20"/>
              </w:rPr>
              <w:t>Unrealized gain on marketable securities held in Trust Account</w:t>
            </w:r>
          </w:p>
        </w:tc>
        <w:tc>
          <w:tcPr>
            <w:tcW w:w="0" w:type="auto"/>
            <w:shd w:val="clear" w:color="auto" w:fill="CCEEFF"/>
            <w:tcMar>
              <w:top w:w="0" w:type="dxa"/>
              <w:left w:w="0" w:type="dxa"/>
              <w:bottom w:w="30" w:type="dxa"/>
              <w:right w:w="0" w:type="dxa"/>
            </w:tcMar>
            <w:vAlign w:val="bottom"/>
            <w:hideMark/>
          </w:tcPr>
          <w:p w14:paraId="09B8B5D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24A1B8"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E5CD48E" w14:textId="77777777" w:rsidR="00000000" w:rsidRDefault="00087966">
            <w:pPr>
              <w:jc w:val="right"/>
              <w:divId w:val="169668852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A5314B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04E951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BB2AD8"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674184" w14:textId="77777777" w:rsidR="00000000" w:rsidRDefault="00087966">
            <w:pPr>
              <w:jc w:val="right"/>
              <w:rPr>
                <w:rFonts w:eastAsia="Times New Roman"/>
                <w:sz w:val="20"/>
                <w:szCs w:val="20"/>
              </w:rPr>
            </w:pPr>
            <w:r>
              <w:rPr>
                <w:rFonts w:eastAsia="Times New Roman"/>
                <w:sz w:val="20"/>
                <w:szCs w:val="20"/>
              </w:rPr>
              <w:t>2,211</w:t>
            </w:r>
          </w:p>
        </w:tc>
        <w:tc>
          <w:tcPr>
            <w:tcW w:w="0" w:type="auto"/>
            <w:shd w:val="clear" w:color="auto" w:fill="CCEEFF"/>
            <w:tcMar>
              <w:top w:w="0" w:type="dxa"/>
              <w:left w:w="0" w:type="dxa"/>
              <w:bottom w:w="30" w:type="dxa"/>
              <w:right w:w="0" w:type="dxa"/>
            </w:tcMar>
            <w:vAlign w:val="bottom"/>
            <w:hideMark/>
          </w:tcPr>
          <w:p w14:paraId="08491C68" w14:textId="77777777" w:rsidR="00000000" w:rsidRDefault="00087966">
            <w:pPr>
              <w:rPr>
                <w:rFonts w:eastAsia="Times New Roman"/>
                <w:sz w:val="20"/>
                <w:szCs w:val="20"/>
              </w:rPr>
            </w:pPr>
            <w:r>
              <w:rPr>
                <w:rFonts w:eastAsia="Times New Roman"/>
                <w:sz w:val="20"/>
                <w:szCs w:val="20"/>
              </w:rPr>
              <w:t> </w:t>
            </w:r>
          </w:p>
        </w:tc>
      </w:tr>
      <w:tr w:rsidR="00000000" w14:paraId="1868A98D" w14:textId="77777777">
        <w:trPr>
          <w:divId w:val="1595479706"/>
        </w:trPr>
        <w:tc>
          <w:tcPr>
            <w:tcW w:w="0" w:type="auto"/>
            <w:tcMar>
              <w:top w:w="0" w:type="dxa"/>
              <w:left w:w="0" w:type="dxa"/>
              <w:bottom w:w="30" w:type="dxa"/>
              <w:right w:w="0" w:type="dxa"/>
            </w:tcMar>
            <w:vAlign w:val="bottom"/>
            <w:hideMark/>
          </w:tcPr>
          <w:p w14:paraId="0659F9C3" w14:textId="77777777" w:rsidR="00000000" w:rsidRDefault="00087966">
            <w:pPr>
              <w:rPr>
                <w:rFonts w:eastAsia="Times New Roman"/>
                <w:sz w:val="20"/>
                <w:szCs w:val="20"/>
              </w:rPr>
            </w:pPr>
            <w:r>
              <w:rPr>
                <w:rFonts w:eastAsia="Times New Roman"/>
                <w:sz w:val="20"/>
                <w:szCs w:val="20"/>
              </w:rPr>
              <w:t>Total other income, net</w:t>
            </w:r>
          </w:p>
        </w:tc>
        <w:tc>
          <w:tcPr>
            <w:tcW w:w="0" w:type="auto"/>
            <w:tcMar>
              <w:top w:w="0" w:type="dxa"/>
              <w:left w:w="0" w:type="dxa"/>
              <w:bottom w:w="30" w:type="dxa"/>
              <w:right w:w="0" w:type="dxa"/>
            </w:tcMar>
            <w:vAlign w:val="bottom"/>
            <w:hideMark/>
          </w:tcPr>
          <w:p w14:paraId="44CF6FB4"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4FD1944"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CBF2D7A" w14:textId="77777777" w:rsidR="00000000" w:rsidRDefault="00087966">
            <w:pPr>
              <w:jc w:val="right"/>
              <w:rPr>
                <w:rFonts w:eastAsia="Times New Roman"/>
                <w:sz w:val="20"/>
                <w:szCs w:val="20"/>
              </w:rPr>
            </w:pPr>
            <w:r>
              <w:rPr>
                <w:rFonts w:eastAsia="Times New Roman"/>
                <w:sz w:val="20"/>
                <w:szCs w:val="20"/>
              </w:rPr>
              <w:t>9,306,887</w:t>
            </w:r>
          </w:p>
        </w:tc>
        <w:tc>
          <w:tcPr>
            <w:tcW w:w="0" w:type="auto"/>
            <w:tcMar>
              <w:top w:w="0" w:type="dxa"/>
              <w:left w:w="0" w:type="dxa"/>
              <w:bottom w:w="30" w:type="dxa"/>
              <w:right w:w="0" w:type="dxa"/>
            </w:tcMar>
            <w:vAlign w:val="bottom"/>
            <w:hideMark/>
          </w:tcPr>
          <w:p w14:paraId="2D40911D"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10BDFA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F90B70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DCA76D0" w14:textId="77777777" w:rsidR="00000000" w:rsidRDefault="00087966">
            <w:pPr>
              <w:jc w:val="right"/>
              <w:rPr>
                <w:rFonts w:eastAsia="Times New Roman"/>
                <w:sz w:val="20"/>
                <w:szCs w:val="20"/>
              </w:rPr>
            </w:pPr>
            <w:r>
              <w:rPr>
                <w:rFonts w:eastAsia="Times New Roman"/>
                <w:sz w:val="20"/>
                <w:szCs w:val="20"/>
              </w:rPr>
              <w:t>1,199,886</w:t>
            </w:r>
          </w:p>
        </w:tc>
        <w:tc>
          <w:tcPr>
            <w:tcW w:w="0" w:type="auto"/>
            <w:tcMar>
              <w:top w:w="0" w:type="dxa"/>
              <w:left w:w="0" w:type="dxa"/>
              <w:bottom w:w="30" w:type="dxa"/>
              <w:right w:w="0" w:type="dxa"/>
            </w:tcMar>
            <w:vAlign w:val="bottom"/>
            <w:hideMark/>
          </w:tcPr>
          <w:p w14:paraId="6B3CD949" w14:textId="77777777" w:rsidR="00000000" w:rsidRDefault="00087966">
            <w:pPr>
              <w:rPr>
                <w:rFonts w:eastAsia="Times New Roman"/>
                <w:sz w:val="20"/>
                <w:szCs w:val="20"/>
              </w:rPr>
            </w:pPr>
            <w:r>
              <w:rPr>
                <w:rFonts w:eastAsia="Times New Roman"/>
                <w:sz w:val="20"/>
                <w:szCs w:val="20"/>
              </w:rPr>
              <w:t> </w:t>
            </w:r>
          </w:p>
        </w:tc>
      </w:tr>
      <w:tr w:rsidR="00000000" w14:paraId="5B39DF78" w14:textId="77777777">
        <w:trPr>
          <w:divId w:val="1595479706"/>
        </w:trPr>
        <w:tc>
          <w:tcPr>
            <w:tcW w:w="0" w:type="auto"/>
            <w:shd w:val="clear" w:color="auto" w:fill="CCEEFF"/>
            <w:vAlign w:val="bottom"/>
            <w:hideMark/>
          </w:tcPr>
          <w:p w14:paraId="023D4C9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AFB91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5D3DD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1B3E2F"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2D8C1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64CB6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DB7E3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86CBDD"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C47D818" w14:textId="77777777" w:rsidR="00000000" w:rsidRDefault="00087966">
            <w:pPr>
              <w:rPr>
                <w:rFonts w:eastAsia="Times New Roman"/>
                <w:sz w:val="20"/>
                <w:szCs w:val="20"/>
              </w:rPr>
            </w:pPr>
            <w:r>
              <w:rPr>
                <w:rFonts w:eastAsia="Times New Roman"/>
                <w:sz w:val="20"/>
                <w:szCs w:val="20"/>
              </w:rPr>
              <w:t> </w:t>
            </w:r>
          </w:p>
        </w:tc>
      </w:tr>
      <w:tr w:rsidR="00000000" w14:paraId="5DA90A8F" w14:textId="77777777">
        <w:trPr>
          <w:divId w:val="1595479706"/>
        </w:trPr>
        <w:tc>
          <w:tcPr>
            <w:tcW w:w="0" w:type="auto"/>
            <w:vAlign w:val="bottom"/>
            <w:hideMark/>
          </w:tcPr>
          <w:p w14:paraId="563ED4C3" w14:textId="77777777" w:rsidR="00000000" w:rsidRDefault="00087966">
            <w:pPr>
              <w:rPr>
                <w:rFonts w:eastAsia="Times New Roman"/>
                <w:sz w:val="20"/>
                <w:szCs w:val="20"/>
              </w:rPr>
            </w:pPr>
            <w:r>
              <w:rPr>
                <w:rFonts w:eastAsia="Times New Roman"/>
                <w:sz w:val="20"/>
                <w:szCs w:val="20"/>
              </w:rPr>
              <w:t>Income (loss) before provision for income taxes</w:t>
            </w:r>
          </w:p>
        </w:tc>
        <w:tc>
          <w:tcPr>
            <w:tcW w:w="0" w:type="auto"/>
            <w:vAlign w:val="bottom"/>
            <w:hideMark/>
          </w:tcPr>
          <w:p w14:paraId="4375125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D4D2A6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45FD3D6" w14:textId="77777777" w:rsidR="00000000" w:rsidRDefault="00087966">
            <w:pPr>
              <w:jc w:val="right"/>
              <w:rPr>
                <w:rFonts w:eastAsia="Times New Roman"/>
                <w:sz w:val="20"/>
                <w:szCs w:val="20"/>
              </w:rPr>
            </w:pPr>
            <w:r>
              <w:rPr>
                <w:rFonts w:eastAsia="Times New Roman"/>
                <w:sz w:val="20"/>
                <w:szCs w:val="20"/>
              </w:rPr>
              <w:t>5,406,585</w:t>
            </w:r>
          </w:p>
        </w:tc>
        <w:tc>
          <w:tcPr>
            <w:tcW w:w="0" w:type="auto"/>
            <w:vAlign w:val="bottom"/>
            <w:hideMark/>
          </w:tcPr>
          <w:p w14:paraId="3B4E715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B5DE93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CC8FD6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5AE667B" w14:textId="77777777" w:rsidR="00000000" w:rsidRDefault="00087966">
            <w:pPr>
              <w:jc w:val="right"/>
              <w:rPr>
                <w:rFonts w:eastAsia="Times New Roman"/>
                <w:sz w:val="20"/>
                <w:szCs w:val="20"/>
              </w:rPr>
            </w:pPr>
            <w:r>
              <w:rPr>
                <w:rFonts w:eastAsia="Times New Roman"/>
                <w:sz w:val="20"/>
                <w:szCs w:val="20"/>
              </w:rPr>
              <w:t>(406,026</w:t>
            </w:r>
          </w:p>
        </w:tc>
        <w:tc>
          <w:tcPr>
            <w:tcW w:w="0" w:type="auto"/>
            <w:vAlign w:val="bottom"/>
            <w:hideMark/>
          </w:tcPr>
          <w:p w14:paraId="3E9E6582" w14:textId="77777777" w:rsidR="00000000" w:rsidRDefault="00087966">
            <w:pPr>
              <w:rPr>
                <w:rFonts w:eastAsia="Times New Roman"/>
                <w:sz w:val="20"/>
                <w:szCs w:val="20"/>
              </w:rPr>
            </w:pPr>
            <w:r>
              <w:rPr>
                <w:rFonts w:eastAsia="Times New Roman"/>
                <w:sz w:val="20"/>
                <w:szCs w:val="20"/>
              </w:rPr>
              <w:t>)</w:t>
            </w:r>
          </w:p>
        </w:tc>
      </w:tr>
      <w:tr w:rsidR="00000000" w14:paraId="28D9C72E" w14:textId="77777777">
        <w:trPr>
          <w:divId w:val="1595479706"/>
        </w:trPr>
        <w:tc>
          <w:tcPr>
            <w:tcW w:w="0" w:type="auto"/>
            <w:shd w:val="clear" w:color="auto" w:fill="CCEEFF"/>
            <w:tcMar>
              <w:top w:w="0" w:type="dxa"/>
              <w:left w:w="0" w:type="dxa"/>
              <w:bottom w:w="30" w:type="dxa"/>
              <w:right w:w="0" w:type="dxa"/>
            </w:tcMar>
            <w:vAlign w:val="bottom"/>
            <w:hideMark/>
          </w:tcPr>
          <w:p w14:paraId="39070417" w14:textId="77777777" w:rsidR="00000000" w:rsidRDefault="00087966">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14:paraId="5D34AEA9"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1D6E19"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1593B8" w14:textId="77777777" w:rsidR="00000000" w:rsidRDefault="00087966">
            <w:pPr>
              <w:jc w:val="right"/>
              <w:rPr>
                <w:rFonts w:eastAsia="Times New Roman"/>
                <w:sz w:val="20"/>
                <w:szCs w:val="20"/>
              </w:rPr>
            </w:pPr>
            <w:r>
              <w:rPr>
                <w:rFonts w:eastAsia="Times New Roman"/>
                <w:sz w:val="20"/>
                <w:szCs w:val="20"/>
              </w:rPr>
              <w:t>(374,016</w:t>
            </w:r>
          </w:p>
        </w:tc>
        <w:tc>
          <w:tcPr>
            <w:tcW w:w="0" w:type="auto"/>
            <w:shd w:val="clear" w:color="auto" w:fill="CCEEFF"/>
            <w:tcMar>
              <w:top w:w="0" w:type="dxa"/>
              <w:left w:w="0" w:type="dxa"/>
              <w:bottom w:w="30" w:type="dxa"/>
              <w:right w:w="0" w:type="dxa"/>
            </w:tcMar>
            <w:vAlign w:val="bottom"/>
            <w:hideMark/>
          </w:tcPr>
          <w:p w14:paraId="1BD0BD22"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1F4792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D97331"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24C8FC" w14:textId="77777777" w:rsidR="00000000" w:rsidRDefault="00087966">
            <w:pPr>
              <w:jc w:val="right"/>
              <w:divId w:val="157963119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53F4F80" w14:textId="77777777" w:rsidR="00000000" w:rsidRDefault="00087966">
            <w:pPr>
              <w:rPr>
                <w:rFonts w:eastAsia="Times New Roman"/>
                <w:sz w:val="20"/>
                <w:szCs w:val="20"/>
              </w:rPr>
            </w:pPr>
            <w:r>
              <w:rPr>
                <w:rFonts w:eastAsia="Times New Roman"/>
                <w:sz w:val="20"/>
                <w:szCs w:val="20"/>
              </w:rPr>
              <w:t> </w:t>
            </w:r>
          </w:p>
        </w:tc>
      </w:tr>
      <w:tr w:rsidR="00000000" w14:paraId="691DA57D" w14:textId="77777777">
        <w:trPr>
          <w:divId w:val="1595479706"/>
        </w:trPr>
        <w:tc>
          <w:tcPr>
            <w:tcW w:w="0" w:type="auto"/>
            <w:tcMar>
              <w:top w:w="0" w:type="dxa"/>
              <w:left w:w="0" w:type="dxa"/>
              <w:bottom w:w="80" w:type="dxa"/>
              <w:right w:w="0" w:type="dxa"/>
            </w:tcMar>
            <w:vAlign w:val="bottom"/>
            <w:hideMark/>
          </w:tcPr>
          <w:p w14:paraId="45BAF5D8" w14:textId="77777777" w:rsidR="00000000" w:rsidRDefault="00087966">
            <w:pPr>
              <w:rPr>
                <w:rFonts w:eastAsia="Times New Roman"/>
                <w:b/>
                <w:bCs/>
                <w:sz w:val="20"/>
                <w:szCs w:val="20"/>
              </w:rPr>
            </w:pPr>
            <w:r>
              <w:rPr>
                <w:rFonts w:eastAsia="Times New Roman"/>
                <w:b/>
                <w:bCs/>
                <w:sz w:val="20"/>
                <w:szCs w:val="20"/>
              </w:rPr>
              <w:t>Net income (loss)</w:t>
            </w:r>
          </w:p>
        </w:tc>
        <w:tc>
          <w:tcPr>
            <w:tcW w:w="0" w:type="auto"/>
            <w:tcMar>
              <w:top w:w="0" w:type="dxa"/>
              <w:left w:w="0" w:type="dxa"/>
              <w:bottom w:w="80" w:type="dxa"/>
              <w:right w:w="0" w:type="dxa"/>
            </w:tcMar>
            <w:vAlign w:val="bottom"/>
            <w:hideMark/>
          </w:tcPr>
          <w:p w14:paraId="307639E9"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42985C56"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6A1B2E06" w14:textId="77777777" w:rsidR="00000000" w:rsidRDefault="00087966">
            <w:pPr>
              <w:jc w:val="right"/>
              <w:rPr>
                <w:rFonts w:eastAsia="Times New Roman"/>
                <w:b/>
                <w:bCs/>
                <w:sz w:val="20"/>
                <w:szCs w:val="20"/>
              </w:rPr>
            </w:pPr>
            <w:r>
              <w:rPr>
                <w:rFonts w:eastAsia="Times New Roman"/>
                <w:b/>
                <w:bCs/>
                <w:sz w:val="20"/>
                <w:szCs w:val="20"/>
              </w:rPr>
              <w:t>5,032,569</w:t>
            </w:r>
          </w:p>
        </w:tc>
        <w:tc>
          <w:tcPr>
            <w:tcW w:w="0" w:type="auto"/>
            <w:tcMar>
              <w:top w:w="0" w:type="dxa"/>
              <w:left w:w="0" w:type="dxa"/>
              <w:bottom w:w="80" w:type="dxa"/>
              <w:right w:w="0" w:type="dxa"/>
            </w:tcMar>
            <w:vAlign w:val="bottom"/>
            <w:hideMark/>
          </w:tcPr>
          <w:p w14:paraId="2FC193C4"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304E9C26"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52C91E64"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089FD233" w14:textId="77777777" w:rsidR="00000000" w:rsidRDefault="00087966">
            <w:pPr>
              <w:jc w:val="right"/>
              <w:rPr>
                <w:rFonts w:eastAsia="Times New Roman"/>
                <w:b/>
                <w:bCs/>
                <w:sz w:val="20"/>
                <w:szCs w:val="20"/>
              </w:rPr>
            </w:pPr>
            <w:r>
              <w:rPr>
                <w:rFonts w:eastAsia="Times New Roman"/>
                <w:b/>
                <w:bCs/>
                <w:sz w:val="20"/>
                <w:szCs w:val="20"/>
              </w:rPr>
              <w:t>(406,026</w:t>
            </w:r>
          </w:p>
        </w:tc>
        <w:tc>
          <w:tcPr>
            <w:tcW w:w="0" w:type="auto"/>
            <w:tcMar>
              <w:top w:w="0" w:type="dxa"/>
              <w:left w:w="0" w:type="dxa"/>
              <w:bottom w:w="80" w:type="dxa"/>
              <w:right w:w="0" w:type="dxa"/>
            </w:tcMar>
            <w:vAlign w:val="bottom"/>
            <w:hideMark/>
          </w:tcPr>
          <w:p w14:paraId="764FA945" w14:textId="77777777" w:rsidR="00000000" w:rsidRDefault="00087966">
            <w:pPr>
              <w:rPr>
                <w:rFonts w:eastAsia="Times New Roman"/>
                <w:b/>
                <w:bCs/>
                <w:sz w:val="20"/>
                <w:szCs w:val="20"/>
              </w:rPr>
            </w:pPr>
            <w:r>
              <w:rPr>
                <w:rFonts w:eastAsia="Times New Roman"/>
                <w:b/>
                <w:bCs/>
                <w:sz w:val="20"/>
                <w:szCs w:val="20"/>
              </w:rPr>
              <w:t>)</w:t>
            </w:r>
          </w:p>
        </w:tc>
      </w:tr>
      <w:tr w:rsidR="00000000" w14:paraId="66651CBE" w14:textId="77777777">
        <w:trPr>
          <w:divId w:val="1595479706"/>
        </w:trPr>
        <w:tc>
          <w:tcPr>
            <w:tcW w:w="0" w:type="auto"/>
            <w:shd w:val="clear" w:color="auto" w:fill="CCEEFF"/>
            <w:vAlign w:val="bottom"/>
            <w:hideMark/>
          </w:tcPr>
          <w:p w14:paraId="31629C2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0C712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5DFD3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C7560F"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3D50B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4D8EF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71519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542E34"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47D4FA4" w14:textId="77777777" w:rsidR="00000000" w:rsidRDefault="00087966">
            <w:pPr>
              <w:rPr>
                <w:rFonts w:eastAsia="Times New Roman"/>
                <w:sz w:val="20"/>
                <w:szCs w:val="20"/>
              </w:rPr>
            </w:pPr>
            <w:r>
              <w:rPr>
                <w:rFonts w:eastAsia="Times New Roman"/>
                <w:sz w:val="20"/>
                <w:szCs w:val="20"/>
              </w:rPr>
              <w:t> </w:t>
            </w:r>
          </w:p>
        </w:tc>
      </w:tr>
      <w:tr w:rsidR="00000000" w14:paraId="2D047B9B" w14:textId="77777777">
        <w:trPr>
          <w:divId w:val="1595479706"/>
        </w:trPr>
        <w:tc>
          <w:tcPr>
            <w:tcW w:w="0" w:type="auto"/>
            <w:tcMar>
              <w:top w:w="0" w:type="dxa"/>
              <w:left w:w="0" w:type="dxa"/>
              <w:bottom w:w="80" w:type="dxa"/>
              <w:right w:w="0" w:type="dxa"/>
            </w:tcMar>
            <w:vAlign w:val="bottom"/>
            <w:hideMark/>
          </w:tcPr>
          <w:p w14:paraId="500CA0E1" w14:textId="77777777" w:rsidR="00000000" w:rsidRDefault="00087966">
            <w:pPr>
              <w:divId w:val="133911558"/>
              <w:rPr>
                <w:rFonts w:eastAsia="Times New Roman"/>
                <w:sz w:val="20"/>
                <w:szCs w:val="20"/>
              </w:rPr>
            </w:pPr>
            <w:r>
              <w:rPr>
                <w:rFonts w:eastAsia="Times New Roman"/>
                <w:sz w:val="20"/>
                <w:szCs w:val="20"/>
              </w:rPr>
              <w:t>Basic and diluted weighted average shares outstanding, Class A common stock</w:t>
            </w:r>
          </w:p>
        </w:tc>
        <w:tc>
          <w:tcPr>
            <w:tcW w:w="0" w:type="auto"/>
            <w:tcMar>
              <w:top w:w="0" w:type="dxa"/>
              <w:left w:w="0" w:type="dxa"/>
              <w:bottom w:w="80" w:type="dxa"/>
              <w:right w:w="0" w:type="dxa"/>
            </w:tcMar>
            <w:vAlign w:val="bottom"/>
            <w:hideMark/>
          </w:tcPr>
          <w:p w14:paraId="0F84BB3F"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2101BC0"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6F0599F8" w14:textId="77777777" w:rsidR="00000000" w:rsidRDefault="00087966">
            <w:pPr>
              <w:jc w:val="right"/>
              <w:rPr>
                <w:rFonts w:eastAsia="Times New Roman"/>
                <w:sz w:val="20"/>
                <w:szCs w:val="20"/>
              </w:rPr>
            </w:pPr>
            <w:r>
              <w:rPr>
                <w:rFonts w:eastAsia="Times New Roman"/>
                <w:sz w:val="20"/>
                <w:szCs w:val="20"/>
              </w:rPr>
              <w:t>13,930,350</w:t>
            </w:r>
          </w:p>
        </w:tc>
        <w:tc>
          <w:tcPr>
            <w:tcW w:w="0" w:type="auto"/>
            <w:tcMar>
              <w:top w:w="0" w:type="dxa"/>
              <w:left w:w="0" w:type="dxa"/>
              <w:bottom w:w="80" w:type="dxa"/>
              <w:right w:w="0" w:type="dxa"/>
            </w:tcMar>
            <w:vAlign w:val="bottom"/>
            <w:hideMark/>
          </w:tcPr>
          <w:p w14:paraId="44F0BDCC"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62AE1AF1"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4C4C759A"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C487DEC" w14:textId="77777777" w:rsidR="00000000" w:rsidRDefault="00087966">
            <w:pPr>
              <w:jc w:val="right"/>
              <w:rPr>
                <w:rFonts w:eastAsia="Times New Roman"/>
                <w:sz w:val="20"/>
                <w:szCs w:val="20"/>
              </w:rPr>
            </w:pPr>
            <w:r>
              <w:rPr>
                <w:rFonts w:eastAsia="Times New Roman"/>
                <w:sz w:val="20"/>
                <w:szCs w:val="20"/>
              </w:rPr>
              <w:t>16,776,099</w:t>
            </w:r>
          </w:p>
        </w:tc>
        <w:tc>
          <w:tcPr>
            <w:tcW w:w="0" w:type="auto"/>
            <w:tcMar>
              <w:top w:w="0" w:type="dxa"/>
              <w:left w:w="0" w:type="dxa"/>
              <w:bottom w:w="80" w:type="dxa"/>
              <w:right w:w="0" w:type="dxa"/>
            </w:tcMar>
            <w:vAlign w:val="bottom"/>
            <w:hideMark/>
          </w:tcPr>
          <w:p w14:paraId="74138C91" w14:textId="77777777" w:rsidR="00000000" w:rsidRDefault="00087966">
            <w:pPr>
              <w:rPr>
                <w:rFonts w:eastAsia="Times New Roman"/>
                <w:sz w:val="20"/>
                <w:szCs w:val="20"/>
              </w:rPr>
            </w:pPr>
            <w:r>
              <w:rPr>
                <w:rFonts w:eastAsia="Times New Roman"/>
                <w:sz w:val="20"/>
                <w:szCs w:val="20"/>
              </w:rPr>
              <w:t> </w:t>
            </w:r>
          </w:p>
        </w:tc>
      </w:tr>
      <w:tr w:rsidR="00000000" w14:paraId="022DFE71" w14:textId="77777777">
        <w:trPr>
          <w:divId w:val="1595479706"/>
        </w:trPr>
        <w:tc>
          <w:tcPr>
            <w:tcW w:w="0" w:type="auto"/>
            <w:shd w:val="clear" w:color="auto" w:fill="CCEEFF"/>
            <w:tcMar>
              <w:top w:w="0" w:type="dxa"/>
              <w:left w:w="0" w:type="dxa"/>
              <w:bottom w:w="80" w:type="dxa"/>
              <w:right w:w="0" w:type="dxa"/>
            </w:tcMar>
            <w:vAlign w:val="bottom"/>
            <w:hideMark/>
          </w:tcPr>
          <w:p w14:paraId="2006B690" w14:textId="77777777" w:rsidR="00000000" w:rsidRDefault="00087966">
            <w:pPr>
              <w:divId w:val="365260374"/>
              <w:rPr>
                <w:rFonts w:eastAsia="Times New Roman"/>
                <w:b/>
                <w:bCs/>
                <w:sz w:val="20"/>
                <w:szCs w:val="20"/>
              </w:rPr>
            </w:pPr>
            <w:r>
              <w:rPr>
                <w:rFonts w:eastAsia="Times New Roman"/>
                <w:b/>
                <w:bCs/>
                <w:sz w:val="20"/>
                <w:szCs w:val="20"/>
              </w:rPr>
              <w:t>Basic and diluted net income (loss) per share, Class A common stock</w:t>
            </w:r>
          </w:p>
        </w:tc>
        <w:tc>
          <w:tcPr>
            <w:tcW w:w="0" w:type="auto"/>
            <w:shd w:val="clear" w:color="auto" w:fill="CCEEFF"/>
            <w:tcMar>
              <w:top w:w="0" w:type="dxa"/>
              <w:left w:w="0" w:type="dxa"/>
              <w:bottom w:w="80" w:type="dxa"/>
              <w:right w:w="0" w:type="dxa"/>
            </w:tcMar>
            <w:vAlign w:val="bottom"/>
            <w:hideMark/>
          </w:tcPr>
          <w:p w14:paraId="3C967034"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725B5613"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35021947" w14:textId="77777777" w:rsidR="00000000" w:rsidRDefault="00087966">
            <w:pPr>
              <w:jc w:val="right"/>
              <w:rPr>
                <w:rFonts w:eastAsia="Times New Roman"/>
                <w:b/>
                <w:bCs/>
                <w:sz w:val="20"/>
                <w:szCs w:val="20"/>
              </w:rPr>
            </w:pPr>
            <w:r>
              <w:rPr>
                <w:rFonts w:eastAsia="Times New Roman"/>
                <w:b/>
                <w:bCs/>
                <w:sz w:val="20"/>
                <w:szCs w:val="20"/>
              </w:rPr>
              <w:t>0.28</w:t>
            </w:r>
          </w:p>
        </w:tc>
        <w:tc>
          <w:tcPr>
            <w:tcW w:w="0" w:type="auto"/>
            <w:shd w:val="clear" w:color="auto" w:fill="CCEEFF"/>
            <w:tcMar>
              <w:top w:w="0" w:type="dxa"/>
              <w:left w:w="0" w:type="dxa"/>
              <w:bottom w:w="80" w:type="dxa"/>
              <w:right w:w="0" w:type="dxa"/>
            </w:tcMar>
            <w:vAlign w:val="bottom"/>
            <w:hideMark/>
          </w:tcPr>
          <w:p w14:paraId="2C9094BB"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41A69EE7"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02ADD02"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776D6E70" w14:textId="77777777" w:rsidR="00000000" w:rsidRDefault="00087966">
            <w:pPr>
              <w:jc w:val="right"/>
              <w:rPr>
                <w:rFonts w:eastAsia="Times New Roman"/>
                <w:b/>
                <w:bCs/>
                <w:sz w:val="20"/>
                <w:szCs w:val="20"/>
              </w:rPr>
            </w:pPr>
            <w:r>
              <w:rPr>
                <w:rFonts w:eastAsia="Times New Roman"/>
                <w:b/>
                <w:bCs/>
                <w:sz w:val="20"/>
                <w:szCs w:val="20"/>
              </w:rPr>
              <w:t>(0.02</w:t>
            </w:r>
          </w:p>
        </w:tc>
        <w:tc>
          <w:tcPr>
            <w:tcW w:w="0" w:type="auto"/>
            <w:shd w:val="clear" w:color="auto" w:fill="CCEEFF"/>
            <w:tcMar>
              <w:top w:w="0" w:type="dxa"/>
              <w:left w:w="0" w:type="dxa"/>
              <w:bottom w:w="80" w:type="dxa"/>
              <w:right w:w="0" w:type="dxa"/>
            </w:tcMar>
            <w:vAlign w:val="bottom"/>
            <w:hideMark/>
          </w:tcPr>
          <w:p w14:paraId="3C32C14A" w14:textId="77777777" w:rsidR="00000000" w:rsidRDefault="00087966">
            <w:pPr>
              <w:rPr>
                <w:rFonts w:eastAsia="Times New Roman"/>
                <w:b/>
                <w:bCs/>
                <w:sz w:val="20"/>
                <w:szCs w:val="20"/>
              </w:rPr>
            </w:pPr>
            <w:r>
              <w:rPr>
                <w:rFonts w:eastAsia="Times New Roman"/>
                <w:b/>
                <w:bCs/>
                <w:sz w:val="20"/>
                <w:szCs w:val="20"/>
              </w:rPr>
              <w:t>)</w:t>
            </w:r>
          </w:p>
        </w:tc>
      </w:tr>
      <w:tr w:rsidR="00000000" w14:paraId="2446F8DB" w14:textId="77777777">
        <w:trPr>
          <w:divId w:val="1595479706"/>
        </w:trPr>
        <w:tc>
          <w:tcPr>
            <w:tcW w:w="0" w:type="auto"/>
            <w:vAlign w:val="bottom"/>
            <w:hideMark/>
          </w:tcPr>
          <w:p w14:paraId="3986DE4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609867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67735D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659CAC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DC430C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A90BE0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DD7DE8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D819B4B"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02F5E72" w14:textId="77777777" w:rsidR="00000000" w:rsidRDefault="00087966">
            <w:pPr>
              <w:rPr>
                <w:rFonts w:eastAsia="Times New Roman"/>
                <w:sz w:val="20"/>
                <w:szCs w:val="20"/>
              </w:rPr>
            </w:pPr>
            <w:r>
              <w:rPr>
                <w:rFonts w:eastAsia="Times New Roman"/>
                <w:sz w:val="20"/>
                <w:szCs w:val="20"/>
              </w:rPr>
              <w:t> </w:t>
            </w:r>
          </w:p>
        </w:tc>
      </w:tr>
      <w:tr w:rsidR="00000000" w14:paraId="438AF02B" w14:textId="77777777">
        <w:trPr>
          <w:divId w:val="1595479706"/>
        </w:trPr>
        <w:tc>
          <w:tcPr>
            <w:tcW w:w="0" w:type="auto"/>
            <w:shd w:val="clear" w:color="auto" w:fill="CCEEFF"/>
            <w:tcMar>
              <w:top w:w="0" w:type="dxa"/>
              <w:left w:w="0" w:type="dxa"/>
              <w:bottom w:w="80" w:type="dxa"/>
              <w:right w:w="0" w:type="dxa"/>
            </w:tcMar>
            <w:vAlign w:val="bottom"/>
            <w:hideMark/>
          </w:tcPr>
          <w:p w14:paraId="51C5C14D" w14:textId="77777777" w:rsidR="00000000" w:rsidRDefault="00087966">
            <w:pPr>
              <w:divId w:val="116804351"/>
              <w:rPr>
                <w:rFonts w:eastAsia="Times New Roman"/>
                <w:sz w:val="20"/>
                <w:szCs w:val="20"/>
              </w:rPr>
            </w:pPr>
            <w:r>
              <w:rPr>
                <w:rFonts w:eastAsia="Times New Roman"/>
                <w:sz w:val="20"/>
                <w:szCs w:val="20"/>
              </w:rPr>
              <w:t>Basic and diluted weighted average shares outstanding, Class B common stock</w:t>
            </w:r>
          </w:p>
        </w:tc>
        <w:tc>
          <w:tcPr>
            <w:tcW w:w="0" w:type="auto"/>
            <w:shd w:val="clear" w:color="auto" w:fill="CCEEFF"/>
            <w:tcMar>
              <w:top w:w="0" w:type="dxa"/>
              <w:left w:w="0" w:type="dxa"/>
              <w:bottom w:w="80" w:type="dxa"/>
              <w:right w:w="0" w:type="dxa"/>
            </w:tcMar>
            <w:vAlign w:val="bottom"/>
            <w:hideMark/>
          </w:tcPr>
          <w:p w14:paraId="2A957559"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2C3B105"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86AF6EA" w14:textId="77777777" w:rsidR="00000000" w:rsidRDefault="00087966">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80" w:type="dxa"/>
              <w:right w:w="0" w:type="dxa"/>
            </w:tcMar>
            <w:vAlign w:val="bottom"/>
            <w:hideMark/>
          </w:tcPr>
          <w:p w14:paraId="6A8F50A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1715710F"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C9EF8E2"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69BEC4ED" w14:textId="77777777" w:rsidR="00000000" w:rsidRDefault="00087966">
            <w:pPr>
              <w:jc w:val="right"/>
              <w:rPr>
                <w:rFonts w:eastAsia="Times New Roman"/>
                <w:sz w:val="20"/>
                <w:szCs w:val="20"/>
              </w:rPr>
            </w:pPr>
            <w:r>
              <w:rPr>
                <w:rFonts w:eastAsia="Times New Roman"/>
                <w:sz w:val="20"/>
                <w:szCs w:val="20"/>
              </w:rPr>
              <w:t>4,297,047</w:t>
            </w:r>
          </w:p>
        </w:tc>
        <w:tc>
          <w:tcPr>
            <w:tcW w:w="0" w:type="auto"/>
            <w:shd w:val="clear" w:color="auto" w:fill="CCEEFF"/>
            <w:tcMar>
              <w:top w:w="0" w:type="dxa"/>
              <w:left w:w="0" w:type="dxa"/>
              <w:bottom w:w="80" w:type="dxa"/>
              <w:right w:w="0" w:type="dxa"/>
            </w:tcMar>
            <w:vAlign w:val="bottom"/>
            <w:hideMark/>
          </w:tcPr>
          <w:p w14:paraId="5695953C" w14:textId="77777777" w:rsidR="00000000" w:rsidRDefault="00087966">
            <w:pPr>
              <w:rPr>
                <w:rFonts w:eastAsia="Times New Roman"/>
                <w:sz w:val="20"/>
                <w:szCs w:val="20"/>
              </w:rPr>
            </w:pPr>
            <w:r>
              <w:rPr>
                <w:rFonts w:eastAsia="Times New Roman"/>
                <w:sz w:val="20"/>
                <w:szCs w:val="20"/>
              </w:rPr>
              <w:t> </w:t>
            </w:r>
          </w:p>
        </w:tc>
      </w:tr>
      <w:tr w:rsidR="00000000" w14:paraId="5B1A23E4" w14:textId="77777777">
        <w:trPr>
          <w:divId w:val="1595479706"/>
        </w:trPr>
        <w:tc>
          <w:tcPr>
            <w:tcW w:w="0" w:type="auto"/>
            <w:tcMar>
              <w:top w:w="0" w:type="dxa"/>
              <w:left w:w="0" w:type="dxa"/>
              <w:bottom w:w="80" w:type="dxa"/>
              <w:right w:w="0" w:type="dxa"/>
            </w:tcMar>
            <w:vAlign w:val="bottom"/>
            <w:hideMark/>
          </w:tcPr>
          <w:p w14:paraId="442C8580" w14:textId="77777777" w:rsidR="00000000" w:rsidRDefault="00087966">
            <w:pPr>
              <w:divId w:val="825896047"/>
              <w:rPr>
                <w:rFonts w:eastAsia="Times New Roman"/>
                <w:b/>
                <w:bCs/>
                <w:sz w:val="20"/>
                <w:szCs w:val="20"/>
              </w:rPr>
            </w:pPr>
            <w:r>
              <w:rPr>
                <w:rFonts w:eastAsia="Times New Roman"/>
                <w:b/>
                <w:bCs/>
                <w:sz w:val="20"/>
                <w:szCs w:val="20"/>
              </w:rPr>
              <w:t>Basic and diluted net income (loss) per share, Class B common stock</w:t>
            </w:r>
          </w:p>
        </w:tc>
        <w:tc>
          <w:tcPr>
            <w:tcW w:w="0" w:type="auto"/>
            <w:tcMar>
              <w:top w:w="0" w:type="dxa"/>
              <w:left w:w="0" w:type="dxa"/>
              <w:bottom w:w="80" w:type="dxa"/>
              <w:right w:w="0" w:type="dxa"/>
            </w:tcMar>
            <w:vAlign w:val="bottom"/>
            <w:hideMark/>
          </w:tcPr>
          <w:p w14:paraId="7B0A5E35"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57CD07DF"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6FB3D026" w14:textId="77777777" w:rsidR="00000000" w:rsidRDefault="00087966">
            <w:pPr>
              <w:jc w:val="right"/>
              <w:rPr>
                <w:rFonts w:eastAsia="Times New Roman"/>
                <w:b/>
                <w:bCs/>
                <w:sz w:val="20"/>
                <w:szCs w:val="20"/>
              </w:rPr>
            </w:pPr>
            <w:r>
              <w:rPr>
                <w:rFonts w:eastAsia="Times New Roman"/>
                <w:b/>
                <w:bCs/>
                <w:sz w:val="20"/>
                <w:szCs w:val="20"/>
              </w:rPr>
              <w:t>0.28</w:t>
            </w:r>
          </w:p>
        </w:tc>
        <w:tc>
          <w:tcPr>
            <w:tcW w:w="0" w:type="auto"/>
            <w:tcMar>
              <w:top w:w="0" w:type="dxa"/>
              <w:left w:w="0" w:type="dxa"/>
              <w:bottom w:w="80" w:type="dxa"/>
              <w:right w:w="0" w:type="dxa"/>
            </w:tcMar>
            <w:vAlign w:val="bottom"/>
            <w:hideMark/>
          </w:tcPr>
          <w:p w14:paraId="60452F59"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593658C0"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14F79B6A"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7A11E6EE" w14:textId="77777777" w:rsidR="00000000" w:rsidRDefault="00087966">
            <w:pPr>
              <w:jc w:val="right"/>
              <w:rPr>
                <w:rFonts w:eastAsia="Times New Roman"/>
                <w:b/>
                <w:bCs/>
                <w:sz w:val="20"/>
                <w:szCs w:val="20"/>
              </w:rPr>
            </w:pPr>
            <w:r>
              <w:rPr>
                <w:rFonts w:eastAsia="Times New Roman"/>
                <w:b/>
                <w:bCs/>
                <w:sz w:val="20"/>
                <w:szCs w:val="20"/>
              </w:rPr>
              <w:t>(0.02</w:t>
            </w:r>
          </w:p>
        </w:tc>
        <w:tc>
          <w:tcPr>
            <w:tcW w:w="0" w:type="auto"/>
            <w:tcMar>
              <w:top w:w="0" w:type="dxa"/>
              <w:left w:w="0" w:type="dxa"/>
              <w:bottom w:w="80" w:type="dxa"/>
              <w:right w:w="0" w:type="dxa"/>
            </w:tcMar>
            <w:vAlign w:val="bottom"/>
            <w:hideMark/>
          </w:tcPr>
          <w:p w14:paraId="1BD525DC" w14:textId="77777777" w:rsidR="00000000" w:rsidRDefault="00087966">
            <w:pPr>
              <w:rPr>
                <w:rFonts w:eastAsia="Times New Roman"/>
                <w:b/>
                <w:bCs/>
                <w:sz w:val="20"/>
                <w:szCs w:val="20"/>
              </w:rPr>
            </w:pPr>
            <w:r>
              <w:rPr>
                <w:rFonts w:eastAsia="Times New Roman"/>
                <w:b/>
                <w:bCs/>
                <w:sz w:val="20"/>
                <w:szCs w:val="20"/>
              </w:rPr>
              <w:t>)</w:t>
            </w:r>
          </w:p>
        </w:tc>
      </w:tr>
    </w:tbl>
    <w:p w14:paraId="14DFB9CC" w14:textId="77777777" w:rsidR="00000000" w:rsidRDefault="00087966">
      <w:pPr>
        <w:pStyle w:val="a3"/>
        <w:spacing w:before="0" w:beforeAutospacing="0" w:after="0" w:afterAutospacing="0"/>
        <w:jc w:val="center"/>
        <w:divId w:val="1595479706"/>
        <w:rPr>
          <w:sz w:val="20"/>
          <w:szCs w:val="20"/>
        </w:rPr>
      </w:pPr>
      <w:r>
        <w:rPr>
          <w:b/>
          <w:bCs/>
          <w:sz w:val="20"/>
          <w:szCs w:val="20"/>
        </w:rPr>
        <w:t> </w:t>
      </w:r>
    </w:p>
    <w:p w14:paraId="65E78406" w14:textId="77777777" w:rsidR="00000000" w:rsidRDefault="00087966">
      <w:pPr>
        <w:pStyle w:val="a3"/>
        <w:spacing w:before="0" w:beforeAutospacing="0" w:after="0" w:afterAutospacing="0"/>
        <w:jc w:val="center"/>
        <w:divId w:val="1595479706"/>
        <w:rPr>
          <w:sz w:val="20"/>
          <w:szCs w:val="20"/>
        </w:rPr>
      </w:pPr>
      <w:r>
        <w:rPr>
          <w:i/>
          <w:iCs/>
          <w:sz w:val="20"/>
          <w:szCs w:val="20"/>
        </w:rPr>
        <w:t>The accompanying notes are an integral part of the consolidated financial statements.</w:t>
      </w:r>
    </w:p>
    <w:p w14:paraId="7DC0CDDE" w14:textId="77777777" w:rsidR="00000000" w:rsidRDefault="00087966">
      <w:pPr>
        <w:pStyle w:val="a3"/>
        <w:spacing w:before="0" w:beforeAutospacing="0" w:after="0" w:afterAutospacing="0"/>
        <w:jc w:val="center"/>
        <w:divId w:val="1595479706"/>
        <w:rPr>
          <w:sz w:val="20"/>
          <w:szCs w:val="20"/>
        </w:rPr>
      </w:pPr>
      <w:r>
        <w:rPr>
          <w:i/>
          <w:iCs/>
          <w:sz w:val="20"/>
          <w:szCs w:val="20"/>
        </w:rPr>
        <w:t> </w:t>
      </w:r>
    </w:p>
    <w:p w14:paraId="68A6A8DE" w14:textId="77777777" w:rsidR="00000000" w:rsidRDefault="00087966">
      <w:pPr>
        <w:pStyle w:val="a3"/>
        <w:spacing w:before="0" w:beforeAutospacing="0" w:after="0" w:afterAutospacing="0"/>
        <w:jc w:val="center"/>
        <w:divId w:val="221446554"/>
        <w:rPr>
          <w:sz w:val="20"/>
          <w:szCs w:val="20"/>
        </w:rPr>
      </w:pPr>
      <w:r>
        <w:rPr>
          <w:sz w:val="20"/>
          <w:szCs w:val="20"/>
        </w:rPr>
        <w:t>F</w:t>
      </w:r>
      <w:r>
        <w:rPr>
          <w:sz w:val="20"/>
          <w:szCs w:val="20"/>
        </w:rPr>
        <w:t>-</w:t>
      </w:r>
      <w:r>
        <w:rPr>
          <w:sz w:val="20"/>
          <w:szCs w:val="20"/>
        </w:rPr>
        <w:t>3</w:t>
      </w:r>
    </w:p>
    <w:p w14:paraId="5CA94A27" w14:textId="77777777" w:rsidR="00000000" w:rsidRDefault="00087966">
      <w:pPr>
        <w:pStyle w:val="a3"/>
        <w:spacing w:before="0" w:beforeAutospacing="0" w:after="0" w:afterAutospacing="0"/>
        <w:divId w:val="2115050211"/>
        <w:rPr>
          <w:sz w:val="20"/>
          <w:szCs w:val="20"/>
        </w:rPr>
      </w:pPr>
      <w:r>
        <w:rPr>
          <w:sz w:val="20"/>
          <w:szCs w:val="20"/>
        </w:rPr>
        <w:t> </w:t>
      </w:r>
    </w:p>
    <w:p w14:paraId="658E9D85" w14:textId="77777777" w:rsidR="00000000" w:rsidRDefault="00087966">
      <w:pPr>
        <w:pStyle w:val="a3"/>
        <w:spacing w:before="0" w:beforeAutospacing="0" w:after="0" w:afterAutospacing="0"/>
        <w:jc w:val="center"/>
        <w:divId w:val="1595479706"/>
        <w:rPr>
          <w:sz w:val="20"/>
          <w:szCs w:val="20"/>
        </w:rPr>
      </w:pPr>
      <w:r>
        <w:rPr>
          <w:i/>
          <w:iCs/>
          <w:sz w:val="20"/>
          <w:szCs w:val="20"/>
        </w:rPr>
        <w:t> </w:t>
      </w:r>
    </w:p>
    <w:p w14:paraId="2B3DF1FA"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0278C490" w14:textId="77777777" w:rsidR="00000000" w:rsidRDefault="00087966">
      <w:pPr>
        <w:pStyle w:val="a3"/>
        <w:spacing w:before="0" w:beforeAutospacing="0" w:after="0" w:afterAutospacing="0"/>
        <w:jc w:val="center"/>
        <w:divId w:val="1595479706"/>
        <w:rPr>
          <w:sz w:val="20"/>
          <w:szCs w:val="20"/>
        </w:rPr>
      </w:pPr>
      <w:r>
        <w:rPr>
          <w:b/>
          <w:bCs/>
          <w:sz w:val="20"/>
          <w:szCs w:val="20"/>
        </w:rPr>
        <w:t>CONSOLIDATED STATEMENTS OF CHANGES IN STOCKHOLDERS’ DEFICIT</w:t>
      </w:r>
    </w:p>
    <w:p w14:paraId="6E197963" w14:textId="77777777" w:rsidR="00000000" w:rsidRDefault="00087966">
      <w:pPr>
        <w:pStyle w:val="a3"/>
        <w:spacing w:before="0" w:beforeAutospacing="0" w:after="0" w:afterAutospacing="0"/>
        <w:jc w:val="center"/>
        <w:divId w:val="1595479706"/>
        <w:rPr>
          <w:sz w:val="20"/>
          <w:szCs w:val="20"/>
        </w:rPr>
      </w:pPr>
      <w:r>
        <w:rPr>
          <w:b/>
          <w:bCs/>
          <w:sz w:val="20"/>
          <w:szCs w:val="20"/>
        </w:rPr>
        <w:t>FOR THE YEARS ENDED DECEMBER 31, 2022 AND 2021</w:t>
      </w:r>
    </w:p>
    <w:p w14:paraId="6252CA32" w14:textId="77777777" w:rsidR="00000000" w:rsidRDefault="00087966">
      <w:pPr>
        <w:pStyle w:val="a3"/>
        <w:spacing w:before="0" w:beforeAutospacing="0" w:after="0" w:afterAutospacing="0"/>
        <w:jc w:val="center"/>
        <w:divId w:val="1595479706"/>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2895"/>
        <w:gridCol w:w="50"/>
        <w:gridCol w:w="50"/>
        <w:gridCol w:w="800"/>
        <w:gridCol w:w="50"/>
        <w:gridCol w:w="50"/>
        <w:gridCol w:w="101"/>
        <w:gridCol w:w="630"/>
        <w:gridCol w:w="50"/>
        <w:gridCol w:w="50"/>
        <w:gridCol w:w="100"/>
        <w:gridCol w:w="867"/>
        <w:gridCol w:w="67"/>
        <w:gridCol w:w="50"/>
        <w:gridCol w:w="114"/>
        <w:gridCol w:w="1020"/>
        <w:gridCol w:w="67"/>
        <w:gridCol w:w="50"/>
        <w:gridCol w:w="118"/>
        <w:gridCol w:w="1060"/>
        <w:gridCol w:w="67"/>
      </w:tblGrid>
      <w:tr w:rsidR="00000000" w14:paraId="2F6E8D99" w14:textId="77777777">
        <w:trPr>
          <w:divId w:val="1595479706"/>
        </w:trPr>
        <w:tc>
          <w:tcPr>
            <w:tcW w:w="0" w:type="auto"/>
            <w:vAlign w:val="bottom"/>
            <w:hideMark/>
          </w:tcPr>
          <w:p w14:paraId="1D23BB0E" w14:textId="77777777" w:rsidR="00000000" w:rsidRDefault="0008796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ECBC839" w14:textId="77777777" w:rsidR="00000000" w:rsidRDefault="00087966">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ACD1F20" w14:textId="77777777" w:rsidR="00000000" w:rsidRDefault="00087966">
            <w:pPr>
              <w:jc w:val="center"/>
              <w:rPr>
                <w:rFonts w:eastAsia="Times New Roman"/>
                <w:b/>
                <w:bCs/>
                <w:sz w:val="20"/>
                <w:szCs w:val="20"/>
              </w:rPr>
            </w:pPr>
            <w:r>
              <w:rPr>
                <w:rFonts w:eastAsia="Times New Roman"/>
                <w:b/>
                <w:bCs/>
                <w:sz w:val="20"/>
                <w:szCs w:val="20"/>
              </w:rPr>
              <w:t>Class B</w:t>
            </w:r>
            <w:r>
              <w:rPr>
                <w:rFonts w:eastAsia="Times New Roman"/>
                <w:b/>
                <w:bCs/>
                <w:sz w:val="20"/>
                <w:szCs w:val="20"/>
              </w:rPr>
              <w:br/>
              <w:t>Common Stoc</w:t>
            </w:r>
            <w:r>
              <w:rPr>
                <w:rFonts w:eastAsia="Times New Roman"/>
                <w:b/>
                <w:bCs/>
                <w:sz w:val="20"/>
                <w:szCs w:val="20"/>
              </w:rPr>
              <w:t>k</w:t>
            </w:r>
          </w:p>
        </w:tc>
        <w:tc>
          <w:tcPr>
            <w:tcW w:w="0" w:type="auto"/>
            <w:tcMar>
              <w:top w:w="0" w:type="dxa"/>
              <w:left w:w="0" w:type="dxa"/>
              <w:bottom w:w="30" w:type="dxa"/>
              <w:right w:w="0" w:type="dxa"/>
            </w:tcMar>
            <w:vAlign w:val="bottom"/>
            <w:hideMark/>
          </w:tcPr>
          <w:p w14:paraId="5A300888"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FC4379F"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vAlign w:val="bottom"/>
            <w:hideMark/>
          </w:tcPr>
          <w:p w14:paraId="2596D662" w14:textId="77777777" w:rsidR="00000000" w:rsidRDefault="00087966">
            <w:pPr>
              <w:jc w:val="center"/>
              <w:rPr>
                <w:rFonts w:eastAsia="Times New Roman"/>
                <w:b/>
                <w:bCs/>
                <w:sz w:val="20"/>
                <w:szCs w:val="20"/>
              </w:rPr>
            </w:pPr>
            <w:r>
              <w:rPr>
                <w:rFonts w:eastAsia="Times New Roman"/>
                <w:b/>
                <w:bCs/>
                <w:sz w:val="20"/>
                <w:szCs w:val="20"/>
              </w:rPr>
              <w:t>Additional</w:t>
            </w:r>
            <w:r>
              <w:rPr>
                <w:rFonts w:eastAsia="Times New Roman"/>
                <w:b/>
                <w:bCs/>
                <w:sz w:val="20"/>
                <w:szCs w:val="20"/>
              </w:rPr>
              <w:br/>
              <w:t>Paid-in</w:t>
            </w:r>
          </w:p>
        </w:tc>
        <w:tc>
          <w:tcPr>
            <w:tcW w:w="0" w:type="auto"/>
            <w:tcMar>
              <w:top w:w="0" w:type="dxa"/>
              <w:left w:w="0" w:type="dxa"/>
              <w:bottom w:w="30" w:type="dxa"/>
              <w:right w:w="0" w:type="dxa"/>
            </w:tcMar>
            <w:vAlign w:val="bottom"/>
            <w:hideMark/>
          </w:tcPr>
          <w:p w14:paraId="26AB3EC0"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2931ABA"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vAlign w:val="bottom"/>
            <w:hideMark/>
          </w:tcPr>
          <w:p w14:paraId="30751648" w14:textId="77777777" w:rsidR="00000000" w:rsidRDefault="00087966">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14:paraId="16E4914A"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9A68226"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vAlign w:val="bottom"/>
            <w:hideMark/>
          </w:tcPr>
          <w:p w14:paraId="63DBC378" w14:textId="77777777" w:rsidR="00000000" w:rsidRDefault="00087966">
            <w:pPr>
              <w:jc w:val="center"/>
              <w:rPr>
                <w:rFonts w:eastAsia="Times New Roman"/>
                <w:b/>
                <w:bCs/>
                <w:sz w:val="20"/>
                <w:szCs w:val="20"/>
              </w:rPr>
            </w:pPr>
            <w:r>
              <w:rPr>
                <w:rFonts w:eastAsia="Times New Roman"/>
                <w:b/>
                <w:bCs/>
                <w:sz w:val="20"/>
                <w:szCs w:val="20"/>
              </w:rPr>
              <w:t>Total</w:t>
            </w:r>
            <w:r>
              <w:rPr>
                <w:rFonts w:eastAsia="Times New Roman"/>
                <w:b/>
                <w:bCs/>
                <w:sz w:val="20"/>
                <w:szCs w:val="20"/>
              </w:rPr>
              <w:br/>
              <w:t>Stockholders’</w:t>
            </w:r>
            <w:r>
              <w:rPr>
                <w:rFonts w:eastAsia="Times New Roman"/>
                <w:b/>
                <w:bCs/>
                <w:sz w:val="20"/>
                <w:szCs w:val="20"/>
              </w:rPr>
              <w:br/>
              <w:t>Equity</w:t>
            </w:r>
          </w:p>
        </w:tc>
        <w:tc>
          <w:tcPr>
            <w:tcW w:w="0" w:type="auto"/>
            <w:tcMar>
              <w:top w:w="0" w:type="dxa"/>
              <w:left w:w="0" w:type="dxa"/>
              <w:bottom w:w="30" w:type="dxa"/>
              <w:right w:w="0" w:type="dxa"/>
            </w:tcMar>
            <w:vAlign w:val="bottom"/>
            <w:hideMark/>
          </w:tcPr>
          <w:p w14:paraId="00E6C05E" w14:textId="77777777" w:rsidR="00000000" w:rsidRDefault="00087966">
            <w:pPr>
              <w:rPr>
                <w:rFonts w:eastAsia="Times New Roman"/>
                <w:b/>
                <w:bCs/>
                <w:sz w:val="20"/>
                <w:szCs w:val="20"/>
              </w:rPr>
            </w:pPr>
            <w:r>
              <w:rPr>
                <w:rFonts w:eastAsia="Times New Roman"/>
                <w:b/>
                <w:bCs/>
                <w:sz w:val="20"/>
                <w:szCs w:val="20"/>
              </w:rPr>
              <w:t> </w:t>
            </w:r>
          </w:p>
        </w:tc>
      </w:tr>
      <w:tr w:rsidR="00000000" w14:paraId="01370956" w14:textId="77777777">
        <w:trPr>
          <w:divId w:val="1595479706"/>
        </w:trPr>
        <w:tc>
          <w:tcPr>
            <w:tcW w:w="0" w:type="auto"/>
            <w:vAlign w:val="bottom"/>
            <w:hideMark/>
          </w:tcPr>
          <w:p w14:paraId="3F3AE9F2" w14:textId="77777777" w:rsidR="00000000" w:rsidRDefault="0008796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22DB334"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40C295" w14:textId="77777777" w:rsidR="00000000" w:rsidRDefault="00087966">
            <w:pPr>
              <w:jc w:val="center"/>
              <w:rPr>
                <w:rFonts w:eastAsia="Times New Roman"/>
                <w:b/>
                <w:bCs/>
                <w:sz w:val="20"/>
                <w:szCs w:val="20"/>
              </w:rPr>
            </w:pPr>
            <w:r>
              <w:rPr>
                <w:rFonts w:eastAsia="Times New Roman"/>
                <w:b/>
                <w:bCs/>
                <w:sz w:val="20"/>
                <w:szCs w:val="20"/>
              </w:rPr>
              <w:t>Shares</w:t>
            </w:r>
          </w:p>
        </w:tc>
        <w:tc>
          <w:tcPr>
            <w:tcW w:w="0" w:type="auto"/>
            <w:tcMar>
              <w:top w:w="0" w:type="dxa"/>
              <w:left w:w="0" w:type="dxa"/>
              <w:bottom w:w="30" w:type="dxa"/>
              <w:right w:w="0" w:type="dxa"/>
            </w:tcMar>
            <w:vAlign w:val="bottom"/>
            <w:hideMark/>
          </w:tcPr>
          <w:p w14:paraId="5575AF29"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ECD9A5A"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0A73C18" w14:textId="77777777" w:rsidR="00000000" w:rsidRDefault="00087966">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3AB956E9"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347FB96"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B8BAC9E" w14:textId="77777777" w:rsidR="00000000" w:rsidRDefault="00087966">
            <w:pPr>
              <w:jc w:val="center"/>
              <w:rPr>
                <w:rFonts w:eastAsia="Times New Roman"/>
                <w:b/>
                <w:bCs/>
                <w:sz w:val="20"/>
                <w:szCs w:val="20"/>
              </w:rPr>
            </w:pPr>
            <w:r>
              <w:rPr>
                <w:rFonts w:eastAsia="Times New Roman"/>
                <w:b/>
                <w:bCs/>
                <w:sz w:val="20"/>
                <w:szCs w:val="20"/>
              </w:rPr>
              <w:t>Capital</w:t>
            </w:r>
          </w:p>
        </w:tc>
        <w:tc>
          <w:tcPr>
            <w:tcW w:w="0" w:type="auto"/>
            <w:tcMar>
              <w:top w:w="0" w:type="dxa"/>
              <w:left w:w="0" w:type="dxa"/>
              <w:bottom w:w="30" w:type="dxa"/>
              <w:right w:w="0" w:type="dxa"/>
            </w:tcMar>
            <w:vAlign w:val="bottom"/>
            <w:hideMark/>
          </w:tcPr>
          <w:p w14:paraId="2869FE72"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553151D"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F5DA7C4" w14:textId="77777777" w:rsidR="00000000" w:rsidRDefault="00087966">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26F9E6D1"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C18A6E2"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8C70677" w14:textId="77777777" w:rsidR="00000000" w:rsidRDefault="00087966">
            <w:pPr>
              <w:jc w:val="center"/>
              <w:rPr>
                <w:rFonts w:eastAsia="Times New Roman"/>
                <w:b/>
                <w:bCs/>
                <w:sz w:val="20"/>
                <w:szCs w:val="20"/>
              </w:rPr>
            </w:pPr>
            <w:r>
              <w:rPr>
                <w:rFonts w:eastAsia="Times New Roman"/>
                <w:b/>
                <w:bCs/>
                <w:sz w:val="20"/>
                <w:szCs w:val="20"/>
              </w:rPr>
              <w:t>(Deficit)</w:t>
            </w:r>
          </w:p>
        </w:tc>
        <w:tc>
          <w:tcPr>
            <w:tcW w:w="0" w:type="auto"/>
            <w:tcMar>
              <w:top w:w="0" w:type="dxa"/>
              <w:left w:w="0" w:type="dxa"/>
              <w:bottom w:w="30" w:type="dxa"/>
              <w:right w:w="0" w:type="dxa"/>
            </w:tcMar>
            <w:vAlign w:val="bottom"/>
            <w:hideMark/>
          </w:tcPr>
          <w:p w14:paraId="464FDF51" w14:textId="77777777" w:rsidR="00000000" w:rsidRDefault="00087966">
            <w:pPr>
              <w:rPr>
                <w:rFonts w:eastAsia="Times New Roman"/>
                <w:b/>
                <w:bCs/>
                <w:sz w:val="20"/>
                <w:szCs w:val="20"/>
              </w:rPr>
            </w:pPr>
            <w:r>
              <w:rPr>
                <w:rFonts w:eastAsia="Times New Roman"/>
                <w:b/>
                <w:bCs/>
                <w:sz w:val="20"/>
                <w:szCs w:val="20"/>
              </w:rPr>
              <w:t> </w:t>
            </w:r>
          </w:p>
        </w:tc>
      </w:tr>
      <w:tr w:rsidR="00000000" w14:paraId="58A8EB85" w14:textId="77777777">
        <w:trPr>
          <w:divId w:val="1595479706"/>
        </w:trPr>
        <w:tc>
          <w:tcPr>
            <w:tcW w:w="2000" w:type="pct"/>
            <w:shd w:val="clear" w:color="auto" w:fill="CCEEFF"/>
            <w:vAlign w:val="bottom"/>
            <w:hideMark/>
          </w:tcPr>
          <w:p w14:paraId="376DD2BA" w14:textId="77777777" w:rsidR="00000000" w:rsidRDefault="00087966">
            <w:pPr>
              <w:rPr>
                <w:rFonts w:eastAsia="Times New Roman"/>
                <w:b/>
                <w:bCs/>
                <w:sz w:val="20"/>
                <w:szCs w:val="20"/>
              </w:rPr>
            </w:pPr>
            <w:r>
              <w:rPr>
                <w:rFonts w:eastAsia="Times New Roman"/>
                <w:b/>
                <w:bCs/>
                <w:sz w:val="20"/>
                <w:szCs w:val="20"/>
              </w:rPr>
              <w:t>Balance – January 1, 2021</w:t>
            </w:r>
          </w:p>
        </w:tc>
        <w:tc>
          <w:tcPr>
            <w:tcW w:w="50" w:type="pct"/>
            <w:shd w:val="clear" w:color="auto" w:fill="CCEEFF"/>
            <w:vAlign w:val="bottom"/>
            <w:hideMark/>
          </w:tcPr>
          <w:p w14:paraId="0B3A030A" w14:textId="77777777" w:rsidR="00000000" w:rsidRDefault="00087966">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B9350ED" w14:textId="77777777" w:rsidR="00000000" w:rsidRDefault="00087966">
            <w:pPr>
              <w:rPr>
                <w:rFonts w:eastAsia="Times New Roman"/>
                <w:b/>
                <w:bCs/>
                <w:sz w:val="20"/>
                <w:szCs w:val="20"/>
              </w:rPr>
            </w:pPr>
            <w:r>
              <w:rPr>
                <w:rFonts w:eastAsia="Times New Roman"/>
                <w:b/>
                <w:bCs/>
                <w:sz w:val="20"/>
                <w:szCs w:val="20"/>
              </w:rPr>
              <w:t> </w:t>
            </w:r>
          </w:p>
        </w:tc>
        <w:tc>
          <w:tcPr>
            <w:tcW w:w="450" w:type="pct"/>
            <w:shd w:val="clear" w:color="auto" w:fill="CCEEFF"/>
            <w:vAlign w:val="bottom"/>
            <w:hideMark/>
          </w:tcPr>
          <w:p w14:paraId="6D947A13" w14:textId="77777777" w:rsidR="00000000" w:rsidRDefault="00087966">
            <w:pPr>
              <w:jc w:val="right"/>
              <w:rPr>
                <w:rFonts w:eastAsia="Times New Roman"/>
                <w:b/>
                <w:bCs/>
                <w:sz w:val="20"/>
                <w:szCs w:val="20"/>
              </w:rPr>
            </w:pPr>
            <w:r>
              <w:rPr>
                <w:rFonts w:eastAsia="Times New Roman"/>
                <w:b/>
                <w:bCs/>
                <w:sz w:val="20"/>
                <w:szCs w:val="20"/>
              </w:rPr>
              <w:t>4,312,500</w:t>
            </w:r>
          </w:p>
        </w:tc>
        <w:tc>
          <w:tcPr>
            <w:tcW w:w="50" w:type="pct"/>
            <w:shd w:val="clear" w:color="auto" w:fill="CCEEFF"/>
            <w:vAlign w:val="bottom"/>
            <w:hideMark/>
          </w:tcPr>
          <w:p w14:paraId="741C0CE8" w14:textId="77777777" w:rsidR="00000000" w:rsidRDefault="00087966">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73281099" w14:textId="77777777" w:rsidR="00000000" w:rsidRDefault="00087966">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311A235" w14:textId="77777777" w:rsidR="00000000" w:rsidRDefault="00087966">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3688C95C" w14:textId="77777777" w:rsidR="00000000" w:rsidRDefault="00087966">
            <w:pPr>
              <w:jc w:val="right"/>
              <w:rPr>
                <w:rFonts w:eastAsia="Times New Roman"/>
                <w:b/>
                <w:bCs/>
                <w:sz w:val="20"/>
                <w:szCs w:val="20"/>
              </w:rPr>
            </w:pPr>
            <w:r>
              <w:rPr>
                <w:rFonts w:eastAsia="Times New Roman"/>
                <w:b/>
                <w:bCs/>
                <w:sz w:val="20"/>
                <w:szCs w:val="20"/>
              </w:rPr>
              <w:t>431</w:t>
            </w:r>
          </w:p>
        </w:tc>
        <w:tc>
          <w:tcPr>
            <w:tcW w:w="50" w:type="pct"/>
            <w:shd w:val="clear" w:color="auto" w:fill="CCEEFF"/>
            <w:vAlign w:val="bottom"/>
            <w:hideMark/>
          </w:tcPr>
          <w:p w14:paraId="38A19CCC" w14:textId="77777777" w:rsidR="00000000" w:rsidRDefault="00087966">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2B0917CD" w14:textId="77777777" w:rsidR="00000000" w:rsidRDefault="00087966">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6E2D736" w14:textId="77777777" w:rsidR="00000000" w:rsidRDefault="00087966">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1766EDE3" w14:textId="77777777" w:rsidR="00000000" w:rsidRDefault="00087966">
            <w:pPr>
              <w:jc w:val="right"/>
              <w:rPr>
                <w:rFonts w:eastAsia="Times New Roman"/>
                <w:b/>
                <w:bCs/>
                <w:sz w:val="20"/>
                <w:szCs w:val="20"/>
              </w:rPr>
            </w:pPr>
            <w:r>
              <w:rPr>
                <w:rFonts w:eastAsia="Times New Roman"/>
                <w:b/>
                <w:bCs/>
                <w:sz w:val="20"/>
                <w:szCs w:val="20"/>
              </w:rPr>
              <w:t>24,569</w:t>
            </w:r>
          </w:p>
        </w:tc>
        <w:tc>
          <w:tcPr>
            <w:tcW w:w="50" w:type="pct"/>
            <w:shd w:val="clear" w:color="auto" w:fill="CCEEFF"/>
            <w:vAlign w:val="bottom"/>
            <w:hideMark/>
          </w:tcPr>
          <w:p w14:paraId="62C0EAF0" w14:textId="77777777" w:rsidR="00000000" w:rsidRDefault="00087966">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1E01F259" w14:textId="77777777" w:rsidR="00000000" w:rsidRDefault="00087966">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4BBB0F28" w14:textId="77777777" w:rsidR="00000000" w:rsidRDefault="00087966">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62414EAA" w14:textId="77777777" w:rsidR="00000000" w:rsidRDefault="00087966">
            <w:pPr>
              <w:jc w:val="right"/>
              <w:rPr>
                <w:rFonts w:eastAsia="Times New Roman"/>
                <w:b/>
                <w:bCs/>
                <w:sz w:val="20"/>
                <w:szCs w:val="20"/>
              </w:rPr>
            </w:pPr>
            <w:r>
              <w:rPr>
                <w:rFonts w:eastAsia="Times New Roman"/>
                <w:b/>
                <w:bCs/>
                <w:sz w:val="20"/>
                <w:szCs w:val="20"/>
              </w:rPr>
              <w:t>(1,893</w:t>
            </w:r>
          </w:p>
        </w:tc>
        <w:tc>
          <w:tcPr>
            <w:tcW w:w="50" w:type="pct"/>
            <w:shd w:val="clear" w:color="auto" w:fill="CCEEFF"/>
            <w:vAlign w:val="bottom"/>
            <w:hideMark/>
          </w:tcPr>
          <w:p w14:paraId="7E73C77D" w14:textId="77777777" w:rsidR="00000000" w:rsidRDefault="00087966">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14:paraId="3AB910A7" w14:textId="77777777" w:rsidR="00000000" w:rsidRDefault="00087966">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14:paraId="68C0B573" w14:textId="77777777" w:rsidR="00000000" w:rsidRDefault="00087966">
            <w:pPr>
              <w:rPr>
                <w:rFonts w:eastAsia="Times New Roman"/>
                <w:b/>
                <w:bCs/>
                <w:sz w:val="20"/>
                <w:szCs w:val="20"/>
              </w:rPr>
            </w:pPr>
            <w:r>
              <w:rPr>
                <w:rFonts w:eastAsia="Times New Roman"/>
                <w:b/>
                <w:bCs/>
                <w:sz w:val="20"/>
                <w:szCs w:val="20"/>
              </w:rPr>
              <w:t>$</w:t>
            </w:r>
          </w:p>
        </w:tc>
        <w:tc>
          <w:tcPr>
            <w:tcW w:w="450" w:type="pct"/>
            <w:shd w:val="clear" w:color="auto" w:fill="CCEEFF"/>
            <w:vAlign w:val="bottom"/>
            <w:hideMark/>
          </w:tcPr>
          <w:p w14:paraId="43FDF45D" w14:textId="77777777" w:rsidR="00000000" w:rsidRDefault="00087966">
            <w:pPr>
              <w:jc w:val="right"/>
              <w:rPr>
                <w:rFonts w:eastAsia="Times New Roman"/>
                <w:b/>
                <w:bCs/>
                <w:sz w:val="20"/>
                <w:szCs w:val="20"/>
              </w:rPr>
            </w:pPr>
            <w:r>
              <w:rPr>
                <w:rFonts w:eastAsia="Times New Roman"/>
                <w:b/>
                <w:bCs/>
                <w:sz w:val="20"/>
                <w:szCs w:val="20"/>
              </w:rPr>
              <w:t>23,107</w:t>
            </w:r>
          </w:p>
        </w:tc>
        <w:tc>
          <w:tcPr>
            <w:tcW w:w="50" w:type="pct"/>
            <w:shd w:val="clear" w:color="auto" w:fill="CCEEFF"/>
            <w:vAlign w:val="bottom"/>
            <w:hideMark/>
          </w:tcPr>
          <w:p w14:paraId="009469BB" w14:textId="77777777" w:rsidR="00000000" w:rsidRDefault="00087966">
            <w:pPr>
              <w:rPr>
                <w:rFonts w:eastAsia="Times New Roman"/>
                <w:b/>
                <w:bCs/>
                <w:sz w:val="20"/>
                <w:szCs w:val="20"/>
              </w:rPr>
            </w:pPr>
            <w:r>
              <w:rPr>
                <w:rFonts w:eastAsia="Times New Roman"/>
                <w:b/>
                <w:bCs/>
                <w:sz w:val="20"/>
                <w:szCs w:val="20"/>
              </w:rPr>
              <w:t> </w:t>
            </w:r>
          </w:p>
        </w:tc>
      </w:tr>
      <w:tr w:rsidR="00000000" w14:paraId="5A157041" w14:textId="77777777">
        <w:trPr>
          <w:divId w:val="1595479706"/>
        </w:trPr>
        <w:tc>
          <w:tcPr>
            <w:tcW w:w="0" w:type="auto"/>
            <w:vAlign w:val="bottom"/>
            <w:hideMark/>
          </w:tcPr>
          <w:p w14:paraId="63603D2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E1820A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EA93B5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D56A444"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FE8A3F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AE602D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5086F2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F9C7AE9"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1243DB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661A10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A6B5ED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4212029"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5DBB37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881A02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FE98E3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E00FD71"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707936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8AE5E2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45E337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CE93279"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5942286B" w14:textId="77777777" w:rsidR="00000000" w:rsidRDefault="00087966">
            <w:pPr>
              <w:rPr>
                <w:rFonts w:eastAsia="Times New Roman"/>
                <w:sz w:val="20"/>
                <w:szCs w:val="20"/>
              </w:rPr>
            </w:pPr>
            <w:r>
              <w:rPr>
                <w:rFonts w:eastAsia="Times New Roman"/>
                <w:sz w:val="20"/>
                <w:szCs w:val="20"/>
              </w:rPr>
              <w:t> </w:t>
            </w:r>
          </w:p>
        </w:tc>
      </w:tr>
      <w:tr w:rsidR="00000000" w14:paraId="34002168" w14:textId="77777777">
        <w:trPr>
          <w:divId w:val="1595479706"/>
        </w:trPr>
        <w:tc>
          <w:tcPr>
            <w:tcW w:w="0" w:type="auto"/>
            <w:shd w:val="clear" w:color="auto" w:fill="CCEEFF"/>
            <w:vAlign w:val="bottom"/>
            <w:hideMark/>
          </w:tcPr>
          <w:p w14:paraId="03805039" w14:textId="77777777" w:rsidR="00000000" w:rsidRDefault="00087966">
            <w:pPr>
              <w:rPr>
                <w:rFonts w:eastAsia="Times New Roman"/>
                <w:sz w:val="20"/>
                <w:szCs w:val="20"/>
              </w:rPr>
            </w:pPr>
            <w:r>
              <w:rPr>
                <w:rFonts w:eastAsia="Times New Roman"/>
                <w:sz w:val="20"/>
                <w:szCs w:val="20"/>
              </w:rPr>
              <w:t>Cash paid in excess of fair value for Private Placement Warrants</w:t>
            </w:r>
          </w:p>
        </w:tc>
        <w:tc>
          <w:tcPr>
            <w:tcW w:w="0" w:type="auto"/>
            <w:shd w:val="clear" w:color="auto" w:fill="CCEEFF"/>
            <w:vAlign w:val="bottom"/>
            <w:hideMark/>
          </w:tcPr>
          <w:p w14:paraId="6C924FA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07B02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FDE8BC"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8D67E5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B8B36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C674C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7B6072" w14:textId="77777777" w:rsidR="00000000" w:rsidRDefault="00087966">
            <w:pPr>
              <w:jc w:val="right"/>
              <w:divId w:val="347148232"/>
              <w:rPr>
                <w:rFonts w:eastAsia="Times New Roman"/>
                <w:sz w:val="20"/>
                <w:szCs w:val="20"/>
              </w:rPr>
            </w:pPr>
            <w:r>
              <w:rPr>
                <w:rFonts w:eastAsia="Times New Roman"/>
                <w:sz w:val="20"/>
                <w:szCs w:val="20"/>
              </w:rPr>
              <w:t>—</w:t>
            </w:r>
          </w:p>
        </w:tc>
        <w:tc>
          <w:tcPr>
            <w:tcW w:w="0" w:type="auto"/>
            <w:shd w:val="clear" w:color="auto" w:fill="CCEEFF"/>
            <w:vAlign w:val="bottom"/>
            <w:hideMark/>
          </w:tcPr>
          <w:p w14:paraId="7B2FC0F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09BAF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5742D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AD1917" w14:textId="77777777" w:rsidR="00000000" w:rsidRDefault="00087966">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14:paraId="0BA8442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4A3F0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60550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ABDF18" w14:textId="77777777" w:rsidR="00000000" w:rsidRDefault="00087966">
            <w:pPr>
              <w:jc w:val="right"/>
              <w:divId w:val="1918708283"/>
              <w:rPr>
                <w:rFonts w:eastAsia="Times New Roman"/>
                <w:sz w:val="20"/>
                <w:szCs w:val="20"/>
              </w:rPr>
            </w:pPr>
            <w:r>
              <w:rPr>
                <w:rFonts w:eastAsia="Times New Roman"/>
                <w:sz w:val="20"/>
                <w:szCs w:val="20"/>
              </w:rPr>
              <w:t>—</w:t>
            </w:r>
          </w:p>
        </w:tc>
        <w:tc>
          <w:tcPr>
            <w:tcW w:w="0" w:type="auto"/>
            <w:shd w:val="clear" w:color="auto" w:fill="CCEEFF"/>
            <w:vAlign w:val="bottom"/>
            <w:hideMark/>
          </w:tcPr>
          <w:p w14:paraId="669A497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028CA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DB357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9E082C" w14:textId="77777777" w:rsidR="00000000" w:rsidRDefault="00087966">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14:paraId="31AC247A" w14:textId="77777777" w:rsidR="00000000" w:rsidRDefault="00087966">
            <w:pPr>
              <w:rPr>
                <w:rFonts w:eastAsia="Times New Roman"/>
                <w:sz w:val="20"/>
                <w:szCs w:val="20"/>
              </w:rPr>
            </w:pPr>
            <w:r>
              <w:rPr>
                <w:rFonts w:eastAsia="Times New Roman"/>
                <w:sz w:val="20"/>
                <w:szCs w:val="20"/>
              </w:rPr>
              <w:t> </w:t>
            </w:r>
          </w:p>
        </w:tc>
      </w:tr>
      <w:tr w:rsidR="00000000" w14:paraId="79321D1A" w14:textId="77777777">
        <w:trPr>
          <w:divId w:val="1595479706"/>
        </w:trPr>
        <w:tc>
          <w:tcPr>
            <w:tcW w:w="0" w:type="auto"/>
            <w:vAlign w:val="bottom"/>
            <w:hideMark/>
          </w:tcPr>
          <w:p w14:paraId="040E586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561C45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2B68A3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FE1FBF6"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B8BCFE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DB2CE7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FA7A25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D0CC2A4"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D940D4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3CD643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98B21B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99A6EF5"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49F8D4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7FC130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C72771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E4E8F4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6DAA6C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D3CE4E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42740A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0E6FC8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87204E1" w14:textId="77777777" w:rsidR="00000000" w:rsidRDefault="00087966">
            <w:pPr>
              <w:rPr>
                <w:rFonts w:eastAsia="Times New Roman"/>
                <w:sz w:val="20"/>
                <w:szCs w:val="20"/>
              </w:rPr>
            </w:pPr>
            <w:r>
              <w:rPr>
                <w:rFonts w:eastAsia="Times New Roman"/>
                <w:sz w:val="20"/>
                <w:szCs w:val="20"/>
              </w:rPr>
              <w:t> </w:t>
            </w:r>
          </w:p>
        </w:tc>
      </w:tr>
      <w:tr w:rsidR="00000000" w14:paraId="38B70EC7" w14:textId="77777777">
        <w:trPr>
          <w:divId w:val="1595479706"/>
        </w:trPr>
        <w:tc>
          <w:tcPr>
            <w:tcW w:w="0" w:type="auto"/>
            <w:shd w:val="clear" w:color="auto" w:fill="CCEEFF"/>
            <w:vAlign w:val="bottom"/>
            <w:hideMark/>
          </w:tcPr>
          <w:p w14:paraId="129367D5" w14:textId="77777777" w:rsidR="00000000" w:rsidRDefault="00087966">
            <w:pPr>
              <w:rPr>
                <w:rFonts w:eastAsia="Times New Roman"/>
                <w:sz w:val="20"/>
                <w:szCs w:val="20"/>
              </w:rPr>
            </w:pPr>
            <w:r>
              <w:rPr>
                <w:rFonts w:eastAsia="Times New Roman"/>
                <w:sz w:val="20"/>
                <w:szCs w:val="20"/>
              </w:rPr>
              <w:t>Fair value of Founders Shares attributable to Anchor Investor</w:t>
            </w:r>
          </w:p>
        </w:tc>
        <w:tc>
          <w:tcPr>
            <w:tcW w:w="0" w:type="auto"/>
            <w:shd w:val="clear" w:color="auto" w:fill="CCEEFF"/>
            <w:vAlign w:val="bottom"/>
            <w:hideMark/>
          </w:tcPr>
          <w:p w14:paraId="3C0313B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19572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319264"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8C9DFA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95843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FD687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9DE2F8" w14:textId="77777777" w:rsidR="00000000" w:rsidRDefault="00087966">
            <w:pPr>
              <w:jc w:val="right"/>
              <w:divId w:val="844629618"/>
              <w:rPr>
                <w:rFonts w:eastAsia="Times New Roman"/>
                <w:sz w:val="20"/>
                <w:szCs w:val="20"/>
              </w:rPr>
            </w:pPr>
            <w:r>
              <w:rPr>
                <w:rFonts w:eastAsia="Times New Roman"/>
                <w:sz w:val="20"/>
                <w:szCs w:val="20"/>
              </w:rPr>
              <w:t>—</w:t>
            </w:r>
          </w:p>
        </w:tc>
        <w:tc>
          <w:tcPr>
            <w:tcW w:w="0" w:type="auto"/>
            <w:shd w:val="clear" w:color="auto" w:fill="CCEEFF"/>
            <w:vAlign w:val="bottom"/>
            <w:hideMark/>
          </w:tcPr>
          <w:p w14:paraId="591904F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E0F69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5FC2E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C635BF" w14:textId="77777777" w:rsidR="00000000" w:rsidRDefault="00087966">
            <w:pPr>
              <w:jc w:val="right"/>
              <w:rPr>
                <w:rFonts w:eastAsia="Times New Roman"/>
                <w:sz w:val="20"/>
                <w:szCs w:val="20"/>
              </w:rPr>
            </w:pPr>
            <w:r>
              <w:rPr>
                <w:rFonts w:eastAsia="Times New Roman"/>
                <w:sz w:val="20"/>
                <w:szCs w:val="20"/>
              </w:rPr>
              <w:t>4,411,238</w:t>
            </w:r>
          </w:p>
        </w:tc>
        <w:tc>
          <w:tcPr>
            <w:tcW w:w="0" w:type="auto"/>
            <w:shd w:val="clear" w:color="auto" w:fill="CCEEFF"/>
            <w:vAlign w:val="bottom"/>
            <w:hideMark/>
          </w:tcPr>
          <w:p w14:paraId="7708C1F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5276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C6313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5B537E" w14:textId="77777777" w:rsidR="00000000" w:rsidRDefault="00087966">
            <w:pPr>
              <w:jc w:val="right"/>
              <w:divId w:val="1053499364"/>
              <w:rPr>
                <w:rFonts w:eastAsia="Times New Roman"/>
                <w:sz w:val="20"/>
                <w:szCs w:val="20"/>
              </w:rPr>
            </w:pPr>
            <w:r>
              <w:rPr>
                <w:rFonts w:eastAsia="Times New Roman"/>
                <w:sz w:val="20"/>
                <w:szCs w:val="20"/>
              </w:rPr>
              <w:t>—</w:t>
            </w:r>
          </w:p>
        </w:tc>
        <w:tc>
          <w:tcPr>
            <w:tcW w:w="0" w:type="auto"/>
            <w:shd w:val="clear" w:color="auto" w:fill="CCEEFF"/>
            <w:vAlign w:val="bottom"/>
            <w:hideMark/>
          </w:tcPr>
          <w:p w14:paraId="3E9EBEF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10304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187F3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D4303A" w14:textId="77777777" w:rsidR="00000000" w:rsidRDefault="00087966">
            <w:pPr>
              <w:jc w:val="right"/>
              <w:rPr>
                <w:rFonts w:eastAsia="Times New Roman"/>
                <w:sz w:val="20"/>
                <w:szCs w:val="20"/>
              </w:rPr>
            </w:pPr>
            <w:r>
              <w:rPr>
                <w:rFonts w:eastAsia="Times New Roman"/>
                <w:sz w:val="20"/>
                <w:szCs w:val="20"/>
              </w:rPr>
              <w:t>4,411,238</w:t>
            </w:r>
          </w:p>
        </w:tc>
        <w:tc>
          <w:tcPr>
            <w:tcW w:w="0" w:type="auto"/>
            <w:shd w:val="clear" w:color="auto" w:fill="CCEEFF"/>
            <w:vAlign w:val="bottom"/>
            <w:hideMark/>
          </w:tcPr>
          <w:p w14:paraId="344AE81A" w14:textId="77777777" w:rsidR="00000000" w:rsidRDefault="00087966">
            <w:pPr>
              <w:rPr>
                <w:rFonts w:eastAsia="Times New Roman"/>
                <w:sz w:val="20"/>
                <w:szCs w:val="20"/>
              </w:rPr>
            </w:pPr>
            <w:r>
              <w:rPr>
                <w:rFonts w:eastAsia="Times New Roman"/>
                <w:sz w:val="20"/>
                <w:szCs w:val="20"/>
              </w:rPr>
              <w:t> </w:t>
            </w:r>
          </w:p>
        </w:tc>
      </w:tr>
      <w:tr w:rsidR="00000000" w14:paraId="4B7ACED4" w14:textId="77777777">
        <w:trPr>
          <w:divId w:val="1595479706"/>
        </w:trPr>
        <w:tc>
          <w:tcPr>
            <w:tcW w:w="0" w:type="auto"/>
            <w:vAlign w:val="bottom"/>
            <w:hideMark/>
          </w:tcPr>
          <w:p w14:paraId="61BEC04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DE2874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66BBC4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E23C133"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CB7723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4A61DD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3D2D9B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AF6B51D"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58F1AD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E06578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4593F5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EE0EB1E"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5A89BF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0732F5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DEAE3D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7333F11"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4073D1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4BFE4A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0B5106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D42F897"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D478309" w14:textId="77777777" w:rsidR="00000000" w:rsidRDefault="00087966">
            <w:pPr>
              <w:rPr>
                <w:rFonts w:eastAsia="Times New Roman"/>
                <w:sz w:val="20"/>
                <w:szCs w:val="20"/>
              </w:rPr>
            </w:pPr>
            <w:r>
              <w:rPr>
                <w:rFonts w:eastAsia="Times New Roman"/>
                <w:sz w:val="20"/>
                <w:szCs w:val="20"/>
              </w:rPr>
              <w:t> </w:t>
            </w:r>
          </w:p>
        </w:tc>
      </w:tr>
      <w:tr w:rsidR="00000000" w14:paraId="30862ACA" w14:textId="77777777">
        <w:trPr>
          <w:divId w:val="1595479706"/>
        </w:trPr>
        <w:tc>
          <w:tcPr>
            <w:tcW w:w="0" w:type="auto"/>
            <w:shd w:val="clear" w:color="auto" w:fill="CCEEFF"/>
            <w:vAlign w:val="bottom"/>
            <w:hideMark/>
          </w:tcPr>
          <w:p w14:paraId="415D7DB2" w14:textId="77777777" w:rsidR="00000000" w:rsidRDefault="00087966">
            <w:pPr>
              <w:rPr>
                <w:rFonts w:eastAsia="Times New Roman"/>
                <w:sz w:val="20"/>
                <w:szCs w:val="20"/>
              </w:rPr>
            </w:pPr>
            <w:r>
              <w:rPr>
                <w:rFonts w:eastAsia="Times New Roman"/>
                <w:sz w:val="20"/>
                <w:szCs w:val="20"/>
              </w:rPr>
              <w:t>Re-measurement of Class A common stock to redemption amount</w:t>
            </w:r>
          </w:p>
        </w:tc>
        <w:tc>
          <w:tcPr>
            <w:tcW w:w="0" w:type="auto"/>
            <w:shd w:val="clear" w:color="auto" w:fill="CCEEFF"/>
            <w:vAlign w:val="bottom"/>
            <w:hideMark/>
          </w:tcPr>
          <w:p w14:paraId="3AABF7F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54CAE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F993CE"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6A8182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B48E7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9C7A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FCADB4" w14:textId="77777777" w:rsidR="00000000" w:rsidRDefault="00087966">
            <w:pPr>
              <w:jc w:val="right"/>
              <w:divId w:val="1893492128"/>
              <w:rPr>
                <w:rFonts w:eastAsia="Times New Roman"/>
                <w:sz w:val="20"/>
                <w:szCs w:val="20"/>
              </w:rPr>
            </w:pPr>
            <w:r>
              <w:rPr>
                <w:rFonts w:eastAsia="Times New Roman"/>
                <w:sz w:val="20"/>
                <w:szCs w:val="20"/>
              </w:rPr>
              <w:t>—</w:t>
            </w:r>
          </w:p>
        </w:tc>
        <w:tc>
          <w:tcPr>
            <w:tcW w:w="0" w:type="auto"/>
            <w:shd w:val="clear" w:color="auto" w:fill="CCEEFF"/>
            <w:vAlign w:val="bottom"/>
            <w:hideMark/>
          </w:tcPr>
          <w:p w14:paraId="51A0A50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E8318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C0A0B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E19D49" w14:textId="77777777" w:rsidR="00000000" w:rsidRDefault="00087966">
            <w:pPr>
              <w:jc w:val="right"/>
              <w:rPr>
                <w:rFonts w:eastAsia="Times New Roman"/>
                <w:sz w:val="20"/>
                <w:szCs w:val="20"/>
              </w:rPr>
            </w:pPr>
            <w:r>
              <w:rPr>
                <w:rFonts w:eastAsia="Times New Roman"/>
                <w:sz w:val="20"/>
                <w:szCs w:val="20"/>
              </w:rPr>
              <w:t>(5,891,807</w:t>
            </w:r>
          </w:p>
        </w:tc>
        <w:tc>
          <w:tcPr>
            <w:tcW w:w="0" w:type="auto"/>
            <w:shd w:val="clear" w:color="auto" w:fill="CCEEFF"/>
            <w:vAlign w:val="bottom"/>
            <w:hideMark/>
          </w:tcPr>
          <w:p w14:paraId="1A5BE472"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5257A4A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559B0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2A1484" w14:textId="77777777" w:rsidR="00000000" w:rsidRDefault="00087966">
            <w:pPr>
              <w:jc w:val="right"/>
              <w:rPr>
                <w:rFonts w:eastAsia="Times New Roman"/>
                <w:sz w:val="20"/>
                <w:szCs w:val="20"/>
              </w:rPr>
            </w:pPr>
            <w:r>
              <w:rPr>
                <w:rFonts w:eastAsia="Times New Roman"/>
                <w:sz w:val="20"/>
                <w:szCs w:val="20"/>
              </w:rPr>
              <w:t>(14,098,415</w:t>
            </w:r>
          </w:p>
        </w:tc>
        <w:tc>
          <w:tcPr>
            <w:tcW w:w="0" w:type="auto"/>
            <w:shd w:val="clear" w:color="auto" w:fill="CCEEFF"/>
            <w:vAlign w:val="bottom"/>
            <w:hideMark/>
          </w:tcPr>
          <w:p w14:paraId="3B620124"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39D29F3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32D25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BCAA94" w14:textId="77777777" w:rsidR="00000000" w:rsidRDefault="00087966">
            <w:pPr>
              <w:jc w:val="right"/>
              <w:rPr>
                <w:rFonts w:eastAsia="Times New Roman"/>
                <w:sz w:val="20"/>
                <w:szCs w:val="20"/>
              </w:rPr>
            </w:pPr>
            <w:r>
              <w:rPr>
                <w:rFonts w:eastAsia="Times New Roman"/>
                <w:sz w:val="20"/>
                <w:szCs w:val="20"/>
              </w:rPr>
              <w:t>(19,990,222</w:t>
            </w:r>
          </w:p>
        </w:tc>
        <w:tc>
          <w:tcPr>
            <w:tcW w:w="0" w:type="auto"/>
            <w:shd w:val="clear" w:color="auto" w:fill="CCEEFF"/>
            <w:vAlign w:val="bottom"/>
            <w:hideMark/>
          </w:tcPr>
          <w:p w14:paraId="18E8A81D" w14:textId="77777777" w:rsidR="00000000" w:rsidRDefault="00087966">
            <w:pPr>
              <w:rPr>
                <w:rFonts w:eastAsia="Times New Roman"/>
                <w:sz w:val="20"/>
                <w:szCs w:val="20"/>
              </w:rPr>
            </w:pPr>
            <w:r>
              <w:rPr>
                <w:rFonts w:eastAsia="Times New Roman"/>
                <w:sz w:val="20"/>
                <w:szCs w:val="20"/>
              </w:rPr>
              <w:t>)</w:t>
            </w:r>
          </w:p>
        </w:tc>
      </w:tr>
      <w:tr w:rsidR="00000000" w14:paraId="2618AC99" w14:textId="77777777">
        <w:trPr>
          <w:divId w:val="1595479706"/>
        </w:trPr>
        <w:tc>
          <w:tcPr>
            <w:tcW w:w="0" w:type="auto"/>
            <w:vAlign w:val="bottom"/>
            <w:hideMark/>
          </w:tcPr>
          <w:p w14:paraId="2624617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CBB38F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586354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8B79A5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6A8235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B609B7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43A174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39BC4DA"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9DBB2A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C620AF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84A513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61B3F8A"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E617BC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CD5872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6AF070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3ADC7A0"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CD0196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66C04F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9079BE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3F49F6C"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A94B60C" w14:textId="77777777" w:rsidR="00000000" w:rsidRDefault="00087966">
            <w:pPr>
              <w:rPr>
                <w:rFonts w:eastAsia="Times New Roman"/>
                <w:sz w:val="20"/>
                <w:szCs w:val="20"/>
              </w:rPr>
            </w:pPr>
            <w:r>
              <w:rPr>
                <w:rFonts w:eastAsia="Times New Roman"/>
                <w:sz w:val="20"/>
                <w:szCs w:val="20"/>
              </w:rPr>
              <w:t> </w:t>
            </w:r>
          </w:p>
        </w:tc>
      </w:tr>
      <w:tr w:rsidR="00000000" w14:paraId="7A04F466" w14:textId="77777777">
        <w:trPr>
          <w:divId w:val="1595479706"/>
        </w:trPr>
        <w:tc>
          <w:tcPr>
            <w:tcW w:w="0" w:type="auto"/>
            <w:shd w:val="clear" w:color="auto" w:fill="CCEEFF"/>
            <w:tcMar>
              <w:top w:w="0" w:type="dxa"/>
              <w:left w:w="0" w:type="dxa"/>
              <w:bottom w:w="30" w:type="dxa"/>
              <w:right w:w="0" w:type="dxa"/>
            </w:tcMar>
            <w:vAlign w:val="bottom"/>
            <w:hideMark/>
          </w:tcPr>
          <w:p w14:paraId="1BA232F0" w14:textId="77777777" w:rsidR="00000000" w:rsidRDefault="00087966">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14:paraId="3888F45C"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91338B9"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740019"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A34B8B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39E30A6"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BD1BB0"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DBD813" w14:textId="77777777" w:rsidR="00000000" w:rsidRDefault="00087966">
            <w:pPr>
              <w:jc w:val="right"/>
              <w:divId w:val="130535831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FFD200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CC27F30"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963BB1"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7CB450" w14:textId="77777777" w:rsidR="00000000" w:rsidRDefault="00087966">
            <w:pPr>
              <w:jc w:val="right"/>
              <w:divId w:val="159554850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D1E580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024AF49"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653EB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923B8FC" w14:textId="77777777" w:rsidR="00000000" w:rsidRDefault="00087966">
            <w:pPr>
              <w:jc w:val="right"/>
              <w:rPr>
                <w:rFonts w:eastAsia="Times New Roman"/>
                <w:sz w:val="20"/>
                <w:szCs w:val="20"/>
              </w:rPr>
            </w:pPr>
            <w:r>
              <w:rPr>
                <w:rFonts w:eastAsia="Times New Roman"/>
                <w:sz w:val="20"/>
                <w:szCs w:val="20"/>
              </w:rPr>
              <w:t>(406,026</w:t>
            </w:r>
          </w:p>
        </w:tc>
        <w:tc>
          <w:tcPr>
            <w:tcW w:w="0" w:type="auto"/>
            <w:shd w:val="clear" w:color="auto" w:fill="CCEEFF"/>
            <w:tcMar>
              <w:top w:w="0" w:type="dxa"/>
              <w:left w:w="0" w:type="dxa"/>
              <w:bottom w:w="30" w:type="dxa"/>
              <w:right w:w="0" w:type="dxa"/>
            </w:tcMar>
            <w:vAlign w:val="bottom"/>
            <w:hideMark/>
          </w:tcPr>
          <w:p w14:paraId="1A7C98D4"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8FFCB7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2D74E3"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EA0E72" w14:textId="77777777" w:rsidR="00000000" w:rsidRDefault="00087966">
            <w:pPr>
              <w:jc w:val="right"/>
              <w:rPr>
                <w:rFonts w:eastAsia="Times New Roman"/>
                <w:sz w:val="20"/>
                <w:szCs w:val="20"/>
              </w:rPr>
            </w:pPr>
            <w:r>
              <w:rPr>
                <w:rFonts w:eastAsia="Times New Roman"/>
                <w:sz w:val="20"/>
                <w:szCs w:val="20"/>
              </w:rPr>
              <w:t>(406,026</w:t>
            </w:r>
          </w:p>
        </w:tc>
        <w:tc>
          <w:tcPr>
            <w:tcW w:w="0" w:type="auto"/>
            <w:shd w:val="clear" w:color="auto" w:fill="CCEEFF"/>
            <w:tcMar>
              <w:top w:w="0" w:type="dxa"/>
              <w:left w:w="0" w:type="dxa"/>
              <w:bottom w:w="30" w:type="dxa"/>
              <w:right w:w="0" w:type="dxa"/>
            </w:tcMar>
            <w:vAlign w:val="bottom"/>
            <w:hideMark/>
          </w:tcPr>
          <w:p w14:paraId="3838E70F" w14:textId="77777777" w:rsidR="00000000" w:rsidRDefault="00087966">
            <w:pPr>
              <w:rPr>
                <w:rFonts w:eastAsia="Times New Roman"/>
                <w:sz w:val="20"/>
                <w:szCs w:val="20"/>
              </w:rPr>
            </w:pPr>
            <w:r>
              <w:rPr>
                <w:rFonts w:eastAsia="Times New Roman"/>
                <w:sz w:val="20"/>
                <w:szCs w:val="20"/>
              </w:rPr>
              <w:t>)</w:t>
            </w:r>
          </w:p>
        </w:tc>
      </w:tr>
      <w:tr w:rsidR="00000000" w14:paraId="5CD43395" w14:textId="77777777">
        <w:trPr>
          <w:divId w:val="1595479706"/>
        </w:trPr>
        <w:tc>
          <w:tcPr>
            <w:tcW w:w="0" w:type="auto"/>
            <w:vAlign w:val="bottom"/>
            <w:hideMark/>
          </w:tcPr>
          <w:p w14:paraId="2B20F7F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AD5DC4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97175C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0C10EAB"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95C7DC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C51217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F7DAF9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3C61A49"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1EB219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475354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F89322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D558804"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54FBB5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ED4150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936E45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9E2A5B0"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6FB20E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B29770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0C8748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52C2EB8"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B093F74" w14:textId="77777777" w:rsidR="00000000" w:rsidRDefault="00087966">
            <w:pPr>
              <w:rPr>
                <w:rFonts w:eastAsia="Times New Roman"/>
                <w:sz w:val="20"/>
                <w:szCs w:val="20"/>
              </w:rPr>
            </w:pPr>
            <w:r>
              <w:rPr>
                <w:rFonts w:eastAsia="Times New Roman"/>
                <w:sz w:val="20"/>
                <w:szCs w:val="20"/>
              </w:rPr>
              <w:t> </w:t>
            </w:r>
          </w:p>
        </w:tc>
      </w:tr>
      <w:tr w:rsidR="00000000" w14:paraId="72CE8CC0" w14:textId="77777777">
        <w:trPr>
          <w:divId w:val="1595479706"/>
        </w:trPr>
        <w:tc>
          <w:tcPr>
            <w:tcW w:w="0" w:type="auto"/>
            <w:shd w:val="clear" w:color="auto" w:fill="CCEEFF"/>
            <w:vAlign w:val="bottom"/>
            <w:hideMark/>
          </w:tcPr>
          <w:p w14:paraId="53CBD171" w14:textId="77777777" w:rsidR="00000000" w:rsidRDefault="00087966">
            <w:pPr>
              <w:rPr>
                <w:rFonts w:eastAsia="Times New Roman"/>
                <w:b/>
                <w:bCs/>
                <w:sz w:val="20"/>
                <w:szCs w:val="20"/>
              </w:rPr>
            </w:pPr>
            <w:r>
              <w:rPr>
                <w:rFonts w:eastAsia="Times New Roman"/>
                <w:b/>
                <w:bCs/>
                <w:sz w:val="20"/>
                <w:szCs w:val="20"/>
              </w:rPr>
              <w:t>Balance – December 31, 2021</w:t>
            </w:r>
          </w:p>
        </w:tc>
        <w:tc>
          <w:tcPr>
            <w:tcW w:w="0" w:type="auto"/>
            <w:shd w:val="clear" w:color="auto" w:fill="CCEEFF"/>
            <w:vAlign w:val="bottom"/>
            <w:hideMark/>
          </w:tcPr>
          <w:p w14:paraId="4D2EAE9F"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12EDEA0C"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4C38917F" w14:textId="77777777" w:rsidR="00000000" w:rsidRDefault="00087966">
            <w:pPr>
              <w:jc w:val="right"/>
              <w:rPr>
                <w:rFonts w:eastAsia="Times New Roman"/>
                <w:b/>
                <w:bCs/>
                <w:sz w:val="20"/>
                <w:szCs w:val="20"/>
              </w:rPr>
            </w:pPr>
            <w:r>
              <w:rPr>
                <w:rFonts w:eastAsia="Times New Roman"/>
                <w:b/>
                <w:bCs/>
                <w:sz w:val="20"/>
                <w:szCs w:val="20"/>
              </w:rPr>
              <w:t>4,312,500</w:t>
            </w:r>
          </w:p>
        </w:tc>
        <w:tc>
          <w:tcPr>
            <w:tcW w:w="0" w:type="auto"/>
            <w:shd w:val="clear" w:color="auto" w:fill="CCEEFF"/>
            <w:vAlign w:val="bottom"/>
            <w:hideMark/>
          </w:tcPr>
          <w:p w14:paraId="31328563"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7A33EF0B"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35666F29" w14:textId="77777777" w:rsidR="00000000" w:rsidRDefault="00087966">
            <w:pPr>
              <w:rPr>
                <w:rFonts w:eastAsia="Times New Roman"/>
                <w:b/>
                <w:bCs/>
                <w:sz w:val="20"/>
                <w:szCs w:val="20"/>
              </w:rPr>
            </w:pPr>
          </w:p>
        </w:tc>
        <w:tc>
          <w:tcPr>
            <w:tcW w:w="0" w:type="auto"/>
            <w:shd w:val="clear" w:color="auto" w:fill="CCEEFF"/>
            <w:vAlign w:val="bottom"/>
            <w:hideMark/>
          </w:tcPr>
          <w:p w14:paraId="35C33C9B" w14:textId="77777777" w:rsidR="00000000" w:rsidRDefault="00087966">
            <w:pPr>
              <w:jc w:val="right"/>
              <w:rPr>
                <w:rFonts w:eastAsia="Times New Roman"/>
                <w:b/>
                <w:bCs/>
                <w:sz w:val="20"/>
                <w:szCs w:val="20"/>
              </w:rPr>
            </w:pPr>
            <w:r>
              <w:rPr>
                <w:rFonts w:eastAsia="Times New Roman"/>
                <w:b/>
                <w:bCs/>
                <w:sz w:val="20"/>
                <w:szCs w:val="20"/>
              </w:rPr>
              <w:t>431</w:t>
            </w:r>
          </w:p>
        </w:tc>
        <w:tc>
          <w:tcPr>
            <w:tcW w:w="0" w:type="auto"/>
            <w:shd w:val="clear" w:color="auto" w:fill="CCEEFF"/>
            <w:vAlign w:val="bottom"/>
            <w:hideMark/>
          </w:tcPr>
          <w:p w14:paraId="1DF8CF71"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6D3AE050"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6BC5B19" w14:textId="77777777" w:rsidR="00000000" w:rsidRDefault="00087966">
            <w:pPr>
              <w:rPr>
                <w:rFonts w:eastAsia="Times New Roman"/>
                <w:b/>
                <w:bCs/>
                <w:sz w:val="20"/>
                <w:szCs w:val="20"/>
              </w:rPr>
            </w:pPr>
          </w:p>
        </w:tc>
        <w:tc>
          <w:tcPr>
            <w:tcW w:w="0" w:type="auto"/>
            <w:shd w:val="clear" w:color="auto" w:fill="CCEEFF"/>
            <w:vAlign w:val="bottom"/>
            <w:hideMark/>
          </w:tcPr>
          <w:p w14:paraId="02FF6F48" w14:textId="77777777" w:rsidR="00000000" w:rsidRDefault="00087966">
            <w:pPr>
              <w:jc w:val="right"/>
              <w:divId w:val="1862741134"/>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1C5CBC2E"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2CABEBD5"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5A8320EB" w14:textId="77777777" w:rsidR="00000000" w:rsidRDefault="00087966">
            <w:pPr>
              <w:rPr>
                <w:rFonts w:eastAsia="Times New Roman"/>
                <w:b/>
                <w:bCs/>
                <w:sz w:val="20"/>
                <w:szCs w:val="20"/>
              </w:rPr>
            </w:pPr>
          </w:p>
        </w:tc>
        <w:tc>
          <w:tcPr>
            <w:tcW w:w="0" w:type="auto"/>
            <w:shd w:val="clear" w:color="auto" w:fill="CCEEFF"/>
            <w:vAlign w:val="bottom"/>
            <w:hideMark/>
          </w:tcPr>
          <w:p w14:paraId="7392CFB4" w14:textId="77777777" w:rsidR="00000000" w:rsidRDefault="00087966">
            <w:pPr>
              <w:jc w:val="right"/>
              <w:rPr>
                <w:rFonts w:eastAsia="Times New Roman"/>
                <w:b/>
                <w:bCs/>
                <w:sz w:val="20"/>
                <w:szCs w:val="20"/>
              </w:rPr>
            </w:pPr>
            <w:r>
              <w:rPr>
                <w:rFonts w:eastAsia="Times New Roman"/>
                <w:b/>
                <w:bCs/>
                <w:sz w:val="20"/>
                <w:szCs w:val="20"/>
              </w:rPr>
              <w:t>(14,506,334</w:t>
            </w:r>
          </w:p>
        </w:tc>
        <w:tc>
          <w:tcPr>
            <w:tcW w:w="0" w:type="auto"/>
            <w:shd w:val="clear" w:color="auto" w:fill="CCEEFF"/>
            <w:vAlign w:val="bottom"/>
            <w:hideMark/>
          </w:tcPr>
          <w:p w14:paraId="623721A7" w14:textId="77777777" w:rsidR="00000000" w:rsidRDefault="00087966">
            <w:pPr>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14:paraId="7812E7D8"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14:paraId="0855440E" w14:textId="77777777" w:rsidR="00000000" w:rsidRDefault="00087966">
            <w:pPr>
              <w:rPr>
                <w:rFonts w:eastAsia="Times New Roman"/>
                <w:b/>
                <w:bCs/>
                <w:sz w:val="20"/>
                <w:szCs w:val="20"/>
              </w:rPr>
            </w:pPr>
          </w:p>
        </w:tc>
        <w:tc>
          <w:tcPr>
            <w:tcW w:w="0" w:type="auto"/>
            <w:shd w:val="clear" w:color="auto" w:fill="CCEEFF"/>
            <w:vAlign w:val="bottom"/>
            <w:hideMark/>
          </w:tcPr>
          <w:p w14:paraId="4A2086DB" w14:textId="77777777" w:rsidR="00000000" w:rsidRDefault="00087966">
            <w:pPr>
              <w:jc w:val="right"/>
              <w:rPr>
                <w:rFonts w:eastAsia="Times New Roman"/>
                <w:b/>
                <w:bCs/>
                <w:sz w:val="20"/>
                <w:szCs w:val="20"/>
              </w:rPr>
            </w:pPr>
            <w:r>
              <w:rPr>
                <w:rFonts w:eastAsia="Times New Roman"/>
                <w:b/>
                <w:bCs/>
                <w:sz w:val="20"/>
                <w:szCs w:val="20"/>
              </w:rPr>
              <w:t>(14,505,903</w:t>
            </w:r>
          </w:p>
        </w:tc>
        <w:tc>
          <w:tcPr>
            <w:tcW w:w="0" w:type="auto"/>
            <w:shd w:val="clear" w:color="auto" w:fill="CCEEFF"/>
            <w:vAlign w:val="bottom"/>
            <w:hideMark/>
          </w:tcPr>
          <w:p w14:paraId="5CE25B1F" w14:textId="77777777" w:rsidR="00000000" w:rsidRDefault="00087966">
            <w:pPr>
              <w:rPr>
                <w:rFonts w:eastAsia="Times New Roman"/>
                <w:b/>
                <w:bCs/>
                <w:sz w:val="20"/>
                <w:szCs w:val="20"/>
              </w:rPr>
            </w:pPr>
            <w:r>
              <w:rPr>
                <w:rFonts w:eastAsia="Times New Roman"/>
                <w:b/>
                <w:bCs/>
                <w:sz w:val="20"/>
                <w:szCs w:val="20"/>
              </w:rPr>
              <w:t>)</w:t>
            </w:r>
          </w:p>
        </w:tc>
      </w:tr>
      <w:tr w:rsidR="00000000" w14:paraId="2D1DB62E" w14:textId="77777777">
        <w:trPr>
          <w:divId w:val="1595479706"/>
        </w:trPr>
        <w:tc>
          <w:tcPr>
            <w:tcW w:w="0" w:type="auto"/>
            <w:vAlign w:val="bottom"/>
            <w:hideMark/>
          </w:tcPr>
          <w:p w14:paraId="78FA8F7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F5DDF4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F4AAE8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F168327"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5DB250A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CCCD63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9428A4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8C02D53"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F97871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3276C0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A692CF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FEF4F2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ABBB3C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DEDA14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050160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B69D519"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620EFA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896D62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DA1582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1BF916E"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D3B0AE5" w14:textId="77777777" w:rsidR="00000000" w:rsidRDefault="00087966">
            <w:pPr>
              <w:rPr>
                <w:rFonts w:eastAsia="Times New Roman"/>
                <w:sz w:val="20"/>
                <w:szCs w:val="20"/>
              </w:rPr>
            </w:pPr>
            <w:r>
              <w:rPr>
                <w:rFonts w:eastAsia="Times New Roman"/>
                <w:sz w:val="20"/>
                <w:szCs w:val="20"/>
              </w:rPr>
              <w:t> </w:t>
            </w:r>
          </w:p>
        </w:tc>
      </w:tr>
      <w:tr w:rsidR="00000000" w14:paraId="0D8287B6" w14:textId="77777777">
        <w:trPr>
          <w:divId w:val="1595479706"/>
        </w:trPr>
        <w:tc>
          <w:tcPr>
            <w:tcW w:w="0" w:type="auto"/>
            <w:shd w:val="clear" w:color="auto" w:fill="CCEEFF"/>
            <w:vAlign w:val="bottom"/>
            <w:hideMark/>
          </w:tcPr>
          <w:p w14:paraId="67E2C505" w14:textId="77777777" w:rsidR="00000000" w:rsidRDefault="00087966">
            <w:pPr>
              <w:rPr>
                <w:rFonts w:eastAsia="Times New Roman"/>
                <w:sz w:val="20"/>
                <w:szCs w:val="20"/>
              </w:rPr>
            </w:pPr>
            <w:r>
              <w:rPr>
                <w:rFonts w:eastAsia="Times New Roman"/>
                <w:sz w:val="20"/>
                <w:szCs w:val="20"/>
              </w:rPr>
              <w:t>Proceeds in excess of Fair Value of Convertible Note on issuance</w:t>
            </w:r>
          </w:p>
        </w:tc>
        <w:tc>
          <w:tcPr>
            <w:tcW w:w="0" w:type="auto"/>
            <w:shd w:val="clear" w:color="auto" w:fill="CCEEFF"/>
            <w:vAlign w:val="bottom"/>
            <w:hideMark/>
          </w:tcPr>
          <w:p w14:paraId="01AD478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9CEEE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8652AF"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61F060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36F72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B4B7B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F89677" w14:textId="77777777" w:rsidR="00000000" w:rsidRDefault="00087966">
            <w:pPr>
              <w:jc w:val="right"/>
              <w:divId w:val="1686980995"/>
              <w:rPr>
                <w:rFonts w:eastAsia="Times New Roman"/>
                <w:sz w:val="20"/>
                <w:szCs w:val="20"/>
              </w:rPr>
            </w:pPr>
            <w:r>
              <w:rPr>
                <w:rFonts w:eastAsia="Times New Roman"/>
                <w:sz w:val="20"/>
                <w:szCs w:val="20"/>
              </w:rPr>
              <w:t>—</w:t>
            </w:r>
          </w:p>
        </w:tc>
        <w:tc>
          <w:tcPr>
            <w:tcW w:w="0" w:type="auto"/>
            <w:shd w:val="clear" w:color="auto" w:fill="CCEEFF"/>
            <w:vAlign w:val="bottom"/>
            <w:hideMark/>
          </w:tcPr>
          <w:p w14:paraId="08B1027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B746C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23DE3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10E995" w14:textId="77777777" w:rsidR="00000000" w:rsidRDefault="00087966">
            <w:pPr>
              <w:jc w:val="right"/>
              <w:rPr>
                <w:rFonts w:eastAsia="Times New Roman"/>
                <w:sz w:val="20"/>
                <w:szCs w:val="20"/>
              </w:rPr>
            </w:pPr>
            <w:r>
              <w:rPr>
                <w:rFonts w:eastAsia="Times New Roman"/>
                <w:sz w:val="20"/>
                <w:szCs w:val="20"/>
              </w:rPr>
              <w:t>462,043</w:t>
            </w:r>
          </w:p>
        </w:tc>
        <w:tc>
          <w:tcPr>
            <w:tcW w:w="0" w:type="auto"/>
            <w:shd w:val="clear" w:color="auto" w:fill="CCEEFF"/>
            <w:vAlign w:val="bottom"/>
            <w:hideMark/>
          </w:tcPr>
          <w:p w14:paraId="21DDA77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6D30E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F9F71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8A14A3" w14:textId="77777777" w:rsidR="00000000" w:rsidRDefault="00087966">
            <w:pPr>
              <w:jc w:val="right"/>
              <w:divId w:val="1346248366"/>
              <w:rPr>
                <w:rFonts w:eastAsia="Times New Roman"/>
                <w:sz w:val="20"/>
                <w:szCs w:val="20"/>
              </w:rPr>
            </w:pPr>
            <w:r>
              <w:rPr>
                <w:rFonts w:eastAsia="Times New Roman"/>
                <w:sz w:val="20"/>
                <w:szCs w:val="20"/>
              </w:rPr>
              <w:t>—</w:t>
            </w:r>
          </w:p>
        </w:tc>
        <w:tc>
          <w:tcPr>
            <w:tcW w:w="0" w:type="auto"/>
            <w:shd w:val="clear" w:color="auto" w:fill="CCEEFF"/>
            <w:vAlign w:val="bottom"/>
            <w:hideMark/>
          </w:tcPr>
          <w:p w14:paraId="164689C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208BF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A608B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A98F6D" w14:textId="77777777" w:rsidR="00000000" w:rsidRDefault="00087966">
            <w:pPr>
              <w:jc w:val="right"/>
              <w:rPr>
                <w:rFonts w:eastAsia="Times New Roman"/>
                <w:sz w:val="20"/>
                <w:szCs w:val="20"/>
              </w:rPr>
            </w:pPr>
            <w:r>
              <w:rPr>
                <w:rFonts w:eastAsia="Times New Roman"/>
                <w:sz w:val="20"/>
                <w:szCs w:val="20"/>
              </w:rPr>
              <w:t>462,043</w:t>
            </w:r>
          </w:p>
        </w:tc>
        <w:tc>
          <w:tcPr>
            <w:tcW w:w="0" w:type="auto"/>
            <w:shd w:val="clear" w:color="auto" w:fill="CCEEFF"/>
            <w:vAlign w:val="bottom"/>
            <w:hideMark/>
          </w:tcPr>
          <w:p w14:paraId="79F029DA" w14:textId="77777777" w:rsidR="00000000" w:rsidRDefault="00087966">
            <w:pPr>
              <w:rPr>
                <w:rFonts w:eastAsia="Times New Roman"/>
                <w:sz w:val="20"/>
                <w:szCs w:val="20"/>
              </w:rPr>
            </w:pPr>
            <w:r>
              <w:rPr>
                <w:rFonts w:eastAsia="Times New Roman"/>
                <w:sz w:val="20"/>
                <w:szCs w:val="20"/>
              </w:rPr>
              <w:t> </w:t>
            </w:r>
          </w:p>
        </w:tc>
      </w:tr>
      <w:tr w:rsidR="00000000" w14:paraId="091F493B" w14:textId="77777777">
        <w:trPr>
          <w:divId w:val="1595479706"/>
        </w:trPr>
        <w:tc>
          <w:tcPr>
            <w:tcW w:w="0" w:type="auto"/>
            <w:vAlign w:val="bottom"/>
            <w:hideMark/>
          </w:tcPr>
          <w:p w14:paraId="639CF9C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8281F8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64DCFF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22FF560"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4E511A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2E3333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12FFBD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8DD4D3B"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CE8C06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8290AF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995F19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861AAC9"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5E1A9B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D38193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C2BF6A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DA20378"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B6BB8C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E9DA91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16D245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318B60F"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60D5915" w14:textId="77777777" w:rsidR="00000000" w:rsidRDefault="00087966">
            <w:pPr>
              <w:rPr>
                <w:rFonts w:eastAsia="Times New Roman"/>
                <w:sz w:val="20"/>
                <w:szCs w:val="20"/>
              </w:rPr>
            </w:pPr>
            <w:r>
              <w:rPr>
                <w:rFonts w:eastAsia="Times New Roman"/>
                <w:sz w:val="20"/>
                <w:szCs w:val="20"/>
              </w:rPr>
              <w:t> </w:t>
            </w:r>
          </w:p>
        </w:tc>
      </w:tr>
      <w:tr w:rsidR="00000000" w14:paraId="153CCA9E" w14:textId="77777777">
        <w:trPr>
          <w:divId w:val="1595479706"/>
        </w:trPr>
        <w:tc>
          <w:tcPr>
            <w:tcW w:w="0" w:type="auto"/>
            <w:shd w:val="clear" w:color="auto" w:fill="CCEEFF"/>
            <w:vAlign w:val="bottom"/>
            <w:hideMark/>
          </w:tcPr>
          <w:p w14:paraId="104924AB" w14:textId="77777777" w:rsidR="00000000" w:rsidRDefault="00087966">
            <w:pPr>
              <w:rPr>
                <w:rFonts w:eastAsia="Times New Roman"/>
                <w:sz w:val="20"/>
                <w:szCs w:val="20"/>
              </w:rPr>
            </w:pPr>
            <w:r>
              <w:rPr>
                <w:rFonts w:eastAsia="Times New Roman"/>
                <w:sz w:val="20"/>
                <w:szCs w:val="20"/>
              </w:rPr>
              <w:t>Re-measurement of Class A common stock to redemption amount</w:t>
            </w:r>
          </w:p>
        </w:tc>
        <w:tc>
          <w:tcPr>
            <w:tcW w:w="0" w:type="auto"/>
            <w:shd w:val="clear" w:color="auto" w:fill="CCEEFF"/>
            <w:vAlign w:val="bottom"/>
            <w:hideMark/>
          </w:tcPr>
          <w:p w14:paraId="61106B7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F8A38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A65B51"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70A142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B330C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63D0C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4D7E38" w14:textId="77777777" w:rsidR="00000000" w:rsidRDefault="00087966">
            <w:pPr>
              <w:jc w:val="right"/>
              <w:divId w:val="2000227508"/>
              <w:rPr>
                <w:rFonts w:eastAsia="Times New Roman"/>
                <w:sz w:val="20"/>
                <w:szCs w:val="20"/>
              </w:rPr>
            </w:pPr>
            <w:r>
              <w:rPr>
                <w:rFonts w:eastAsia="Times New Roman"/>
                <w:sz w:val="20"/>
                <w:szCs w:val="20"/>
              </w:rPr>
              <w:t>—</w:t>
            </w:r>
          </w:p>
        </w:tc>
        <w:tc>
          <w:tcPr>
            <w:tcW w:w="0" w:type="auto"/>
            <w:shd w:val="clear" w:color="auto" w:fill="CCEEFF"/>
            <w:vAlign w:val="bottom"/>
            <w:hideMark/>
          </w:tcPr>
          <w:p w14:paraId="6CF003F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D4B12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9C4B2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FCF7C9" w14:textId="77777777" w:rsidR="00000000" w:rsidRDefault="00087966">
            <w:pPr>
              <w:jc w:val="right"/>
              <w:rPr>
                <w:rFonts w:eastAsia="Times New Roman"/>
                <w:sz w:val="20"/>
                <w:szCs w:val="20"/>
              </w:rPr>
            </w:pPr>
            <w:r>
              <w:rPr>
                <w:rFonts w:eastAsia="Times New Roman"/>
                <w:sz w:val="20"/>
                <w:szCs w:val="20"/>
              </w:rPr>
              <w:t>(462,043</w:t>
            </w:r>
          </w:p>
        </w:tc>
        <w:tc>
          <w:tcPr>
            <w:tcW w:w="0" w:type="auto"/>
            <w:shd w:val="clear" w:color="auto" w:fill="CCEEFF"/>
            <w:vAlign w:val="bottom"/>
            <w:hideMark/>
          </w:tcPr>
          <w:p w14:paraId="01BA85DB"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6BADDFF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7737B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A25966" w14:textId="77777777" w:rsidR="00000000" w:rsidRDefault="00087966">
            <w:pPr>
              <w:jc w:val="right"/>
              <w:rPr>
                <w:rFonts w:eastAsia="Times New Roman"/>
                <w:sz w:val="20"/>
                <w:szCs w:val="20"/>
              </w:rPr>
            </w:pPr>
            <w:r>
              <w:rPr>
                <w:rFonts w:eastAsia="Times New Roman"/>
                <w:sz w:val="20"/>
                <w:szCs w:val="20"/>
              </w:rPr>
              <w:t>(2,734,004</w:t>
            </w:r>
          </w:p>
        </w:tc>
        <w:tc>
          <w:tcPr>
            <w:tcW w:w="0" w:type="auto"/>
            <w:shd w:val="clear" w:color="auto" w:fill="CCEEFF"/>
            <w:vAlign w:val="bottom"/>
            <w:hideMark/>
          </w:tcPr>
          <w:p w14:paraId="4F4C950A"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47FE8B8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3CA82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0B59F3" w14:textId="77777777" w:rsidR="00000000" w:rsidRDefault="00087966">
            <w:pPr>
              <w:jc w:val="right"/>
              <w:rPr>
                <w:rFonts w:eastAsia="Times New Roman"/>
                <w:sz w:val="20"/>
                <w:szCs w:val="20"/>
              </w:rPr>
            </w:pPr>
            <w:r>
              <w:rPr>
                <w:rFonts w:eastAsia="Times New Roman"/>
                <w:sz w:val="20"/>
                <w:szCs w:val="20"/>
              </w:rPr>
              <w:t>(3,196,047</w:t>
            </w:r>
          </w:p>
        </w:tc>
        <w:tc>
          <w:tcPr>
            <w:tcW w:w="0" w:type="auto"/>
            <w:shd w:val="clear" w:color="auto" w:fill="CCEEFF"/>
            <w:vAlign w:val="bottom"/>
            <w:hideMark/>
          </w:tcPr>
          <w:p w14:paraId="1B869632" w14:textId="77777777" w:rsidR="00000000" w:rsidRDefault="00087966">
            <w:pPr>
              <w:rPr>
                <w:rFonts w:eastAsia="Times New Roman"/>
                <w:sz w:val="20"/>
                <w:szCs w:val="20"/>
              </w:rPr>
            </w:pPr>
            <w:r>
              <w:rPr>
                <w:rFonts w:eastAsia="Times New Roman"/>
                <w:sz w:val="20"/>
                <w:szCs w:val="20"/>
              </w:rPr>
              <w:t>)</w:t>
            </w:r>
          </w:p>
        </w:tc>
      </w:tr>
      <w:tr w:rsidR="00000000" w14:paraId="75F78C47" w14:textId="77777777">
        <w:trPr>
          <w:divId w:val="1595479706"/>
        </w:trPr>
        <w:tc>
          <w:tcPr>
            <w:tcW w:w="0" w:type="auto"/>
            <w:vAlign w:val="bottom"/>
            <w:hideMark/>
          </w:tcPr>
          <w:p w14:paraId="5835C9B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287714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11192C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A398C6D"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CCD162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2D7A6D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6295E4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C11A1A8"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B736CC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6217B8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D8C53A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B718880"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D8E931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1AE4F5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726C96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6090D25"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44A1C2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A28057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C65E67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C474D55"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66E7126" w14:textId="77777777" w:rsidR="00000000" w:rsidRDefault="00087966">
            <w:pPr>
              <w:rPr>
                <w:rFonts w:eastAsia="Times New Roman"/>
                <w:sz w:val="20"/>
                <w:szCs w:val="20"/>
              </w:rPr>
            </w:pPr>
            <w:r>
              <w:rPr>
                <w:rFonts w:eastAsia="Times New Roman"/>
                <w:sz w:val="20"/>
                <w:szCs w:val="20"/>
              </w:rPr>
              <w:t> </w:t>
            </w:r>
          </w:p>
        </w:tc>
      </w:tr>
      <w:tr w:rsidR="00000000" w14:paraId="011D5C4C" w14:textId="77777777">
        <w:trPr>
          <w:divId w:val="1595479706"/>
        </w:trPr>
        <w:tc>
          <w:tcPr>
            <w:tcW w:w="0" w:type="auto"/>
            <w:shd w:val="clear" w:color="auto" w:fill="CCEEFF"/>
            <w:tcMar>
              <w:top w:w="0" w:type="dxa"/>
              <w:left w:w="0" w:type="dxa"/>
              <w:bottom w:w="30" w:type="dxa"/>
              <w:right w:w="0" w:type="dxa"/>
            </w:tcMar>
            <w:vAlign w:val="bottom"/>
            <w:hideMark/>
          </w:tcPr>
          <w:p w14:paraId="34CD78F4" w14:textId="77777777" w:rsidR="00000000" w:rsidRDefault="00087966">
            <w:pPr>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14:paraId="49A5F78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164D3C"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9DEA6A"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636A27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903DE1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46CD66E"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E6AEFE8" w14:textId="77777777" w:rsidR="00000000" w:rsidRDefault="00087966">
            <w:pPr>
              <w:jc w:val="right"/>
              <w:divId w:val="1683627765"/>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7828F1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6B85033"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E9B57B"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E3FA62" w14:textId="77777777" w:rsidR="00000000" w:rsidRDefault="00087966">
            <w:pPr>
              <w:jc w:val="right"/>
              <w:divId w:val="788747462"/>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409857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C52672C"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4CD255"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2DEE6E" w14:textId="77777777" w:rsidR="00000000" w:rsidRDefault="00087966">
            <w:pPr>
              <w:jc w:val="right"/>
              <w:rPr>
                <w:rFonts w:eastAsia="Times New Roman"/>
                <w:sz w:val="20"/>
                <w:szCs w:val="20"/>
              </w:rPr>
            </w:pPr>
            <w:r>
              <w:rPr>
                <w:rFonts w:eastAsia="Times New Roman"/>
                <w:sz w:val="20"/>
                <w:szCs w:val="20"/>
              </w:rPr>
              <w:t>5,032,569</w:t>
            </w:r>
          </w:p>
        </w:tc>
        <w:tc>
          <w:tcPr>
            <w:tcW w:w="0" w:type="auto"/>
            <w:shd w:val="clear" w:color="auto" w:fill="CCEEFF"/>
            <w:tcMar>
              <w:top w:w="0" w:type="dxa"/>
              <w:left w:w="0" w:type="dxa"/>
              <w:bottom w:w="30" w:type="dxa"/>
              <w:right w:w="0" w:type="dxa"/>
            </w:tcMar>
            <w:vAlign w:val="bottom"/>
            <w:hideMark/>
          </w:tcPr>
          <w:p w14:paraId="5320CCF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C654714"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648815"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C561D9" w14:textId="77777777" w:rsidR="00000000" w:rsidRDefault="00087966">
            <w:pPr>
              <w:jc w:val="right"/>
              <w:rPr>
                <w:rFonts w:eastAsia="Times New Roman"/>
                <w:sz w:val="20"/>
                <w:szCs w:val="20"/>
              </w:rPr>
            </w:pPr>
            <w:r>
              <w:rPr>
                <w:rFonts w:eastAsia="Times New Roman"/>
                <w:sz w:val="20"/>
                <w:szCs w:val="20"/>
              </w:rPr>
              <w:t>5,032,569</w:t>
            </w:r>
          </w:p>
        </w:tc>
        <w:tc>
          <w:tcPr>
            <w:tcW w:w="0" w:type="auto"/>
            <w:shd w:val="clear" w:color="auto" w:fill="CCEEFF"/>
            <w:tcMar>
              <w:top w:w="0" w:type="dxa"/>
              <w:left w:w="0" w:type="dxa"/>
              <w:bottom w:w="30" w:type="dxa"/>
              <w:right w:w="0" w:type="dxa"/>
            </w:tcMar>
            <w:vAlign w:val="bottom"/>
            <w:hideMark/>
          </w:tcPr>
          <w:p w14:paraId="3247A1F7" w14:textId="77777777" w:rsidR="00000000" w:rsidRDefault="00087966">
            <w:pPr>
              <w:rPr>
                <w:rFonts w:eastAsia="Times New Roman"/>
                <w:sz w:val="20"/>
                <w:szCs w:val="20"/>
              </w:rPr>
            </w:pPr>
            <w:r>
              <w:rPr>
                <w:rFonts w:eastAsia="Times New Roman"/>
                <w:sz w:val="20"/>
                <w:szCs w:val="20"/>
              </w:rPr>
              <w:t> </w:t>
            </w:r>
          </w:p>
        </w:tc>
      </w:tr>
      <w:tr w:rsidR="00000000" w14:paraId="0681B2B6" w14:textId="77777777">
        <w:trPr>
          <w:divId w:val="1595479706"/>
        </w:trPr>
        <w:tc>
          <w:tcPr>
            <w:tcW w:w="0" w:type="auto"/>
            <w:vAlign w:val="bottom"/>
            <w:hideMark/>
          </w:tcPr>
          <w:p w14:paraId="5E6A81B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6FFF6F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4B3509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E272398"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E8D524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E9AB31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FD4EA2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6276C28"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16CDE6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89DAF4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45ADD3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CE44776"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5C966F9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243686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F08A62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9DC3B74"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0E1BDF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F40702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61AC14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B75EDCE"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630BAF9" w14:textId="77777777" w:rsidR="00000000" w:rsidRDefault="00087966">
            <w:pPr>
              <w:rPr>
                <w:rFonts w:eastAsia="Times New Roman"/>
                <w:sz w:val="20"/>
                <w:szCs w:val="20"/>
              </w:rPr>
            </w:pPr>
            <w:r>
              <w:rPr>
                <w:rFonts w:eastAsia="Times New Roman"/>
                <w:sz w:val="20"/>
                <w:szCs w:val="20"/>
              </w:rPr>
              <w:t> </w:t>
            </w:r>
          </w:p>
        </w:tc>
      </w:tr>
      <w:tr w:rsidR="00000000" w14:paraId="1596E863" w14:textId="77777777">
        <w:trPr>
          <w:divId w:val="1595479706"/>
        </w:trPr>
        <w:tc>
          <w:tcPr>
            <w:tcW w:w="0" w:type="auto"/>
            <w:shd w:val="clear" w:color="auto" w:fill="CCEEFF"/>
            <w:tcMar>
              <w:top w:w="0" w:type="dxa"/>
              <w:left w:w="0" w:type="dxa"/>
              <w:bottom w:w="80" w:type="dxa"/>
              <w:right w:w="0" w:type="dxa"/>
            </w:tcMar>
            <w:vAlign w:val="bottom"/>
            <w:hideMark/>
          </w:tcPr>
          <w:p w14:paraId="38B191D6" w14:textId="77777777" w:rsidR="00000000" w:rsidRDefault="00087966">
            <w:pPr>
              <w:rPr>
                <w:rFonts w:eastAsia="Times New Roman"/>
                <w:b/>
                <w:bCs/>
                <w:sz w:val="20"/>
                <w:szCs w:val="20"/>
              </w:rPr>
            </w:pPr>
            <w:r>
              <w:rPr>
                <w:rFonts w:eastAsia="Times New Roman"/>
                <w:b/>
                <w:bCs/>
                <w:sz w:val="20"/>
                <w:szCs w:val="20"/>
              </w:rPr>
              <w:t>Balance – December 31, 2022</w:t>
            </w:r>
          </w:p>
        </w:tc>
        <w:tc>
          <w:tcPr>
            <w:tcW w:w="0" w:type="auto"/>
            <w:shd w:val="clear" w:color="auto" w:fill="CCEEFF"/>
            <w:tcMar>
              <w:top w:w="0" w:type="dxa"/>
              <w:left w:w="0" w:type="dxa"/>
              <w:bottom w:w="80" w:type="dxa"/>
              <w:right w:w="0" w:type="dxa"/>
            </w:tcMar>
            <w:vAlign w:val="bottom"/>
            <w:hideMark/>
          </w:tcPr>
          <w:p w14:paraId="0F348E8B"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E4D2F21"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215ED84" w14:textId="77777777" w:rsidR="00000000" w:rsidRDefault="00087966">
            <w:pPr>
              <w:jc w:val="right"/>
              <w:rPr>
                <w:rFonts w:eastAsia="Times New Roman"/>
                <w:b/>
                <w:bCs/>
                <w:sz w:val="20"/>
                <w:szCs w:val="20"/>
              </w:rPr>
            </w:pPr>
            <w:r>
              <w:rPr>
                <w:rFonts w:eastAsia="Times New Roman"/>
                <w:b/>
                <w:bCs/>
                <w:sz w:val="20"/>
                <w:szCs w:val="20"/>
              </w:rPr>
              <w:t>4,312,500</w:t>
            </w:r>
          </w:p>
        </w:tc>
        <w:tc>
          <w:tcPr>
            <w:tcW w:w="0" w:type="auto"/>
            <w:shd w:val="clear" w:color="auto" w:fill="CCEEFF"/>
            <w:tcMar>
              <w:top w:w="0" w:type="dxa"/>
              <w:left w:w="0" w:type="dxa"/>
              <w:bottom w:w="80" w:type="dxa"/>
              <w:right w:w="0" w:type="dxa"/>
            </w:tcMar>
            <w:vAlign w:val="bottom"/>
            <w:hideMark/>
          </w:tcPr>
          <w:p w14:paraId="3E45A36A"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109AF7C5"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4200760"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7BC7BA4C" w14:textId="77777777" w:rsidR="00000000" w:rsidRDefault="00087966">
            <w:pPr>
              <w:jc w:val="right"/>
              <w:rPr>
                <w:rFonts w:eastAsia="Times New Roman"/>
                <w:b/>
                <w:bCs/>
                <w:sz w:val="20"/>
                <w:szCs w:val="20"/>
              </w:rPr>
            </w:pPr>
            <w:r>
              <w:rPr>
                <w:rFonts w:eastAsia="Times New Roman"/>
                <w:b/>
                <w:bCs/>
                <w:sz w:val="20"/>
                <w:szCs w:val="20"/>
              </w:rPr>
              <w:t>431</w:t>
            </w:r>
          </w:p>
        </w:tc>
        <w:tc>
          <w:tcPr>
            <w:tcW w:w="0" w:type="auto"/>
            <w:shd w:val="clear" w:color="auto" w:fill="CCEEFF"/>
            <w:tcMar>
              <w:top w:w="0" w:type="dxa"/>
              <w:left w:w="0" w:type="dxa"/>
              <w:bottom w:w="80" w:type="dxa"/>
              <w:right w:w="0" w:type="dxa"/>
            </w:tcMar>
            <w:vAlign w:val="bottom"/>
            <w:hideMark/>
          </w:tcPr>
          <w:p w14:paraId="3843004D"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D6F6C33"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3696E5C0"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55F8CF17" w14:textId="77777777" w:rsidR="00000000" w:rsidRDefault="00087966">
            <w:pPr>
              <w:jc w:val="right"/>
              <w:divId w:val="1398894070"/>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452D851D"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7E58889E"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257E027F"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6E328798" w14:textId="77777777" w:rsidR="00000000" w:rsidRDefault="00087966">
            <w:pPr>
              <w:jc w:val="right"/>
              <w:rPr>
                <w:rFonts w:eastAsia="Times New Roman"/>
                <w:b/>
                <w:bCs/>
                <w:sz w:val="20"/>
                <w:szCs w:val="20"/>
              </w:rPr>
            </w:pPr>
            <w:r>
              <w:rPr>
                <w:rFonts w:eastAsia="Times New Roman"/>
                <w:b/>
                <w:bCs/>
                <w:sz w:val="20"/>
                <w:szCs w:val="20"/>
              </w:rPr>
              <w:t>(12,207,769</w:t>
            </w:r>
          </w:p>
        </w:tc>
        <w:tc>
          <w:tcPr>
            <w:tcW w:w="0" w:type="auto"/>
            <w:shd w:val="clear" w:color="auto" w:fill="CCEEFF"/>
            <w:tcMar>
              <w:top w:w="0" w:type="dxa"/>
              <w:left w:w="0" w:type="dxa"/>
              <w:bottom w:w="80" w:type="dxa"/>
              <w:right w:w="0" w:type="dxa"/>
            </w:tcMar>
            <w:vAlign w:val="bottom"/>
            <w:hideMark/>
          </w:tcPr>
          <w:p w14:paraId="2388BAAC" w14:textId="77777777" w:rsidR="00000000" w:rsidRDefault="00087966">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80" w:type="dxa"/>
              <w:right w:w="0" w:type="dxa"/>
            </w:tcMar>
            <w:vAlign w:val="bottom"/>
            <w:hideMark/>
          </w:tcPr>
          <w:p w14:paraId="4F6E140D"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4D042012"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324F3B37" w14:textId="77777777" w:rsidR="00000000" w:rsidRDefault="00087966">
            <w:pPr>
              <w:jc w:val="right"/>
              <w:rPr>
                <w:rFonts w:eastAsia="Times New Roman"/>
                <w:b/>
                <w:bCs/>
                <w:sz w:val="20"/>
                <w:szCs w:val="20"/>
              </w:rPr>
            </w:pPr>
            <w:r>
              <w:rPr>
                <w:rFonts w:eastAsia="Times New Roman"/>
                <w:b/>
                <w:bCs/>
                <w:sz w:val="20"/>
                <w:szCs w:val="20"/>
              </w:rPr>
              <w:t>(12,207,338</w:t>
            </w:r>
          </w:p>
        </w:tc>
        <w:tc>
          <w:tcPr>
            <w:tcW w:w="0" w:type="auto"/>
            <w:shd w:val="clear" w:color="auto" w:fill="CCEEFF"/>
            <w:tcMar>
              <w:top w:w="0" w:type="dxa"/>
              <w:left w:w="0" w:type="dxa"/>
              <w:bottom w:w="80" w:type="dxa"/>
              <w:right w:w="0" w:type="dxa"/>
            </w:tcMar>
            <w:vAlign w:val="bottom"/>
            <w:hideMark/>
          </w:tcPr>
          <w:p w14:paraId="249F7D4E" w14:textId="77777777" w:rsidR="00000000" w:rsidRDefault="00087966">
            <w:pPr>
              <w:rPr>
                <w:rFonts w:eastAsia="Times New Roman"/>
                <w:b/>
                <w:bCs/>
                <w:sz w:val="20"/>
                <w:szCs w:val="20"/>
              </w:rPr>
            </w:pPr>
            <w:r>
              <w:rPr>
                <w:rFonts w:eastAsia="Times New Roman"/>
                <w:b/>
                <w:bCs/>
                <w:sz w:val="20"/>
                <w:szCs w:val="20"/>
              </w:rPr>
              <w:t>)</w:t>
            </w:r>
          </w:p>
        </w:tc>
      </w:tr>
    </w:tbl>
    <w:p w14:paraId="595DE9A4" w14:textId="77777777" w:rsidR="00000000" w:rsidRDefault="00087966">
      <w:pPr>
        <w:pStyle w:val="a3"/>
        <w:spacing w:before="0" w:beforeAutospacing="0" w:after="0" w:afterAutospacing="0"/>
        <w:jc w:val="center"/>
        <w:divId w:val="1595479706"/>
        <w:rPr>
          <w:sz w:val="20"/>
          <w:szCs w:val="20"/>
        </w:rPr>
      </w:pPr>
      <w:r>
        <w:rPr>
          <w:b/>
          <w:bCs/>
          <w:sz w:val="20"/>
          <w:szCs w:val="20"/>
        </w:rPr>
        <w:t> </w:t>
      </w:r>
    </w:p>
    <w:p w14:paraId="02D923F4" w14:textId="77777777" w:rsidR="00000000" w:rsidRDefault="00087966">
      <w:pPr>
        <w:pStyle w:val="a3"/>
        <w:spacing w:before="0" w:beforeAutospacing="0" w:after="0" w:afterAutospacing="0"/>
        <w:jc w:val="center"/>
        <w:divId w:val="1595479706"/>
        <w:rPr>
          <w:sz w:val="20"/>
          <w:szCs w:val="20"/>
        </w:rPr>
      </w:pPr>
      <w:r>
        <w:rPr>
          <w:i/>
          <w:iCs/>
          <w:sz w:val="20"/>
          <w:szCs w:val="20"/>
        </w:rPr>
        <w:t>The accompanying notes are an integral part of the consolidated financial statements.</w:t>
      </w:r>
    </w:p>
    <w:p w14:paraId="5F450647" w14:textId="77777777" w:rsidR="00000000" w:rsidRDefault="00087966">
      <w:pPr>
        <w:pStyle w:val="a3"/>
        <w:spacing w:before="0" w:beforeAutospacing="0" w:after="0" w:afterAutospacing="0"/>
        <w:jc w:val="center"/>
        <w:divId w:val="1595479706"/>
        <w:rPr>
          <w:sz w:val="20"/>
          <w:szCs w:val="20"/>
        </w:rPr>
      </w:pPr>
      <w:r>
        <w:rPr>
          <w:i/>
          <w:iCs/>
          <w:sz w:val="20"/>
          <w:szCs w:val="20"/>
        </w:rPr>
        <w:t> </w:t>
      </w:r>
    </w:p>
    <w:p w14:paraId="760ECC4D" w14:textId="77777777" w:rsidR="00000000" w:rsidRDefault="00087966">
      <w:pPr>
        <w:pStyle w:val="a3"/>
        <w:spacing w:before="0" w:beforeAutospacing="0" w:after="0" w:afterAutospacing="0"/>
        <w:jc w:val="center"/>
        <w:divId w:val="573465696"/>
        <w:rPr>
          <w:sz w:val="20"/>
          <w:szCs w:val="20"/>
        </w:rPr>
      </w:pPr>
      <w:r>
        <w:rPr>
          <w:sz w:val="20"/>
          <w:szCs w:val="20"/>
        </w:rPr>
        <w:t>F</w:t>
      </w:r>
      <w:r>
        <w:rPr>
          <w:sz w:val="20"/>
          <w:szCs w:val="20"/>
        </w:rPr>
        <w:t>-</w:t>
      </w:r>
      <w:r>
        <w:rPr>
          <w:sz w:val="20"/>
          <w:szCs w:val="20"/>
        </w:rPr>
        <w:t>4</w:t>
      </w:r>
    </w:p>
    <w:p w14:paraId="30C09624" w14:textId="77777777" w:rsidR="00000000" w:rsidRDefault="00087966">
      <w:pPr>
        <w:pStyle w:val="a3"/>
        <w:spacing w:before="0" w:beforeAutospacing="0" w:after="0" w:afterAutospacing="0"/>
        <w:divId w:val="1343819076"/>
        <w:rPr>
          <w:sz w:val="20"/>
          <w:szCs w:val="20"/>
        </w:rPr>
      </w:pPr>
      <w:r>
        <w:rPr>
          <w:sz w:val="20"/>
          <w:szCs w:val="20"/>
        </w:rPr>
        <w:t> </w:t>
      </w:r>
    </w:p>
    <w:p w14:paraId="674CB9C5" w14:textId="77777777" w:rsidR="00000000" w:rsidRDefault="00087966">
      <w:pPr>
        <w:pStyle w:val="a3"/>
        <w:spacing w:before="0" w:beforeAutospacing="0" w:after="0" w:afterAutospacing="0"/>
        <w:jc w:val="center"/>
        <w:divId w:val="1595479706"/>
        <w:rPr>
          <w:sz w:val="20"/>
          <w:szCs w:val="20"/>
        </w:rPr>
      </w:pPr>
      <w:r>
        <w:rPr>
          <w:i/>
          <w:iCs/>
          <w:sz w:val="20"/>
          <w:szCs w:val="20"/>
        </w:rPr>
        <w:t> </w:t>
      </w:r>
    </w:p>
    <w:p w14:paraId="057F9A7B"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0B5600FB" w14:textId="77777777" w:rsidR="00000000" w:rsidRDefault="00087966">
      <w:pPr>
        <w:pStyle w:val="a3"/>
        <w:spacing w:before="0" w:beforeAutospacing="0" w:after="0" w:afterAutospacing="0"/>
        <w:jc w:val="center"/>
        <w:divId w:val="1595479706"/>
        <w:rPr>
          <w:sz w:val="20"/>
          <w:szCs w:val="20"/>
        </w:rPr>
      </w:pPr>
      <w:r>
        <w:rPr>
          <w:b/>
          <w:bCs/>
          <w:sz w:val="20"/>
          <w:szCs w:val="20"/>
        </w:rPr>
        <w:t>CONSOLIDATED STATEMENTS OF CASH FLOWS</w:t>
      </w:r>
    </w:p>
    <w:p w14:paraId="7D705BAC" w14:textId="77777777" w:rsidR="00000000" w:rsidRDefault="00087966">
      <w:pPr>
        <w:pStyle w:val="a3"/>
        <w:spacing w:before="0" w:beforeAutospacing="0" w:after="0" w:afterAutospacing="0"/>
        <w:jc w:val="center"/>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38"/>
        <w:gridCol w:w="50"/>
        <w:gridCol w:w="100"/>
        <w:gridCol w:w="967"/>
        <w:gridCol w:w="67"/>
        <w:gridCol w:w="50"/>
        <w:gridCol w:w="100"/>
        <w:gridCol w:w="1067"/>
        <w:gridCol w:w="67"/>
      </w:tblGrid>
      <w:tr w:rsidR="00000000" w14:paraId="4B7578E9" w14:textId="77777777">
        <w:trPr>
          <w:divId w:val="1595479706"/>
        </w:trPr>
        <w:tc>
          <w:tcPr>
            <w:tcW w:w="0" w:type="auto"/>
            <w:vAlign w:val="bottom"/>
            <w:hideMark/>
          </w:tcPr>
          <w:p w14:paraId="5A79C20E"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C167492" w14:textId="77777777" w:rsidR="00000000" w:rsidRDefault="00087966">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5482C494" w14:textId="77777777" w:rsidR="00000000" w:rsidRDefault="00087966">
            <w:pPr>
              <w:jc w:val="center"/>
              <w:rPr>
                <w:rFonts w:eastAsia="Times New Roman"/>
                <w:b/>
                <w:bCs/>
                <w:sz w:val="20"/>
                <w:szCs w:val="20"/>
              </w:rPr>
            </w:pPr>
            <w:r>
              <w:rPr>
                <w:rFonts w:eastAsia="Times New Roman"/>
                <w:b/>
                <w:bCs/>
                <w:sz w:val="20"/>
                <w:szCs w:val="20"/>
              </w:rPr>
              <w:t>Years Ended</w:t>
            </w:r>
            <w:r>
              <w:rPr>
                <w:rFonts w:eastAsia="Times New Roman"/>
                <w:b/>
                <w:bCs/>
                <w:sz w:val="20"/>
                <w:szCs w:val="20"/>
              </w:rPr>
              <w:br/>
              <w:t>December 31,</w:t>
            </w:r>
          </w:p>
        </w:tc>
        <w:tc>
          <w:tcPr>
            <w:tcW w:w="0" w:type="auto"/>
            <w:tcMar>
              <w:top w:w="0" w:type="dxa"/>
              <w:left w:w="0" w:type="dxa"/>
              <w:bottom w:w="30" w:type="dxa"/>
              <w:right w:w="0" w:type="dxa"/>
            </w:tcMar>
            <w:vAlign w:val="bottom"/>
            <w:hideMark/>
          </w:tcPr>
          <w:p w14:paraId="37BC3CCE" w14:textId="77777777" w:rsidR="00000000" w:rsidRDefault="00087966">
            <w:pPr>
              <w:rPr>
                <w:rFonts w:eastAsia="Times New Roman"/>
                <w:b/>
                <w:bCs/>
                <w:sz w:val="20"/>
                <w:szCs w:val="20"/>
              </w:rPr>
            </w:pPr>
            <w:r>
              <w:rPr>
                <w:rFonts w:eastAsia="Times New Roman"/>
                <w:b/>
                <w:bCs/>
                <w:sz w:val="20"/>
                <w:szCs w:val="20"/>
              </w:rPr>
              <w:t> </w:t>
            </w:r>
          </w:p>
        </w:tc>
      </w:tr>
      <w:tr w:rsidR="00000000" w14:paraId="2D113EF8" w14:textId="77777777">
        <w:trPr>
          <w:divId w:val="1595479706"/>
        </w:trPr>
        <w:tc>
          <w:tcPr>
            <w:tcW w:w="0" w:type="auto"/>
            <w:vAlign w:val="bottom"/>
            <w:hideMark/>
          </w:tcPr>
          <w:p w14:paraId="74AC66D2"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4F180E0"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FE9CB26" w14:textId="77777777" w:rsidR="00000000" w:rsidRDefault="00087966">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17232602"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A75CCDB"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440B4E4" w14:textId="77777777" w:rsidR="00000000" w:rsidRDefault="00087966">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516865AB" w14:textId="77777777" w:rsidR="00000000" w:rsidRDefault="00087966">
            <w:pPr>
              <w:rPr>
                <w:rFonts w:eastAsia="Times New Roman"/>
                <w:b/>
                <w:bCs/>
                <w:sz w:val="20"/>
                <w:szCs w:val="20"/>
              </w:rPr>
            </w:pPr>
            <w:r>
              <w:rPr>
                <w:rFonts w:eastAsia="Times New Roman"/>
                <w:b/>
                <w:bCs/>
                <w:sz w:val="20"/>
                <w:szCs w:val="20"/>
              </w:rPr>
              <w:t> </w:t>
            </w:r>
          </w:p>
        </w:tc>
      </w:tr>
      <w:tr w:rsidR="00000000" w14:paraId="22F10197" w14:textId="77777777">
        <w:trPr>
          <w:divId w:val="1595479706"/>
        </w:trPr>
        <w:tc>
          <w:tcPr>
            <w:tcW w:w="0" w:type="auto"/>
            <w:vAlign w:val="bottom"/>
            <w:hideMark/>
          </w:tcPr>
          <w:p w14:paraId="09A96E83" w14:textId="77777777" w:rsidR="00000000" w:rsidRDefault="00087966">
            <w:pPr>
              <w:rPr>
                <w:rFonts w:eastAsia="Times New Roman"/>
                <w:b/>
                <w:bCs/>
                <w:sz w:val="20"/>
                <w:szCs w:val="20"/>
              </w:rPr>
            </w:pPr>
            <w:r>
              <w:rPr>
                <w:rFonts w:eastAsia="Times New Roman"/>
                <w:b/>
                <w:bCs/>
                <w:sz w:val="20"/>
                <w:szCs w:val="20"/>
              </w:rPr>
              <w:t>Cash Flows from Operating Activities:</w:t>
            </w:r>
          </w:p>
        </w:tc>
        <w:tc>
          <w:tcPr>
            <w:tcW w:w="0" w:type="auto"/>
            <w:vAlign w:val="bottom"/>
            <w:hideMark/>
          </w:tcPr>
          <w:p w14:paraId="440156D4"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026CE88C"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721FB0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DA92AC4"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3DDA9A83"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666705B" w14:textId="77777777" w:rsidR="00000000" w:rsidRDefault="00087966">
            <w:pPr>
              <w:rPr>
                <w:rFonts w:eastAsia="Times New Roman"/>
                <w:sz w:val="20"/>
                <w:szCs w:val="20"/>
              </w:rPr>
            </w:pPr>
            <w:r>
              <w:rPr>
                <w:rFonts w:eastAsia="Times New Roman"/>
                <w:sz w:val="20"/>
                <w:szCs w:val="20"/>
              </w:rPr>
              <w:t> </w:t>
            </w:r>
          </w:p>
        </w:tc>
      </w:tr>
      <w:tr w:rsidR="00000000" w14:paraId="2FD0F17F" w14:textId="77777777">
        <w:trPr>
          <w:divId w:val="1595479706"/>
        </w:trPr>
        <w:tc>
          <w:tcPr>
            <w:tcW w:w="3800" w:type="pct"/>
            <w:shd w:val="clear" w:color="auto" w:fill="CCEEFF"/>
            <w:vAlign w:val="bottom"/>
            <w:hideMark/>
          </w:tcPr>
          <w:p w14:paraId="12D6CFFB" w14:textId="77777777" w:rsidR="00000000" w:rsidRDefault="00087966">
            <w:pPr>
              <w:rPr>
                <w:rFonts w:eastAsia="Times New Roman"/>
                <w:sz w:val="20"/>
                <w:szCs w:val="20"/>
              </w:rPr>
            </w:pPr>
            <w:r>
              <w:rPr>
                <w:rFonts w:eastAsia="Times New Roman"/>
                <w:sz w:val="20"/>
                <w:szCs w:val="20"/>
              </w:rPr>
              <w:t>Net income (loss)</w:t>
            </w:r>
          </w:p>
        </w:tc>
        <w:tc>
          <w:tcPr>
            <w:tcW w:w="50" w:type="pct"/>
            <w:shd w:val="clear" w:color="auto" w:fill="CCEEFF"/>
            <w:vAlign w:val="bottom"/>
            <w:hideMark/>
          </w:tcPr>
          <w:p w14:paraId="55F586A8"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3BB6E5"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58E43D31" w14:textId="77777777" w:rsidR="00000000" w:rsidRDefault="00087966">
            <w:pPr>
              <w:jc w:val="right"/>
              <w:rPr>
                <w:rFonts w:eastAsia="Times New Roman"/>
                <w:sz w:val="20"/>
                <w:szCs w:val="20"/>
              </w:rPr>
            </w:pPr>
            <w:r>
              <w:rPr>
                <w:rFonts w:eastAsia="Times New Roman"/>
                <w:sz w:val="20"/>
                <w:szCs w:val="20"/>
              </w:rPr>
              <w:t>5,032,569</w:t>
            </w:r>
          </w:p>
        </w:tc>
        <w:tc>
          <w:tcPr>
            <w:tcW w:w="50" w:type="pct"/>
            <w:shd w:val="clear" w:color="auto" w:fill="CCEEFF"/>
            <w:vAlign w:val="bottom"/>
            <w:hideMark/>
          </w:tcPr>
          <w:p w14:paraId="470C5E03"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7F716E"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2F68B7"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59D139ED" w14:textId="77777777" w:rsidR="00000000" w:rsidRDefault="00087966">
            <w:pPr>
              <w:jc w:val="right"/>
              <w:rPr>
                <w:rFonts w:eastAsia="Times New Roman"/>
                <w:sz w:val="20"/>
                <w:szCs w:val="20"/>
              </w:rPr>
            </w:pPr>
            <w:r>
              <w:rPr>
                <w:rFonts w:eastAsia="Times New Roman"/>
                <w:sz w:val="20"/>
                <w:szCs w:val="20"/>
              </w:rPr>
              <w:t>(406,026</w:t>
            </w:r>
          </w:p>
        </w:tc>
        <w:tc>
          <w:tcPr>
            <w:tcW w:w="50" w:type="pct"/>
            <w:shd w:val="clear" w:color="auto" w:fill="CCEEFF"/>
            <w:vAlign w:val="bottom"/>
            <w:hideMark/>
          </w:tcPr>
          <w:p w14:paraId="4AA82645" w14:textId="77777777" w:rsidR="00000000" w:rsidRDefault="00087966">
            <w:pPr>
              <w:rPr>
                <w:rFonts w:eastAsia="Times New Roman"/>
                <w:sz w:val="20"/>
                <w:szCs w:val="20"/>
              </w:rPr>
            </w:pPr>
            <w:r>
              <w:rPr>
                <w:rFonts w:eastAsia="Times New Roman"/>
                <w:sz w:val="20"/>
                <w:szCs w:val="20"/>
              </w:rPr>
              <w:t>)</w:t>
            </w:r>
          </w:p>
        </w:tc>
      </w:tr>
      <w:tr w:rsidR="00000000" w14:paraId="28937781" w14:textId="77777777">
        <w:trPr>
          <w:divId w:val="1595479706"/>
        </w:trPr>
        <w:tc>
          <w:tcPr>
            <w:tcW w:w="0" w:type="auto"/>
            <w:vAlign w:val="bottom"/>
            <w:hideMark/>
          </w:tcPr>
          <w:p w14:paraId="7DCD5319" w14:textId="77777777" w:rsidR="00000000" w:rsidRDefault="00087966">
            <w:pPr>
              <w:rPr>
                <w:rFonts w:eastAsia="Times New Roman"/>
                <w:sz w:val="20"/>
                <w:szCs w:val="20"/>
              </w:rPr>
            </w:pPr>
            <w:r>
              <w:rPr>
                <w:rFonts w:eastAsia="Times New Roman"/>
                <w:sz w:val="20"/>
                <w:szCs w:val="20"/>
              </w:rPr>
              <w:t>Adjustments to reconcile net income (loss) to net cash used in operating activities:</w:t>
            </w:r>
          </w:p>
        </w:tc>
        <w:tc>
          <w:tcPr>
            <w:tcW w:w="0" w:type="auto"/>
            <w:vAlign w:val="bottom"/>
            <w:hideMark/>
          </w:tcPr>
          <w:p w14:paraId="48F9EE9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74361F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F12EACC"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3C65D5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BF6B1A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20A73F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60EAC69"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BF8F31D" w14:textId="77777777" w:rsidR="00000000" w:rsidRDefault="00087966">
            <w:pPr>
              <w:rPr>
                <w:rFonts w:eastAsia="Times New Roman"/>
                <w:sz w:val="20"/>
                <w:szCs w:val="20"/>
              </w:rPr>
            </w:pPr>
            <w:r>
              <w:rPr>
                <w:rFonts w:eastAsia="Times New Roman"/>
                <w:sz w:val="20"/>
                <w:szCs w:val="20"/>
              </w:rPr>
              <w:t> </w:t>
            </w:r>
          </w:p>
        </w:tc>
      </w:tr>
      <w:tr w:rsidR="00000000" w14:paraId="489BCBD2" w14:textId="77777777">
        <w:trPr>
          <w:divId w:val="1595479706"/>
        </w:trPr>
        <w:tc>
          <w:tcPr>
            <w:tcW w:w="0" w:type="auto"/>
            <w:shd w:val="clear" w:color="auto" w:fill="CCEEFF"/>
            <w:vAlign w:val="bottom"/>
            <w:hideMark/>
          </w:tcPr>
          <w:p w14:paraId="3C5C4CC8" w14:textId="77777777" w:rsidR="00000000" w:rsidRDefault="00087966">
            <w:pPr>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14:paraId="3BFA61F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8DC56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AFDD9" w14:textId="77777777" w:rsidR="00000000" w:rsidRDefault="00087966">
            <w:pPr>
              <w:jc w:val="right"/>
              <w:rPr>
                <w:rFonts w:eastAsia="Times New Roman"/>
                <w:sz w:val="20"/>
                <w:szCs w:val="20"/>
              </w:rPr>
            </w:pPr>
            <w:r>
              <w:rPr>
                <w:rFonts w:eastAsia="Times New Roman"/>
                <w:sz w:val="20"/>
                <w:szCs w:val="20"/>
              </w:rPr>
              <w:t>(1,760,120</w:t>
            </w:r>
          </w:p>
        </w:tc>
        <w:tc>
          <w:tcPr>
            <w:tcW w:w="0" w:type="auto"/>
            <w:shd w:val="clear" w:color="auto" w:fill="CCEEFF"/>
            <w:vAlign w:val="bottom"/>
            <w:hideMark/>
          </w:tcPr>
          <w:p w14:paraId="08494A39"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7EB11EC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F5DF3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80A8ED" w14:textId="77777777" w:rsidR="00000000" w:rsidRDefault="00087966">
            <w:pPr>
              <w:jc w:val="right"/>
              <w:rPr>
                <w:rFonts w:eastAsia="Times New Roman"/>
                <w:sz w:val="20"/>
                <w:szCs w:val="20"/>
              </w:rPr>
            </w:pPr>
            <w:r>
              <w:rPr>
                <w:rFonts w:eastAsia="Times New Roman"/>
                <w:sz w:val="20"/>
                <w:szCs w:val="20"/>
              </w:rPr>
              <w:t>(78,398</w:t>
            </w:r>
          </w:p>
        </w:tc>
        <w:tc>
          <w:tcPr>
            <w:tcW w:w="0" w:type="auto"/>
            <w:shd w:val="clear" w:color="auto" w:fill="CCEEFF"/>
            <w:vAlign w:val="bottom"/>
            <w:hideMark/>
          </w:tcPr>
          <w:p w14:paraId="2CDD809D" w14:textId="77777777" w:rsidR="00000000" w:rsidRDefault="00087966">
            <w:pPr>
              <w:rPr>
                <w:rFonts w:eastAsia="Times New Roman"/>
                <w:sz w:val="20"/>
                <w:szCs w:val="20"/>
              </w:rPr>
            </w:pPr>
            <w:r>
              <w:rPr>
                <w:rFonts w:eastAsia="Times New Roman"/>
                <w:sz w:val="20"/>
                <w:szCs w:val="20"/>
              </w:rPr>
              <w:t>)</w:t>
            </w:r>
          </w:p>
        </w:tc>
      </w:tr>
      <w:tr w:rsidR="00000000" w14:paraId="38AA73FD" w14:textId="77777777">
        <w:trPr>
          <w:divId w:val="1595479706"/>
        </w:trPr>
        <w:tc>
          <w:tcPr>
            <w:tcW w:w="0" w:type="auto"/>
            <w:vAlign w:val="bottom"/>
            <w:hideMark/>
          </w:tcPr>
          <w:p w14:paraId="1BE70764" w14:textId="77777777" w:rsidR="00000000" w:rsidRDefault="00087966">
            <w:pPr>
              <w:rPr>
                <w:rFonts w:eastAsia="Times New Roman"/>
                <w:sz w:val="20"/>
                <w:szCs w:val="20"/>
              </w:rPr>
            </w:pPr>
            <w:r>
              <w:rPr>
                <w:rFonts w:eastAsia="Times New Roman"/>
                <w:sz w:val="20"/>
                <w:szCs w:val="20"/>
              </w:rPr>
              <w:t>Unrealized gain on marketable securities held in Trust Account</w:t>
            </w:r>
          </w:p>
        </w:tc>
        <w:tc>
          <w:tcPr>
            <w:tcW w:w="0" w:type="auto"/>
            <w:vAlign w:val="bottom"/>
            <w:hideMark/>
          </w:tcPr>
          <w:p w14:paraId="0913417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2C396F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4849EE2" w14:textId="77777777" w:rsidR="00000000" w:rsidRDefault="00087966">
            <w:pPr>
              <w:jc w:val="right"/>
              <w:divId w:val="1695032050"/>
              <w:rPr>
                <w:rFonts w:eastAsia="Times New Roman"/>
                <w:sz w:val="20"/>
                <w:szCs w:val="20"/>
              </w:rPr>
            </w:pPr>
            <w:r>
              <w:rPr>
                <w:rFonts w:eastAsia="Times New Roman"/>
                <w:sz w:val="20"/>
                <w:szCs w:val="20"/>
              </w:rPr>
              <w:t>—</w:t>
            </w:r>
          </w:p>
        </w:tc>
        <w:tc>
          <w:tcPr>
            <w:tcW w:w="0" w:type="auto"/>
            <w:vAlign w:val="bottom"/>
            <w:hideMark/>
          </w:tcPr>
          <w:p w14:paraId="4ED033A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45B12B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4E9F06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DB7F41C" w14:textId="77777777" w:rsidR="00000000" w:rsidRDefault="00087966">
            <w:pPr>
              <w:jc w:val="right"/>
              <w:rPr>
                <w:rFonts w:eastAsia="Times New Roman"/>
                <w:sz w:val="20"/>
                <w:szCs w:val="20"/>
              </w:rPr>
            </w:pPr>
            <w:r>
              <w:rPr>
                <w:rFonts w:eastAsia="Times New Roman"/>
                <w:sz w:val="20"/>
                <w:szCs w:val="20"/>
              </w:rPr>
              <w:t>(2,211</w:t>
            </w:r>
          </w:p>
        </w:tc>
        <w:tc>
          <w:tcPr>
            <w:tcW w:w="0" w:type="auto"/>
            <w:vAlign w:val="bottom"/>
            <w:hideMark/>
          </w:tcPr>
          <w:p w14:paraId="051CB077" w14:textId="77777777" w:rsidR="00000000" w:rsidRDefault="00087966">
            <w:pPr>
              <w:rPr>
                <w:rFonts w:eastAsia="Times New Roman"/>
                <w:sz w:val="20"/>
                <w:szCs w:val="20"/>
              </w:rPr>
            </w:pPr>
            <w:r>
              <w:rPr>
                <w:rFonts w:eastAsia="Times New Roman"/>
                <w:sz w:val="20"/>
                <w:szCs w:val="20"/>
              </w:rPr>
              <w:t>)</w:t>
            </w:r>
          </w:p>
        </w:tc>
      </w:tr>
      <w:tr w:rsidR="00000000" w14:paraId="6A170E88" w14:textId="77777777">
        <w:trPr>
          <w:divId w:val="1595479706"/>
        </w:trPr>
        <w:tc>
          <w:tcPr>
            <w:tcW w:w="0" w:type="auto"/>
            <w:shd w:val="clear" w:color="auto" w:fill="CCEEFF"/>
            <w:vAlign w:val="bottom"/>
            <w:hideMark/>
          </w:tcPr>
          <w:p w14:paraId="7E307192" w14:textId="77777777" w:rsidR="00000000" w:rsidRDefault="00087966">
            <w:pPr>
              <w:rPr>
                <w:rFonts w:eastAsia="Times New Roman"/>
                <w:sz w:val="20"/>
                <w:szCs w:val="20"/>
              </w:rPr>
            </w:pPr>
            <w:r>
              <w:rPr>
                <w:rFonts w:eastAsia="Times New Roman"/>
                <w:sz w:val="20"/>
                <w:szCs w:val="20"/>
              </w:rPr>
              <w:t>Change in fair value of warrant liabilities</w:t>
            </w:r>
          </w:p>
        </w:tc>
        <w:tc>
          <w:tcPr>
            <w:tcW w:w="0" w:type="auto"/>
            <w:shd w:val="clear" w:color="auto" w:fill="CCEEFF"/>
            <w:vAlign w:val="bottom"/>
            <w:hideMark/>
          </w:tcPr>
          <w:p w14:paraId="2381E4E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36428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A26CF6" w14:textId="77777777" w:rsidR="00000000" w:rsidRDefault="00087966">
            <w:pPr>
              <w:jc w:val="right"/>
              <w:rPr>
                <w:rFonts w:eastAsia="Times New Roman"/>
                <w:sz w:val="20"/>
                <w:szCs w:val="20"/>
              </w:rPr>
            </w:pPr>
            <w:r>
              <w:rPr>
                <w:rFonts w:eastAsia="Times New Roman"/>
                <w:sz w:val="20"/>
                <w:szCs w:val="20"/>
              </w:rPr>
              <w:t>(7,205,710</w:t>
            </w:r>
          </w:p>
        </w:tc>
        <w:tc>
          <w:tcPr>
            <w:tcW w:w="0" w:type="auto"/>
            <w:shd w:val="clear" w:color="auto" w:fill="CCEEFF"/>
            <w:vAlign w:val="bottom"/>
            <w:hideMark/>
          </w:tcPr>
          <w:p w14:paraId="0F3AFD40"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6512389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120FD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F65ECE" w14:textId="77777777" w:rsidR="00000000" w:rsidRDefault="00087966">
            <w:pPr>
              <w:jc w:val="right"/>
              <w:rPr>
                <w:rFonts w:eastAsia="Times New Roman"/>
                <w:sz w:val="20"/>
                <w:szCs w:val="20"/>
              </w:rPr>
            </w:pPr>
            <w:r>
              <w:rPr>
                <w:rFonts w:eastAsia="Times New Roman"/>
                <w:sz w:val="20"/>
                <w:szCs w:val="20"/>
              </w:rPr>
              <w:t>(1,642,290</w:t>
            </w:r>
          </w:p>
        </w:tc>
        <w:tc>
          <w:tcPr>
            <w:tcW w:w="0" w:type="auto"/>
            <w:shd w:val="clear" w:color="auto" w:fill="CCEEFF"/>
            <w:vAlign w:val="bottom"/>
            <w:hideMark/>
          </w:tcPr>
          <w:p w14:paraId="389FEB6A" w14:textId="77777777" w:rsidR="00000000" w:rsidRDefault="00087966">
            <w:pPr>
              <w:rPr>
                <w:rFonts w:eastAsia="Times New Roman"/>
                <w:sz w:val="20"/>
                <w:szCs w:val="20"/>
              </w:rPr>
            </w:pPr>
            <w:r>
              <w:rPr>
                <w:rFonts w:eastAsia="Times New Roman"/>
                <w:sz w:val="20"/>
                <w:szCs w:val="20"/>
              </w:rPr>
              <w:t>)</w:t>
            </w:r>
          </w:p>
        </w:tc>
      </w:tr>
      <w:tr w:rsidR="00000000" w14:paraId="7B9E8949" w14:textId="77777777">
        <w:trPr>
          <w:divId w:val="1595479706"/>
        </w:trPr>
        <w:tc>
          <w:tcPr>
            <w:tcW w:w="0" w:type="auto"/>
            <w:vAlign w:val="bottom"/>
            <w:hideMark/>
          </w:tcPr>
          <w:p w14:paraId="11956D1F" w14:textId="77777777" w:rsidR="00000000" w:rsidRDefault="00087966">
            <w:pPr>
              <w:rPr>
                <w:rFonts w:eastAsia="Times New Roman"/>
                <w:sz w:val="20"/>
                <w:szCs w:val="20"/>
              </w:rPr>
            </w:pPr>
            <w:r>
              <w:rPr>
                <w:rFonts w:eastAsia="Times New Roman"/>
                <w:sz w:val="20"/>
                <w:szCs w:val="20"/>
              </w:rPr>
              <w:t>Change in fair value of Working Capital Loan</w:t>
            </w:r>
          </w:p>
        </w:tc>
        <w:tc>
          <w:tcPr>
            <w:tcW w:w="0" w:type="auto"/>
            <w:vAlign w:val="bottom"/>
            <w:hideMark/>
          </w:tcPr>
          <w:p w14:paraId="2C87FF7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85FB9A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B629543" w14:textId="77777777" w:rsidR="00000000" w:rsidRDefault="00087966">
            <w:pPr>
              <w:jc w:val="right"/>
              <w:rPr>
                <w:rFonts w:eastAsia="Times New Roman"/>
                <w:sz w:val="20"/>
                <w:szCs w:val="20"/>
              </w:rPr>
            </w:pPr>
            <w:r>
              <w:rPr>
                <w:rFonts w:eastAsia="Times New Roman"/>
                <w:sz w:val="20"/>
                <w:szCs w:val="20"/>
              </w:rPr>
              <w:t>(341,057</w:t>
            </w:r>
          </w:p>
        </w:tc>
        <w:tc>
          <w:tcPr>
            <w:tcW w:w="0" w:type="auto"/>
            <w:vAlign w:val="bottom"/>
            <w:hideMark/>
          </w:tcPr>
          <w:p w14:paraId="6004F165"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38ADA98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94D60D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8898FF8" w14:textId="77777777" w:rsidR="00000000" w:rsidRDefault="00087966">
            <w:pPr>
              <w:jc w:val="right"/>
              <w:divId w:val="908468315"/>
              <w:rPr>
                <w:rFonts w:eastAsia="Times New Roman"/>
                <w:sz w:val="20"/>
                <w:szCs w:val="20"/>
              </w:rPr>
            </w:pPr>
            <w:r>
              <w:rPr>
                <w:rFonts w:eastAsia="Times New Roman"/>
                <w:sz w:val="20"/>
                <w:szCs w:val="20"/>
              </w:rPr>
              <w:t>—</w:t>
            </w:r>
          </w:p>
        </w:tc>
        <w:tc>
          <w:tcPr>
            <w:tcW w:w="0" w:type="auto"/>
            <w:vAlign w:val="bottom"/>
            <w:hideMark/>
          </w:tcPr>
          <w:p w14:paraId="4064F1D7" w14:textId="77777777" w:rsidR="00000000" w:rsidRDefault="00087966">
            <w:pPr>
              <w:rPr>
                <w:rFonts w:eastAsia="Times New Roman"/>
                <w:sz w:val="20"/>
                <w:szCs w:val="20"/>
              </w:rPr>
            </w:pPr>
            <w:r>
              <w:rPr>
                <w:rFonts w:eastAsia="Times New Roman"/>
                <w:sz w:val="20"/>
                <w:szCs w:val="20"/>
              </w:rPr>
              <w:t> </w:t>
            </w:r>
          </w:p>
        </w:tc>
      </w:tr>
      <w:tr w:rsidR="00000000" w14:paraId="56A79D1E" w14:textId="77777777">
        <w:trPr>
          <w:divId w:val="1595479706"/>
        </w:trPr>
        <w:tc>
          <w:tcPr>
            <w:tcW w:w="0" w:type="auto"/>
            <w:shd w:val="clear" w:color="auto" w:fill="CCEEFF"/>
            <w:vAlign w:val="bottom"/>
            <w:hideMark/>
          </w:tcPr>
          <w:p w14:paraId="0C05C0F7" w14:textId="77777777" w:rsidR="00000000" w:rsidRDefault="00087966">
            <w:pPr>
              <w:rPr>
                <w:rFonts w:eastAsia="Times New Roman"/>
                <w:sz w:val="20"/>
                <w:szCs w:val="20"/>
              </w:rPr>
            </w:pPr>
            <w:r>
              <w:rPr>
                <w:rFonts w:eastAsia="Times New Roman"/>
                <w:sz w:val="20"/>
                <w:szCs w:val="20"/>
              </w:rPr>
              <w:t>Deferred tax provision</w:t>
            </w:r>
          </w:p>
        </w:tc>
        <w:tc>
          <w:tcPr>
            <w:tcW w:w="0" w:type="auto"/>
            <w:shd w:val="clear" w:color="auto" w:fill="CCEEFF"/>
            <w:vAlign w:val="bottom"/>
            <w:hideMark/>
          </w:tcPr>
          <w:p w14:paraId="53C8788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C5BB9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BAB885" w14:textId="77777777" w:rsidR="00000000" w:rsidRDefault="00087966">
            <w:pPr>
              <w:jc w:val="right"/>
              <w:rPr>
                <w:rFonts w:eastAsia="Times New Roman"/>
                <w:sz w:val="20"/>
                <w:szCs w:val="20"/>
              </w:rPr>
            </w:pPr>
            <w:r>
              <w:rPr>
                <w:rFonts w:eastAsia="Times New Roman"/>
                <w:sz w:val="20"/>
                <w:szCs w:val="20"/>
              </w:rPr>
              <w:t>71,622</w:t>
            </w:r>
          </w:p>
        </w:tc>
        <w:tc>
          <w:tcPr>
            <w:tcW w:w="0" w:type="auto"/>
            <w:shd w:val="clear" w:color="auto" w:fill="CCEEFF"/>
            <w:vAlign w:val="bottom"/>
            <w:hideMark/>
          </w:tcPr>
          <w:p w14:paraId="0E459B4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63189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B3F16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403F34"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4C5785E" w14:textId="77777777" w:rsidR="00000000" w:rsidRDefault="00087966">
            <w:pPr>
              <w:rPr>
                <w:rFonts w:eastAsia="Times New Roman"/>
                <w:sz w:val="20"/>
                <w:szCs w:val="20"/>
              </w:rPr>
            </w:pPr>
            <w:r>
              <w:rPr>
                <w:rFonts w:eastAsia="Times New Roman"/>
                <w:sz w:val="20"/>
                <w:szCs w:val="20"/>
              </w:rPr>
              <w:t> </w:t>
            </w:r>
          </w:p>
        </w:tc>
      </w:tr>
      <w:tr w:rsidR="00000000" w14:paraId="1C8E13E0" w14:textId="77777777">
        <w:trPr>
          <w:divId w:val="1595479706"/>
        </w:trPr>
        <w:tc>
          <w:tcPr>
            <w:tcW w:w="0" w:type="auto"/>
            <w:vAlign w:val="bottom"/>
            <w:hideMark/>
          </w:tcPr>
          <w:p w14:paraId="7743622F" w14:textId="77777777" w:rsidR="00000000" w:rsidRDefault="00087966">
            <w:pPr>
              <w:rPr>
                <w:rFonts w:eastAsia="Times New Roman"/>
                <w:sz w:val="20"/>
                <w:szCs w:val="20"/>
              </w:rPr>
            </w:pPr>
            <w:r>
              <w:rPr>
                <w:rFonts w:eastAsia="Times New Roman"/>
                <w:sz w:val="20"/>
                <w:szCs w:val="20"/>
              </w:rPr>
              <w:t>Transaction costs allocated to warrants</w:t>
            </w:r>
          </w:p>
        </w:tc>
        <w:tc>
          <w:tcPr>
            <w:tcW w:w="0" w:type="auto"/>
            <w:vAlign w:val="bottom"/>
            <w:hideMark/>
          </w:tcPr>
          <w:p w14:paraId="6F1AA08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B8E4E9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D6AAD95" w14:textId="77777777" w:rsidR="00000000" w:rsidRDefault="00087966">
            <w:pPr>
              <w:jc w:val="right"/>
              <w:divId w:val="1272204603"/>
              <w:rPr>
                <w:rFonts w:eastAsia="Times New Roman"/>
                <w:sz w:val="20"/>
                <w:szCs w:val="20"/>
              </w:rPr>
            </w:pPr>
            <w:r>
              <w:rPr>
                <w:rFonts w:eastAsia="Times New Roman"/>
                <w:sz w:val="20"/>
                <w:szCs w:val="20"/>
              </w:rPr>
              <w:t>—</w:t>
            </w:r>
          </w:p>
        </w:tc>
        <w:tc>
          <w:tcPr>
            <w:tcW w:w="0" w:type="auto"/>
            <w:vAlign w:val="bottom"/>
            <w:hideMark/>
          </w:tcPr>
          <w:p w14:paraId="1092112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EA9182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8115EB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D6BBA05" w14:textId="77777777" w:rsidR="00000000" w:rsidRDefault="00087966">
            <w:pPr>
              <w:jc w:val="right"/>
              <w:rPr>
                <w:rFonts w:eastAsia="Times New Roman"/>
                <w:sz w:val="20"/>
                <w:szCs w:val="20"/>
              </w:rPr>
            </w:pPr>
            <w:r>
              <w:rPr>
                <w:rFonts w:eastAsia="Times New Roman"/>
                <w:sz w:val="20"/>
                <w:szCs w:val="20"/>
              </w:rPr>
              <w:t>523,013</w:t>
            </w:r>
          </w:p>
        </w:tc>
        <w:tc>
          <w:tcPr>
            <w:tcW w:w="0" w:type="auto"/>
            <w:vAlign w:val="bottom"/>
            <w:hideMark/>
          </w:tcPr>
          <w:p w14:paraId="08CC315B" w14:textId="77777777" w:rsidR="00000000" w:rsidRDefault="00087966">
            <w:pPr>
              <w:rPr>
                <w:rFonts w:eastAsia="Times New Roman"/>
                <w:sz w:val="20"/>
                <w:szCs w:val="20"/>
              </w:rPr>
            </w:pPr>
            <w:r>
              <w:rPr>
                <w:rFonts w:eastAsia="Times New Roman"/>
                <w:sz w:val="20"/>
                <w:szCs w:val="20"/>
              </w:rPr>
              <w:t> </w:t>
            </w:r>
          </w:p>
        </w:tc>
      </w:tr>
      <w:tr w:rsidR="00000000" w14:paraId="16E3C48F" w14:textId="77777777">
        <w:trPr>
          <w:divId w:val="1595479706"/>
        </w:trPr>
        <w:tc>
          <w:tcPr>
            <w:tcW w:w="0" w:type="auto"/>
            <w:shd w:val="clear" w:color="auto" w:fill="CCEEFF"/>
            <w:vAlign w:val="bottom"/>
            <w:hideMark/>
          </w:tcPr>
          <w:p w14:paraId="119D4B79" w14:textId="77777777" w:rsidR="00000000" w:rsidRDefault="00087966">
            <w:pPr>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14:paraId="5A65254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547AE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FB9C6D"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3ACD78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D5B01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1057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CCBA3E"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A11C5F2" w14:textId="77777777" w:rsidR="00000000" w:rsidRDefault="00087966">
            <w:pPr>
              <w:rPr>
                <w:rFonts w:eastAsia="Times New Roman"/>
                <w:sz w:val="20"/>
                <w:szCs w:val="20"/>
              </w:rPr>
            </w:pPr>
            <w:r>
              <w:rPr>
                <w:rFonts w:eastAsia="Times New Roman"/>
                <w:sz w:val="20"/>
                <w:szCs w:val="20"/>
              </w:rPr>
              <w:t> </w:t>
            </w:r>
          </w:p>
        </w:tc>
      </w:tr>
      <w:tr w:rsidR="00000000" w14:paraId="5DDB5AA0" w14:textId="77777777">
        <w:trPr>
          <w:divId w:val="1595479706"/>
        </w:trPr>
        <w:tc>
          <w:tcPr>
            <w:tcW w:w="0" w:type="auto"/>
            <w:vAlign w:val="bottom"/>
            <w:hideMark/>
          </w:tcPr>
          <w:p w14:paraId="3AF86E4D" w14:textId="77777777" w:rsidR="00000000" w:rsidRDefault="00087966">
            <w:pPr>
              <w:rPr>
                <w:rFonts w:eastAsia="Times New Roman"/>
                <w:sz w:val="20"/>
                <w:szCs w:val="20"/>
              </w:rPr>
            </w:pPr>
            <w:r>
              <w:rPr>
                <w:rFonts w:eastAsia="Times New Roman"/>
                <w:sz w:val="20"/>
                <w:szCs w:val="20"/>
              </w:rPr>
              <w:t>Accounts payable and accrued expenses</w:t>
            </w:r>
          </w:p>
        </w:tc>
        <w:tc>
          <w:tcPr>
            <w:tcW w:w="0" w:type="auto"/>
            <w:vAlign w:val="bottom"/>
            <w:hideMark/>
          </w:tcPr>
          <w:p w14:paraId="67AC5D5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A856C2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B93120C" w14:textId="77777777" w:rsidR="00000000" w:rsidRDefault="00087966">
            <w:pPr>
              <w:jc w:val="right"/>
              <w:rPr>
                <w:rFonts w:eastAsia="Times New Roman"/>
                <w:sz w:val="20"/>
                <w:szCs w:val="20"/>
              </w:rPr>
            </w:pPr>
            <w:r>
              <w:rPr>
                <w:rFonts w:eastAsia="Times New Roman"/>
                <w:sz w:val="20"/>
                <w:szCs w:val="20"/>
              </w:rPr>
              <w:t>1,974,451</w:t>
            </w:r>
          </w:p>
        </w:tc>
        <w:tc>
          <w:tcPr>
            <w:tcW w:w="0" w:type="auto"/>
            <w:vAlign w:val="bottom"/>
            <w:hideMark/>
          </w:tcPr>
          <w:p w14:paraId="6428363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5B3DBD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006232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68014E4" w14:textId="77777777" w:rsidR="00000000" w:rsidRDefault="00087966">
            <w:pPr>
              <w:jc w:val="right"/>
              <w:rPr>
                <w:rFonts w:eastAsia="Times New Roman"/>
                <w:sz w:val="20"/>
                <w:szCs w:val="20"/>
              </w:rPr>
            </w:pPr>
            <w:r>
              <w:rPr>
                <w:rFonts w:eastAsia="Times New Roman"/>
                <w:sz w:val="20"/>
                <w:szCs w:val="20"/>
              </w:rPr>
              <w:t>636,243</w:t>
            </w:r>
          </w:p>
        </w:tc>
        <w:tc>
          <w:tcPr>
            <w:tcW w:w="0" w:type="auto"/>
            <w:vAlign w:val="bottom"/>
            <w:hideMark/>
          </w:tcPr>
          <w:p w14:paraId="0AAE5ABA" w14:textId="77777777" w:rsidR="00000000" w:rsidRDefault="00087966">
            <w:pPr>
              <w:rPr>
                <w:rFonts w:eastAsia="Times New Roman"/>
                <w:sz w:val="20"/>
                <w:szCs w:val="20"/>
              </w:rPr>
            </w:pPr>
            <w:r>
              <w:rPr>
                <w:rFonts w:eastAsia="Times New Roman"/>
                <w:sz w:val="20"/>
                <w:szCs w:val="20"/>
              </w:rPr>
              <w:t> </w:t>
            </w:r>
          </w:p>
        </w:tc>
      </w:tr>
      <w:tr w:rsidR="00000000" w14:paraId="2B012287" w14:textId="77777777">
        <w:trPr>
          <w:divId w:val="1595479706"/>
        </w:trPr>
        <w:tc>
          <w:tcPr>
            <w:tcW w:w="0" w:type="auto"/>
            <w:shd w:val="clear" w:color="auto" w:fill="CCEEFF"/>
            <w:vAlign w:val="bottom"/>
            <w:hideMark/>
          </w:tcPr>
          <w:p w14:paraId="433089C9" w14:textId="77777777" w:rsidR="00000000" w:rsidRDefault="00087966">
            <w:pPr>
              <w:rPr>
                <w:rFonts w:eastAsia="Times New Roman"/>
                <w:sz w:val="20"/>
                <w:szCs w:val="20"/>
              </w:rPr>
            </w:pPr>
            <w:r>
              <w:rPr>
                <w:rFonts w:eastAsia="Times New Roman"/>
                <w:sz w:val="20"/>
                <w:szCs w:val="20"/>
              </w:rPr>
              <w:t>Income taxes payable</w:t>
            </w:r>
          </w:p>
        </w:tc>
        <w:tc>
          <w:tcPr>
            <w:tcW w:w="0" w:type="auto"/>
            <w:shd w:val="clear" w:color="auto" w:fill="CCEEFF"/>
            <w:vAlign w:val="bottom"/>
            <w:hideMark/>
          </w:tcPr>
          <w:p w14:paraId="3822BFC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252F3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91CBC4" w14:textId="77777777" w:rsidR="00000000" w:rsidRDefault="00087966">
            <w:pPr>
              <w:jc w:val="right"/>
              <w:rPr>
                <w:rFonts w:eastAsia="Times New Roman"/>
                <w:sz w:val="20"/>
                <w:szCs w:val="20"/>
              </w:rPr>
            </w:pPr>
            <w:r>
              <w:rPr>
                <w:rFonts w:eastAsia="Times New Roman"/>
                <w:sz w:val="20"/>
                <w:szCs w:val="20"/>
              </w:rPr>
              <w:t>124,974</w:t>
            </w:r>
          </w:p>
        </w:tc>
        <w:tc>
          <w:tcPr>
            <w:tcW w:w="0" w:type="auto"/>
            <w:shd w:val="clear" w:color="auto" w:fill="CCEEFF"/>
            <w:vAlign w:val="bottom"/>
            <w:hideMark/>
          </w:tcPr>
          <w:p w14:paraId="3542F62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EAB2E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DE153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E1D6BF" w14:textId="77777777" w:rsidR="00000000" w:rsidRDefault="00087966">
            <w:pPr>
              <w:jc w:val="right"/>
              <w:divId w:val="1686781510"/>
              <w:rPr>
                <w:rFonts w:eastAsia="Times New Roman"/>
                <w:sz w:val="20"/>
                <w:szCs w:val="20"/>
              </w:rPr>
            </w:pPr>
            <w:r>
              <w:rPr>
                <w:rFonts w:eastAsia="Times New Roman"/>
                <w:sz w:val="20"/>
                <w:szCs w:val="20"/>
              </w:rPr>
              <w:t>—</w:t>
            </w:r>
          </w:p>
        </w:tc>
        <w:tc>
          <w:tcPr>
            <w:tcW w:w="0" w:type="auto"/>
            <w:shd w:val="clear" w:color="auto" w:fill="CCEEFF"/>
            <w:vAlign w:val="bottom"/>
            <w:hideMark/>
          </w:tcPr>
          <w:p w14:paraId="76F83473" w14:textId="77777777" w:rsidR="00000000" w:rsidRDefault="00087966">
            <w:pPr>
              <w:rPr>
                <w:rFonts w:eastAsia="Times New Roman"/>
                <w:sz w:val="20"/>
                <w:szCs w:val="20"/>
              </w:rPr>
            </w:pPr>
            <w:r>
              <w:rPr>
                <w:rFonts w:eastAsia="Times New Roman"/>
                <w:sz w:val="20"/>
                <w:szCs w:val="20"/>
              </w:rPr>
              <w:t> </w:t>
            </w:r>
          </w:p>
        </w:tc>
      </w:tr>
      <w:tr w:rsidR="00000000" w14:paraId="542A488B" w14:textId="77777777">
        <w:trPr>
          <w:divId w:val="1595479706"/>
        </w:trPr>
        <w:tc>
          <w:tcPr>
            <w:tcW w:w="0" w:type="auto"/>
            <w:tcMar>
              <w:top w:w="0" w:type="dxa"/>
              <w:left w:w="0" w:type="dxa"/>
              <w:bottom w:w="30" w:type="dxa"/>
              <w:right w:w="0" w:type="dxa"/>
            </w:tcMar>
            <w:vAlign w:val="bottom"/>
            <w:hideMark/>
          </w:tcPr>
          <w:p w14:paraId="65966D88" w14:textId="77777777" w:rsidR="00000000" w:rsidRDefault="00087966">
            <w:pPr>
              <w:rPr>
                <w:rFonts w:eastAsia="Times New Roman"/>
                <w:sz w:val="20"/>
                <w:szCs w:val="20"/>
              </w:rPr>
            </w:pPr>
            <w:r>
              <w:rPr>
                <w:rFonts w:eastAsia="Times New Roman"/>
                <w:sz w:val="20"/>
                <w:szCs w:val="20"/>
              </w:rPr>
              <w:t>Due to Sponsor</w:t>
            </w:r>
          </w:p>
        </w:tc>
        <w:tc>
          <w:tcPr>
            <w:tcW w:w="0" w:type="auto"/>
            <w:tcMar>
              <w:top w:w="0" w:type="dxa"/>
              <w:left w:w="0" w:type="dxa"/>
              <w:bottom w:w="30" w:type="dxa"/>
              <w:right w:w="0" w:type="dxa"/>
            </w:tcMar>
            <w:vAlign w:val="bottom"/>
            <w:hideMark/>
          </w:tcPr>
          <w:p w14:paraId="56F4E81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C79044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9A6525E" w14:textId="77777777" w:rsidR="00000000" w:rsidRDefault="00087966">
            <w:pPr>
              <w:jc w:val="right"/>
              <w:divId w:val="716510717"/>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1CB29E91"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B79DFEB"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D8FF989"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764DB53" w14:textId="77777777" w:rsidR="00000000" w:rsidRDefault="00087966">
            <w:pPr>
              <w:jc w:val="right"/>
              <w:rPr>
                <w:rFonts w:eastAsia="Times New Roman"/>
                <w:sz w:val="20"/>
                <w:szCs w:val="20"/>
              </w:rPr>
            </w:pPr>
            <w:r>
              <w:rPr>
                <w:rFonts w:eastAsia="Times New Roman"/>
                <w:sz w:val="20"/>
                <w:szCs w:val="20"/>
              </w:rPr>
              <w:t>(1,000</w:t>
            </w:r>
          </w:p>
        </w:tc>
        <w:tc>
          <w:tcPr>
            <w:tcW w:w="0" w:type="auto"/>
            <w:tcMar>
              <w:top w:w="0" w:type="dxa"/>
              <w:left w:w="0" w:type="dxa"/>
              <w:bottom w:w="30" w:type="dxa"/>
              <w:right w:w="0" w:type="dxa"/>
            </w:tcMar>
            <w:vAlign w:val="bottom"/>
            <w:hideMark/>
          </w:tcPr>
          <w:p w14:paraId="733F0832" w14:textId="77777777" w:rsidR="00000000" w:rsidRDefault="00087966">
            <w:pPr>
              <w:rPr>
                <w:rFonts w:eastAsia="Times New Roman"/>
                <w:sz w:val="20"/>
                <w:szCs w:val="20"/>
              </w:rPr>
            </w:pPr>
            <w:r>
              <w:rPr>
                <w:rFonts w:eastAsia="Times New Roman"/>
                <w:sz w:val="20"/>
                <w:szCs w:val="20"/>
              </w:rPr>
              <w:t>)</w:t>
            </w:r>
          </w:p>
        </w:tc>
      </w:tr>
      <w:tr w:rsidR="00000000" w14:paraId="481EAD94" w14:textId="77777777">
        <w:trPr>
          <w:divId w:val="1595479706"/>
        </w:trPr>
        <w:tc>
          <w:tcPr>
            <w:tcW w:w="0" w:type="auto"/>
            <w:shd w:val="clear" w:color="auto" w:fill="CCEEFF"/>
            <w:tcMar>
              <w:top w:w="0" w:type="dxa"/>
              <w:left w:w="0" w:type="dxa"/>
              <w:bottom w:w="30" w:type="dxa"/>
              <w:right w:w="0" w:type="dxa"/>
            </w:tcMar>
            <w:vAlign w:val="bottom"/>
            <w:hideMark/>
          </w:tcPr>
          <w:p w14:paraId="752DE95D" w14:textId="77777777" w:rsidR="00000000" w:rsidRDefault="00087966">
            <w:pPr>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14:paraId="7D5E9210"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301664A1"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61F2EDB" w14:textId="77777777" w:rsidR="00000000" w:rsidRDefault="00087966">
            <w:pPr>
              <w:jc w:val="right"/>
              <w:rPr>
                <w:rFonts w:eastAsia="Times New Roman"/>
                <w:b/>
                <w:bCs/>
                <w:sz w:val="20"/>
                <w:szCs w:val="20"/>
              </w:rPr>
            </w:pPr>
            <w:r>
              <w:rPr>
                <w:rFonts w:eastAsia="Times New Roman"/>
                <w:b/>
                <w:bCs/>
                <w:sz w:val="20"/>
                <w:szCs w:val="20"/>
              </w:rPr>
              <w:t>(2,103,271</w:t>
            </w:r>
          </w:p>
        </w:tc>
        <w:tc>
          <w:tcPr>
            <w:tcW w:w="0" w:type="auto"/>
            <w:shd w:val="clear" w:color="auto" w:fill="CCEEFF"/>
            <w:tcMar>
              <w:top w:w="0" w:type="dxa"/>
              <w:left w:w="0" w:type="dxa"/>
              <w:bottom w:w="30" w:type="dxa"/>
              <w:right w:w="0" w:type="dxa"/>
            </w:tcMar>
            <w:vAlign w:val="bottom"/>
            <w:hideMark/>
          </w:tcPr>
          <w:p w14:paraId="55557481" w14:textId="77777777" w:rsidR="00000000" w:rsidRDefault="00087966">
            <w:pPr>
              <w:rPr>
                <w:rFonts w:eastAsia="Times New Roman"/>
                <w:b/>
                <w:bCs/>
                <w:sz w:val="20"/>
                <w:szCs w:val="20"/>
              </w:rPr>
            </w:pPr>
            <w:r>
              <w:rPr>
                <w:rFonts w:eastAsia="Times New Roman"/>
                <w:b/>
                <w:bCs/>
                <w:sz w:val="20"/>
                <w:szCs w:val="20"/>
              </w:rPr>
              <w:t>)</w:t>
            </w:r>
          </w:p>
        </w:tc>
        <w:tc>
          <w:tcPr>
            <w:tcW w:w="0" w:type="auto"/>
            <w:shd w:val="clear" w:color="auto" w:fill="CCEEFF"/>
            <w:tcMar>
              <w:top w:w="0" w:type="dxa"/>
              <w:left w:w="0" w:type="dxa"/>
              <w:bottom w:w="30" w:type="dxa"/>
              <w:right w:w="0" w:type="dxa"/>
            </w:tcMar>
            <w:vAlign w:val="bottom"/>
            <w:hideMark/>
          </w:tcPr>
          <w:p w14:paraId="4A6356C0"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003CE14"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0D05B64D" w14:textId="77777777" w:rsidR="00000000" w:rsidRDefault="00087966">
            <w:pPr>
              <w:jc w:val="right"/>
              <w:rPr>
                <w:rFonts w:eastAsia="Times New Roman"/>
                <w:b/>
                <w:bCs/>
                <w:sz w:val="20"/>
                <w:szCs w:val="20"/>
              </w:rPr>
            </w:pPr>
            <w:r>
              <w:rPr>
                <w:rFonts w:eastAsia="Times New Roman"/>
                <w:b/>
                <w:bCs/>
                <w:sz w:val="20"/>
                <w:szCs w:val="20"/>
              </w:rPr>
              <w:t>(970,669</w:t>
            </w:r>
          </w:p>
        </w:tc>
        <w:tc>
          <w:tcPr>
            <w:tcW w:w="0" w:type="auto"/>
            <w:shd w:val="clear" w:color="auto" w:fill="CCEEFF"/>
            <w:tcMar>
              <w:top w:w="0" w:type="dxa"/>
              <w:left w:w="0" w:type="dxa"/>
              <w:bottom w:w="30" w:type="dxa"/>
              <w:right w:w="0" w:type="dxa"/>
            </w:tcMar>
            <w:vAlign w:val="bottom"/>
            <w:hideMark/>
          </w:tcPr>
          <w:p w14:paraId="2F2F6411" w14:textId="77777777" w:rsidR="00000000" w:rsidRDefault="00087966">
            <w:pPr>
              <w:rPr>
                <w:rFonts w:eastAsia="Times New Roman"/>
                <w:b/>
                <w:bCs/>
                <w:sz w:val="20"/>
                <w:szCs w:val="20"/>
              </w:rPr>
            </w:pPr>
            <w:r>
              <w:rPr>
                <w:rFonts w:eastAsia="Times New Roman"/>
                <w:b/>
                <w:bCs/>
                <w:sz w:val="20"/>
                <w:szCs w:val="20"/>
              </w:rPr>
              <w:t>)</w:t>
            </w:r>
          </w:p>
        </w:tc>
      </w:tr>
      <w:tr w:rsidR="00000000" w14:paraId="68363988" w14:textId="77777777">
        <w:trPr>
          <w:divId w:val="1595479706"/>
        </w:trPr>
        <w:tc>
          <w:tcPr>
            <w:tcW w:w="0" w:type="auto"/>
            <w:vAlign w:val="bottom"/>
            <w:hideMark/>
          </w:tcPr>
          <w:p w14:paraId="5BF5D29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09CE42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DE9FC0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47620B6"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2D1C3B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44F152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8EB08B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BBA35A0"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1A814E4" w14:textId="77777777" w:rsidR="00000000" w:rsidRDefault="00087966">
            <w:pPr>
              <w:rPr>
                <w:rFonts w:eastAsia="Times New Roman"/>
                <w:sz w:val="20"/>
                <w:szCs w:val="20"/>
              </w:rPr>
            </w:pPr>
            <w:r>
              <w:rPr>
                <w:rFonts w:eastAsia="Times New Roman"/>
                <w:sz w:val="20"/>
                <w:szCs w:val="20"/>
              </w:rPr>
              <w:t> </w:t>
            </w:r>
          </w:p>
        </w:tc>
      </w:tr>
      <w:tr w:rsidR="00000000" w14:paraId="2FC79E3A" w14:textId="77777777">
        <w:trPr>
          <w:divId w:val="1595479706"/>
        </w:trPr>
        <w:tc>
          <w:tcPr>
            <w:tcW w:w="0" w:type="auto"/>
            <w:shd w:val="clear" w:color="auto" w:fill="CCEEFF"/>
            <w:vAlign w:val="bottom"/>
            <w:hideMark/>
          </w:tcPr>
          <w:p w14:paraId="0349F3EC" w14:textId="77777777" w:rsidR="00000000" w:rsidRDefault="00087966">
            <w:pPr>
              <w:rPr>
                <w:rFonts w:eastAsia="Times New Roman"/>
                <w:b/>
                <w:bCs/>
                <w:sz w:val="20"/>
                <w:szCs w:val="20"/>
              </w:rPr>
            </w:pPr>
            <w:r>
              <w:rPr>
                <w:rFonts w:eastAsia="Times New Roman"/>
                <w:b/>
                <w:bCs/>
                <w:sz w:val="20"/>
                <w:szCs w:val="20"/>
              </w:rPr>
              <w:t>Cash Flows from Investing Activities:</w:t>
            </w:r>
          </w:p>
        </w:tc>
        <w:tc>
          <w:tcPr>
            <w:tcW w:w="0" w:type="auto"/>
            <w:shd w:val="clear" w:color="auto" w:fill="CCEEFF"/>
            <w:vAlign w:val="bottom"/>
            <w:hideMark/>
          </w:tcPr>
          <w:p w14:paraId="471F4C3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BBF5F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D895C5"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6F67C8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136E2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76A43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86B316"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5913C6C" w14:textId="77777777" w:rsidR="00000000" w:rsidRDefault="00087966">
            <w:pPr>
              <w:rPr>
                <w:rFonts w:eastAsia="Times New Roman"/>
                <w:sz w:val="20"/>
                <w:szCs w:val="20"/>
              </w:rPr>
            </w:pPr>
            <w:r>
              <w:rPr>
                <w:rFonts w:eastAsia="Times New Roman"/>
                <w:sz w:val="20"/>
                <w:szCs w:val="20"/>
              </w:rPr>
              <w:t> </w:t>
            </w:r>
          </w:p>
        </w:tc>
      </w:tr>
      <w:tr w:rsidR="00000000" w14:paraId="754F1B71" w14:textId="77777777">
        <w:trPr>
          <w:divId w:val="1595479706"/>
        </w:trPr>
        <w:tc>
          <w:tcPr>
            <w:tcW w:w="0" w:type="auto"/>
            <w:vAlign w:val="bottom"/>
            <w:hideMark/>
          </w:tcPr>
          <w:p w14:paraId="180DEA3E" w14:textId="77777777" w:rsidR="00000000" w:rsidRDefault="00087966">
            <w:pPr>
              <w:rPr>
                <w:rFonts w:eastAsia="Times New Roman"/>
                <w:sz w:val="20"/>
                <w:szCs w:val="20"/>
              </w:rPr>
            </w:pPr>
            <w:r>
              <w:rPr>
                <w:rFonts w:eastAsia="Times New Roman"/>
                <w:sz w:val="20"/>
                <w:szCs w:val="20"/>
              </w:rPr>
              <w:t>Investment of Extension Funds in Trust Account</w:t>
            </w:r>
          </w:p>
        </w:tc>
        <w:tc>
          <w:tcPr>
            <w:tcW w:w="0" w:type="auto"/>
            <w:vAlign w:val="bottom"/>
            <w:hideMark/>
          </w:tcPr>
          <w:p w14:paraId="68E017D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7FEE88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92C161C" w14:textId="77777777" w:rsidR="00000000" w:rsidRDefault="00087966">
            <w:pPr>
              <w:jc w:val="right"/>
              <w:rPr>
                <w:rFonts w:eastAsia="Times New Roman"/>
                <w:sz w:val="20"/>
                <w:szCs w:val="20"/>
              </w:rPr>
            </w:pPr>
            <w:r>
              <w:rPr>
                <w:rFonts w:eastAsia="Times New Roman"/>
                <w:sz w:val="20"/>
                <w:szCs w:val="20"/>
              </w:rPr>
              <w:t>(2,060,070</w:t>
            </w:r>
          </w:p>
        </w:tc>
        <w:tc>
          <w:tcPr>
            <w:tcW w:w="0" w:type="auto"/>
            <w:vAlign w:val="bottom"/>
            <w:hideMark/>
          </w:tcPr>
          <w:p w14:paraId="7B58DC27"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1B02B5E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2097B4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0CBC94E" w14:textId="77777777" w:rsidR="00000000" w:rsidRDefault="00087966">
            <w:pPr>
              <w:jc w:val="right"/>
              <w:rPr>
                <w:rFonts w:eastAsia="Times New Roman"/>
                <w:sz w:val="20"/>
                <w:szCs w:val="20"/>
              </w:rPr>
            </w:pPr>
            <w:r>
              <w:rPr>
                <w:rFonts w:eastAsia="Times New Roman"/>
                <w:sz w:val="20"/>
                <w:szCs w:val="20"/>
              </w:rPr>
              <w:t>(172,500,000</w:t>
            </w:r>
          </w:p>
        </w:tc>
        <w:tc>
          <w:tcPr>
            <w:tcW w:w="0" w:type="auto"/>
            <w:vAlign w:val="bottom"/>
            <w:hideMark/>
          </w:tcPr>
          <w:p w14:paraId="34F6A61B" w14:textId="77777777" w:rsidR="00000000" w:rsidRDefault="00087966">
            <w:pPr>
              <w:rPr>
                <w:rFonts w:eastAsia="Times New Roman"/>
                <w:sz w:val="20"/>
                <w:szCs w:val="20"/>
              </w:rPr>
            </w:pPr>
            <w:r>
              <w:rPr>
                <w:rFonts w:eastAsia="Times New Roman"/>
                <w:sz w:val="20"/>
                <w:szCs w:val="20"/>
              </w:rPr>
              <w:t>)</w:t>
            </w:r>
          </w:p>
        </w:tc>
      </w:tr>
      <w:tr w:rsidR="00000000" w14:paraId="6A5F1166" w14:textId="77777777">
        <w:trPr>
          <w:divId w:val="1595479706"/>
        </w:trPr>
        <w:tc>
          <w:tcPr>
            <w:tcW w:w="0" w:type="auto"/>
            <w:shd w:val="clear" w:color="auto" w:fill="CCEEFF"/>
            <w:vAlign w:val="bottom"/>
            <w:hideMark/>
          </w:tcPr>
          <w:p w14:paraId="76DCC2BF" w14:textId="77777777" w:rsidR="00000000" w:rsidRDefault="00087966">
            <w:pPr>
              <w:rPr>
                <w:rFonts w:eastAsia="Times New Roman"/>
                <w:sz w:val="20"/>
                <w:szCs w:val="20"/>
              </w:rPr>
            </w:pPr>
            <w:r>
              <w:rPr>
                <w:rFonts w:eastAsia="Times New Roman"/>
                <w:sz w:val="20"/>
                <w:szCs w:val="20"/>
              </w:rPr>
              <w:t>Cash withdrawn from Trust Account to pay franchise and income taxes</w:t>
            </w:r>
          </w:p>
        </w:tc>
        <w:tc>
          <w:tcPr>
            <w:tcW w:w="0" w:type="auto"/>
            <w:shd w:val="clear" w:color="auto" w:fill="CCEEFF"/>
            <w:vAlign w:val="bottom"/>
            <w:hideMark/>
          </w:tcPr>
          <w:p w14:paraId="0E280D9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9E9C4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ED0CC" w14:textId="77777777" w:rsidR="00000000" w:rsidRDefault="00087966">
            <w:pPr>
              <w:jc w:val="right"/>
              <w:rPr>
                <w:rFonts w:eastAsia="Times New Roman"/>
                <w:sz w:val="20"/>
                <w:szCs w:val="20"/>
              </w:rPr>
            </w:pPr>
            <w:r>
              <w:rPr>
                <w:rFonts w:eastAsia="Times New Roman"/>
                <w:sz w:val="20"/>
                <w:szCs w:val="20"/>
              </w:rPr>
              <w:t>579,359</w:t>
            </w:r>
          </w:p>
        </w:tc>
        <w:tc>
          <w:tcPr>
            <w:tcW w:w="0" w:type="auto"/>
            <w:shd w:val="clear" w:color="auto" w:fill="CCEEFF"/>
            <w:vAlign w:val="bottom"/>
            <w:hideMark/>
          </w:tcPr>
          <w:p w14:paraId="7AFCFCF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82A92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9F902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696230" w14:textId="77777777" w:rsidR="00000000" w:rsidRDefault="00087966">
            <w:pPr>
              <w:jc w:val="right"/>
              <w:divId w:val="147481255"/>
              <w:rPr>
                <w:rFonts w:eastAsia="Times New Roman"/>
                <w:sz w:val="20"/>
                <w:szCs w:val="20"/>
              </w:rPr>
            </w:pPr>
            <w:r>
              <w:rPr>
                <w:rFonts w:eastAsia="Times New Roman"/>
                <w:sz w:val="20"/>
                <w:szCs w:val="20"/>
              </w:rPr>
              <w:t>—</w:t>
            </w:r>
          </w:p>
        </w:tc>
        <w:tc>
          <w:tcPr>
            <w:tcW w:w="0" w:type="auto"/>
            <w:shd w:val="clear" w:color="auto" w:fill="CCEEFF"/>
            <w:vAlign w:val="bottom"/>
            <w:hideMark/>
          </w:tcPr>
          <w:p w14:paraId="6EE88C66" w14:textId="77777777" w:rsidR="00000000" w:rsidRDefault="00087966">
            <w:pPr>
              <w:rPr>
                <w:rFonts w:eastAsia="Times New Roman"/>
                <w:sz w:val="20"/>
                <w:szCs w:val="20"/>
              </w:rPr>
            </w:pPr>
            <w:r>
              <w:rPr>
                <w:rFonts w:eastAsia="Times New Roman"/>
                <w:sz w:val="20"/>
                <w:szCs w:val="20"/>
              </w:rPr>
              <w:t> </w:t>
            </w:r>
          </w:p>
        </w:tc>
      </w:tr>
      <w:tr w:rsidR="00000000" w14:paraId="3D0E191F" w14:textId="77777777">
        <w:trPr>
          <w:divId w:val="1595479706"/>
        </w:trPr>
        <w:tc>
          <w:tcPr>
            <w:tcW w:w="0" w:type="auto"/>
            <w:tcMar>
              <w:top w:w="0" w:type="dxa"/>
              <w:left w:w="0" w:type="dxa"/>
              <w:bottom w:w="30" w:type="dxa"/>
              <w:right w:w="0" w:type="dxa"/>
            </w:tcMar>
            <w:vAlign w:val="bottom"/>
            <w:hideMark/>
          </w:tcPr>
          <w:p w14:paraId="5C2B6911" w14:textId="77777777" w:rsidR="00000000" w:rsidRDefault="00087966">
            <w:pPr>
              <w:rPr>
                <w:rFonts w:eastAsia="Times New Roman"/>
                <w:sz w:val="20"/>
                <w:szCs w:val="20"/>
              </w:rPr>
            </w:pPr>
            <w:r>
              <w:rPr>
                <w:rFonts w:eastAsia="Times New Roman"/>
                <w:sz w:val="20"/>
                <w:szCs w:val="20"/>
              </w:rPr>
              <w:t>Cash withdrawn from Trust Account in connection with redemption</w:t>
            </w:r>
          </w:p>
        </w:tc>
        <w:tc>
          <w:tcPr>
            <w:tcW w:w="0" w:type="auto"/>
            <w:tcMar>
              <w:top w:w="0" w:type="dxa"/>
              <w:left w:w="0" w:type="dxa"/>
              <w:bottom w:w="30" w:type="dxa"/>
              <w:right w:w="0" w:type="dxa"/>
            </w:tcMar>
            <w:vAlign w:val="bottom"/>
            <w:hideMark/>
          </w:tcPr>
          <w:p w14:paraId="086AAA6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F1853EF"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358F733" w14:textId="77777777" w:rsidR="00000000" w:rsidRDefault="00087966">
            <w:pPr>
              <w:jc w:val="right"/>
              <w:rPr>
                <w:rFonts w:eastAsia="Times New Roman"/>
                <w:sz w:val="20"/>
                <w:szCs w:val="20"/>
              </w:rPr>
            </w:pPr>
            <w:r>
              <w:rPr>
                <w:rFonts w:eastAsia="Times New Roman"/>
                <w:sz w:val="20"/>
                <w:szCs w:val="20"/>
              </w:rPr>
              <w:t>68,488,691</w:t>
            </w:r>
          </w:p>
        </w:tc>
        <w:tc>
          <w:tcPr>
            <w:tcW w:w="0" w:type="auto"/>
            <w:tcMar>
              <w:top w:w="0" w:type="dxa"/>
              <w:left w:w="0" w:type="dxa"/>
              <w:bottom w:w="30" w:type="dxa"/>
              <w:right w:w="0" w:type="dxa"/>
            </w:tcMar>
            <w:vAlign w:val="bottom"/>
            <w:hideMark/>
          </w:tcPr>
          <w:p w14:paraId="671057A3"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8FEE892"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62D1981"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B385C6D" w14:textId="77777777" w:rsidR="00000000" w:rsidRDefault="00087966">
            <w:pPr>
              <w:jc w:val="right"/>
              <w:divId w:val="1028482914"/>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C3EB762" w14:textId="77777777" w:rsidR="00000000" w:rsidRDefault="00087966">
            <w:pPr>
              <w:rPr>
                <w:rFonts w:eastAsia="Times New Roman"/>
                <w:sz w:val="20"/>
                <w:szCs w:val="20"/>
              </w:rPr>
            </w:pPr>
            <w:r>
              <w:rPr>
                <w:rFonts w:eastAsia="Times New Roman"/>
                <w:sz w:val="20"/>
                <w:szCs w:val="20"/>
              </w:rPr>
              <w:t> </w:t>
            </w:r>
          </w:p>
        </w:tc>
      </w:tr>
      <w:tr w:rsidR="00000000" w14:paraId="0D82C2D7" w14:textId="77777777">
        <w:trPr>
          <w:divId w:val="1595479706"/>
        </w:trPr>
        <w:tc>
          <w:tcPr>
            <w:tcW w:w="0" w:type="auto"/>
            <w:shd w:val="clear" w:color="auto" w:fill="CCEEFF"/>
            <w:tcMar>
              <w:top w:w="0" w:type="dxa"/>
              <w:left w:w="0" w:type="dxa"/>
              <w:bottom w:w="30" w:type="dxa"/>
              <w:right w:w="0" w:type="dxa"/>
            </w:tcMar>
            <w:vAlign w:val="bottom"/>
            <w:hideMark/>
          </w:tcPr>
          <w:p w14:paraId="60E6911A" w14:textId="77777777" w:rsidR="00000000" w:rsidRDefault="00087966">
            <w:pPr>
              <w:rPr>
                <w:rFonts w:eastAsia="Times New Roman"/>
                <w:b/>
                <w:bCs/>
                <w:sz w:val="20"/>
                <w:szCs w:val="20"/>
              </w:rPr>
            </w:pPr>
            <w:r>
              <w:rPr>
                <w:rFonts w:eastAsia="Times New Roman"/>
                <w:b/>
                <w:bCs/>
                <w:sz w:val="20"/>
                <w:szCs w:val="20"/>
              </w:rPr>
              <w:t>Net cash provided by (used in) investing activities</w:t>
            </w:r>
          </w:p>
        </w:tc>
        <w:tc>
          <w:tcPr>
            <w:tcW w:w="0" w:type="auto"/>
            <w:shd w:val="clear" w:color="auto" w:fill="CCEEFF"/>
            <w:tcMar>
              <w:top w:w="0" w:type="dxa"/>
              <w:left w:w="0" w:type="dxa"/>
              <w:bottom w:w="30" w:type="dxa"/>
              <w:right w:w="0" w:type="dxa"/>
            </w:tcMar>
            <w:vAlign w:val="bottom"/>
            <w:hideMark/>
          </w:tcPr>
          <w:p w14:paraId="0859804B"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C9B7BA9"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23E3E800" w14:textId="77777777" w:rsidR="00000000" w:rsidRDefault="00087966">
            <w:pPr>
              <w:jc w:val="right"/>
              <w:rPr>
                <w:rFonts w:eastAsia="Times New Roman"/>
                <w:b/>
                <w:bCs/>
                <w:sz w:val="20"/>
                <w:szCs w:val="20"/>
              </w:rPr>
            </w:pPr>
            <w:r>
              <w:rPr>
                <w:rFonts w:eastAsia="Times New Roman"/>
                <w:b/>
                <w:bCs/>
                <w:sz w:val="20"/>
                <w:szCs w:val="20"/>
              </w:rPr>
              <w:t>67,007,980</w:t>
            </w:r>
          </w:p>
        </w:tc>
        <w:tc>
          <w:tcPr>
            <w:tcW w:w="0" w:type="auto"/>
            <w:shd w:val="clear" w:color="auto" w:fill="CCEEFF"/>
            <w:tcMar>
              <w:top w:w="0" w:type="dxa"/>
              <w:left w:w="0" w:type="dxa"/>
              <w:bottom w:w="30" w:type="dxa"/>
              <w:right w:w="0" w:type="dxa"/>
            </w:tcMar>
            <w:vAlign w:val="bottom"/>
            <w:hideMark/>
          </w:tcPr>
          <w:p w14:paraId="79480729"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30" w:type="dxa"/>
              <w:right w:w="0" w:type="dxa"/>
            </w:tcMar>
            <w:vAlign w:val="bottom"/>
            <w:hideMark/>
          </w:tcPr>
          <w:p w14:paraId="5B47B4D1"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68F098C1"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14:paraId="7121145A" w14:textId="77777777" w:rsidR="00000000" w:rsidRDefault="00087966">
            <w:pPr>
              <w:jc w:val="right"/>
              <w:rPr>
                <w:rFonts w:eastAsia="Times New Roman"/>
                <w:b/>
                <w:bCs/>
                <w:sz w:val="20"/>
                <w:szCs w:val="20"/>
              </w:rPr>
            </w:pPr>
            <w:r>
              <w:rPr>
                <w:rFonts w:eastAsia="Times New Roman"/>
                <w:b/>
                <w:bCs/>
                <w:sz w:val="20"/>
                <w:szCs w:val="20"/>
              </w:rPr>
              <w:t>(172,500,000</w:t>
            </w:r>
          </w:p>
        </w:tc>
        <w:tc>
          <w:tcPr>
            <w:tcW w:w="0" w:type="auto"/>
            <w:shd w:val="clear" w:color="auto" w:fill="CCEEFF"/>
            <w:tcMar>
              <w:top w:w="0" w:type="dxa"/>
              <w:left w:w="0" w:type="dxa"/>
              <w:bottom w:w="30" w:type="dxa"/>
              <w:right w:w="0" w:type="dxa"/>
            </w:tcMar>
            <w:vAlign w:val="bottom"/>
            <w:hideMark/>
          </w:tcPr>
          <w:p w14:paraId="1D16C4A6" w14:textId="77777777" w:rsidR="00000000" w:rsidRDefault="00087966">
            <w:pPr>
              <w:rPr>
                <w:rFonts w:eastAsia="Times New Roman"/>
                <w:b/>
                <w:bCs/>
                <w:sz w:val="20"/>
                <w:szCs w:val="20"/>
              </w:rPr>
            </w:pPr>
            <w:r>
              <w:rPr>
                <w:rFonts w:eastAsia="Times New Roman"/>
                <w:b/>
                <w:bCs/>
                <w:sz w:val="20"/>
                <w:szCs w:val="20"/>
              </w:rPr>
              <w:t>)</w:t>
            </w:r>
          </w:p>
        </w:tc>
      </w:tr>
      <w:tr w:rsidR="00000000" w14:paraId="62495446" w14:textId="77777777">
        <w:trPr>
          <w:divId w:val="1595479706"/>
        </w:trPr>
        <w:tc>
          <w:tcPr>
            <w:tcW w:w="0" w:type="auto"/>
            <w:vAlign w:val="bottom"/>
            <w:hideMark/>
          </w:tcPr>
          <w:p w14:paraId="6C795DD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712C42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5FAB53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E063A7F"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FFEF36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2CB908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6745F0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96ECDDC"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ADC58D9" w14:textId="77777777" w:rsidR="00000000" w:rsidRDefault="00087966">
            <w:pPr>
              <w:rPr>
                <w:rFonts w:eastAsia="Times New Roman"/>
                <w:sz w:val="20"/>
                <w:szCs w:val="20"/>
              </w:rPr>
            </w:pPr>
            <w:r>
              <w:rPr>
                <w:rFonts w:eastAsia="Times New Roman"/>
                <w:sz w:val="20"/>
                <w:szCs w:val="20"/>
              </w:rPr>
              <w:t> </w:t>
            </w:r>
          </w:p>
        </w:tc>
      </w:tr>
      <w:tr w:rsidR="00000000" w14:paraId="4DB1FB30" w14:textId="77777777">
        <w:trPr>
          <w:divId w:val="1595479706"/>
        </w:trPr>
        <w:tc>
          <w:tcPr>
            <w:tcW w:w="0" w:type="auto"/>
            <w:shd w:val="clear" w:color="auto" w:fill="CCEEFF"/>
            <w:vAlign w:val="bottom"/>
            <w:hideMark/>
          </w:tcPr>
          <w:p w14:paraId="3232DA4C" w14:textId="77777777" w:rsidR="00000000" w:rsidRDefault="00087966">
            <w:pPr>
              <w:rPr>
                <w:rFonts w:eastAsia="Times New Roman"/>
                <w:b/>
                <w:bCs/>
                <w:sz w:val="20"/>
                <w:szCs w:val="20"/>
              </w:rPr>
            </w:pPr>
            <w:r>
              <w:rPr>
                <w:rFonts w:eastAsia="Times New Roman"/>
                <w:b/>
                <w:bCs/>
                <w:sz w:val="20"/>
                <w:szCs w:val="20"/>
              </w:rPr>
              <w:t>Cash Flows from Financing Activities:</w:t>
            </w:r>
          </w:p>
        </w:tc>
        <w:tc>
          <w:tcPr>
            <w:tcW w:w="0" w:type="auto"/>
            <w:shd w:val="clear" w:color="auto" w:fill="CCEEFF"/>
            <w:vAlign w:val="bottom"/>
            <w:hideMark/>
          </w:tcPr>
          <w:p w14:paraId="63ED596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C467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785950"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F07253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2C3A1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BDBFF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7AAD12"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24E3772" w14:textId="77777777" w:rsidR="00000000" w:rsidRDefault="00087966">
            <w:pPr>
              <w:rPr>
                <w:rFonts w:eastAsia="Times New Roman"/>
                <w:sz w:val="20"/>
                <w:szCs w:val="20"/>
              </w:rPr>
            </w:pPr>
            <w:r>
              <w:rPr>
                <w:rFonts w:eastAsia="Times New Roman"/>
                <w:sz w:val="20"/>
                <w:szCs w:val="20"/>
              </w:rPr>
              <w:t> </w:t>
            </w:r>
          </w:p>
        </w:tc>
      </w:tr>
      <w:tr w:rsidR="00000000" w14:paraId="2174598A" w14:textId="77777777">
        <w:trPr>
          <w:divId w:val="1595479706"/>
        </w:trPr>
        <w:tc>
          <w:tcPr>
            <w:tcW w:w="0" w:type="auto"/>
            <w:vAlign w:val="bottom"/>
            <w:hideMark/>
          </w:tcPr>
          <w:p w14:paraId="3FFE340F" w14:textId="77777777" w:rsidR="00000000" w:rsidRDefault="00087966">
            <w:pPr>
              <w:rPr>
                <w:rFonts w:eastAsia="Times New Roman"/>
                <w:sz w:val="20"/>
                <w:szCs w:val="20"/>
              </w:rPr>
            </w:pPr>
            <w:r>
              <w:rPr>
                <w:rFonts w:eastAsia="Times New Roman"/>
                <w:sz w:val="20"/>
                <w:szCs w:val="20"/>
              </w:rPr>
              <w:t>Proceeds from sale of Units, net of underwriting discounts paid</w:t>
            </w:r>
          </w:p>
        </w:tc>
        <w:tc>
          <w:tcPr>
            <w:tcW w:w="0" w:type="auto"/>
            <w:vAlign w:val="bottom"/>
            <w:hideMark/>
          </w:tcPr>
          <w:p w14:paraId="161FF23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29B64B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E72D627" w14:textId="77777777" w:rsidR="00000000" w:rsidRDefault="00087966">
            <w:pPr>
              <w:jc w:val="right"/>
              <w:divId w:val="944386934"/>
              <w:rPr>
                <w:rFonts w:eastAsia="Times New Roman"/>
                <w:sz w:val="20"/>
                <w:szCs w:val="20"/>
              </w:rPr>
            </w:pPr>
            <w:r>
              <w:rPr>
                <w:rFonts w:eastAsia="Times New Roman"/>
                <w:sz w:val="20"/>
                <w:szCs w:val="20"/>
              </w:rPr>
              <w:t>—</w:t>
            </w:r>
          </w:p>
        </w:tc>
        <w:tc>
          <w:tcPr>
            <w:tcW w:w="0" w:type="auto"/>
            <w:vAlign w:val="bottom"/>
            <w:hideMark/>
          </w:tcPr>
          <w:p w14:paraId="168EA00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89E5B7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E291C5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A31CDC3" w14:textId="77777777" w:rsidR="00000000" w:rsidRDefault="00087966">
            <w:pPr>
              <w:jc w:val="right"/>
              <w:rPr>
                <w:rFonts w:eastAsia="Times New Roman"/>
                <w:sz w:val="20"/>
                <w:szCs w:val="20"/>
              </w:rPr>
            </w:pPr>
            <w:r>
              <w:rPr>
                <w:rFonts w:eastAsia="Times New Roman"/>
                <w:sz w:val="20"/>
                <w:szCs w:val="20"/>
              </w:rPr>
              <w:t>169,049,999</w:t>
            </w:r>
          </w:p>
        </w:tc>
        <w:tc>
          <w:tcPr>
            <w:tcW w:w="0" w:type="auto"/>
            <w:vAlign w:val="bottom"/>
            <w:hideMark/>
          </w:tcPr>
          <w:p w14:paraId="23AF91AD" w14:textId="77777777" w:rsidR="00000000" w:rsidRDefault="00087966">
            <w:pPr>
              <w:rPr>
                <w:rFonts w:eastAsia="Times New Roman"/>
                <w:sz w:val="20"/>
                <w:szCs w:val="20"/>
              </w:rPr>
            </w:pPr>
            <w:r>
              <w:rPr>
                <w:rFonts w:eastAsia="Times New Roman"/>
                <w:sz w:val="20"/>
                <w:szCs w:val="20"/>
              </w:rPr>
              <w:t> </w:t>
            </w:r>
          </w:p>
        </w:tc>
      </w:tr>
      <w:tr w:rsidR="00000000" w14:paraId="2D17873D" w14:textId="77777777">
        <w:trPr>
          <w:divId w:val="1595479706"/>
        </w:trPr>
        <w:tc>
          <w:tcPr>
            <w:tcW w:w="0" w:type="auto"/>
            <w:shd w:val="clear" w:color="auto" w:fill="CCEEFF"/>
            <w:vAlign w:val="bottom"/>
            <w:hideMark/>
          </w:tcPr>
          <w:p w14:paraId="079BC5BF" w14:textId="77777777" w:rsidR="00000000" w:rsidRDefault="00087966">
            <w:pPr>
              <w:rPr>
                <w:rFonts w:eastAsia="Times New Roman"/>
                <w:sz w:val="20"/>
                <w:szCs w:val="20"/>
              </w:rPr>
            </w:pPr>
            <w:r>
              <w:rPr>
                <w:rFonts w:eastAsia="Times New Roman"/>
                <w:sz w:val="20"/>
                <w:szCs w:val="20"/>
              </w:rPr>
              <w:t>Proceeds from sale of Private Placement Warrants</w:t>
            </w:r>
          </w:p>
        </w:tc>
        <w:tc>
          <w:tcPr>
            <w:tcW w:w="0" w:type="auto"/>
            <w:shd w:val="clear" w:color="auto" w:fill="CCEEFF"/>
            <w:vAlign w:val="bottom"/>
            <w:hideMark/>
          </w:tcPr>
          <w:p w14:paraId="7DFDF63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DBA74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ACF5AF" w14:textId="77777777" w:rsidR="00000000" w:rsidRDefault="00087966">
            <w:pPr>
              <w:jc w:val="right"/>
              <w:divId w:val="1404329770"/>
              <w:rPr>
                <w:rFonts w:eastAsia="Times New Roman"/>
                <w:sz w:val="20"/>
                <w:szCs w:val="20"/>
              </w:rPr>
            </w:pPr>
            <w:r>
              <w:rPr>
                <w:rFonts w:eastAsia="Times New Roman"/>
                <w:sz w:val="20"/>
                <w:szCs w:val="20"/>
              </w:rPr>
              <w:t>—</w:t>
            </w:r>
          </w:p>
        </w:tc>
        <w:tc>
          <w:tcPr>
            <w:tcW w:w="0" w:type="auto"/>
            <w:shd w:val="clear" w:color="auto" w:fill="CCEEFF"/>
            <w:vAlign w:val="bottom"/>
            <w:hideMark/>
          </w:tcPr>
          <w:p w14:paraId="7959F87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9DC86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1E8CF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1275EA" w14:textId="77777777" w:rsidR="00000000" w:rsidRDefault="00087966">
            <w:pPr>
              <w:jc w:val="right"/>
              <w:rPr>
                <w:rFonts w:eastAsia="Times New Roman"/>
                <w:sz w:val="20"/>
                <w:szCs w:val="20"/>
              </w:rPr>
            </w:pPr>
            <w:r>
              <w:rPr>
                <w:rFonts w:eastAsia="Times New Roman"/>
                <w:sz w:val="20"/>
                <w:szCs w:val="20"/>
              </w:rPr>
              <w:t>5,200,000</w:t>
            </w:r>
          </w:p>
        </w:tc>
        <w:tc>
          <w:tcPr>
            <w:tcW w:w="0" w:type="auto"/>
            <w:shd w:val="clear" w:color="auto" w:fill="CCEEFF"/>
            <w:vAlign w:val="bottom"/>
            <w:hideMark/>
          </w:tcPr>
          <w:p w14:paraId="69423C7D" w14:textId="77777777" w:rsidR="00000000" w:rsidRDefault="00087966">
            <w:pPr>
              <w:rPr>
                <w:rFonts w:eastAsia="Times New Roman"/>
                <w:sz w:val="20"/>
                <w:szCs w:val="20"/>
              </w:rPr>
            </w:pPr>
            <w:r>
              <w:rPr>
                <w:rFonts w:eastAsia="Times New Roman"/>
                <w:sz w:val="20"/>
                <w:szCs w:val="20"/>
              </w:rPr>
              <w:t> </w:t>
            </w:r>
          </w:p>
        </w:tc>
      </w:tr>
      <w:tr w:rsidR="00000000" w14:paraId="2D3B3434" w14:textId="77777777">
        <w:trPr>
          <w:divId w:val="1595479706"/>
        </w:trPr>
        <w:tc>
          <w:tcPr>
            <w:tcW w:w="0" w:type="auto"/>
            <w:vAlign w:val="bottom"/>
            <w:hideMark/>
          </w:tcPr>
          <w:p w14:paraId="7AAC045A" w14:textId="77777777" w:rsidR="00000000" w:rsidRDefault="00087966">
            <w:pPr>
              <w:rPr>
                <w:rFonts w:eastAsia="Times New Roman"/>
                <w:sz w:val="20"/>
                <w:szCs w:val="20"/>
              </w:rPr>
            </w:pPr>
            <w:r>
              <w:rPr>
                <w:rFonts w:eastAsia="Times New Roman"/>
                <w:sz w:val="20"/>
                <w:szCs w:val="20"/>
              </w:rPr>
              <w:t>Proceeds from Sponsor for Extension Funds</w:t>
            </w:r>
          </w:p>
        </w:tc>
        <w:tc>
          <w:tcPr>
            <w:tcW w:w="0" w:type="auto"/>
            <w:vAlign w:val="bottom"/>
            <w:hideMark/>
          </w:tcPr>
          <w:p w14:paraId="342FDEB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B7EF8A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115FC07" w14:textId="77777777" w:rsidR="00000000" w:rsidRDefault="00087966">
            <w:pPr>
              <w:jc w:val="right"/>
              <w:rPr>
                <w:rFonts w:eastAsia="Times New Roman"/>
                <w:sz w:val="20"/>
                <w:szCs w:val="20"/>
              </w:rPr>
            </w:pPr>
            <w:r>
              <w:rPr>
                <w:rFonts w:eastAsia="Times New Roman"/>
                <w:sz w:val="20"/>
                <w:szCs w:val="20"/>
              </w:rPr>
              <w:t>1,373,380</w:t>
            </w:r>
          </w:p>
        </w:tc>
        <w:tc>
          <w:tcPr>
            <w:tcW w:w="0" w:type="auto"/>
            <w:vAlign w:val="bottom"/>
            <w:hideMark/>
          </w:tcPr>
          <w:p w14:paraId="03727ED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A7815C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BE95FA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308092C" w14:textId="77777777" w:rsidR="00000000" w:rsidRDefault="00087966">
            <w:pPr>
              <w:jc w:val="right"/>
              <w:rPr>
                <w:rFonts w:eastAsia="Times New Roman"/>
                <w:sz w:val="20"/>
                <w:szCs w:val="20"/>
              </w:rPr>
            </w:pPr>
            <w:r>
              <w:rPr>
                <w:rFonts w:eastAsia="Times New Roman"/>
                <w:sz w:val="20"/>
                <w:szCs w:val="20"/>
              </w:rPr>
              <w:t>5,000</w:t>
            </w:r>
          </w:p>
        </w:tc>
        <w:tc>
          <w:tcPr>
            <w:tcW w:w="0" w:type="auto"/>
            <w:vAlign w:val="bottom"/>
            <w:hideMark/>
          </w:tcPr>
          <w:p w14:paraId="7654C5F5" w14:textId="77777777" w:rsidR="00000000" w:rsidRDefault="00087966">
            <w:pPr>
              <w:rPr>
                <w:rFonts w:eastAsia="Times New Roman"/>
                <w:sz w:val="20"/>
                <w:szCs w:val="20"/>
              </w:rPr>
            </w:pPr>
            <w:r>
              <w:rPr>
                <w:rFonts w:eastAsia="Times New Roman"/>
                <w:sz w:val="20"/>
                <w:szCs w:val="20"/>
              </w:rPr>
              <w:t> </w:t>
            </w:r>
          </w:p>
        </w:tc>
      </w:tr>
      <w:tr w:rsidR="00000000" w14:paraId="620A9F5C" w14:textId="77777777">
        <w:trPr>
          <w:divId w:val="1595479706"/>
        </w:trPr>
        <w:tc>
          <w:tcPr>
            <w:tcW w:w="0" w:type="auto"/>
            <w:shd w:val="clear" w:color="auto" w:fill="CCEEFF"/>
            <w:vAlign w:val="bottom"/>
            <w:hideMark/>
          </w:tcPr>
          <w:p w14:paraId="534E6D74" w14:textId="77777777" w:rsidR="00000000" w:rsidRDefault="00087966">
            <w:pPr>
              <w:rPr>
                <w:rFonts w:eastAsia="Times New Roman"/>
                <w:sz w:val="20"/>
                <w:szCs w:val="20"/>
              </w:rPr>
            </w:pPr>
            <w:r>
              <w:rPr>
                <w:rFonts w:eastAsia="Times New Roman"/>
                <w:sz w:val="20"/>
                <w:szCs w:val="20"/>
              </w:rPr>
              <w:t>Proceeds from Working Capital Loan</w:t>
            </w:r>
          </w:p>
        </w:tc>
        <w:tc>
          <w:tcPr>
            <w:tcW w:w="0" w:type="auto"/>
            <w:shd w:val="clear" w:color="auto" w:fill="CCEEFF"/>
            <w:vAlign w:val="bottom"/>
            <w:hideMark/>
          </w:tcPr>
          <w:p w14:paraId="02C9EEA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D6668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26F573" w14:textId="77777777" w:rsidR="00000000" w:rsidRDefault="00087966">
            <w:pPr>
              <w:jc w:val="right"/>
              <w:rPr>
                <w:rFonts w:eastAsia="Times New Roman"/>
                <w:sz w:val="20"/>
                <w:szCs w:val="20"/>
              </w:rPr>
            </w:pPr>
            <w:r>
              <w:rPr>
                <w:rFonts w:eastAsia="Times New Roman"/>
                <w:sz w:val="20"/>
                <w:szCs w:val="20"/>
              </w:rPr>
              <w:t>1,225,000</w:t>
            </w:r>
          </w:p>
        </w:tc>
        <w:tc>
          <w:tcPr>
            <w:tcW w:w="0" w:type="auto"/>
            <w:shd w:val="clear" w:color="auto" w:fill="CCEEFF"/>
            <w:vAlign w:val="bottom"/>
            <w:hideMark/>
          </w:tcPr>
          <w:p w14:paraId="4CA3090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9F347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AD16B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4D67FB" w14:textId="77777777" w:rsidR="00000000" w:rsidRDefault="00087966">
            <w:pPr>
              <w:jc w:val="right"/>
              <w:divId w:val="2085880280"/>
              <w:rPr>
                <w:rFonts w:eastAsia="Times New Roman"/>
                <w:sz w:val="20"/>
                <w:szCs w:val="20"/>
              </w:rPr>
            </w:pPr>
            <w:r>
              <w:rPr>
                <w:rFonts w:eastAsia="Times New Roman"/>
                <w:sz w:val="20"/>
                <w:szCs w:val="20"/>
              </w:rPr>
              <w:t>—</w:t>
            </w:r>
          </w:p>
        </w:tc>
        <w:tc>
          <w:tcPr>
            <w:tcW w:w="0" w:type="auto"/>
            <w:shd w:val="clear" w:color="auto" w:fill="CCEEFF"/>
            <w:vAlign w:val="bottom"/>
            <w:hideMark/>
          </w:tcPr>
          <w:p w14:paraId="129B11E8" w14:textId="77777777" w:rsidR="00000000" w:rsidRDefault="00087966">
            <w:pPr>
              <w:rPr>
                <w:rFonts w:eastAsia="Times New Roman"/>
                <w:sz w:val="20"/>
                <w:szCs w:val="20"/>
              </w:rPr>
            </w:pPr>
            <w:r>
              <w:rPr>
                <w:rFonts w:eastAsia="Times New Roman"/>
                <w:sz w:val="20"/>
                <w:szCs w:val="20"/>
              </w:rPr>
              <w:t> </w:t>
            </w:r>
          </w:p>
        </w:tc>
      </w:tr>
      <w:tr w:rsidR="00000000" w14:paraId="2823FC1E" w14:textId="77777777">
        <w:trPr>
          <w:divId w:val="1595479706"/>
        </w:trPr>
        <w:tc>
          <w:tcPr>
            <w:tcW w:w="0" w:type="auto"/>
            <w:vAlign w:val="bottom"/>
            <w:hideMark/>
          </w:tcPr>
          <w:p w14:paraId="4C908176" w14:textId="77777777" w:rsidR="00000000" w:rsidRDefault="00087966">
            <w:pPr>
              <w:rPr>
                <w:rFonts w:eastAsia="Times New Roman"/>
                <w:sz w:val="20"/>
                <w:szCs w:val="20"/>
              </w:rPr>
            </w:pPr>
            <w:r>
              <w:rPr>
                <w:rFonts w:eastAsia="Times New Roman"/>
                <w:sz w:val="20"/>
                <w:szCs w:val="20"/>
              </w:rPr>
              <w:t>Proceeds from Near Extension Loan</w:t>
            </w:r>
          </w:p>
        </w:tc>
        <w:tc>
          <w:tcPr>
            <w:tcW w:w="0" w:type="auto"/>
            <w:vAlign w:val="bottom"/>
            <w:hideMark/>
          </w:tcPr>
          <w:p w14:paraId="5EC35B1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78974C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F524C83" w14:textId="77777777" w:rsidR="00000000" w:rsidRDefault="00087966">
            <w:pPr>
              <w:jc w:val="right"/>
              <w:rPr>
                <w:rFonts w:eastAsia="Times New Roman"/>
                <w:sz w:val="20"/>
                <w:szCs w:val="20"/>
              </w:rPr>
            </w:pPr>
            <w:r>
              <w:rPr>
                <w:rFonts w:eastAsia="Times New Roman"/>
                <w:sz w:val="20"/>
                <w:szCs w:val="20"/>
              </w:rPr>
              <w:t>686,690</w:t>
            </w:r>
          </w:p>
        </w:tc>
        <w:tc>
          <w:tcPr>
            <w:tcW w:w="0" w:type="auto"/>
            <w:vAlign w:val="bottom"/>
            <w:hideMark/>
          </w:tcPr>
          <w:p w14:paraId="534E235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7AEB41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43EECD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D1170FC" w14:textId="77777777" w:rsidR="00000000" w:rsidRDefault="00087966">
            <w:pPr>
              <w:jc w:val="right"/>
              <w:divId w:val="1158612832"/>
              <w:rPr>
                <w:rFonts w:eastAsia="Times New Roman"/>
                <w:sz w:val="20"/>
                <w:szCs w:val="20"/>
              </w:rPr>
            </w:pPr>
            <w:r>
              <w:rPr>
                <w:rFonts w:eastAsia="Times New Roman"/>
                <w:sz w:val="20"/>
                <w:szCs w:val="20"/>
              </w:rPr>
              <w:t>—</w:t>
            </w:r>
          </w:p>
        </w:tc>
        <w:tc>
          <w:tcPr>
            <w:tcW w:w="0" w:type="auto"/>
            <w:vAlign w:val="bottom"/>
            <w:hideMark/>
          </w:tcPr>
          <w:p w14:paraId="2128752D" w14:textId="77777777" w:rsidR="00000000" w:rsidRDefault="00087966">
            <w:pPr>
              <w:rPr>
                <w:rFonts w:eastAsia="Times New Roman"/>
                <w:sz w:val="20"/>
                <w:szCs w:val="20"/>
              </w:rPr>
            </w:pPr>
            <w:r>
              <w:rPr>
                <w:rFonts w:eastAsia="Times New Roman"/>
                <w:sz w:val="20"/>
                <w:szCs w:val="20"/>
              </w:rPr>
              <w:t> </w:t>
            </w:r>
          </w:p>
        </w:tc>
      </w:tr>
      <w:tr w:rsidR="00000000" w14:paraId="72074923" w14:textId="77777777">
        <w:trPr>
          <w:divId w:val="1595479706"/>
        </w:trPr>
        <w:tc>
          <w:tcPr>
            <w:tcW w:w="0" w:type="auto"/>
            <w:shd w:val="clear" w:color="auto" w:fill="CCEEFF"/>
            <w:vAlign w:val="bottom"/>
            <w:hideMark/>
          </w:tcPr>
          <w:p w14:paraId="078BCA4B" w14:textId="77777777" w:rsidR="00000000" w:rsidRDefault="00087966">
            <w:pPr>
              <w:rPr>
                <w:rFonts w:eastAsia="Times New Roman"/>
                <w:sz w:val="20"/>
                <w:szCs w:val="20"/>
              </w:rPr>
            </w:pPr>
            <w:r>
              <w:rPr>
                <w:rFonts w:eastAsia="Times New Roman"/>
                <w:sz w:val="20"/>
                <w:szCs w:val="20"/>
              </w:rPr>
              <w:t>Repayment of promissory note</w:t>
            </w:r>
            <w:r>
              <w:rPr>
                <w:rFonts w:eastAsia="Times New Roman"/>
                <w:sz w:val="20"/>
                <w:szCs w:val="20"/>
              </w:rPr>
              <w:t> </w:t>
            </w:r>
            <w:r>
              <w:rPr>
                <w:rFonts w:eastAsia="Times New Roman"/>
                <w:sz w:val="20"/>
                <w:szCs w:val="20"/>
              </w:rPr>
              <w:t>–</w:t>
            </w:r>
            <w:r>
              <w:rPr>
                <w:rFonts w:eastAsia="Times New Roman"/>
                <w:sz w:val="20"/>
                <w:szCs w:val="20"/>
              </w:rPr>
              <w:t> </w:t>
            </w:r>
            <w:r>
              <w:rPr>
                <w:rFonts w:eastAsia="Times New Roman"/>
                <w:sz w:val="20"/>
                <w:szCs w:val="20"/>
              </w:rPr>
              <w:t>related party</w:t>
            </w:r>
          </w:p>
        </w:tc>
        <w:tc>
          <w:tcPr>
            <w:tcW w:w="0" w:type="auto"/>
            <w:shd w:val="clear" w:color="auto" w:fill="CCEEFF"/>
            <w:vAlign w:val="bottom"/>
            <w:hideMark/>
          </w:tcPr>
          <w:p w14:paraId="18DC45F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75AAD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28C3B8" w14:textId="77777777" w:rsidR="00000000" w:rsidRDefault="00087966">
            <w:pPr>
              <w:jc w:val="right"/>
              <w:divId w:val="1690839778"/>
              <w:rPr>
                <w:rFonts w:eastAsia="Times New Roman"/>
                <w:sz w:val="20"/>
                <w:szCs w:val="20"/>
              </w:rPr>
            </w:pPr>
            <w:r>
              <w:rPr>
                <w:rFonts w:eastAsia="Times New Roman"/>
                <w:sz w:val="20"/>
                <w:szCs w:val="20"/>
              </w:rPr>
              <w:t>—</w:t>
            </w:r>
          </w:p>
        </w:tc>
        <w:tc>
          <w:tcPr>
            <w:tcW w:w="0" w:type="auto"/>
            <w:shd w:val="clear" w:color="auto" w:fill="CCEEFF"/>
            <w:vAlign w:val="bottom"/>
            <w:hideMark/>
          </w:tcPr>
          <w:p w14:paraId="1CE91EB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4D420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E9F82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E2D20E" w14:textId="77777777" w:rsidR="00000000" w:rsidRDefault="00087966">
            <w:pPr>
              <w:jc w:val="right"/>
              <w:rPr>
                <w:rFonts w:eastAsia="Times New Roman"/>
                <w:sz w:val="20"/>
                <w:szCs w:val="20"/>
              </w:rPr>
            </w:pPr>
            <w:r>
              <w:rPr>
                <w:rFonts w:eastAsia="Times New Roman"/>
                <w:sz w:val="20"/>
                <w:szCs w:val="20"/>
              </w:rPr>
              <w:t>(</w:t>
            </w:r>
            <w:r>
              <w:rPr>
                <w:rFonts w:eastAsia="Times New Roman"/>
                <w:sz w:val="20"/>
                <w:szCs w:val="20"/>
              </w:rPr>
              <w:t>88,905</w:t>
            </w:r>
          </w:p>
        </w:tc>
        <w:tc>
          <w:tcPr>
            <w:tcW w:w="0" w:type="auto"/>
            <w:shd w:val="clear" w:color="auto" w:fill="CCEEFF"/>
            <w:vAlign w:val="bottom"/>
            <w:hideMark/>
          </w:tcPr>
          <w:p w14:paraId="06A138A8" w14:textId="77777777" w:rsidR="00000000" w:rsidRDefault="00087966">
            <w:pPr>
              <w:rPr>
                <w:rFonts w:eastAsia="Times New Roman"/>
                <w:sz w:val="20"/>
                <w:szCs w:val="20"/>
              </w:rPr>
            </w:pPr>
            <w:r>
              <w:rPr>
                <w:rFonts w:eastAsia="Times New Roman"/>
                <w:sz w:val="20"/>
                <w:szCs w:val="20"/>
              </w:rPr>
              <w:t>)</w:t>
            </w:r>
          </w:p>
        </w:tc>
      </w:tr>
      <w:tr w:rsidR="00000000" w14:paraId="79405DB8" w14:textId="77777777">
        <w:trPr>
          <w:divId w:val="1595479706"/>
        </w:trPr>
        <w:tc>
          <w:tcPr>
            <w:tcW w:w="0" w:type="auto"/>
            <w:vAlign w:val="bottom"/>
            <w:hideMark/>
          </w:tcPr>
          <w:p w14:paraId="1C8DC831" w14:textId="77777777" w:rsidR="00000000" w:rsidRDefault="00087966">
            <w:pPr>
              <w:rPr>
                <w:rFonts w:eastAsia="Times New Roman"/>
                <w:sz w:val="20"/>
                <w:szCs w:val="20"/>
              </w:rPr>
            </w:pPr>
            <w:r>
              <w:rPr>
                <w:rFonts w:eastAsia="Times New Roman"/>
                <w:sz w:val="20"/>
                <w:szCs w:val="20"/>
              </w:rPr>
              <w:t>Payment of offering costs</w:t>
            </w:r>
          </w:p>
        </w:tc>
        <w:tc>
          <w:tcPr>
            <w:tcW w:w="0" w:type="auto"/>
            <w:vAlign w:val="bottom"/>
            <w:hideMark/>
          </w:tcPr>
          <w:p w14:paraId="0645B8A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BCA732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0B082BF" w14:textId="77777777" w:rsidR="00000000" w:rsidRDefault="00087966">
            <w:pPr>
              <w:jc w:val="right"/>
              <w:divId w:val="1056926415"/>
              <w:rPr>
                <w:rFonts w:eastAsia="Times New Roman"/>
                <w:sz w:val="20"/>
                <w:szCs w:val="20"/>
              </w:rPr>
            </w:pPr>
            <w:r>
              <w:rPr>
                <w:rFonts w:eastAsia="Times New Roman"/>
                <w:sz w:val="20"/>
                <w:szCs w:val="20"/>
              </w:rPr>
              <w:t>—</w:t>
            </w:r>
          </w:p>
        </w:tc>
        <w:tc>
          <w:tcPr>
            <w:tcW w:w="0" w:type="auto"/>
            <w:vAlign w:val="bottom"/>
            <w:hideMark/>
          </w:tcPr>
          <w:p w14:paraId="6E94C29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BF9CF3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98FE31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007252C" w14:textId="77777777" w:rsidR="00000000" w:rsidRDefault="00087966">
            <w:pPr>
              <w:jc w:val="right"/>
              <w:rPr>
                <w:rFonts w:eastAsia="Times New Roman"/>
                <w:sz w:val="20"/>
                <w:szCs w:val="20"/>
              </w:rPr>
            </w:pPr>
            <w:r>
              <w:rPr>
                <w:rFonts w:eastAsia="Times New Roman"/>
                <w:sz w:val="20"/>
                <w:szCs w:val="20"/>
              </w:rPr>
              <w:t>(296,352</w:t>
            </w:r>
          </w:p>
        </w:tc>
        <w:tc>
          <w:tcPr>
            <w:tcW w:w="0" w:type="auto"/>
            <w:vAlign w:val="bottom"/>
            <w:hideMark/>
          </w:tcPr>
          <w:p w14:paraId="6D29D795" w14:textId="77777777" w:rsidR="00000000" w:rsidRDefault="00087966">
            <w:pPr>
              <w:rPr>
                <w:rFonts w:eastAsia="Times New Roman"/>
                <w:sz w:val="20"/>
                <w:szCs w:val="20"/>
              </w:rPr>
            </w:pPr>
            <w:r>
              <w:rPr>
                <w:rFonts w:eastAsia="Times New Roman"/>
                <w:sz w:val="20"/>
                <w:szCs w:val="20"/>
              </w:rPr>
              <w:t>)</w:t>
            </w:r>
          </w:p>
        </w:tc>
      </w:tr>
      <w:tr w:rsidR="00000000" w14:paraId="17FDA8D7" w14:textId="77777777">
        <w:trPr>
          <w:divId w:val="1595479706"/>
        </w:trPr>
        <w:tc>
          <w:tcPr>
            <w:tcW w:w="0" w:type="auto"/>
            <w:shd w:val="clear" w:color="auto" w:fill="CCEEFF"/>
            <w:tcMar>
              <w:top w:w="0" w:type="dxa"/>
              <w:left w:w="0" w:type="dxa"/>
              <w:bottom w:w="30" w:type="dxa"/>
              <w:right w:w="0" w:type="dxa"/>
            </w:tcMar>
            <w:vAlign w:val="bottom"/>
            <w:hideMark/>
          </w:tcPr>
          <w:p w14:paraId="35585FF1" w14:textId="77777777" w:rsidR="00000000" w:rsidRDefault="00087966">
            <w:pPr>
              <w:rPr>
                <w:rFonts w:eastAsia="Times New Roman"/>
                <w:sz w:val="20"/>
                <w:szCs w:val="20"/>
              </w:rPr>
            </w:pPr>
            <w:r>
              <w:rPr>
                <w:rFonts w:eastAsia="Times New Roman"/>
                <w:sz w:val="20"/>
                <w:szCs w:val="20"/>
              </w:rPr>
              <w:t>Redemption of Class A common stock</w:t>
            </w:r>
          </w:p>
        </w:tc>
        <w:tc>
          <w:tcPr>
            <w:tcW w:w="0" w:type="auto"/>
            <w:shd w:val="clear" w:color="auto" w:fill="CCEEFF"/>
            <w:tcMar>
              <w:top w:w="0" w:type="dxa"/>
              <w:left w:w="0" w:type="dxa"/>
              <w:bottom w:w="30" w:type="dxa"/>
              <w:right w:w="0" w:type="dxa"/>
            </w:tcMar>
            <w:vAlign w:val="bottom"/>
            <w:hideMark/>
          </w:tcPr>
          <w:p w14:paraId="1A658362"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6E107B"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7B1C44" w14:textId="77777777" w:rsidR="00000000" w:rsidRDefault="00087966">
            <w:pPr>
              <w:jc w:val="right"/>
              <w:rPr>
                <w:rFonts w:eastAsia="Times New Roman"/>
                <w:sz w:val="20"/>
                <w:szCs w:val="20"/>
              </w:rPr>
            </w:pPr>
            <w:r>
              <w:rPr>
                <w:rFonts w:eastAsia="Times New Roman"/>
                <w:sz w:val="20"/>
                <w:szCs w:val="20"/>
              </w:rPr>
              <w:t>(68,488,691</w:t>
            </w:r>
          </w:p>
        </w:tc>
        <w:tc>
          <w:tcPr>
            <w:tcW w:w="0" w:type="auto"/>
            <w:shd w:val="clear" w:color="auto" w:fill="CCEEFF"/>
            <w:tcMar>
              <w:top w:w="0" w:type="dxa"/>
              <w:left w:w="0" w:type="dxa"/>
              <w:bottom w:w="30" w:type="dxa"/>
              <w:right w:w="0" w:type="dxa"/>
            </w:tcMar>
            <w:vAlign w:val="bottom"/>
            <w:hideMark/>
          </w:tcPr>
          <w:p w14:paraId="3DF857E3"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B506A9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17105B"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ADB4EB3" w14:textId="77777777" w:rsidR="00000000" w:rsidRDefault="00087966">
            <w:pPr>
              <w:jc w:val="right"/>
              <w:divId w:val="573469057"/>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A66E220" w14:textId="77777777" w:rsidR="00000000" w:rsidRDefault="00087966">
            <w:pPr>
              <w:rPr>
                <w:rFonts w:eastAsia="Times New Roman"/>
                <w:sz w:val="20"/>
                <w:szCs w:val="20"/>
              </w:rPr>
            </w:pPr>
            <w:r>
              <w:rPr>
                <w:rFonts w:eastAsia="Times New Roman"/>
                <w:sz w:val="20"/>
                <w:szCs w:val="20"/>
              </w:rPr>
              <w:t> </w:t>
            </w:r>
          </w:p>
        </w:tc>
      </w:tr>
      <w:tr w:rsidR="00000000" w14:paraId="5C9974B6" w14:textId="77777777">
        <w:trPr>
          <w:divId w:val="1595479706"/>
        </w:trPr>
        <w:tc>
          <w:tcPr>
            <w:tcW w:w="0" w:type="auto"/>
            <w:tcMar>
              <w:top w:w="0" w:type="dxa"/>
              <w:left w:w="0" w:type="dxa"/>
              <w:bottom w:w="30" w:type="dxa"/>
              <w:right w:w="0" w:type="dxa"/>
            </w:tcMar>
            <w:vAlign w:val="bottom"/>
            <w:hideMark/>
          </w:tcPr>
          <w:p w14:paraId="7942F0F5" w14:textId="77777777" w:rsidR="00000000" w:rsidRDefault="00087966">
            <w:pPr>
              <w:rPr>
                <w:rFonts w:eastAsia="Times New Roman"/>
                <w:b/>
                <w:bCs/>
                <w:sz w:val="20"/>
                <w:szCs w:val="20"/>
              </w:rPr>
            </w:pPr>
            <w:r>
              <w:rPr>
                <w:rFonts w:eastAsia="Times New Roman"/>
                <w:b/>
                <w:bCs/>
                <w:sz w:val="20"/>
                <w:szCs w:val="20"/>
              </w:rPr>
              <w:t>Net cash (used in) provided by financing activities</w:t>
            </w:r>
          </w:p>
        </w:tc>
        <w:tc>
          <w:tcPr>
            <w:tcW w:w="0" w:type="auto"/>
            <w:tcMar>
              <w:top w:w="0" w:type="dxa"/>
              <w:left w:w="0" w:type="dxa"/>
              <w:bottom w:w="30" w:type="dxa"/>
              <w:right w:w="0" w:type="dxa"/>
            </w:tcMar>
            <w:vAlign w:val="bottom"/>
            <w:hideMark/>
          </w:tcPr>
          <w:p w14:paraId="1822D154"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0AC553C4"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4F2B4E49" w14:textId="77777777" w:rsidR="00000000" w:rsidRDefault="00087966">
            <w:pPr>
              <w:jc w:val="right"/>
              <w:rPr>
                <w:rFonts w:eastAsia="Times New Roman"/>
                <w:b/>
                <w:bCs/>
                <w:sz w:val="20"/>
                <w:szCs w:val="20"/>
              </w:rPr>
            </w:pPr>
            <w:r>
              <w:rPr>
                <w:rFonts w:eastAsia="Times New Roman"/>
                <w:b/>
                <w:bCs/>
                <w:sz w:val="20"/>
                <w:szCs w:val="20"/>
              </w:rPr>
              <w:t>(65,203,621</w:t>
            </w:r>
          </w:p>
        </w:tc>
        <w:tc>
          <w:tcPr>
            <w:tcW w:w="0" w:type="auto"/>
            <w:tcMar>
              <w:top w:w="0" w:type="dxa"/>
              <w:left w:w="0" w:type="dxa"/>
              <w:bottom w:w="30" w:type="dxa"/>
              <w:right w:w="0" w:type="dxa"/>
            </w:tcMar>
            <w:vAlign w:val="bottom"/>
            <w:hideMark/>
          </w:tcPr>
          <w:p w14:paraId="4B671651" w14:textId="77777777" w:rsidR="00000000" w:rsidRDefault="00087966">
            <w:pPr>
              <w:rPr>
                <w:rFonts w:eastAsia="Times New Roman"/>
                <w:b/>
                <w:bCs/>
                <w:sz w:val="20"/>
                <w:szCs w:val="20"/>
              </w:rPr>
            </w:pPr>
            <w:r>
              <w:rPr>
                <w:rFonts w:eastAsia="Times New Roman"/>
                <w:b/>
                <w:bCs/>
                <w:sz w:val="20"/>
                <w:szCs w:val="20"/>
              </w:rPr>
              <w:t>)</w:t>
            </w:r>
          </w:p>
        </w:tc>
        <w:tc>
          <w:tcPr>
            <w:tcW w:w="0" w:type="auto"/>
            <w:tcMar>
              <w:top w:w="0" w:type="dxa"/>
              <w:left w:w="0" w:type="dxa"/>
              <w:bottom w:w="30" w:type="dxa"/>
              <w:right w:w="0" w:type="dxa"/>
            </w:tcMar>
            <w:vAlign w:val="bottom"/>
            <w:hideMark/>
          </w:tcPr>
          <w:p w14:paraId="4CD00C6C"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647973C2"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14:paraId="225AC23A" w14:textId="77777777" w:rsidR="00000000" w:rsidRDefault="00087966">
            <w:pPr>
              <w:jc w:val="right"/>
              <w:rPr>
                <w:rFonts w:eastAsia="Times New Roman"/>
                <w:b/>
                <w:bCs/>
                <w:sz w:val="20"/>
                <w:szCs w:val="20"/>
              </w:rPr>
            </w:pPr>
            <w:r>
              <w:rPr>
                <w:rFonts w:eastAsia="Times New Roman"/>
                <w:b/>
                <w:bCs/>
                <w:sz w:val="20"/>
                <w:szCs w:val="20"/>
              </w:rPr>
              <w:t>173,869,742</w:t>
            </w:r>
          </w:p>
        </w:tc>
        <w:tc>
          <w:tcPr>
            <w:tcW w:w="0" w:type="auto"/>
            <w:tcMar>
              <w:top w:w="0" w:type="dxa"/>
              <w:left w:w="0" w:type="dxa"/>
              <w:bottom w:w="30" w:type="dxa"/>
              <w:right w:w="0" w:type="dxa"/>
            </w:tcMar>
            <w:vAlign w:val="bottom"/>
            <w:hideMark/>
          </w:tcPr>
          <w:p w14:paraId="0EDA025D" w14:textId="77777777" w:rsidR="00000000" w:rsidRDefault="00087966">
            <w:pPr>
              <w:rPr>
                <w:rFonts w:eastAsia="Times New Roman"/>
                <w:b/>
                <w:bCs/>
                <w:sz w:val="20"/>
                <w:szCs w:val="20"/>
              </w:rPr>
            </w:pPr>
            <w:r>
              <w:rPr>
                <w:rFonts w:eastAsia="Times New Roman"/>
                <w:b/>
                <w:bCs/>
                <w:sz w:val="20"/>
                <w:szCs w:val="20"/>
              </w:rPr>
              <w:t> </w:t>
            </w:r>
          </w:p>
        </w:tc>
      </w:tr>
      <w:tr w:rsidR="00000000" w14:paraId="122B2A58" w14:textId="77777777">
        <w:trPr>
          <w:divId w:val="1595479706"/>
        </w:trPr>
        <w:tc>
          <w:tcPr>
            <w:tcW w:w="0" w:type="auto"/>
            <w:shd w:val="clear" w:color="auto" w:fill="CCEEFF"/>
            <w:vAlign w:val="bottom"/>
            <w:hideMark/>
          </w:tcPr>
          <w:p w14:paraId="061F5C8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2DB54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8F756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96B9F8"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3692D9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07F98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FC7A2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E83FDF"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E70157" w14:textId="77777777" w:rsidR="00000000" w:rsidRDefault="00087966">
            <w:pPr>
              <w:rPr>
                <w:rFonts w:eastAsia="Times New Roman"/>
                <w:sz w:val="20"/>
                <w:szCs w:val="20"/>
              </w:rPr>
            </w:pPr>
            <w:r>
              <w:rPr>
                <w:rFonts w:eastAsia="Times New Roman"/>
                <w:sz w:val="20"/>
                <w:szCs w:val="20"/>
              </w:rPr>
              <w:t> </w:t>
            </w:r>
          </w:p>
        </w:tc>
      </w:tr>
      <w:tr w:rsidR="00000000" w14:paraId="74115EDB" w14:textId="77777777">
        <w:trPr>
          <w:divId w:val="1595479706"/>
        </w:trPr>
        <w:tc>
          <w:tcPr>
            <w:tcW w:w="0" w:type="auto"/>
            <w:vAlign w:val="bottom"/>
            <w:hideMark/>
          </w:tcPr>
          <w:p w14:paraId="1D042D3D" w14:textId="77777777" w:rsidR="00000000" w:rsidRDefault="00087966">
            <w:pPr>
              <w:rPr>
                <w:rFonts w:eastAsia="Times New Roman"/>
                <w:b/>
                <w:bCs/>
                <w:sz w:val="20"/>
                <w:szCs w:val="20"/>
              </w:rPr>
            </w:pPr>
            <w:r>
              <w:rPr>
                <w:rFonts w:eastAsia="Times New Roman"/>
                <w:b/>
                <w:bCs/>
                <w:sz w:val="20"/>
                <w:szCs w:val="20"/>
              </w:rPr>
              <w:t>Net Change in Cash</w:t>
            </w:r>
          </w:p>
        </w:tc>
        <w:tc>
          <w:tcPr>
            <w:tcW w:w="0" w:type="auto"/>
            <w:vAlign w:val="bottom"/>
            <w:hideMark/>
          </w:tcPr>
          <w:p w14:paraId="44484AA3" w14:textId="77777777" w:rsidR="00000000" w:rsidRDefault="00087966">
            <w:pPr>
              <w:rPr>
                <w:rFonts w:eastAsia="Times New Roman"/>
                <w:b/>
                <w:bCs/>
                <w:sz w:val="20"/>
                <w:szCs w:val="20"/>
              </w:rPr>
            </w:pPr>
            <w:r>
              <w:rPr>
                <w:rFonts w:eastAsia="Times New Roman"/>
                <w:b/>
                <w:bCs/>
                <w:sz w:val="20"/>
                <w:szCs w:val="20"/>
              </w:rPr>
              <w:t> </w:t>
            </w:r>
          </w:p>
        </w:tc>
        <w:tc>
          <w:tcPr>
            <w:tcW w:w="0" w:type="auto"/>
            <w:vAlign w:val="bottom"/>
            <w:hideMark/>
          </w:tcPr>
          <w:p w14:paraId="24642203" w14:textId="77777777" w:rsidR="00000000" w:rsidRDefault="00087966">
            <w:pPr>
              <w:rPr>
                <w:rFonts w:eastAsia="Times New Roman"/>
                <w:b/>
                <w:bCs/>
                <w:sz w:val="20"/>
                <w:szCs w:val="20"/>
              </w:rPr>
            </w:pPr>
            <w:r>
              <w:rPr>
                <w:rFonts w:eastAsia="Times New Roman"/>
                <w:b/>
                <w:bCs/>
                <w:sz w:val="20"/>
                <w:szCs w:val="20"/>
              </w:rPr>
              <w:t> </w:t>
            </w:r>
          </w:p>
        </w:tc>
        <w:tc>
          <w:tcPr>
            <w:tcW w:w="0" w:type="auto"/>
            <w:vAlign w:val="bottom"/>
            <w:hideMark/>
          </w:tcPr>
          <w:p w14:paraId="30799BEA" w14:textId="77777777" w:rsidR="00000000" w:rsidRDefault="00087966">
            <w:pPr>
              <w:jc w:val="right"/>
              <w:rPr>
                <w:rFonts w:eastAsia="Times New Roman"/>
                <w:b/>
                <w:bCs/>
                <w:sz w:val="20"/>
                <w:szCs w:val="20"/>
              </w:rPr>
            </w:pPr>
            <w:r>
              <w:rPr>
                <w:rFonts w:eastAsia="Times New Roman"/>
                <w:b/>
                <w:bCs/>
                <w:sz w:val="20"/>
                <w:szCs w:val="20"/>
              </w:rPr>
              <w:t>(298,912</w:t>
            </w:r>
          </w:p>
        </w:tc>
        <w:tc>
          <w:tcPr>
            <w:tcW w:w="0" w:type="auto"/>
            <w:vAlign w:val="bottom"/>
            <w:hideMark/>
          </w:tcPr>
          <w:p w14:paraId="445F3D25" w14:textId="77777777" w:rsidR="00000000" w:rsidRDefault="00087966">
            <w:pPr>
              <w:rPr>
                <w:rFonts w:eastAsia="Times New Roman"/>
                <w:b/>
                <w:bCs/>
                <w:sz w:val="20"/>
                <w:szCs w:val="20"/>
              </w:rPr>
            </w:pPr>
            <w:r>
              <w:rPr>
                <w:rFonts w:eastAsia="Times New Roman"/>
                <w:b/>
                <w:bCs/>
                <w:sz w:val="20"/>
                <w:szCs w:val="20"/>
              </w:rPr>
              <w:t>)</w:t>
            </w:r>
          </w:p>
        </w:tc>
        <w:tc>
          <w:tcPr>
            <w:tcW w:w="0" w:type="auto"/>
            <w:vAlign w:val="bottom"/>
            <w:hideMark/>
          </w:tcPr>
          <w:p w14:paraId="14B985D1" w14:textId="77777777" w:rsidR="00000000" w:rsidRDefault="00087966">
            <w:pPr>
              <w:rPr>
                <w:rFonts w:eastAsia="Times New Roman"/>
                <w:b/>
                <w:bCs/>
                <w:sz w:val="20"/>
                <w:szCs w:val="20"/>
              </w:rPr>
            </w:pPr>
            <w:r>
              <w:rPr>
                <w:rFonts w:eastAsia="Times New Roman"/>
                <w:b/>
                <w:bCs/>
                <w:sz w:val="20"/>
                <w:szCs w:val="20"/>
              </w:rPr>
              <w:t> </w:t>
            </w:r>
          </w:p>
        </w:tc>
        <w:tc>
          <w:tcPr>
            <w:tcW w:w="0" w:type="auto"/>
            <w:vAlign w:val="bottom"/>
            <w:hideMark/>
          </w:tcPr>
          <w:p w14:paraId="2C4F6072" w14:textId="77777777" w:rsidR="00000000" w:rsidRDefault="00087966">
            <w:pPr>
              <w:rPr>
                <w:rFonts w:eastAsia="Times New Roman"/>
                <w:b/>
                <w:bCs/>
                <w:sz w:val="20"/>
                <w:szCs w:val="20"/>
              </w:rPr>
            </w:pPr>
            <w:r>
              <w:rPr>
                <w:rFonts w:eastAsia="Times New Roman"/>
                <w:b/>
                <w:bCs/>
                <w:sz w:val="20"/>
                <w:szCs w:val="20"/>
              </w:rPr>
              <w:t> </w:t>
            </w:r>
          </w:p>
        </w:tc>
        <w:tc>
          <w:tcPr>
            <w:tcW w:w="0" w:type="auto"/>
            <w:vAlign w:val="bottom"/>
            <w:hideMark/>
          </w:tcPr>
          <w:p w14:paraId="7C33ADC2" w14:textId="77777777" w:rsidR="00000000" w:rsidRDefault="00087966">
            <w:pPr>
              <w:jc w:val="right"/>
              <w:rPr>
                <w:rFonts w:eastAsia="Times New Roman"/>
                <w:b/>
                <w:bCs/>
                <w:sz w:val="20"/>
                <w:szCs w:val="20"/>
              </w:rPr>
            </w:pPr>
            <w:r>
              <w:rPr>
                <w:rFonts w:eastAsia="Times New Roman"/>
                <w:b/>
                <w:bCs/>
                <w:sz w:val="20"/>
                <w:szCs w:val="20"/>
              </w:rPr>
              <w:t>399,073</w:t>
            </w:r>
          </w:p>
        </w:tc>
        <w:tc>
          <w:tcPr>
            <w:tcW w:w="0" w:type="auto"/>
            <w:vAlign w:val="bottom"/>
            <w:hideMark/>
          </w:tcPr>
          <w:p w14:paraId="659DDC18" w14:textId="77777777" w:rsidR="00000000" w:rsidRDefault="00087966">
            <w:pPr>
              <w:rPr>
                <w:rFonts w:eastAsia="Times New Roman"/>
                <w:b/>
                <w:bCs/>
                <w:sz w:val="20"/>
                <w:szCs w:val="20"/>
              </w:rPr>
            </w:pPr>
            <w:r>
              <w:rPr>
                <w:rFonts w:eastAsia="Times New Roman"/>
                <w:b/>
                <w:bCs/>
                <w:sz w:val="20"/>
                <w:szCs w:val="20"/>
              </w:rPr>
              <w:t> </w:t>
            </w:r>
          </w:p>
        </w:tc>
      </w:tr>
      <w:tr w:rsidR="00000000" w14:paraId="1FF4001D" w14:textId="77777777">
        <w:trPr>
          <w:divId w:val="1595479706"/>
        </w:trPr>
        <w:tc>
          <w:tcPr>
            <w:tcW w:w="0" w:type="auto"/>
            <w:shd w:val="clear" w:color="auto" w:fill="CCEEFF"/>
            <w:tcMar>
              <w:top w:w="0" w:type="dxa"/>
              <w:left w:w="0" w:type="dxa"/>
              <w:bottom w:w="30" w:type="dxa"/>
              <w:right w:w="0" w:type="dxa"/>
            </w:tcMar>
            <w:vAlign w:val="bottom"/>
            <w:hideMark/>
          </w:tcPr>
          <w:p w14:paraId="5970E51A" w14:textId="77777777" w:rsidR="00000000" w:rsidRDefault="00087966">
            <w:pPr>
              <w:rPr>
                <w:rFonts w:eastAsia="Times New Roman"/>
                <w:sz w:val="20"/>
                <w:szCs w:val="20"/>
              </w:rPr>
            </w:pPr>
            <w:r>
              <w:rPr>
                <w:rFonts w:eastAsia="Times New Roman"/>
                <w:sz w:val="20"/>
                <w:szCs w:val="20"/>
              </w:rPr>
              <w:t>Cash – Beginning of period</w:t>
            </w:r>
          </w:p>
        </w:tc>
        <w:tc>
          <w:tcPr>
            <w:tcW w:w="0" w:type="auto"/>
            <w:shd w:val="clear" w:color="auto" w:fill="CCEEFF"/>
            <w:tcMar>
              <w:top w:w="0" w:type="dxa"/>
              <w:left w:w="0" w:type="dxa"/>
              <w:bottom w:w="30" w:type="dxa"/>
              <w:right w:w="0" w:type="dxa"/>
            </w:tcMar>
            <w:vAlign w:val="bottom"/>
            <w:hideMark/>
          </w:tcPr>
          <w:p w14:paraId="5B1205D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D77CCF2"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FE3BB3" w14:textId="77777777" w:rsidR="00000000" w:rsidRDefault="00087966">
            <w:pPr>
              <w:jc w:val="right"/>
              <w:rPr>
                <w:rFonts w:eastAsia="Times New Roman"/>
                <w:sz w:val="20"/>
                <w:szCs w:val="20"/>
              </w:rPr>
            </w:pPr>
            <w:r>
              <w:rPr>
                <w:rFonts w:eastAsia="Times New Roman"/>
                <w:sz w:val="20"/>
                <w:szCs w:val="20"/>
              </w:rPr>
              <w:t>400,073</w:t>
            </w:r>
          </w:p>
        </w:tc>
        <w:tc>
          <w:tcPr>
            <w:tcW w:w="0" w:type="auto"/>
            <w:shd w:val="clear" w:color="auto" w:fill="CCEEFF"/>
            <w:tcMar>
              <w:top w:w="0" w:type="dxa"/>
              <w:left w:w="0" w:type="dxa"/>
              <w:bottom w:w="30" w:type="dxa"/>
              <w:right w:w="0" w:type="dxa"/>
            </w:tcMar>
            <w:vAlign w:val="bottom"/>
            <w:hideMark/>
          </w:tcPr>
          <w:p w14:paraId="4F452F6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C392391"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1649A5"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D13FBDC" w14:textId="77777777" w:rsidR="00000000" w:rsidRDefault="00087966">
            <w:pPr>
              <w:jc w:val="right"/>
              <w:rPr>
                <w:rFonts w:eastAsia="Times New Roman"/>
                <w:sz w:val="20"/>
                <w:szCs w:val="20"/>
              </w:rPr>
            </w:pPr>
            <w:r>
              <w:rPr>
                <w:rFonts w:eastAsia="Times New Roman"/>
                <w:sz w:val="20"/>
                <w:szCs w:val="20"/>
              </w:rPr>
              <w:t>1,000</w:t>
            </w:r>
          </w:p>
        </w:tc>
        <w:tc>
          <w:tcPr>
            <w:tcW w:w="0" w:type="auto"/>
            <w:shd w:val="clear" w:color="auto" w:fill="CCEEFF"/>
            <w:tcMar>
              <w:top w:w="0" w:type="dxa"/>
              <w:left w:w="0" w:type="dxa"/>
              <w:bottom w:w="30" w:type="dxa"/>
              <w:right w:w="0" w:type="dxa"/>
            </w:tcMar>
            <w:vAlign w:val="bottom"/>
            <w:hideMark/>
          </w:tcPr>
          <w:p w14:paraId="22B1F440" w14:textId="77777777" w:rsidR="00000000" w:rsidRDefault="00087966">
            <w:pPr>
              <w:rPr>
                <w:rFonts w:eastAsia="Times New Roman"/>
                <w:sz w:val="20"/>
                <w:szCs w:val="20"/>
              </w:rPr>
            </w:pPr>
            <w:r>
              <w:rPr>
                <w:rFonts w:eastAsia="Times New Roman"/>
                <w:sz w:val="20"/>
                <w:szCs w:val="20"/>
              </w:rPr>
              <w:t> </w:t>
            </w:r>
          </w:p>
        </w:tc>
      </w:tr>
      <w:tr w:rsidR="00000000" w14:paraId="57229929" w14:textId="77777777">
        <w:trPr>
          <w:divId w:val="1595479706"/>
        </w:trPr>
        <w:tc>
          <w:tcPr>
            <w:tcW w:w="0" w:type="auto"/>
            <w:tcMar>
              <w:top w:w="0" w:type="dxa"/>
              <w:left w:w="0" w:type="dxa"/>
              <w:bottom w:w="80" w:type="dxa"/>
              <w:right w:w="0" w:type="dxa"/>
            </w:tcMar>
            <w:vAlign w:val="bottom"/>
            <w:hideMark/>
          </w:tcPr>
          <w:p w14:paraId="6EB5093C" w14:textId="77777777" w:rsidR="00000000" w:rsidRDefault="00087966">
            <w:pPr>
              <w:rPr>
                <w:rFonts w:eastAsia="Times New Roman"/>
                <w:b/>
                <w:bCs/>
                <w:sz w:val="20"/>
                <w:szCs w:val="20"/>
              </w:rPr>
            </w:pPr>
            <w:r>
              <w:rPr>
                <w:rFonts w:eastAsia="Times New Roman"/>
                <w:b/>
                <w:bCs/>
                <w:sz w:val="20"/>
                <w:szCs w:val="20"/>
              </w:rPr>
              <w:t>Cash – End of period</w:t>
            </w:r>
          </w:p>
        </w:tc>
        <w:tc>
          <w:tcPr>
            <w:tcW w:w="0" w:type="auto"/>
            <w:tcMar>
              <w:top w:w="0" w:type="dxa"/>
              <w:left w:w="0" w:type="dxa"/>
              <w:bottom w:w="80" w:type="dxa"/>
              <w:right w:w="0" w:type="dxa"/>
            </w:tcMar>
            <w:vAlign w:val="bottom"/>
            <w:hideMark/>
          </w:tcPr>
          <w:p w14:paraId="3230458C"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00E8E45B"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018D1808" w14:textId="77777777" w:rsidR="00000000" w:rsidRDefault="00087966">
            <w:pPr>
              <w:jc w:val="right"/>
              <w:rPr>
                <w:rFonts w:eastAsia="Times New Roman"/>
                <w:b/>
                <w:bCs/>
                <w:sz w:val="20"/>
                <w:szCs w:val="20"/>
              </w:rPr>
            </w:pPr>
            <w:r>
              <w:rPr>
                <w:rFonts w:eastAsia="Times New Roman"/>
                <w:b/>
                <w:bCs/>
                <w:sz w:val="20"/>
                <w:szCs w:val="20"/>
              </w:rPr>
              <w:t>101,161</w:t>
            </w:r>
          </w:p>
        </w:tc>
        <w:tc>
          <w:tcPr>
            <w:tcW w:w="0" w:type="auto"/>
            <w:tcMar>
              <w:top w:w="0" w:type="dxa"/>
              <w:left w:w="0" w:type="dxa"/>
              <w:bottom w:w="80" w:type="dxa"/>
              <w:right w:w="0" w:type="dxa"/>
            </w:tcMar>
            <w:vAlign w:val="bottom"/>
            <w:hideMark/>
          </w:tcPr>
          <w:p w14:paraId="1CDF9B63"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80" w:type="dxa"/>
              <w:right w:w="0" w:type="dxa"/>
            </w:tcMar>
            <w:vAlign w:val="bottom"/>
            <w:hideMark/>
          </w:tcPr>
          <w:p w14:paraId="4958F7F2"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752CDB56"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54E76149" w14:textId="77777777" w:rsidR="00000000" w:rsidRDefault="00087966">
            <w:pPr>
              <w:jc w:val="right"/>
              <w:rPr>
                <w:rFonts w:eastAsia="Times New Roman"/>
                <w:b/>
                <w:bCs/>
                <w:sz w:val="20"/>
                <w:szCs w:val="20"/>
              </w:rPr>
            </w:pPr>
            <w:r>
              <w:rPr>
                <w:rFonts w:eastAsia="Times New Roman"/>
                <w:b/>
                <w:bCs/>
                <w:sz w:val="20"/>
                <w:szCs w:val="20"/>
              </w:rPr>
              <w:t>400,073</w:t>
            </w:r>
          </w:p>
        </w:tc>
        <w:tc>
          <w:tcPr>
            <w:tcW w:w="0" w:type="auto"/>
            <w:tcMar>
              <w:top w:w="0" w:type="dxa"/>
              <w:left w:w="0" w:type="dxa"/>
              <w:bottom w:w="80" w:type="dxa"/>
              <w:right w:w="0" w:type="dxa"/>
            </w:tcMar>
            <w:vAlign w:val="bottom"/>
            <w:hideMark/>
          </w:tcPr>
          <w:p w14:paraId="4B8C0EDA" w14:textId="77777777" w:rsidR="00000000" w:rsidRDefault="00087966">
            <w:pPr>
              <w:rPr>
                <w:rFonts w:eastAsia="Times New Roman"/>
                <w:b/>
                <w:bCs/>
                <w:sz w:val="20"/>
                <w:szCs w:val="20"/>
              </w:rPr>
            </w:pPr>
            <w:r>
              <w:rPr>
                <w:rFonts w:eastAsia="Times New Roman"/>
                <w:b/>
                <w:bCs/>
                <w:sz w:val="20"/>
                <w:szCs w:val="20"/>
              </w:rPr>
              <w:t> </w:t>
            </w:r>
          </w:p>
        </w:tc>
      </w:tr>
      <w:tr w:rsidR="00000000" w14:paraId="1A65AB15" w14:textId="77777777">
        <w:trPr>
          <w:divId w:val="1595479706"/>
        </w:trPr>
        <w:tc>
          <w:tcPr>
            <w:tcW w:w="0" w:type="auto"/>
            <w:shd w:val="clear" w:color="auto" w:fill="CCEEFF"/>
            <w:vAlign w:val="bottom"/>
            <w:hideMark/>
          </w:tcPr>
          <w:p w14:paraId="655A9D2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4C94A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F075B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E077D2"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618FD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D7780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239CD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450C9F"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401F6CB" w14:textId="77777777" w:rsidR="00000000" w:rsidRDefault="00087966">
            <w:pPr>
              <w:rPr>
                <w:rFonts w:eastAsia="Times New Roman"/>
                <w:sz w:val="20"/>
                <w:szCs w:val="20"/>
              </w:rPr>
            </w:pPr>
            <w:r>
              <w:rPr>
                <w:rFonts w:eastAsia="Times New Roman"/>
                <w:sz w:val="20"/>
                <w:szCs w:val="20"/>
              </w:rPr>
              <w:t> </w:t>
            </w:r>
          </w:p>
        </w:tc>
      </w:tr>
      <w:tr w:rsidR="00000000" w14:paraId="548DF2CE" w14:textId="77777777">
        <w:trPr>
          <w:divId w:val="1595479706"/>
        </w:trPr>
        <w:tc>
          <w:tcPr>
            <w:tcW w:w="0" w:type="auto"/>
            <w:vAlign w:val="bottom"/>
            <w:hideMark/>
          </w:tcPr>
          <w:p w14:paraId="4960F63B" w14:textId="77777777" w:rsidR="00000000" w:rsidRDefault="00087966">
            <w:pPr>
              <w:rPr>
                <w:rFonts w:eastAsia="Times New Roman"/>
                <w:b/>
                <w:bCs/>
                <w:sz w:val="20"/>
                <w:szCs w:val="20"/>
              </w:rPr>
            </w:pPr>
            <w:r>
              <w:rPr>
                <w:rFonts w:eastAsia="Times New Roman"/>
                <w:b/>
                <w:bCs/>
                <w:sz w:val="20"/>
                <w:szCs w:val="20"/>
              </w:rPr>
              <w:t>Supplemental disclosure of cash flow information:</w:t>
            </w:r>
          </w:p>
        </w:tc>
        <w:tc>
          <w:tcPr>
            <w:tcW w:w="0" w:type="auto"/>
            <w:vAlign w:val="bottom"/>
            <w:hideMark/>
          </w:tcPr>
          <w:p w14:paraId="27D318B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867F1C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6B4570E"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F7CB18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DB2F17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4E72ED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3FCAD45"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F900E9F" w14:textId="77777777" w:rsidR="00000000" w:rsidRDefault="00087966">
            <w:pPr>
              <w:rPr>
                <w:rFonts w:eastAsia="Times New Roman"/>
                <w:sz w:val="20"/>
                <w:szCs w:val="20"/>
              </w:rPr>
            </w:pPr>
            <w:r>
              <w:rPr>
                <w:rFonts w:eastAsia="Times New Roman"/>
                <w:sz w:val="20"/>
                <w:szCs w:val="20"/>
              </w:rPr>
              <w:t> </w:t>
            </w:r>
          </w:p>
        </w:tc>
      </w:tr>
      <w:tr w:rsidR="00000000" w14:paraId="711C8958" w14:textId="77777777">
        <w:trPr>
          <w:divId w:val="1595479706"/>
        </w:trPr>
        <w:tc>
          <w:tcPr>
            <w:tcW w:w="0" w:type="auto"/>
            <w:shd w:val="clear" w:color="auto" w:fill="CCEEFF"/>
            <w:tcMar>
              <w:top w:w="0" w:type="dxa"/>
              <w:left w:w="0" w:type="dxa"/>
              <w:bottom w:w="80" w:type="dxa"/>
              <w:right w:w="0" w:type="dxa"/>
            </w:tcMar>
            <w:vAlign w:val="bottom"/>
            <w:hideMark/>
          </w:tcPr>
          <w:p w14:paraId="64A8AB37" w14:textId="77777777" w:rsidR="00000000" w:rsidRDefault="00087966">
            <w:pPr>
              <w:rPr>
                <w:rFonts w:eastAsia="Times New Roman"/>
                <w:sz w:val="20"/>
                <w:szCs w:val="20"/>
              </w:rPr>
            </w:pPr>
            <w:r>
              <w:rPr>
                <w:rFonts w:eastAsia="Times New Roman"/>
                <w:sz w:val="20"/>
                <w:szCs w:val="20"/>
              </w:rPr>
              <w:t>Cash paid for income taxes</w:t>
            </w:r>
          </w:p>
        </w:tc>
        <w:tc>
          <w:tcPr>
            <w:tcW w:w="0" w:type="auto"/>
            <w:shd w:val="clear" w:color="auto" w:fill="CCEEFF"/>
            <w:tcMar>
              <w:top w:w="0" w:type="dxa"/>
              <w:left w:w="0" w:type="dxa"/>
              <w:bottom w:w="80" w:type="dxa"/>
              <w:right w:w="0" w:type="dxa"/>
            </w:tcMar>
            <w:vAlign w:val="bottom"/>
            <w:hideMark/>
          </w:tcPr>
          <w:p w14:paraId="35BD49C7"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9C4273E"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35224818" w14:textId="77777777" w:rsidR="00000000" w:rsidRDefault="00087966">
            <w:pPr>
              <w:jc w:val="right"/>
              <w:rPr>
                <w:rFonts w:eastAsia="Times New Roman"/>
                <w:sz w:val="20"/>
                <w:szCs w:val="20"/>
              </w:rPr>
            </w:pPr>
            <w:r>
              <w:rPr>
                <w:rFonts w:eastAsia="Times New Roman"/>
                <w:sz w:val="20"/>
                <w:szCs w:val="20"/>
              </w:rPr>
              <w:t>177,420</w:t>
            </w:r>
          </w:p>
        </w:tc>
        <w:tc>
          <w:tcPr>
            <w:tcW w:w="0" w:type="auto"/>
            <w:shd w:val="clear" w:color="auto" w:fill="CCEEFF"/>
            <w:tcMar>
              <w:top w:w="0" w:type="dxa"/>
              <w:left w:w="0" w:type="dxa"/>
              <w:bottom w:w="80" w:type="dxa"/>
              <w:right w:w="0" w:type="dxa"/>
            </w:tcMar>
            <w:vAlign w:val="bottom"/>
            <w:hideMark/>
          </w:tcPr>
          <w:p w14:paraId="7F34A10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21116680"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3960CC0"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1E73E9D5" w14:textId="77777777" w:rsidR="00000000" w:rsidRDefault="00087966">
            <w:pPr>
              <w:jc w:val="right"/>
              <w:divId w:val="208765036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5FDE602D" w14:textId="77777777" w:rsidR="00000000" w:rsidRDefault="00087966">
            <w:pPr>
              <w:rPr>
                <w:rFonts w:eastAsia="Times New Roman"/>
                <w:sz w:val="20"/>
                <w:szCs w:val="20"/>
              </w:rPr>
            </w:pPr>
            <w:r>
              <w:rPr>
                <w:rFonts w:eastAsia="Times New Roman"/>
                <w:sz w:val="20"/>
                <w:szCs w:val="20"/>
              </w:rPr>
              <w:t> </w:t>
            </w:r>
          </w:p>
        </w:tc>
      </w:tr>
      <w:tr w:rsidR="00000000" w14:paraId="684157A6" w14:textId="77777777">
        <w:trPr>
          <w:divId w:val="1595479706"/>
        </w:trPr>
        <w:tc>
          <w:tcPr>
            <w:tcW w:w="0" w:type="auto"/>
            <w:vAlign w:val="bottom"/>
            <w:hideMark/>
          </w:tcPr>
          <w:p w14:paraId="6ECDDD7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AB7139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C77B2E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717AF25"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2A70D1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DAECFE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669A30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D9F6D60"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833DA10" w14:textId="77777777" w:rsidR="00000000" w:rsidRDefault="00087966">
            <w:pPr>
              <w:rPr>
                <w:rFonts w:eastAsia="Times New Roman"/>
                <w:sz w:val="20"/>
                <w:szCs w:val="20"/>
              </w:rPr>
            </w:pPr>
            <w:r>
              <w:rPr>
                <w:rFonts w:eastAsia="Times New Roman"/>
                <w:sz w:val="20"/>
                <w:szCs w:val="20"/>
              </w:rPr>
              <w:t> </w:t>
            </w:r>
          </w:p>
        </w:tc>
      </w:tr>
      <w:tr w:rsidR="00000000" w14:paraId="7E89286B" w14:textId="77777777">
        <w:trPr>
          <w:divId w:val="1595479706"/>
        </w:trPr>
        <w:tc>
          <w:tcPr>
            <w:tcW w:w="0" w:type="auto"/>
            <w:shd w:val="clear" w:color="auto" w:fill="CCEEFF"/>
            <w:vAlign w:val="bottom"/>
            <w:hideMark/>
          </w:tcPr>
          <w:p w14:paraId="2DCC7238" w14:textId="77777777" w:rsidR="00000000" w:rsidRDefault="00087966">
            <w:pPr>
              <w:rPr>
                <w:rFonts w:eastAsia="Times New Roman"/>
                <w:b/>
                <w:bCs/>
                <w:sz w:val="20"/>
                <w:szCs w:val="20"/>
              </w:rPr>
            </w:pPr>
            <w:r>
              <w:rPr>
                <w:rFonts w:eastAsia="Times New Roman"/>
                <w:b/>
                <w:bCs/>
                <w:sz w:val="20"/>
                <w:szCs w:val="20"/>
              </w:rPr>
              <w:t>Non-cash investing and financing activities:</w:t>
            </w:r>
          </w:p>
        </w:tc>
        <w:tc>
          <w:tcPr>
            <w:tcW w:w="0" w:type="auto"/>
            <w:shd w:val="clear" w:color="auto" w:fill="CCEEFF"/>
            <w:vAlign w:val="bottom"/>
            <w:hideMark/>
          </w:tcPr>
          <w:p w14:paraId="17468BF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73358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D85BFF"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54E201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315BF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A1A4F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416A58"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199A630" w14:textId="77777777" w:rsidR="00000000" w:rsidRDefault="00087966">
            <w:pPr>
              <w:rPr>
                <w:rFonts w:eastAsia="Times New Roman"/>
                <w:sz w:val="20"/>
                <w:szCs w:val="20"/>
              </w:rPr>
            </w:pPr>
            <w:r>
              <w:rPr>
                <w:rFonts w:eastAsia="Times New Roman"/>
                <w:sz w:val="20"/>
                <w:szCs w:val="20"/>
              </w:rPr>
              <w:t> </w:t>
            </w:r>
          </w:p>
        </w:tc>
      </w:tr>
      <w:tr w:rsidR="00000000" w14:paraId="020A87BF" w14:textId="77777777">
        <w:trPr>
          <w:divId w:val="1595479706"/>
        </w:trPr>
        <w:tc>
          <w:tcPr>
            <w:tcW w:w="0" w:type="auto"/>
            <w:tcMar>
              <w:top w:w="0" w:type="dxa"/>
              <w:left w:w="0" w:type="dxa"/>
              <w:bottom w:w="80" w:type="dxa"/>
              <w:right w:w="0" w:type="dxa"/>
            </w:tcMar>
            <w:vAlign w:val="bottom"/>
            <w:hideMark/>
          </w:tcPr>
          <w:p w14:paraId="6EE09EC9" w14:textId="77777777" w:rsidR="00000000" w:rsidRDefault="00087966">
            <w:pPr>
              <w:rPr>
                <w:rFonts w:eastAsia="Times New Roman"/>
                <w:sz w:val="20"/>
                <w:szCs w:val="20"/>
              </w:rPr>
            </w:pPr>
            <w:r>
              <w:rPr>
                <w:rFonts w:eastAsia="Times New Roman"/>
                <w:sz w:val="20"/>
                <w:szCs w:val="20"/>
              </w:rPr>
              <w:t>Fair value of Founder Shares attributable to Anchor Investor</w:t>
            </w:r>
          </w:p>
        </w:tc>
        <w:tc>
          <w:tcPr>
            <w:tcW w:w="0" w:type="auto"/>
            <w:tcMar>
              <w:top w:w="0" w:type="dxa"/>
              <w:left w:w="0" w:type="dxa"/>
              <w:bottom w:w="80" w:type="dxa"/>
              <w:right w:w="0" w:type="dxa"/>
            </w:tcMar>
            <w:vAlign w:val="bottom"/>
            <w:hideMark/>
          </w:tcPr>
          <w:p w14:paraId="3A386B72"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217ED9F2"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1A7BD11D" w14:textId="77777777" w:rsidR="00000000" w:rsidRDefault="00087966">
            <w:pPr>
              <w:jc w:val="right"/>
              <w:divId w:val="891618312"/>
              <w:rPr>
                <w:rFonts w:eastAsia="Times New Roman"/>
                <w:sz w:val="20"/>
                <w:szCs w:val="20"/>
              </w:rPr>
            </w:pPr>
            <w:r>
              <w:rPr>
                <w:rFonts w:eastAsia="Times New Roman"/>
                <w:sz w:val="20"/>
                <w:szCs w:val="20"/>
              </w:rPr>
              <w:t>—</w:t>
            </w:r>
          </w:p>
        </w:tc>
        <w:tc>
          <w:tcPr>
            <w:tcW w:w="0" w:type="auto"/>
            <w:tcMar>
              <w:top w:w="0" w:type="dxa"/>
              <w:left w:w="0" w:type="dxa"/>
              <w:bottom w:w="80" w:type="dxa"/>
              <w:right w:w="0" w:type="dxa"/>
            </w:tcMar>
            <w:vAlign w:val="bottom"/>
            <w:hideMark/>
          </w:tcPr>
          <w:p w14:paraId="1B1201DB"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1CDDEA81"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087A1655"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4EB76896" w14:textId="77777777" w:rsidR="00000000" w:rsidRDefault="00087966">
            <w:pPr>
              <w:jc w:val="right"/>
              <w:rPr>
                <w:rFonts w:eastAsia="Times New Roman"/>
                <w:sz w:val="20"/>
                <w:szCs w:val="20"/>
              </w:rPr>
            </w:pPr>
            <w:r>
              <w:rPr>
                <w:rFonts w:eastAsia="Times New Roman"/>
                <w:sz w:val="20"/>
                <w:szCs w:val="20"/>
              </w:rPr>
              <w:t>4,411,238</w:t>
            </w:r>
          </w:p>
        </w:tc>
        <w:tc>
          <w:tcPr>
            <w:tcW w:w="0" w:type="auto"/>
            <w:tcMar>
              <w:top w:w="0" w:type="dxa"/>
              <w:left w:w="0" w:type="dxa"/>
              <w:bottom w:w="80" w:type="dxa"/>
              <w:right w:w="0" w:type="dxa"/>
            </w:tcMar>
            <w:vAlign w:val="bottom"/>
            <w:hideMark/>
          </w:tcPr>
          <w:p w14:paraId="6D3414B0" w14:textId="77777777" w:rsidR="00000000" w:rsidRDefault="00087966">
            <w:pPr>
              <w:rPr>
                <w:rFonts w:eastAsia="Times New Roman"/>
                <w:sz w:val="20"/>
                <w:szCs w:val="20"/>
              </w:rPr>
            </w:pPr>
            <w:r>
              <w:rPr>
                <w:rFonts w:eastAsia="Times New Roman"/>
                <w:sz w:val="20"/>
                <w:szCs w:val="20"/>
              </w:rPr>
              <w:t> </w:t>
            </w:r>
          </w:p>
        </w:tc>
      </w:tr>
      <w:tr w:rsidR="00000000" w14:paraId="78F94389" w14:textId="77777777">
        <w:trPr>
          <w:divId w:val="1595479706"/>
        </w:trPr>
        <w:tc>
          <w:tcPr>
            <w:tcW w:w="0" w:type="auto"/>
            <w:shd w:val="clear" w:color="auto" w:fill="CCEEFF"/>
            <w:tcMar>
              <w:top w:w="0" w:type="dxa"/>
              <w:left w:w="0" w:type="dxa"/>
              <w:bottom w:w="80" w:type="dxa"/>
              <w:right w:w="0" w:type="dxa"/>
            </w:tcMar>
            <w:vAlign w:val="bottom"/>
            <w:hideMark/>
          </w:tcPr>
          <w:p w14:paraId="69065BC3" w14:textId="77777777" w:rsidR="00000000" w:rsidRDefault="00087966">
            <w:pPr>
              <w:rPr>
                <w:rFonts w:eastAsia="Times New Roman"/>
                <w:sz w:val="20"/>
                <w:szCs w:val="20"/>
              </w:rPr>
            </w:pPr>
            <w:r>
              <w:rPr>
                <w:rFonts w:eastAsia="Times New Roman"/>
                <w:sz w:val="20"/>
                <w:szCs w:val="20"/>
              </w:rPr>
              <w:t>Proceeds in excess of fair value of Working Capital Loan on issuance date</w:t>
            </w:r>
          </w:p>
        </w:tc>
        <w:tc>
          <w:tcPr>
            <w:tcW w:w="0" w:type="auto"/>
            <w:shd w:val="clear" w:color="auto" w:fill="CCEEFF"/>
            <w:tcMar>
              <w:top w:w="0" w:type="dxa"/>
              <w:left w:w="0" w:type="dxa"/>
              <w:bottom w:w="80" w:type="dxa"/>
              <w:right w:w="0" w:type="dxa"/>
            </w:tcMar>
            <w:vAlign w:val="bottom"/>
            <w:hideMark/>
          </w:tcPr>
          <w:p w14:paraId="33FB3C95"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84FEA75"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3CE26B89" w14:textId="77777777" w:rsidR="00000000" w:rsidRDefault="00087966">
            <w:pPr>
              <w:jc w:val="right"/>
              <w:rPr>
                <w:rFonts w:eastAsia="Times New Roman"/>
                <w:sz w:val="20"/>
                <w:szCs w:val="20"/>
              </w:rPr>
            </w:pPr>
            <w:r>
              <w:rPr>
                <w:rFonts w:eastAsia="Times New Roman"/>
                <w:sz w:val="20"/>
                <w:szCs w:val="20"/>
              </w:rPr>
              <w:t>462,043</w:t>
            </w:r>
          </w:p>
        </w:tc>
        <w:tc>
          <w:tcPr>
            <w:tcW w:w="0" w:type="auto"/>
            <w:shd w:val="clear" w:color="auto" w:fill="CCEEFF"/>
            <w:tcMar>
              <w:top w:w="0" w:type="dxa"/>
              <w:left w:w="0" w:type="dxa"/>
              <w:bottom w:w="80" w:type="dxa"/>
              <w:right w:w="0" w:type="dxa"/>
            </w:tcMar>
            <w:vAlign w:val="bottom"/>
            <w:hideMark/>
          </w:tcPr>
          <w:p w14:paraId="5544493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37BA0379"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62404C8"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5ED865F7" w14:textId="77777777" w:rsidR="00000000" w:rsidRDefault="00087966">
            <w:pPr>
              <w:jc w:val="right"/>
              <w:divId w:val="493103719"/>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2ECC9191" w14:textId="77777777" w:rsidR="00000000" w:rsidRDefault="00087966">
            <w:pPr>
              <w:rPr>
                <w:rFonts w:eastAsia="Times New Roman"/>
                <w:sz w:val="20"/>
                <w:szCs w:val="20"/>
              </w:rPr>
            </w:pPr>
            <w:r>
              <w:rPr>
                <w:rFonts w:eastAsia="Times New Roman"/>
                <w:sz w:val="20"/>
                <w:szCs w:val="20"/>
              </w:rPr>
              <w:t> </w:t>
            </w:r>
          </w:p>
        </w:tc>
      </w:tr>
      <w:tr w:rsidR="00000000" w14:paraId="599D01D9" w14:textId="77777777">
        <w:trPr>
          <w:divId w:val="1595479706"/>
        </w:trPr>
        <w:tc>
          <w:tcPr>
            <w:tcW w:w="0" w:type="auto"/>
            <w:tcMar>
              <w:top w:w="0" w:type="dxa"/>
              <w:left w:w="0" w:type="dxa"/>
              <w:bottom w:w="80" w:type="dxa"/>
              <w:right w:w="0" w:type="dxa"/>
            </w:tcMar>
            <w:vAlign w:val="bottom"/>
            <w:hideMark/>
          </w:tcPr>
          <w:p w14:paraId="0DA0D323" w14:textId="77777777" w:rsidR="00000000" w:rsidRDefault="00087966">
            <w:pPr>
              <w:rPr>
                <w:rFonts w:eastAsia="Times New Roman"/>
                <w:sz w:val="20"/>
                <w:szCs w:val="20"/>
              </w:rPr>
            </w:pPr>
            <w:r>
              <w:rPr>
                <w:rFonts w:eastAsia="Times New Roman"/>
                <w:sz w:val="20"/>
                <w:szCs w:val="20"/>
              </w:rPr>
              <w:t>Remeasurement of Class A common stock subject to possible redemption</w:t>
            </w:r>
          </w:p>
        </w:tc>
        <w:tc>
          <w:tcPr>
            <w:tcW w:w="0" w:type="auto"/>
            <w:tcMar>
              <w:top w:w="0" w:type="dxa"/>
              <w:left w:w="0" w:type="dxa"/>
              <w:bottom w:w="80" w:type="dxa"/>
              <w:right w:w="0" w:type="dxa"/>
            </w:tcMar>
            <w:vAlign w:val="bottom"/>
            <w:hideMark/>
          </w:tcPr>
          <w:p w14:paraId="6DD09CA3"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7715F885"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20EC0852" w14:textId="77777777" w:rsidR="00000000" w:rsidRDefault="00087966">
            <w:pPr>
              <w:jc w:val="right"/>
              <w:rPr>
                <w:rFonts w:eastAsia="Times New Roman"/>
                <w:sz w:val="20"/>
                <w:szCs w:val="20"/>
              </w:rPr>
            </w:pPr>
            <w:r>
              <w:rPr>
                <w:rFonts w:eastAsia="Times New Roman"/>
                <w:sz w:val="20"/>
                <w:szCs w:val="20"/>
              </w:rPr>
              <w:t>3,196,047</w:t>
            </w:r>
          </w:p>
        </w:tc>
        <w:tc>
          <w:tcPr>
            <w:tcW w:w="0" w:type="auto"/>
            <w:tcMar>
              <w:top w:w="0" w:type="dxa"/>
              <w:left w:w="0" w:type="dxa"/>
              <w:bottom w:w="80" w:type="dxa"/>
              <w:right w:w="0" w:type="dxa"/>
            </w:tcMar>
            <w:vAlign w:val="bottom"/>
            <w:hideMark/>
          </w:tcPr>
          <w:p w14:paraId="1A07EAF6"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80" w:type="dxa"/>
              <w:right w:w="0" w:type="dxa"/>
            </w:tcMar>
            <w:vAlign w:val="bottom"/>
            <w:hideMark/>
          </w:tcPr>
          <w:p w14:paraId="3CCDA98C"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vAlign w:val="bottom"/>
            <w:hideMark/>
          </w:tcPr>
          <w:p w14:paraId="38EE32F5"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vAlign w:val="bottom"/>
            <w:hideMark/>
          </w:tcPr>
          <w:p w14:paraId="2525A557" w14:textId="77777777" w:rsidR="00000000" w:rsidRDefault="00087966">
            <w:pPr>
              <w:jc w:val="right"/>
              <w:rPr>
                <w:rFonts w:eastAsia="Times New Roman"/>
                <w:sz w:val="20"/>
                <w:szCs w:val="20"/>
              </w:rPr>
            </w:pPr>
            <w:r>
              <w:rPr>
                <w:rFonts w:eastAsia="Times New Roman"/>
                <w:sz w:val="20"/>
                <w:szCs w:val="20"/>
              </w:rPr>
              <w:t>19,990,222</w:t>
            </w:r>
          </w:p>
        </w:tc>
        <w:tc>
          <w:tcPr>
            <w:tcW w:w="0" w:type="auto"/>
            <w:tcMar>
              <w:top w:w="0" w:type="dxa"/>
              <w:left w:w="0" w:type="dxa"/>
              <w:bottom w:w="80" w:type="dxa"/>
              <w:right w:w="0" w:type="dxa"/>
            </w:tcMar>
            <w:vAlign w:val="bottom"/>
            <w:hideMark/>
          </w:tcPr>
          <w:p w14:paraId="3044C742" w14:textId="77777777" w:rsidR="00000000" w:rsidRDefault="00087966">
            <w:pPr>
              <w:rPr>
                <w:rFonts w:eastAsia="Times New Roman"/>
                <w:sz w:val="20"/>
                <w:szCs w:val="20"/>
              </w:rPr>
            </w:pPr>
            <w:r>
              <w:rPr>
                <w:rFonts w:eastAsia="Times New Roman"/>
                <w:sz w:val="20"/>
                <w:szCs w:val="20"/>
              </w:rPr>
              <w:t> </w:t>
            </w:r>
          </w:p>
        </w:tc>
      </w:tr>
    </w:tbl>
    <w:p w14:paraId="775CB79F" w14:textId="77777777" w:rsidR="00000000" w:rsidRDefault="00087966">
      <w:pPr>
        <w:pStyle w:val="a3"/>
        <w:spacing w:before="0" w:beforeAutospacing="0" w:after="0" w:afterAutospacing="0"/>
        <w:jc w:val="center"/>
        <w:divId w:val="1595479706"/>
        <w:rPr>
          <w:sz w:val="20"/>
          <w:szCs w:val="20"/>
        </w:rPr>
      </w:pPr>
      <w:r>
        <w:rPr>
          <w:b/>
          <w:bCs/>
          <w:sz w:val="20"/>
          <w:szCs w:val="20"/>
        </w:rPr>
        <w:t> </w:t>
      </w:r>
    </w:p>
    <w:p w14:paraId="3AFD4E24" w14:textId="77777777" w:rsidR="00000000" w:rsidRDefault="00087966">
      <w:pPr>
        <w:pStyle w:val="a3"/>
        <w:spacing w:before="0" w:beforeAutospacing="0" w:after="0" w:afterAutospacing="0"/>
        <w:jc w:val="center"/>
        <w:divId w:val="1595479706"/>
        <w:rPr>
          <w:sz w:val="20"/>
          <w:szCs w:val="20"/>
        </w:rPr>
      </w:pPr>
      <w:r>
        <w:rPr>
          <w:i/>
          <w:iCs/>
          <w:sz w:val="20"/>
          <w:szCs w:val="20"/>
        </w:rPr>
        <w:t>The accompanying notes are an integral part of the consolidated financial statements.</w:t>
      </w:r>
    </w:p>
    <w:p w14:paraId="22AB8CD4" w14:textId="77777777" w:rsidR="00000000" w:rsidRDefault="00087966">
      <w:pPr>
        <w:pStyle w:val="a3"/>
        <w:spacing w:before="0" w:beforeAutospacing="0" w:after="0" w:afterAutospacing="0"/>
        <w:jc w:val="center"/>
        <w:divId w:val="1595479706"/>
        <w:rPr>
          <w:sz w:val="20"/>
          <w:szCs w:val="20"/>
        </w:rPr>
      </w:pPr>
      <w:r>
        <w:rPr>
          <w:i/>
          <w:iCs/>
          <w:sz w:val="20"/>
          <w:szCs w:val="20"/>
        </w:rPr>
        <w:t> </w:t>
      </w:r>
    </w:p>
    <w:p w14:paraId="2A465B03" w14:textId="77777777" w:rsidR="00000000" w:rsidRDefault="00087966">
      <w:pPr>
        <w:pStyle w:val="a3"/>
        <w:spacing w:before="0" w:beforeAutospacing="0" w:after="0" w:afterAutospacing="0"/>
        <w:jc w:val="center"/>
        <w:divId w:val="1084380451"/>
        <w:rPr>
          <w:sz w:val="20"/>
          <w:szCs w:val="20"/>
        </w:rPr>
      </w:pPr>
      <w:r>
        <w:rPr>
          <w:sz w:val="20"/>
          <w:szCs w:val="20"/>
        </w:rPr>
        <w:t>F</w:t>
      </w:r>
      <w:r>
        <w:rPr>
          <w:sz w:val="20"/>
          <w:szCs w:val="20"/>
        </w:rPr>
        <w:t>-</w:t>
      </w:r>
      <w:r>
        <w:rPr>
          <w:sz w:val="20"/>
          <w:szCs w:val="20"/>
        </w:rPr>
        <w:t>5</w:t>
      </w:r>
    </w:p>
    <w:p w14:paraId="681E4C31" w14:textId="77777777" w:rsidR="00000000" w:rsidRDefault="00087966">
      <w:pPr>
        <w:pStyle w:val="a3"/>
        <w:spacing w:before="0" w:beforeAutospacing="0" w:after="0" w:afterAutospacing="0"/>
        <w:divId w:val="1392466369"/>
        <w:rPr>
          <w:sz w:val="20"/>
          <w:szCs w:val="20"/>
        </w:rPr>
      </w:pPr>
      <w:r>
        <w:rPr>
          <w:sz w:val="20"/>
          <w:szCs w:val="20"/>
        </w:rPr>
        <w:t> </w:t>
      </w:r>
    </w:p>
    <w:p w14:paraId="6D5DE64A" w14:textId="77777777" w:rsidR="00000000" w:rsidRDefault="00087966">
      <w:pPr>
        <w:pStyle w:val="a3"/>
        <w:spacing w:before="0" w:beforeAutospacing="0" w:after="0" w:afterAutospacing="0"/>
        <w:divId w:val="1595479706"/>
        <w:rPr>
          <w:sz w:val="20"/>
          <w:szCs w:val="20"/>
        </w:rPr>
      </w:pPr>
      <w:r>
        <w:rPr>
          <w:b/>
          <w:bCs/>
          <w:sz w:val="20"/>
          <w:szCs w:val="20"/>
        </w:rPr>
        <w:t> </w:t>
      </w:r>
    </w:p>
    <w:p w14:paraId="465893B4"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4F272CBE"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2CEC5263"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01215FE2" w14:textId="77777777" w:rsidR="00000000" w:rsidRDefault="00087966">
      <w:pPr>
        <w:pStyle w:val="a3"/>
        <w:spacing w:before="0" w:beforeAutospacing="0" w:after="0" w:afterAutospacing="0"/>
        <w:divId w:val="1595479706"/>
        <w:rPr>
          <w:sz w:val="20"/>
          <w:szCs w:val="20"/>
        </w:rPr>
      </w:pPr>
      <w:r>
        <w:rPr>
          <w:b/>
          <w:bCs/>
          <w:sz w:val="20"/>
          <w:szCs w:val="20"/>
        </w:rPr>
        <w:t> </w:t>
      </w:r>
    </w:p>
    <w:p w14:paraId="78681240" w14:textId="77777777" w:rsidR="00000000" w:rsidRDefault="00087966">
      <w:pPr>
        <w:pStyle w:val="a3"/>
        <w:spacing w:before="0" w:beforeAutospacing="0" w:after="0" w:afterAutospacing="0"/>
        <w:divId w:val="1595479706"/>
        <w:rPr>
          <w:sz w:val="20"/>
          <w:szCs w:val="20"/>
        </w:rPr>
      </w:pPr>
      <w:r>
        <w:rPr>
          <w:b/>
          <w:bCs/>
          <w:sz w:val="20"/>
          <w:szCs w:val="20"/>
        </w:rPr>
        <w:t>NOTE 1</w:t>
      </w:r>
      <w:r>
        <w:rPr>
          <w:b/>
          <w:bCs/>
          <w:sz w:val="20"/>
          <w:szCs w:val="20"/>
        </w:rPr>
        <w:t> </w:t>
      </w:r>
      <w:r>
        <w:rPr>
          <w:b/>
          <w:bCs/>
          <w:sz w:val="20"/>
          <w:szCs w:val="20"/>
        </w:rPr>
        <w:t>—</w:t>
      </w:r>
      <w:r>
        <w:rPr>
          <w:b/>
          <w:bCs/>
          <w:sz w:val="20"/>
          <w:szCs w:val="20"/>
        </w:rPr>
        <w:t> </w:t>
      </w:r>
      <w:r>
        <w:rPr>
          <w:b/>
          <w:bCs/>
          <w:sz w:val="20"/>
          <w:szCs w:val="20"/>
        </w:rPr>
        <w:t>DESCRIPTION OF ORGANIZATION AND BUSINESS OPERATIONS</w:t>
      </w:r>
    </w:p>
    <w:p w14:paraId="4B912773" w14:textId="77777777" w:rsidR="00000000" w:rsidRDefault="00087966">
      <w:pPr>
        <w:pStyle w:val="a3"/>
        <w:spacing w:before="0" w:beforeAutospacing="0" w:after="0" w:afterAutospacing="0"/>
        <w:divId w:val="1595479706"/>
        <w:rPr>
          <w:sz w:val="20"/>
          <w:szCs w:val="20"/>
        </w:rPr>
      </w:pPr>
      <w:r>
        <w:rPr>
          <w:sz w:val="20"/>
          <w:szCs w:val="20"/>
        </w:rPr>
        <w:t> </w:t>
      </w:r>
    </w:p>
    <w:p w14:paraId="1AA33215" w14:textId="77777777" w:rsidR="00000000" w:rsidRDefault="00087966">
      <w:pPr>
        <w:pStyle w:val="a3"/>
        <w:spacing w:before="0" w:beforeAutospacing="0" w:after="0" w:afterAutospacing="0"/>
        <w:jc w:val="both"/>
        <w:divId w:val="1595479706"/>
        <w:rPr>
          <w:sz w:val="20"/>
          <w:szCs w:val="20"/>
        </w:rPr>
      </w:pPr>
      <w:r>
        <w:rPr>
          <w:sz w:val="20"/>
          <w:szCs w:val="20"/>
        </w:rPr>
        <w:t>KludeIn I Acquisition Corp. (the “Company”) is a blank check company incorporated in Delaware on September 24, 2020. The Company was formed for the purpose of effectuating a merger, capital stock exchan</w:t>
      </w:r>
      <w:r>
        <w:rPr>
          <w:sz w:val="20"/>
          <w:szCs w:val="20"/>
        </w:rPr>
        <w:t>ge, asset acquisition, stock purchase, reorganization or other similar business combination with one or more businesses (the “Business Combination”). The Company is an early stage and emerging growth company and, as such, the Company is subject to all of t</w:t>
      </w:r>
      <w:r>
        <w:rPr>
          <w:sz w:val="20"/>
          <w:szCs w:val="20"/>
        </w:rPr>
        <w:t>he risks associated with early stage and emerging growth companies. The Company has two wholly-owned subsidiaries that were created on April 21, 2022, Paas Merger Sub 1 Inc., a Delaware corporation (“Merger Sub 1”) and Paas Merger Sub 2 LLC., a Delaware li</w:t>
      </w:r>
      <w:r>
        <w:rPr>
          <w:sz w:val="20"/>
          <w:szCs w:val="20"/>
        </w:rPr>
        <w:t>mited liability company (“Merger Sub 2” and, together with Merger Sub 1, the “Merger Subs”).</w:t>
      </w:r>
    </w:p>
    <w:p w14:paraId="01C5182A" w14:textId="77777777" w:rsidR="00000000" w:rsidRDefault="00087966">
      <w:pPr>
        <w:pStyle w:val="a3"/>
        <w:spacing w:before="0" w:beforeAutospacing="0" w:after="0" w:afterAutospacing="0"/>
        <w:jc w:val="both"/>
        <w:divId w:val="1595479706"/>
        <w:rPr>
          <w:sz w:val="20"/>
          <w:szCs w:val="20"/>
        </w:rPr>
      </w:pPr>
      <w:r>
        <w:rPr>
          <w:sz w:val="20"/>
          <w:szCs w:val="20"/>
        </w:rPr>
        <w:t> </w:t>
      </w:r>
    </w:p>
    <w:p w14:paraId="013CB025" w14:textId="77777777" w:rsidR="00000000" w:rsidRDefault="00087966">
      <w:pPr>
        <w:pStyle w:val="a3"/>
        <w:spacing w:before="0" w:beforeAutospacing="0" w:after="0" w:afterAutospacing="0"/>
        <w:jc w:val="both"/>
        <w:divId w:val="1595479706"/>
        <w:rPr>
          <w:sz w:val="20"/>
          <w:szCs w:val="20"/>
        </w:rPr>
      </w:pPr>
      <w:r>
        <w:rPr>
          <w:sz w:val="20"/>
          <w:szCs w:val="20"/>
        </w:rPr>
        <w:t xml:space="preserve">As of December 31, 2022, the Company had not commenced any operations. All activity through December 31, 2022 relates to the Company’s formation and the initial </w:t>
      </w:r>
      <w:r>
        <w:rPr>
          <w:sz w:val="20"/>
          <w:szCs w:val="20"/>
        </w:rPr>
        <w:t>public offering (the “Initial Public Offering”), which is described below, and subsequent to the Initial Public Offering, identifying a target company for a Business Combination and subsequent to entering into the Merger Agreement described in Note 6, purs</w:t>
      </w:r>
      <w:r>
        <w:rPr>
          <w:sz w:val="20"/>
          <w:szCs w:val="20"/>
        </w:rPr>
        <w:t>uing the completion of the business combination transaction. The Company will not generate any operating revenues until after the completion of a Business Combination, at the earliest. The Company generates non-operating income in the form of interest inco</w:t>
      </w:r>
      <w:r>
        <w:rPr>
          <w:sz w:val="20"/>
          <w:szCs w:val="20"/>
        </w:rPr>
        <w:t>me and unrealized gains from the marketable securities held in the Trust Account (as defined below), and gains or losses from the change in fair value of the warrant liabilities and convertible promissory note.</w:t>
      </w:r>
    </w:p>
    <w:p w14:paraId="103E275B" w14:textId="77777777" w:rsidR="00000000" w:rsidRDefault="00087966">
      <w:pPr>
        <w:pStyle w:val="a3"/>
        <w:spacing w:before="0" w:beforeAutospacing="0" w:after="0" w:afterAutospacing="0"/>
        <w:jc w:val="both"/>
        <w:divId w:val="1595479706"/>
        <w:rPr>
          <w:sz w:val="20"/>
          <w:szCs w:val="20"/>
        </w:rPr>
      </w:pPr>
      <w:r>
        <w:rPr>
          <w:sz w:val="20"/>
          <w:szCs w:val="20"/>
        </w:rPr>
        <w:t> </w:t>
      </w:r>
    </w:p>
    <w:p w14:paraId="3B78831A" w14:textId="77777777" w:rsidR="00000000" w:rsidRDefault="00087966">
      <w:pPr>
        <w:pStyle w:val="a3"/>
        <w:spacing w:before="0" w:beforeAutospacing="0" w:after="0" w:afterAutospacing="0"/>
        <w:jc w:val="both"/>
        <w:divId w:val="1595479706"/>
        <w:rPr>
          <w:sz w:val="20"/>
          <w:szCs w:val="20"/>
        </w:rPr>
      </w:pPr>
      <w:r>
        <w:rPr>
          <w:sz w:val="20"/>
          <w:szCs w:val="20"/>
        </w:rPr>
        <w:t>The registration statement for the Company’</w:t>
      </w:r>
      <w:r>
        <w:rPr>
          <w:sz w:val="20"/>
          <w:szCs w:val="20"/>
        </w:rPr>
        <w:t>s Initial Public Offering was declared effective on January 6, 2021. On January 11, 2021, the Company consummated the Initial Public Offering of 17,250,000 units (the “Units” and, with respect to the shares of Class A common stock included in the Units sol</w:t>
      </w:r>
      <w:r>
        <w:rPr>
          <w:sz w:val="20"/>
          <w:szCs w:val="20"/>
        </w:rPr>
        <w:t>d, the “Public Shares”), which includes the full exercise by the underwriter of its over-allotment option in the amount of 2,250,000 Units, at $10.00 per Unit, generating gross proceeds of $172,500,000, which is described in Note 3.</w:t>
      </w:r>
    </w:p>
    <w:p w14:paraId="194A5A3D" w14:textId="77777777" w:rsidR="00000000" w:rsidRDefault="00087966">
      <w:pPr>
        <w:pStyle w:val="a3"/>
        <w:spacing w:before="0" w:beforeAutospacing="0" w:after="0" w:afterAutospacing="0"/>
        <w:jc w:val="both"/>
        <w:divId w:val="1595479706"/>
        <w:rPr>
          <w:sz w:val="20"/>
          <w:szCs w:val="20"/>
        </w:rPr>
      </w:pPr>
      <w:r>
        <w:rPr>
          <w:sz w:val="20"/>
          <w:szCs w:val="20"/>
        </w:rPr>
        <w:t> </w:t>
      </w:r>
    </w:p>
    <w:p w14:paraId="5474A163" w14:textId="77777777" w:rsidR="00000000" w:rsidRDefault="00087966">
      <w:pPr>
        <w:pStyle w:val="a3"/>
        <w:spacing w:before="0" w:beforeAutospacing="0" w:after="0" w:afterAutospacing="0"/>
        <w:jc w:val="both"/>
        <w:divId w:val="1595479706"/>
        <w:rPr>
          <w:sz w:val="20"/>
          <w:szCs w:val="20"/>
        </w:rPr>
      </w:pPr>
      <w:r>
        <w:rPr>
          <w:sz w:val="20"/>
          <w:szCs w:val="20"/>
        </w:rPr>
        <w:t>Simultaneously with t</w:t>
      </w:r>
      <w:r>
        <w:rPr>
          <w:sz w:val="20"/>
          <w:szCs w:val="20"/>
        </w:rPr>
        <w:t>he closing of the Initial Public Offering, the Company consummated the sale of 5,200,000 warrants (each, a “Private Placement Warrant” and, collectively, the “Private Placement Warrants”) at a price of $1.00 per Private Placement Warrant in a private place</w:t>
      </w:r>
      <w:r>
        <w:rPr>
          <w:sz w:val="20"/>
          <w:szCs w:val="20"/>
        </w:rPr>
        <w:t>ment to KludeIn Prime LLC (the “Sponsor”), generating gross proceeds of $5,200,000, which is described in Note 4.</w:t>
      </w:r>
    </w:p>
    <w:p w14:paraId="19603AE5" w14:textId="77777777" w:rsidR="00000000" w:rsidRDefault="00087966">
      <w:pPr>
        <w:pStyle w:val="a3"/>
        <w:spacing w:before="0" w:beforeAutospacing="0" w:after="0" w:afterAutospacing="0"/>
        <w:jc w:val="both"/>
        <w:divId w:val="1595479706"/>
        <w:rPr>
          <w:sz w:val="20"/>
          <w:szCs w:val="20"/>
        </w:rPr>
      </w:pPr>
      <w:r>
        <w:rPr>
          <w:sz w:val="20"/>
          <w:szCs w:val="20"/>
        </w:rPr>
        <w:t> </w:t>
      </w:r>
    </w:p>
    <w:p w14:paraId="1BC01432" w14:textId="77777777" w:rsidR="00000000" w:rsidRDefault="00087966">
      <w:pPr>
        <w:pStyle w:val="a3"/>
        <w:spacing w:before="0" w:beforeAutospacing="0" w:after="0" w:afterAutospacing="0"/>
        <w:jc w:val="both"/>
        <w:divId w:val="1595479706"/>
        <w:rPr>
          <w:sz w:val="20"/>
          <w:szCs w:val="20"/>
        </w:rPr>
      </w:pPr>
      <w:r>
        <w:rPr>
          <w:sz w:val="20"/>
          <w:szCs w:val="20"/>
        </w:rPr>
        <w:t xml:space="preserve">The Company incurred $14,303,235 in transaction costs, including $3,450,000 of underwriting fees, $6,037,500 of deferred underwriting fees, </w:t>
      </w:r>
      <w:r>
        <w:rPr>
          <w:sz w:val="20"/>
          <w:szCs w:val="20"/>
        </w:rPr>
        <w:t>$4,411,238 of fair value of the Founder Shares (defined below) attributable to the Anchor Investor (defined below) and $404,497 of other offering costs. Transaction costs allocated to the warrants were $523,013 and were expensed in the accompanying consoli</w:t>
      </w:r>
      <w:r>
        <w:rPr>
          <w:sz w:val="20"/>
          <w:szCs w:val="20"/>
        </w:rPr>
        <w:t>dated statement of operations for the year ended December 31, 2021.</w:t>
      </w:r>
    </w:p>
    <w:p w14:paraId="32D39410" w14:textId="77777777" w:rsidR="00000000" w:rsidRDefault="00087966">
      <w:pPr>
        <w:pStyle w:val="a3"/>
        <w:spacing w:before="0" w:beforeAutospacing="0" w:after="0" w:afterAutospacing="0"/>
        <w:jc w:val="both"/>
        <w:divId w:val="1595479706"/>
        <w:rPr>
          <w:sz w:val="20"/>
          <w:szCs w:val="20"/>
        </w:rPr>
      </w:pPr>
      <w:r>
        <w:rPr>
          <w:sz w:val="20"/>
          <w:szCs w:val="20"/>
        </w:rPr>
        <w:t> </w:t>
      </w:r>
    </w:p>
    <w:p w14:paraId="79E3F1BE" w14:textId="77777777" w:rsidR="00000000" w:rsidRDefault="00087966">
      <w:pPr>
        <w:pStyle w:val="a3"/>
        <w:spacing w:before="0" w:beforeAutospacing="0" w:after="0" w:afterAutospacing="0"/>
        <w:jc w:val="both"/>
        <w:divId w:val="1595479706"/>
        <w:rPr>
          <w:sz w:val="20"/>
          <w:szCs w:val="20"/>
        </w:rPr>
      </w:pPr>
      <w:r>
        <w:rPr>
          <w:sz w:val="20"/>
          <w:szCs w:val="20"/>
        </w:rPr>
        <w:t>Following the closing of the Initial Public Offering on January 11, 2021, an amount of $172,500,000 ($10.00 per Unit) from the net proceeds of the sale of the Units in the Initial Public</w:t>
      </w:r>
      <w:r>
        <w:rPr>
          <w:sz w:val="20"/>
          <w:szCs w:val="20"/>
        </w:rPr>
        <w:t xml:space="preserve"> Offering and the sale of the Private Placement Warrants was placed in a trust account (the “Trust Account”), invested in U.S. government securities, within the meaning set forth in Section 2(a)(16) of the Investment Company Act of 1940, as amended (the “I</w:t>
      </w:r>
      <w:r>
        <w:rPr>
          <w:sz w:val="20"/>
          <w:szCs w:val="20"/>
        </w:rPr>
        <w:t>nvestment Company Act”), with a maturity of 185 days or less, or in any open-ended investment company that holds itself out as a money market fund meeting the conditions of Rule 2a-7 of the Investment Company Act, as determined by the Company, until the ea</w:t>
      </w:r>
      <w:r>
        <w:rPr>
          <w:sz w:val="20"/>
          <w:szCs w:val="20"/>
        </w:rPr>
        <w:t>rlier of: (i) the consummation of a Business Combination or (ii) the distribution of the funds in the Trust Account to the Company’s stockholders, as described below.</w:t>
      </w:r>
    </w:p>
    <w:p w14:paraId="38BDEE40" w14:textId="77777777" w:rsidR="00000000" w:rsidRDefault="00087966">
      <w:pPr>
        <w:pStyle w:val="a3"/>
        <w:spacing w:before="0" w:beforeAutospacing="0" w:after="0" w:afterAutospacing="0"/>
        <w:jc w:val="both"/>
        <w:divId w:val="1595479706"/>
        <w:rPr>
          <w:sz w:val="20"/>
          <w:szCs w:val="20"/>
        </w:rPr>
      </w:pPr>
      <w:r>
        <w:rPr>
          <w:sz w:val="20"/>
          <w:szCs w:val="20"/>
        </w:rPr>
        <w:t> </w:t>
      </w:r>
    </w:p>
    <w:p w14:paraId="6969DA33" w14:textId="77777777" w:rsidR="00000000" w:rsidRDefault="00087966">
      <w:pPr>
        <w:pStyle w:val="a3"/>
        <w:spacing w:before="0" w:beforeAutospacing="0" w:after="0" w:afterAutospacing="0"/>
        <w:jc w:val="both"/>
        <w:divId w:val="1595479706"/>
        <w:rPr>
          <w:sz w:val="20"/>
          <w:szCs w:val="20"/>
        </w:rPr>
      </w:pPr>
      <w:r>
        <w:rPr>
          <w:sz w:val="20"/>
          <w:szCs w:val="20"/>
        </w:rPr>
        <w:t xml:space="preserve">The Company’s management has broad discretion with respect to the specific application </w:t>
      </w:r>
      <w:r>
        <w:rPr>
          <w:sz w:val="20"/>
          <w:szCs w:val="20"/>
        </w:rPr>
        <w:t xml:space="preserve">of the net proceeds of the Initial Public Offering and the sale of the Private Placement Warrants, although substantially all of the net proceeds are intended to be applied generally toward consummating a Business Combination. Nasdaq Capital Markets rules </w:t>
      </w:r>
      <w:r>
        <w:rPr>
          <w:sz w:val="20"/>
          <w:szCs w:val="20"/>
        </w:rPr>
        <w:t>provide that the Business Combination must be with one or more target businesses that together have a fair market value equal to at least 80% of the balance in the Trust Account (less any deferred underwriting commissions and taxes payable on interest earn</w:t>
      </w:r>
      <w:r>
        <w:rPr>
          <w:sz w:val="20"/>
          <w:szCs w:val="20"/>
        </w:rPr>
        <w:t xml:space="preserve">ed on the Trust Account) at the time of the signing a definitive agreement to enter into a Business Combination. The Company will only complete a Business Combination if the post-Business Combination company owns or acquires 50% or more of the outstanding </w:t>
      </w:r>
      <w:r>
        <w:rPr>
          <w:sz w:val="20"/>
          <w:szCs w:val="20"/>
        </w:rPr>
        <w:t>voting securities of the target or otherwise acquires a controlling interest in the target sufficient for it not to be required to register as an investment company under the Investment Company Act. There is no assurance that the Company will be able to su</w:t>
      </w:r>
      <w:r>
        <w:rPr>
          <w:sz w:val="20"/>
          <w:szCs w:val="20"/>
        </w:rPr>
        <w:t>ccessfully effect a Business Combination.</w:t>
      </w:r>
    </w:p>
    <w:p w14:paraId="1CE4C546" w14:textId="77777777" w:rsidR="00000000" w:rsidRDefault="00087966">
      <w:pPr>
        <w:pStyle w:val="a3"/>
        <w:spacing w:before="0" w:beforeAutospacing="0" w:after="0" w:afterAutospacing="0"/>
        <w:jc w:val="both"/>
        <w:divId w:val="1595479706"/>
        <w:rPr>
          <w:sz w:val="20"/>
          <w:szCs w:val="20"/>
        </w:rPr>
      </w:pPr>
      <w:r>
        <w:rPr>
          <w:sz w:val="20"/>
          <w:szCs w:val="20"/>
        </w:rPr>
        <w:t> </w:t>
      </w:r>
    </w:p>
    <w:p w14:paraId="0F70D3BE" w14:textId="77777777" w:rsidR="00000000" w:rsidRDefault="00087966">
      <w:pPr>
        <w:pStyle w:val="a3"/>
        <w:spacing w:before="0" w:beforeAutospacing="0" w:after="0" w:afterAutospacing="0"/>
        <w:jc w:val="center"/>
        <w:divId w:val="1769159705"/>
        <w:rPr>
          <w:sz w:val="20"/>
          <w:szCs w:val="20"/>
        </w:rPr>
      </w:pPr>
      <w:r>
        <w:rPr>
          <w:sz w:val="20"/>
          <w:szCs w:val="20"/>
        </w:rPr>
        <w:t>F</w:t>
      </w:r>
      <w:r>
        <w:rPr>
          <w:sz w:val="20"/>
          <w:szCs w:val="20"/>
        </w:rPr>
        <w:t>-</w:t>
      </w:r>
      <w:r>
        <w:rPr>
          <w:sz w:val="20"/>
          <w:szCs w:val="20"/>
        </w:rPr>
        <w:t>6</w:t>
      </w:r>
    </w:p>
    <w:p w14:paraId="7677D42C" w14:textId="77777777" w:rsidR="00000000" w:rsidRDefault="00087966">
      <w:pPr>
        <w:pStyle w:val="a3"/>
        <w:spacing w:before="0" w:beforeAutospacing="0" w:after="0" w:afterAutospacing="0"/>
        <w:divId w:val="791753250"/>
        <w:rPr>
          <w:sz w:val="20"/>
          <w:szCs w:val="20"/>
        </w:rPr>
      </w:pPr>
      <w:r>
        <w:rPr>
          <w:sz w:val="20"/>
          <w:szCs w:val="20"/>
        </w:rPr>
        <w:t> </w:t>
      </w:r>
    </w:p>
    <w:p w14:paraId="6E138601" w14:textId="77777777" w:rsidR="00000000" w:rsidRDefault="00087966">
      <w:pPr>
        <w:pStyle w:val="a3"/>
        <w:spacing w:before="0" w:beforeAutospacing="0" w:after="0" w:afterAutospacing="0"/>
        <w:jc w:val="both"/>
        <w:divId w:val="1595479706"/>
        <w:rPr>
          <w:sz w:val="20"/>
          <w:szCs w:val="20"/>
        </w:rPr>
      </w:pPr>
      <w:r>
        <w:rPr>
          <w:sz w:val="20"/>
          <w:szCs w:val="20"/>
        </w:rPr>
        <w:t> </w:t>
      </w:r>
    </w:p>
    <w:p w14:paraId="7E08D576"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33F20EDF"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6831565A"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47CAB6A0" w14:textId="77777777" w:rsidR="00000000" w:rsidRDefault="00087966">
      <w:pPr>
        <w:pStyle w:val="a3"/>
        <w:spacing w:before="0" w:beforeAutospacing="0" w:after="0" w:afterAutospacing="0"/>
        <w:jc w:val="both"/>
        <w:divId w:val="1595479706"/>
        <w:rPr>
          <w:sz w:val="20"/>
          <w:szCs w:val="20"/>
        </w:rPr>
      </w:pPr>
      <w:r>
        <w:rPr>
          <w:sz w:val="20"/>
          <w:szCs w:val="20"/>
        </w:rPr>
        <w:t> </w:t>
      </w:r>
    </w:p>
    <w:p w14:paraId="46CD0299" w14:textId="77777777" w:rsidR="00000000" w:rsidRDefault="00087966">
      <w:pPr>
        <w:pStyle w:val="a3"/>
        <w:spacing w:before="0" w:beforeAutospacing="0" w:after="0" w:afterAutospacing="0"/>
        <w:jc w:val="both"/>
        <w:divId w:val="1595479706"/>
        <w:rPr>
          <w:sz w:val="20"/>
          <w:szCs w:val="20"/>
        </w:rPr>
      </w:pPr>
      <w:r>
        <w:rPr>
          <w:sz w:val="20"/>
          <w:szCs w:val="20"/>
        </w:rPr>
        <w:t>The Company will provide its holders of the outstanding Public Shares (the “public stockholders”) with the opportunity to redeem all or a portion of their Public Shares upon the completion of a Business Combination either (i) in connection with a stockhold</w:t>
      </w:r>
      <w:r>
        <w:rPr>
          <w:sz w:val="20"/>
          <w:szCs w:val="20"/>
        </w:rPr>
        <w:t>er meeting called to approve the Business Combination, (ii) by means of a tender offer, or (iii) in connection with a special meeting of stockholders to approve an extension of the deadline to complete a Business Combination, as described below. The decisi</w:t>
      </w:r>
      <w:r>
        <w:rPr>
          <w:sz w:val="20"/>
          <w:szCs w:val="20"/>
        </w:rPr>
        <w:t>on as to whether the Company will seek stockholder approval of a Business Combination or conduct a tender offer will be made by the Company, solely in its discretion. The public stockholders will be entitled to redeem their Public Shares for a pro rata por</w:t>
      </w:r>
      <w:r>
        <w:rPr>
          <w:sz w:val="20"/>
          <w:szCs w:val="20"/>
        </w:rPr>
        <w:t>tion of the amount then in the Trust Account (initially anticipated to be $10.00 per Public Share, plus any pro rata interest earned on the funds held in the Trust Account and not previously released to the Company to pay its tax obligations). There will b</w:t>
      </w:r>
      <w:r>
        <w:rPr>
          <w:sz w:val="20"/>
          <w:szCs w:val="20"/>
        </w:rPr>
        <w:t>e no redemption rights upon the completion of a Business Combination with respect to the Company’s warrants.</w:t>
      </w:r>
    </w:p>
    <w:p w14:paraId="41E985B1" w14:textId="77777777" w:rsidR="00000000" w:rsidRDefault="00087966">
      <w:pPr>
        <w:pStyle w:val="a3"/>
        <w:spacing w:before="0" w:beforeAutospacing="0" w:after="0" w:afterAutospacing="0"/>
        <w:jc w:val="both"/>
        <w:divId w:val="1595479706"/>
        <w:rPr>
          <w:sz w:val="20"/>
          <w:szCs w:val="20"/>
        </w:rPr>
      </w:pPr>
      <w:r>
        <w:rPr>
          <w:sz w:val="20"/>
          <w:szCs w:val="20"/>
        </w:rPr>
        <w:t> </w:t>
      </w:r>
    </w:p>
    <w:p w14:paraId="36BAB689" w14:textId="77777777" w:rsidR="00000000" w:rsidRDefault="00087966">
      <w:pPr>
        <w:pStyle w:val="a3"/>
        <w:spacing w:before="0" w:beforeAutospacing="0" w:after="0" w:afterAutospacing="0"/>
        <w:jc w:val="both"/>
        <w:divId w:val="1595479706"/>
        <w:rPr>
          <w:sz w:val="20"/>
          <w:szCs w:val="20"/>
        </w:rPr>
      </w:pPr>
      <w:r>
        <w:rPr>
          <w:sz w:val="20"/>
          <w:szCs w:val="20"/>
        </w:rPr>
        <w:t>The Company will proceed with a Business Combination only if the Company has net tangible assets of at least $5,000,001 either prior to or upon s</w:t>
      </w:r>
      <w:r>
        <w:rPr>
          <w:sz w:val="20"/>
          <w:szCs w:val="20"/>
        </w:rPr>
        <w:t>uch consummation of a Business Combination and, if the Company seeks stockholder approval, a majority of the shares voted are voted in favor of the Business Combination. If a stockholder vote is not required by law and the Company does not decide to hold a</w:t>
      </w:r>
      <w:r>
        <w:rPr>
          <w:sz w:val="20"/>
          <w:szCs w:val="20"/>
        </w:rPr>
        <w:t xml:space="preserve"> stockholder vote for business or other reasons, the Company will, pursuant to its Amended and Restated Certificate of Incorporation (the “Amended and Restated Certificate of Incorporation”), conduct the redemptions pursuant to the tender offer rules of th</w:t>
      </w:r>
      <w:r>
        <w:rPr>
          <w:sz w:val="20"/>
          <w:szCs w:val="20"/>
        </w:rPr>
        <w:t>e U.S. Securities and Exchange Commission (“SEC”) and file tender offer documents with the SEC prior to completing a Business Combination. If, however, stockholder approval of the transaction is required by law, or the Company decides to obtain stockholder</w:t>
      </w:r>
      <w:r>
        <w:rPr>
          <w:sz w:val="20"/>
          <w:szCs w:val="20"/>
        </w:rPr>
        <w:t xml:space="preserve"> approval for business or other reasons, the Company will offer to redeem the Public Shares in conjunction with a proxy solicitation pursuant to the proxy rules and not pursuant to the tender offer rules. If the Company seeks stockholder approval in connec</w:t>
      </w:r>
      <w:r>
        <w:rPr>
          <w:sz w:val="20"/>
          <w:szCs w:val="20"/>
        </w:rPr>
        <w:t>tion with a Business Combination, the Sponsor has agreed to vote its Founder Shares (as defined in Note 5) and any Public Shares purchased during or after the Initial Public Offering in favor of approving a Business Combination. Additionally, each public s</w:t>
      </w:r>
      <w:r>
        <w:rPr>
          <w:sz w:val="20"/>
          <w:szCs w:val="20"/>
        </w:rPr>
        <w:t>tockholder may elect to redeem their Public Shares, without voting, and if they do vote, irrespective of whether they vote for or against the proposed Business Combination.</w:t>
      </w:r>
    </w:p>
    <w:p w14:paraId="33F97A71" w14:textId="77777777" w:rsidR="00000000" w:rsidRDefault="00087966">
      <w:pPr>
        <w:pStyle w:val="a3"/>
        <w:spacing w:before="0" w:beforeAutospacing="0" w:after="0" w:afterAutospacing="0"/>
        <w:jc w:val="both"/>
        <w:divId w:val="1595479706"/>
        <w:rPr>
          <w:sz w:val="20"/>
          <w:szCs w:val="20"/>
        </w:rPr>
      </w:pPr>
      <w:r>
        <w:rPr>
          <w:sz w:val="20"/>
          <w:szCs w:val="20"/>
        </w:rPr>
        <w:t> </w:t>
      </w:r>
    </w:p>
    <w:p w14:paraId="04DAFE45" w14:textId="77777777" w:rsidR="00000000" w:rsidRDefault="00087966">
      <w:pPr>
        <w:pStyle w:val="a3"/>
        <w:spacing w:before="0" w:beforeAutospacing="0" w:after="0" w:afterAutospacing="0"/>
        <w:jc w:val="both"/>
        <w:divId w:val="1595479706"/>
        <w:rPr>
          <w:sz w:val="20"/>
          <w:szCs w:val="20"/>
        </w:rPr>
      </w:pPr>
      <w:r>
        <w:rPr>
          <w:sz w:val="20"/>
          <w:szCs w:val="20"/>
        </w:rPr>
        <w:t>Notwithstanding the above, if the Company seeks stockholder approval of a Busines</w:t>
      </w:r>
      <w:r>
        <w:rPr>
          <w:sz w:val="20"/>
          <w:szCs w:val="20"/>
        </w:rPr>
        <w:t>s Combination and it does not conduct redemptions pursuant to the tender offer rules, the Amended and Restated Certificate of Incorporation provides that a public stockholder, together with any affiliate of such stockholder or any other person with whom su</w:t>
      </w:r>
      <w:r>
        <w:rPr>
          <w:sz w:val="20"/>
          <w:szCs w:val="20"/>
        </w:rPr>
        <w:t xml:space="preserve">ch stockholder is acting in concert or as a “group” (as defined under Section 13 of the Securities Exchange Act of 1934, as amended (the “Exchange Act”)), will be restricted from redeeming its Public Shares with respect to more than an aggregate of 15% or </w:t>
      </w:r>
      <w:r>
        <w:rPr>
          <w:sz w:val="20"/>
          <w:szCs w:val="20"/>
        </w:rPr>
        <w:t>more of the Public Shares, without the prior consent of the Company.</w:t>
      </w:r>
    </w:p>
    <w:p w14:paraId="60595FE7" w14:textId="77777777" w:rsidR="00000000" w:rsidRDefault="00087966">
      <w:pPr>
        <w:pStyle w:val="a3"/>
        <w:spacing w:before="0" w:beforeAutospacing="0" w:after="0" w:afterAutospacing="0"/>
        <w:jc w:val="both"/>
        <w:divId w:val="1595479706"/>
        <w:rPr>
          <w:sz w:val="20"/>
          <w:szCs w:val="20"/>
        </w:rPr>
      </w:pPr>
      <w:r>
        <w:rPr>
          <w:sz w:val="20"/>
          <w:szCs w:val="20"/>
        </w:rPr>
        <w:t> </w:t>
      </w:r>
    </w:p>
    <w:p w14:paraId="5FC0FBA8" w14:textId="77777777" w:rsidR="00000000" w:rsidRDefault="00087966">
      <w:pPr>
        <w:pStyle w:val="a3"/>
        <w:spacing w:before="0" w:beforeAutospacing="0" w:after="0" w:afterAutospacing="0"/>
        <w:jc w:val="both"/>
        <w:divId w:val="1595479706"/>
        <w:rPr>
          <w:sz w:val="20"/>
          <w:szCs w:val="20"/>
        </w:rPr>
      </w:pPr>
      <w:r>
        <w:rPr>
          <w:sz w:val="20"/>
          <w:szCs w:val="20"/>
        </w:rPr>
        <w:t>The Sponsor has agreed (a) to waive its redemption rights with respect to its Founder Shares and Public Shares held by it in connection with the completion of a Business Combination, (b</w:t>
      </w:r>
      <w:r>
        <w:rPr>
          <w:sz w:val="20"/>
          <w:szCs w:val="20"/>
        </w:rPr>
        <w:t>) to waive its liquidation rights with respect to the Founder Shares if the Company fails to complete a Business Combination by April 11, 2023 and (c) not to propose an amendment to the Amended and Restated Certificate of Incorporation (i) to modify the su</w:t>
      </w:r>
      <w:r>
        <w:rPr>
          <w:sz w:val="20"/>
          <w:szCs w:val="20"/>
        </w:rPr>
        <w:t>bstance or timing of the Company’s obligation to allow redemption in connection with the Company’s initial Business Combination or to redeem 100% of its Public Shares if the Company does not complete a Business Combination or (ii) with respect to any other</w:t>
      </w:r>
      <w:r>
        <w:rPr>
          <w:sz w:val="20"/>
          <w:szCs w:val="20"/>
        </w:rPr>
        <w:t xml:space="preserve"> provision relating to stockholders’ rights or pre-initial Business Combination activity, unless the Company provides the public stockholders with the opportunity to redeem their Public Shares in conjunction with any such amendment.</w:t>
      </w:r>
    </w:p>
    <w:p w14:paraId="0983349A" w14:textId="77777777" w:rsidR="00000000" w:rsidRDefault="00087966">
      <w:pPr>
        <w:pStyle w:val="a3"/>
        <w:spacing w:before="0" w:beforeAutospacing="0" w:after="0" w:afterAutospacing="0"/>
        <w:jc w:val="both"/>
        <w:divId w:val="1595479706"/>
        <w:rPr>
          <w:sz w:val="20"/>
          <w:szCs w:val="20"/>
        </w:rPr>
      </w:pPr>
      <w:r>
        <w:rPr>
          <w:sz w:val="20"/>
          <w:szCs w:val="20"/>
        </w:rPr>
        <w:t> </w:t>
      </w:r>
    </w:p>
    <w:p w14:paraId="09859FE3" w14:textId="77777777" w:rsidR="00000000" w:rsidRDefault="00087966">
      <w:pPr>
        <w:pStyle w:val="a3"/>
        <w:spacing w:before="0" w:beforeAutospacing="0" w:after="0" w:afterAutospacing="0"/>
        <w:jc w:val="both"/>
        <w:divId w:val="1595479706"/>
        <w:rPr>
          <w:sz w:val="20"/>
          <w:szCs w:val="20"/>
        </w:rPr>
      </w:pPr>
      <w:r>
        <w:rPr>
          <w:sz w:val="20"/>
          <w:szCs w:val="20"/>
        </w:rPr>
        <w:t>The Company initially</w:t>
      </w:r>
      <w:r>
        <w:rPr>
          <w:sz w:val="20"/>
          <w:szCs w:val="20"/>
        </w:rPr>
        <w:t xml:space="preserve"> had until July 11, 2022 to complete a Business Combination, which was extended to January 11, 2023 (the “Combination Period”) after the approvals obtained at special meetings of stockholders held on July 7, 2022 and January 6, 2023 (the “Extension”). If t</w:t>
      </w:r>
      <w:r>
        <w:rPr>
          <w:sz w:val="20"/>
          <w:szCs w:val="20"/>
        </w:rPr>
        <w:t>he Company is unable to complete a Business Combination within the Combination Period, the Company will (i) cease all operations except for the purpose of winding up, (ii) as promptly as reasonably possible but not more than ten business days thereafter, r</w:t>
      </w:r>
      <w:r>
        <w:rPr>
          <w:sz w:val="20"/>
          <w:szCs w:val="20"/>
        </w:rPr>
        <w:t>edeem the Public Shares, at a per-share price, payable in cash, equal to the aggregate amount then on deposit in the Trust Account including interest earned on the funds held in the Trust Account and not previously released to the Company to pay its tax ob</w:t>
      </w:r>
      <w:r>
        <w:rPr>
          <w:sz w:val="20"/>
          <w:szCs w:val="20"/>
        </w:rPr>
        <w:t>ligations (less up to $100,000 of interest to pay dissolution expenses), divided by the number of then outstanding Public Shares, which redemption will completely extinguish public stockholders’ rights as stockholders (including the right to receive furthe</w:t>
      </w:r>
      <w:r>
        <w:rPr>
          <w:sz w:val="20"/>
          <w:szCs w:val="20"/>
        </w:rPr>
        <w:t>r liquidating distributions, if any), and (iii) as promptly as reasonably possible following such redemption, subject to the approval of the Company’s remaining stockholders and the Company’s board of directors, dissolve and liquidate, subject in each case</w:t>
      </w:r>
      <w:r>
        <w:rPr>
          <w:sz w:val="20"/>
          <w:szCs w:val="20"/>
        </w:rPr>
        <w:t xml:space="preserve"> to the Company’s obligations under Delaware law to provide for claims of creditors and the requirements of other applicable law. There will be no redemption rights or liquidating distributions with respect to the Company’s warrants, which will expire wort</w:t>
      </w:r>
      <w:r>
        <w:rPr>
          <w:sz w:val="20"/>
          <w:szCs w:val="20"/>
        </w:rPr>
        <w:t>hless if the Company fails to complete a Business Combination within the Combination Period.</w:t>
      </w:r>
    </w:p>
    <w:p w14:paraId="665373D2" w14:textId="77777777" w:rsidR="00000000" w:rsidRDefault="00087966">
      <w:pPr>
        <w:pStyle w:val="a3"/>
        <w:spacing w:before="0" w:beforeAutospacing="0" w:after="0" w:afterAutospacing="0"/>
        <w:jc w:val="both"/>
        <w:divId w:val="1595479706"/>
        <w:rPr>
          <w:sz w:val="20"/>
          <w:szCs w:val="20"/>
        </w:rPr>
      </w:pPr>
      <w:r>
        <w:rPr>
          <w:sz w:val="20"/>
          <w:szCs w:val="20"/>
        </w:rPr>
        <w:t> </w:t>
      </w:r>
    </w:p>
    <w:p w14:paraId="2A8F2D83" w14:textId="77777777" w:rsidR="00000000" w:rsidRDefault="00087966">
      <w:pPr>
        <w:pStyle w:val="a3"/>
        <w:spacing w:before="0" w:beforeAutospacing="0" w:after="0" w:afterAutospacing="0"/>
        <w:jc w:val="center"/>
        <w:divId w:val="1188910861"/>
        <w:rPr>
          <w:sz w:val="20"/>
          <w:szCs w:val="20"/>
        </w:rPr>
      </w:pPr>
      <w:r>
        <w:rPr>
          <w:sz w:val="20"/>
          <w:szCs w:val="20"/>
        </w:rPr>
        <w:t>F</w:t>
      </w:r>
      <w:r>
        <w:rPr>
          <w:sz w:val="20"/>
          <w:szCs w:val="20"/>
        </w:rPr>
        <w:t>-</w:t>
      </w:r>
      <w:r>
        <w:rPr>
          <w:sz w:val="20"/>
          <w:szCs w:val="20"/>
        </w:rPr>
        <w:t>7</w:t>
      </w:r>
    </w:p>
    <w:p w14:paraId="51D1B57C" w14:textId="77777777" w:rsidR="00000000" w:rsidRDefault="00087966">
      <w:pPr>
        <w:pStyle w:val="a3"/>
        <w:spacing w:before="0" w:beforeAutospacing="0" w:after="0" w:afterAutospacing="0"/>
        <w:divId w:val="1059937263"/>
        <w:rPr>
          <w:sz w:val="20"/>
          <w:szCs w:val="20"/>
        </w:rPr>
      </w:pPr>
      <w:r>
        <w:rPr>
          <w:sz w:val="20"/>
          <w:szCs w:val="20"/>
        </w:rPr>
        <w:t> </w:t>
      </w:r>
    </w:p>
    <w:p w14:paraId="752C270B" w14:textId="77777777" w:rsidR="00000000" w:rsidRDefault="00087966">
      <w:pPr>
        <w:pStyle w:val="a3"/>
        <w:spacing w:before="0" w:beforeAutospacing="0" w:after="0" w:afterAutospacing="0"/>
        <w:jc w:val="both"/>
        <w:divId w:val="1595479706"/>
        <w:rPr>
          <w:sz w:val="20"/>
          <w:szCs w:val="20"/>
        </w:rPr>
      </w:pPr>
      <w:r>
        <w:rPr>
          <w:sz w:val="20"/>
          <w:szCs w:val="20"/>
        </w:rPr>
        <w:t> </w:t>
      </w:r>
    </w:p>
    <w:p w14:paraId="39E2B866"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49C8EE01"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3C5F8B1C"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3868767B" w14:textId="77777777" w:rsidR="00000000" w:rsidRDefault="00087966">
      <w:pPr>
        <w:pStyle w:val="a3"/>
        <w:spacing w:before="0" w:beforeAutospacing="0" w:after="0" w:afterAutospacing="0"/>
        <w:jc w:val="both"/>
        <w:divId w:val="1595479706"/>
        <w:rPr>
          <w:sz w:val="20"/>
          <w:szCs w:val="20"/>
        </w:rPr>
      </w:pPr>
      <w:r>
        <w:rPr>
          <w:sz w:val="20"/>
          <w:szCs w:val="20"/>
        </w:rPr>
        <w:t> </w:t>
      </w:r>
    </w:p>
    <w:p w14:paraId="1A962733" w14:textId="77777777" w:rsidR="00000000" w:rsidRDefault="00087966">
      <w:pPr>
        <w:pStyle w:val="a3"/>
        <w:spacing w:before="0" w:beforeAutospacing="0" w:after="0" w:afterAutospacing="0"/>
        <w:jc w:val="both"/>
        <w:divId w:val="1595479706"/>
        <w:rPr>
          <w:sz w:val="20"/>
          <w:szCs w:val="20"/>
        </w:rPr>
      </w:pPr>
      <w:r>
        <w:rPr>
          <w:sz w:val="20"/>
          <w:szCs w:val="20"/>
        </w:rPr>
        <w:t xml:space="preserve">At the special meeting of stockholders on July 7, 2022 in </w:t>
      </w:r>
      <w:r>
        <w:rPr>
          <w:sz w:val="20"/>
          <w:szCs w:val="20"/>
        </w:rPr>
        <w:t>connection with the Extension, stockholders holding 6,845,606 Public Shares exercised their right to redeem such shares for a pro rata portion of the funds in the Trust Account. As a result, $68,488,348 (approximately $10.00 per share), which included $32,</w:t>
      </w:r>
      <w:r>
        <w:rPr>
          <w:sz w:val="20"/>
          <w:szCs w:val="20"/>
        </w:rPr>
        <w:t>631 of interest earned on the Trust Account which was not previously used to pay the Company’s tax obligation, was removed from the Trust Account to pay such holders. Following these redemptions, the Company had 10,404,394 Public Shares outstanding and the</w:t>
      </w:r>
      <w:r>
        <w:rPr>
          <w:sz w:val="20"/>
          <w:szCs w:val="20"/>
        </w:rPr>
        <w:t xml:space="preserve"> aggregate amount remaining in the Trust Account at the time was $104,093,013.</w:t>
      </w:r>
    </w:p>
    <w:p w14:paraId="0D6A9331" w14:textId="77777777" w:rsidR="00000000" w:rsidRDefault="00087966">
      <w:pPr>
        <w:pStyle w:val="a3"/>
        <w:spacing w:before="0" w:beforeAutospacing="0" w:after="0" w:afterAutospacing="0"/>
        <w:jc w:val="both"/>
        <w:divId w:val="1595479706"/>
        <w:rPr>
          <w:sz w:val="20"/>
          <w:szCs w:val="20"/>
        </w:rPr>
      </w:pPr>
      <w:r>
        <w:rPr>
          <w:sz w:val="20"/>
          <w:szCs w:val="20"/>
        </w:rPr>
        <w:t> </w:t>
      </w:r>
    </w:p>
    <w:p w14:paraId="4C9D731A" w14:textId="77777777" w:rsidR="00000000" w:rsidRDefault="00087966">
      <w:pPr>
        <w:pStyle w:val="a3"/>
        <w:spacing w:before="0" w:beforeAutospacing="0" w:after="0" w:afterAutospacing="0"/>
        <w:jc w:val="both"/>
        <w:divId w:val="1595479706"/>
        <w:rPr>
          <w:sz w:val="20"/>
          <w:szCs w:val="20"/>
        </w:rPr>
      </w:pPr>
      <w:r>
        <w:rPr>
          <w:sz w:val="20"/>
          <w:szCs w:val="20"/>
        </w:rPr>
        <w:t>On July 7, 2022, the Company issued an unsecured promissory note to the Sponsor for up to an aggregate principal amount of $2,060,070 (the “Extension Funds”) to be deposited i</w:t>
      </w:r>
      <w:r>
        <w:rPr>
          <w:sz w:val="20"/>
          <w:szCs w:val="20"/>
        </w:rPr>
        <w:t>nto the Company’s Trust Account in connection with the Extension.  The Company was to deposit up to six equal installments of the Extension Funds, or $343,345, into the Trust Account on a monthly basis for each month of the Extension and such amount will b</w:t>
      </w:r>
      <w:r>
        <w:rPr>
          <w:sz w:val="20"/>
          <w:szCs w:val="20"/>
        </w:rPr>
        <w:t xml:space="preserve">e distributed either to: (i) all of the holders of the Public Shares upon the Company’s liquidation or (ii) holders of Public Shares who elect to have their shares redeemed in connection with the consummation of the Company’s initial Business Combination. </w:t>
      </w:r>
      <w:r>
        <w:rPr>
          <w:sz w:val="20"/>
          <w:szCs w:val="20"/>
        </w:rPr>
        <w:t xml:space="preserve">The Extension Funds note is not convertible and bears no interest and is due and payable upon the earlier of the date on which the Company consummates its initial Business Combination or the date of the liquidation of the Company. As of December 31, 2022, </w:t>
      </w:r>
      <w:r>
        <w:rPr>
          <w:sz w:val="20"/>
          <w:szCs w:val="20"/>
        </w:rPr>
        <w:t>an aggregate of $1,373,380 has been drawn down on the Extension Funds and deposited into the Trust Account to cover the first four months of the extension.</w:t>
      </w:r>
    </w:p>
    <w:p w14:paraId="4F557E0B" w14:textId="77777777" w:rsidR="00000000" w:rsidRDefault="00087966">
      <w:pPr>
        <w:pStyle w:val="a3"/>
        <w:spacing w:before="0" w:beforeAutospacing="0" w:after="0" w:afterAutospacing="0"/>
        <w:jc w:val="both"/>
        <w:divId w:val="1595479706"/>
        <w:rPr>
          <w:sz w:val="20"/>
          <w:szCs w:val="20"/>
        </w:rPr>
      </w:pPr>
      <w:r>
        <w:rPr>
          <w:sz w:val="20"/>
          <w:szCs w:val="20"/>
        </w:rPr>
        <w:t> </w:t>
      </w:r>
    </w:p>
    <w:p w14:paraId="1DD13E6B" w14:textId="77777777" w:rsidR="00000000" w:rsidRDefault="00087966">
      <w:pPr>
        <w:pStyle w:val="a3"/>
        <w:spacing w:before="0" w:beforeAutospacing="0" w:after="0" w:afterAutospacing="0"/>
        <w:jc w:val="both"/>
        <w:divId w:val="1595479706"/>
        <w:rPr>
          <w:sz w:val="20"/>
          <w:szCs w:val="20"/>
        </w:rPr>
      </w:pPr>
      <w:r>
        <w:rPr>
          <w:sz w:val="20"/>
          <w:szCs w:val="20"/>
        </w:rPr>
        <w:t>At the special meeting of stockholders on January 6, 2023, stockholders approved an amendment to t</w:t>
      </w:r>
      <w:r>
        <w:rPr>
          <w:sz w:val="20"/>
          <w:szCs w:val="20"/>
        </w:rPr>
        <w:t>he Company’s Amended and Restated Certificate of Incorporation (the “Charter Amendment”) to extend the date by which the Company must consummate its initial business combination from January 11, 2023 to April 11, 2023 (or such earlier date as determined by</w:t>
      </w:r>
      <w:r>
        <w:rPr>
          <w:sz w:val="20"/>
          <w:szCs w:val="20"/>
        </w:rPr>
        <w:t xml:space="preserve"> the board of directors of the Company (the “Second Extension”). In connection with the Second Extension, stockholders holding 9,786,530 Public Shares exercised their right to redeem such shares for a pro rata portion of the funds in the Trust Account. As </w:t>
      </w:r>
      <w:r>
        <w:rPr>
          <w:sz w:val="20"/>
          <w:szCs w:val="20"/>
        </w:rPr>
        <w:t xml:space="preserve">a result, approximately $101 million (approximately $10.32 per share), which included $1,190,676 of interest earned on the Trust Account which was not previously used to pay the Company’s tax obligation, has been removed from the Trust Account to pay such </w:t>
      </w:r>
      <w:r>
        <w:rPr>
          <w:sz w:val="20"/>
          <w:szCs w:val="20"/>
        </w:rPr>
        <w:t>holders. Following redemptions, the Company has 617,864 Public Shares outstanding.</w:t>
      </w:r>
    </w:p>
    <w:p w14:paraId="7F546137" w14:textId="77777777" w:rsidR="00000000" w:rsidRDefault="00087966">
      <w:pPr>
        <w:pStyle w:val="a3"/>
        <w:spacing w:before="0" w:beforeAutospacing="0" w:after="0" w:afterAutospacing="0"/>
        <w:jc w:val="both"/>
        <w:divId w:val="1595479706"/>
        <w:rPr>
          <w:sz w:val="20"/>
          <w:szCs w:val="20"/>
        </w:rPr>
      </w:pPr>
      <w:r>
        <w:rPr>
          <w:sz w:val="20"/>
          <w:szCs w:val="20"/>
        </w:rPr>
        <w:t> </w:t>
      </w:r>
    </w:p>
    <w:p w14:paraId="63226CB8" w14:textId="77777777" w:rsidR="00000000" w:rsidRDefault="00087966">
      <w:pPr>
        <w:pStyle w:val="a3"/>
        <w:spacing w:before="0" w:beforeAutospacing="0" w:after="0" w:afterAutospacing="0"/>
        <w:jc w:val="both"/>
        <w:divId w:val="1595479706"/>
        <w:rPr>
          <w:sz w:val="20"/>
          <w:szCs w:val="20"/>
        </w:rPr>
      </w:pPr>
      <w:r>
        <w:rPr>
          <w:sz w:val="20"/>
          <w:szCs w:val="20"/>
        </w:rPr>
        <w:t>The Sponsor has agreed to waive its liquidation rights with respect to the Founder Shares if the Company fails to complete a Business Combination within the Combination Pe</w:t>
      </w:r>
      <w:r>
        <w:rPr>
          <w:sz w:val="20"/>
          <w:szCs w:val="20"/>
        </w:rPr>
        <w:t>riod. However, if the Sponsor acquires Public Shares in or after the Initial Public Offering, such Public Shares will be entitled to liquidating distributions from the Trust Account if the Company fails to complete a Business Combination within the Combina</w:t>
      </w:r>
      <w:r>
        <w:rPr>
          <w:sz w:val="20"/>
          <w:szCs w:val="20"/>
        </w:rPr>
        <w:t>tion Period. The underwriters have agreed to waive their rights to their deferred underwriting commission (see Note 6) held in the Trust Account in the event the Company does not complete a Business Combination within the Combination Period and, in such ev</w:t>
      </w:r>
      <w:r>
        <w:rPr>
          <w:sz w:val="20"/>
          <w:szCs w:val="20"/>
        </w:rPr>
        <w:t>ent, such amounts will be included with the other funds held in the Trust Account that will be available to fund the redemption of the Public Shares. In the event of such distribution, it is possible that the per share value of the assets remaining availab</w:t>
      </w:r>
      <w:r>
        <w:rPr>
          <w:sz w:val="20"/>
          <w:szCs w:val="20"/>
        </w:rPr>
        <w:t>le for distribution will be less than the Initial Public Offering price per Unit ($10.00).</w:t>
      </w:r>
    </w:p>
    <w:p w14:paraId="3AB1C4DB" w14:textId="77777777" w:rsidR="00000000" w:rsidRDefault="00087966">
      <w:pPr>
        <w:pStyle w:val="a3"/>
        <w:spacing w:before="0" w:beforeAutospacing="0" w:after="0" w:afterAutospacing="0"/>
        <w:jc w:val="both"/>
        <w:divId w:val="1595479706"/>
        <w:rPr>
          <w:sz w:val="20"/>
          <w:szCs w:val="20"/>
        </w:rPr>
      </w:pPr>
      <w:r>
        <w:rPr>
          <w:sz w:val="20"/>
          <w:szCs w:val="20"/>
        </w:rPr>
        <w:t> </w:t>
      </w:r>
    </w:p>
    <w:p w14:paraId="50D9E29E" w14:textId="77777777" w:rsidR="00000000" w:rsidRDefault="00087966">
      <w:pPr>
        <w:pStyle w:val="a3"/>
        <w:spacing w:before="0" w:beforeAutospacing="0" w:after="0" w:afterAutospacing="0"/>
        <w:jc w:val="both"/>
        <w:divId w:val="1595479706"/>
        <w:rPr>
          <w:sz w:val="20"/>
          <w:szCs w:val="20"/>
        </w:rPr>
      </w:pPr>
      <w:r>
        <w:rPr>
          <w:sz w:val="20"/>
          <w:szCs w:val="20"/>
        </w:rPr>
        <w:t xml:space="preserve">In order to protect the amounts held in the Trust </w:t>
      </w:r>
      <w:r>
        <w:rPr>
          <w:sz w:val="20"/>
          <w:szCs w:val="20"/>
        </w:rPr>
        <w:t>Account, the Sponsor has agreed to be liable to the Company if and to the extent any claims by a third party for services rendered or products sold to the Company, or a prospective target business with which the Company has discussed entering into a transa</w:t>
      </w:r>
      <w:r>
        <w:rPr>
          <w:sz w:val="20"/>
          <w:szCs w:val="20"/>
        </w:rPr>
        <w:t xml:space="preserve">ction agreement, reduce the amount of funds in the Trust Account to below (1) $10.00 per Public Share or (2) the actual amount per Public Share held in the Trust Account as of the date of the liquidation of the Trust Account due to reductions in the value </w:t>
      </w:r>
      <w:r>
        <w:rPr>
          <w:sz w:val="20"/>
          <w:szCs w:val="20"/>
        </w:rPr>
        <w:t xml:space="preserve">of the trust assets, in each case net of the interest which may be withdrawn to pay taxes. This liability will not apply with respect to any claims by a third party who executed a waiver of any and all rights to seek access to the Trust Account and except </w:t>
      </w:r>
      <w:r>
        <w:rPr>
          <w:sz w:val="20"/>
          <w:szCs w:val="20"/>
        </w:rPr>
        <w:t>as to any claims under the Company’s indemnity of the underwriters of the Initial Public Offering against certain liabilities, including liabilities under the Securities Act of 1933, as amended (the “Securities Act”). Moreover, in the event that an execute</w:t>
      </w:r>
      <w:r>
        <w:rPr>
          <w:sz w:val="20"/>
          <w:szCs w:val="20"/>
        </w:rPr>
        <w:t xml:space="preserve">d waiver is deemed to be unenforceable against a third party, the Sponsor will not be responsible to the extent of any liability for such third-party claims. The Company will seek to reduce the possibility that the Sponsor will have to indemnify the Trust </w:t>
      </w:r>
      <w:r>
        <w:rPr>
          <w:sz w:val="20"/>
          <w:szCs w:val="20"/>
        </w:rPr>
        <w:t>Account due to claims of creditors by endeavoring to have all vendors, service providers (except the Company’s independent registered public accounting firm), prospective target businesses or other entities with which the Company does business, execute agr</w:t>
      </w:r>
      <w:r>
        <w:rPr>
          <w:sz w:val="20"/>
          <w:szCs w:val="20"/>
        </w:rPr>
        <w:t>eements with the Company waiving any right, title, interest or claim of any kind in or to monies held in the Trust Account.</w:t>
      </w:r>
    </w:p>
    <w:p w14:paraId="51D7B82A" w14:textId="77777777" w:rsidR="00000000" w:rsidRDefault="00087966">
      <w:pPr>
        <w:pStyle w:val="a3"/>
        <w:spacing w:before="0" w:beforeAutospacing="0" w:after="0" w:afterAutospacing="0"/>
        <w:jc w:val="both"/>
        <w:divId w:val="1595479706"/>
        <w:rPr>
          <w:sz w:val="20"/>
          <w:szCs w:val="20"/>
        </w:rPr>
      </w:pPr>
      <w:r>
        <w:rPr>
          <w:sz w:val="20"/>
          <w:szCs w:val="20"/>
        </w:rPr>
        <w:t> </w:t>
      </w:r>
    </w:p>
    <w:p w14:paraId="5BC10B42" w14:textId="77777777" w:rsidR="00000000" w:rsidRDefault="00087966">
      <w:pPr>
        <w:pStyle w:val="a3"/>
        <w:spacing w:before="0" w:beforeAutospacing="0" w:after="0" w:afterAutospacing="0"/>
        <w:jc w:val="both"/>
        <w:divId w:val="1595479706"/>
        <w:rPr>
          <w:sz w:val="20"/>
          <w:szCs w:val="20"/>
        </w:rPr>
      </w:pPr>
      <w:r>
        <w:rPr>
          <w:sz w:val="20"/>
          <w:szCs w:val="20"/>
        </w:rPr>
        <w:t>As further described in Note 6, on May 18, 2022, the Company entered into an Agreement and Plan of Merger (the “Merger Agreement”)</w:t>
      </w:r>
      <w:r>
        <w:rPr>
          <w:sz w:val="20"/>
          <w:szCs w:val="20"/>
        </w:rPr>
        <w:t xml:space="preserve"> with Merger Sub 1, Merger Sub 2 and Near Intelligence Holdings Inc., a Delaware corporation (“Near”). Pursuant to the Merger Agreement, subject to the terms and conditions set forth therein, immediately prior to the consummation (the “Closing”) of the tra</w:t>
      </w:r>
      <w:r>
        <w:rPr>
          <w:sz w:val="20"/>
          <w:szCs w:val="20"/>
        </w:rPr>
        <w:t>nsactions contemplated by the Merger Agreement, (i) Merger Sub 1 will merge with and into Near, with Near surviving the merger as a wholly-owned subsidiary of the Company (the “First Merger”) and (ii) immediately following the First Merger, Near, as the su</w:t>
      </w:r>
      <w:r>
        <w:rPr>
          <w:sz w:val="20"/>
          <w:szCs w:val="20"/>
        </w:rPr>
        <w:t>rviving entity of the First Merger, will merge with and into Merger Sub 2, with Merger Sub 2 being the surviving entity (the “Second Merger” and, together with the First Merger, the “Mergers” or the “Target Business Combination”). In connection with the Me</w:t>
      </w:r>
      <w:r>
        <w:rPr>
          <w:sz w:val="20"/>
          <w:szCs w:val="20"/>
        </w:rPr>
        <w:t>rgers, the Company will change its corporate name to “Near Intelligence, Inc.”</w:t>
      </w:r>
    </w:p>
    <w:p w14:paraId="17D9C150" w14:textId="77777777" w:rsidR="00000000" w:rsidRDefault="00087966">
      <w:pPr>
        <w:pStyle w:val="a3"/>
        <w:spacing w:before="0" w:beforeAutospacing="0" w:after="0" w:afterAutospacing="0"/>
        <w:jc w:val="both"/>
        <w:divId w:val="1595479706"/>
        <w:rPr>
          <w:sz w:val="20"/>
          <w:szCs w:val="20"/>
        </w:rPr>
      </w:pPr>
      <w:r>
        <w:rPr>
          <w:sz w:val="20"/>
          <w:szCs w:val="20"/>
        </w:rPr>
        <w:t> </w:t>
      </w:r>
    </w:p>
    <w:p w14:paraId="17D9E7D7" w14:textId="77777777" w:rsidR="00000000" w:rsidRDefault="00087966">
      <w:pPr>
        <w:pStyle w:val="a3"/>
        <w:spacing w:before="0" w:beforeAutospacing="0" w:after="0" w:afterAutospacing="0"/>
        <w:jc w:val="center"/>
        <w:divId w:val="226694367"/>
        <w:rPr>
          <w:sz w:val="20"/>
          <w:szCs w:val="20"/>
        </w:rPr>
      </w:pPr>
      <w:r>
        <w:rPr>
          <w:sz w:val="20"/>
          <w:szCs w:val="20"/>
        </w:rPr>
        <w:t>F</w:t>
      </w:r>
      <w:r>
        <w:rPr>
          <w:sz w:val="20"/>
          <w:szCs w:val="20"/>
        </w:rPr>
        <w:t>-</w:t>
      </w:r>
      <w:r>
        <w:rPr>
          <w:sz w:val="20"/>
          <w:szCs w:val="20"/>
        </w:rPr>
        <w:t>8</w:t>
      </w:r>
    </w:p>
    <w:p w14:paraId="1D9FEB6A" w14:textId="77777777" w:rsidR="00000000" w:rsidRDefault="00087966">
      <w:pPr>
        <w:pStyle w:val="a3"/>
        <w:spacing w:before="0" w:beforeAutospacing="0" w:after="0" w:afterAutospacing="0"/>
        <w:divId w:val="1312752189"/>
        <w:rPr>
          <w:sz w:val="20"/>
          <w:szCs w:val="20"/>
        </w:rPr>
      </w:pPr>
      <w:r>
        <w:rPr>
          <w:sz w:val="20"/>
          <w:szCs w:val="20"/>
        </w:rPr>
        <w:t> </w:t>
      </w:r>
    </w:p>
    <w:p w14:paraId="1B16FFDA" w14:textId="77777777" w:rsidR="00000000" w:rsidRDefault="00087966">
      <w:pPr>
        <w:pStyle w:val="a3"/>
        <w:spacing w:before="0" w:beforeAutospacing="0" w:after="0" w:afterAutospacing="0"/>
        <w:jc w:val="both"/>
        <w:divId w:val="1595479706"/>
        <w:rPr>
          <w:sz w:val="20"/>
          <w:szCs w:val="20"/>
        </w:rPr>
      </w:pPr>
      <w:r>
        <w:rPr>
          <w:sz w:val="20"/>
          <w:szCs w:val="20"/>
        </w:rPr>
        <w:t> </w:t>
      </w:r>
    </w:p>
    <w:p w14:paraId="5C620677"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379EECE1"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66F251EC"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793DB0EF" w14:textId="77777777" w:rsidR="00000000" w:rsidRDefault="00087966">
      <w:pPr>
        <w:pStyle w:val="a3"/>
        <w:spacing w:before="0" w:beforeAutospacing="0" w:after="0" w:afterAutospacing="0"/>
        <w:jc w:val="both"/>
        <w:divId w:val="1595479706"/>
        <w:rPr>
          <w:sz w:val="20"/>
          <w:szCs w:val="20"/>
        </w:rPr>
      </w:pPr>
      <w:r>
        <w:rPr>
          <w:sz w:val="20"/>
          <w:szCs w:val="20"/>
        </w:rPr>
        <w:t> </w:t>
      </w:r>
    </w:p>
    <w:p w14:paraId="4EB9B7BC" w14:textId="77777777" w:rsidR="00000000" w:rsidRDefault="00087966">
      <w:pPr>
        <w:pStyle w:val="a3"/>
        <w:spacing w:before="0" w:beforeAutospacing="0" w:after="0" w:afterAutospacing="0"/>
        <w:jc w:val="both"/>
        <w:divId w:val="1595479706"/>
        <w:rPr>
          <w:sz w:val="20"/>
          <w:szCs w:val="20"/>
        </w:rPr>
      </w:pPr>
      <w:r>
        <w:rPr>
          <w:b/>
          <w:bCs/>
          <w:i/>
          <w:iCs/>
          <w:sz w:val="20"/>
          <w:szCs w:val="20"/>
        </w:rPr>
        <w:t>Liquidity and Going Concern</w:t>
      </w:r>
    </w:p>
    <w:p w14:paraId="45CA8B53" w14:textId="77777777" w:rsidR="00000000" w:rsidRDefault="00087966">
      <w:pPr>
        <w:pStyle w:val="a3"/>
        <w:spacing w:before="0" w:beforeAutospacing="0" w:after="0" w:afterAutospacing="0"/>
        <w:jc w:val="both"/>
        <w:divId w:val="1595479706"/>
        <w:rPr>
          <w:sz w:val="20"/>
          <w:szCs w:val="20"/>
        </w:rPr>
      </w:pPr>
      <w:r>
        <w:rPr>
          <w:sz w:val="20"/>
          <w:szCs w:val="20"/>
        </w:rPr>
        <w:t> </w:t>
      </w:r>
    </w:p>
    <w:p w14:paraId="064FDBCD" w14:textId="77777777" w:rsidR="00000000" w:rsidRDefault="00087966">
      <w:pPr>
        <w:pStyle w:val="a3"/>
        <w:spacing w:before="0" w:beforeAutospacing="0" w:after="0" w:afterAutospacing="0"/>
        <w:jc w:val="both"/>
        <w:divId w:val="1595479706"/>
        <w:rPr>
          <w:sz w:val="20"/>
          <w:szCs w:val="20"/>
        </w:rPr>
      </w:pPr>
      <w:r>
        <w:rPr>
          <w:sz w:val="20"/>
          <w:szCs w:val="20"/>
        </w:rPr>
        <w:t>In order to fund working capital deficienc</w:t>
      </w:r>
      <w:r>
        <w:rPr>
          <w:sz w:val="20"/>
          <w:szCs w:val="20"/>
        </w:rPr>
        <w:t>ies or finance transaction costs in connection with a Business Combination, the Sponsor or an affiliate of the Sponsor or certain of the Company’s officers and directors may, but are not obligated to, loan the Company funds as may be required (“Working Cap</w:t>
      </w:r>
      <w:r>
        <w:rPr>
          <w:sz w:val="20"/>
          <w:szCs w:val="20"/>
        </w:rPr>
        <w:t xml:space="preserve">ital Loans”). Such Working Capital Loans would be evidenced by promissory notes. If the Company completes a Business Combination, it may repay the notes out of the proceeds of the Trust Account released to it. In the event that a Business Combination does </w:t>
      </w:r>
      <w:r>
        <w:rPr>
          <w:sz w:val="20"/>
          <w:szCs w:val="20"/>
        </w:rPr>
        <w:t>not close, the Company may use a portion of the working capital held outside the Trust Account to repay the notes, but no proceeds from our Trust Account would be used for such repayment. On January 21, 2022, the Company issued a promissory note with respe</w:t>
      </w:r>
      <w:r>
        <w:rPr>
          <w:sz w:val="20"/>
          <w:szCs w:val="20"/>
        </w:rPr>
        <w:t>ct to the Working Capital Loans in the principal amount of up to $1,500,000 to the Sponsor. The Working Capital Loan is non-interest bearing and payable upon the consummation of a Business Combination or may be convertible into warrants of the post-Busines</w:t>
      </w:r>
      <w:r>
        <w:rPr>
          <w:sz w:val="20"/>
          <w:szCs w:val="20"/>
        </w:rPr>
        <w:t>s Combination entity at a price of $1.00 per warrant. The warrants would be identical to the Private Placement Warrants (see Note 8). As of December 31, 2022, the Company had drawn $1,225,000 on the Working Capital Loan and had $275,000 available to draw.</w:t>
      </w:r>
    </w:p>
    <w:p w14:paraId="40B0097C" w14:textId="77777777" w:rsidR="00000000" w:rsidRDefault="00087966">
      <w:pPr>
        <w:pStyle w:val="a3"/>
        <w:spacing w:before="0" w:beforeAutospacing="0" w:after="0" w:afterAutospacing="0"/>
        <w:jc w:val="both"/>
        <w:divId w:val="1595479706"/>
        <w:rPr>
          <w:sz w:val="20"/>
          <w:szCs w:val="20"/>
        </w:rPr>
      </w:pPr>
      <w:r>
        <w:rPr>
          <w:sz w:val="20"/>
          <w:szCs w:val="20"/>
        </w:rPr>
        <w:t> </w:t>
      </w:r>
    </w:p>
    <w:p w14:paraId="3C68B4DC" w14:textId="77777777" w:rsidR="00000000" w:rsidRDefault="00087966">
      <w:pPr>
        <w:pStyle w:val="a3"/>
        <w:spacing w:before="0" w:beforeAutospacing="0" w:after="0" w:afterAutospacing="0"/>
        <w:jc w:val="both"/>
        <w:divId w:val="1595479706"/>
        <w:rPr>
          <w:sz w:val="20"/>
          <w:szCs w:val="20"/>
        </w:rPr>
      </w:pPr>
      <w:r>
        <w:rPr>
          <w:sz w:val="20"/>
          <w:szCs w:val="20"/>
        </w:rPr>
        <w:t>As of December 31, 2022, the Company had $101,161 in its operating bank accounts, $107,332,749 in cash and marketable securities held in the Trust Account to be used for a Business Combination or to repurchase or redeem its common stock in connection the</w:t>
      </w:r>
      <w:r>
        <w:rPr>
          <w:sz w:val="20"/>
          <w:szCs w:val="20"/>
        </w:rPr>
        <w:t>rewith and working capital deficit of $4,570,315, which excludes $125,394 of interest earned on the Trust Account which is available to pay Delaware franchise taxes payable and income taxes payable. As of December 31, 2022, $1,228,739 of the amount on depo</w:t>
      </w:r>
      <w:r>
        <w:rPr>
          <w:sz w:val="20"/>
          <w:szCs w:val="20"/>
        </w:rPr>
        <w:t>sit in the Trust Account represented interest income, which is available to pay the Company’s tax obligations.</w:t>
      </w:r>
    </w:p>
    <w:p w14:paraId="17EF3B75" w14:textId="77777777" w:rsidR="00000000" w:rsidRDefault="00087966">
      <w:pPr>
        <w:pStyle w:val="a3"/>
        <w:spacing w:before="0" w:beforeAutospacing="0" w:after="0" w:afterAutospacing="0"/>
        <w:jc w:val="both"/>
        <w:divId w:val="1595479706"/>
        <w:rPr>
          <w:sz w:val="20"/>
          <w:szCs w:val="20"/>
        </w:rPr>
      </w:pPr>
      <w:r>
        <w:rPr>
          <w:sz w:val="20"/>
          <w:szCs w:val="20"/>
        </w:rPr>
        <w:t> </w:t>
      </w:r>
    </w:p>
    <w:p w14:paraId="4FC8C1AF" w14:textId="77777777" w:rsidR="00000000" w:rsidRDefault="00087966">
      <w:pPr>
        <w:pStyle w:val="a3"/>
        <w:spacing w:before="0" w:beforeAutospacing="0" w:after="0" w:afterAutospacing="0"/>
        <w:jc w:val="both"/>
        <w:divId w:val="1595479706"/>
        <w:rPr>
          <w:sz w:val="20"/>
          <w:szCs w:val="20"/>
        </w:rPr>
      </w:pPr>
      <w:r>
        <w:rPr>
          <w:sz w:val="20"/>
          <w:szCs w:val="20"/>
        </w:rPr>
        <w:t>Until the consummation of a Business Combination, the Company has used and will be using the funds not held in the Trust Account and any additi</w:t>
      </w:r>
      <w:r>
        <w:rPr>
          <w:sz w:val="20"/>
          <w:szCs w:val="20"/>
        </w:rPr>
        <w:t>onal funds available under the financing arrangement described below for completing the Company’s Target Business Combination.</w:t>
      </w:r>
    </w:p>
    <w:p w14:paraId="63BB29AB" w14:textId="77777777" w:rsidR="00000000" w:rsidRDefault="00087966">
      <w:pPr>
        <w:pStyle w:val="a3"/>
        <w:spacing w:before="0" w:beforeAutospacing="0" w:after="0" w:afterAutospacing="0"/>
        <w:jc w:val="both"/>
        <w:divId w:val="1595479706"/>
        <w:rPr>
          <w:sz w:val="20"/>
          <w:szCs w:val="20"/>
        </w:rPr>
      </w:pPr>
      <w:r>
        <w:rPr>
          <w:sz w:val="20"/>
          <w:szCs w:val="20"/>
        </w:rPr>
        <w:t> </w:t>
      </w:r>
    </w:p>
    <w:p w14:paraId="1E3A6FD2" w14:textId="77777777" w:rsidR="00000000" w:rsidRDefault="00087966">
      <w:pPr>
        <w:pStyle w:val="a3"/>
        <w:spacing w:before="0" w:beforeAutospacing="0" w:after="0" w:afterAutospacing="0"/>
        <w:jc w:val="both"/>
        <w:divId w:val="1595479706"/>
        <w:rPr>
          <w:sz w:val="20"/>
          <w:szCs w:val="20"/>
        </w:rPr>
      </w:pPr>
      <w:r>
        <w:rPr>
          <w:sz w:val="20"/>
          <w:szCs w:val="20"/>
        </w:rPr>
        <w:t>In connection with the Company’s assessment of going concern considerations in accordance with Financial Accounting Standards B</w:t>
      </w:r>
      <w:r>
        <w:rPr>
          <w:sz w:val="20"/>
          <w:szCs w:val="20"/>
        </w:rPr>
        <w:t>oard’s Accounting Standards Codification Subtopic 205-40, “Presentation of Financial Statements – Going Concern,” the Company has until April 11, 2023, to consummate an initial Business Combination. It is uncertain that the Company will be able to consumma</w:t>
      </w:r>
      <w:r>
        <w:rPr>
          <w:sz w:val="20"/>
          <w:szCs w:val="20"/>
        </w:rPr>
        <w:t>te an initial Business Combination by this time. If an initial Business Combination is not consummated by this date, there will be a mandatory liquidation and subsequent dissolution of the Company. Additionally, the Company may not have sufficient liquidit</w:t>
      </w:r>
      <w:r>
        <w:rPr>
          <w:sz w:val="20"/>
          <w:szCs w:val="20"/>
        </w:rPr>
        <w:t>y to fund the working capital needs of the Company through one year from the issuance of these consolidated financial statements. Management has determined that the liquidity condition and mandatory liquidation, should an initial Business Combination not o</w:t>
      </w:r>
      <w:r>
        <w:rPr>
          <w:sz w:val="20"/>
          <w:szCs w:val="20"/>
        </w:rPr>
        <w:t>ccur, and potential subsequent dissolution raises substantial doubt about the Company’s ability to continue as a going concern. No adjustments have been made to the carrying amounts of assets or liabilities should the Company be required to liquidate after</w:t>
      </w:r>
      <w:r>
        <w:rPr>
          <w:sz w:val="20"/>
          <w:szCs w:val="20"/>
        </w:rPr>
        <w:t xml:space="preserve"> April 11, 2023.</w:t>
      </w:r>
    </w:p>
    <w:p w14:paraId="42E097F1"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3D31CB6C" w14:textId="77777777" w:rsidR="00000000" w:rsidRDefault="00087966">
      <w:pPr>
        <w:pStyle w:val="a3"/>
        <w:spacing w:before="0" w:beforeAutospacing="0" w:after="0" w:afterAutospacing="0"/>
        <w:jc w:val="both"/>
        <w:divId w:val="1595479706"/>
        <w:rPr>
          <w:sz w:val="20"/>
          <w:szCs w:val="20"/>
        </w:rPr>
      </w:pPr>
      <w:r>
        <w:rPr>
          <w:b/>
          <w:bCs/>
          <w:i/>
          <w:iCs/>
          <w:sz w:val="20"/>
          <w:szCs w:val="20"/>
        </w:rPr>
        <w:t>Risks and Uncertainties</w:t>
      </w:r>
    </w:p>
    <w:p w14:paraId="3A55C407"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074E1990" w14:textId="77777777" w:rsidR="00000000" w:rsidRDefault="00087966">
      <w:pPr>
        <w:pStyle w:val="a3"/>
        <w:spacing w:before="0" w:beforeAutospacing="0" w:after="0" w:afterAutospacing="0"/>
        <w:jc w:val="both"/>
        <w:divId w:val="1595479706"/>
        <w:rPr>
          <w:sz w:val="20"/>
          <w:szCs w:val="20"/>
        </w:rPr>
      </w:pPr>
      <w:r>
        <w:rPr>
          <w:sz w:val="20"/>
          <w:szCs w:val="20"/>
        </w:rPr>
        <w:t>Management continues to evaluate the impact of the COVID-19 pandemic and has concluded that while it is reasonably possible that the virus could have a negative effect on the Company’s financial position, result</w:t>
      </w:r>
      <w:r>
        <w:rPr>
          <w:sz w:val="20"/>
          <w:szCs w:val="20"/>
        </w:rPr>
        <w:t>s of its operations and/or search for a target company, the specific impact is not readily determinable as of the date of the consolidated financial statements. The consolidated financial statements do not include any adjustments that might result from the</w:t>
      </w:r>
      <w:r>
        <w:rPr>
          <w:sz w:val="20"/>
          <w:szCs w:val="20"/>
        </w:rPr>
        <w:t xml:space="preserve"> outcome of this uncertainty.</w:t>
      </w:r>
    </w:p>
    <w:p w14:paraId="5A3754B2" w14:textId="77777777" w:rsidR="00000000" w:rsidRDefault="00087966">
      <w:pPr>
        <w:pStyle w:val="a3"/>
        <w:spacing w:before="0" w:beforeAutospacing="0" w:after="0" w:afterAutospacing="0"/>
        <w:jc w:val="both"/>
        <w:divId w:val="1595479706"/>
        <w:rPr>
          <w:sz w:val="20"/>
          <w:szCs w:val="20"/>
        </w:rPr>
      </w:pPr>
      <w:r>
        <w:rPr>
          <w:sz w:val="20"/>
          <w:szCs w:val="20"/>
        </w:rPr>
        <w:t> </w:t>
      </w:r>
    </w:p>
    <w:p w14:paraId="17B91106" w14:textId="77777777" w:rsidR="00000000" w:rsidRDefault="00087966">
      <w:pPr>
        <w:pStyle w:val="a3"/>
        <w:spacing w:before="0" w:beforeAutospacing="0" w:after="0" w:afterAutospacing="0"/>
        <w:jc w:val="both"/>
        <w:divId w:val="1595479706"/>
        <w:rPr>
          <w:sz w:val="20"/>
          <w:szCs w:val="20"/>
        </w:rPr>
      </w:pPr>
      <w:r>
        <w:rPr>
          <w:sz w:val="20"/>
          <w:szCs w:val="20"/>
        </w:rPr>
        <w:t xml:space="preserve">In February 2022, the Russian Federation and </w:t>
      </w:r>
      <w:r>
        <w:rPr>
          <w:sz w:val="20"/>
          <w:szCs w:val="20"/>
        </w:rPr>
        <w:t>Belarus commenced a military action with the country of Ukraine. As a result of this action, various nations, including the United States, have instituted economic sanctions against the Russian Federation and Belarus. Further, the impact of this action and</w:t>
      </w:r>
      <w:r>
        <w:rPr>
          <w:sz w:val="20"/>
          <w:szCs w:val="20"/>
        </w:rPr>
        <w:t xml:space="preserve"> related sanctions on the world economy are not determinable as of the date of these financial statements. The specific impact on the Company’s financial condition, results of operations, and cash flows is also not determinable as of the date of these cons</w:t>
      </w:r>
      <w:r>
        <w:rPr>
          <w:sz w:val="20"/>
          <w:szCs w:val="20"/>
        </w:rPr>
        <w:t>olidated financial statements.</w:t>
      </w:r>
    </w:p>
    <w:p w14:paraId="31CEDD49"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680C05A5" w14:textId="77777777" w:rsidR="00000000" w:rsidRDefault="00087966">
      <w:pPr>
        <w:pStyle w:val="a3"/>
        <w:spacing w:before="0" w:beforeAutospacing="0" w:after="0" w:afterAutospacing="0"/>
        <w:jc w:val="both"/>
        <w:divId w:val="1595479706"/>
        <w:rPr>
          <w:sz w:val="20"/>
          <w:szCs w:val="20"/>
        </w:rPr>
      </w:pPr>
      <w:r>
        <w:rPr>
          <w:b/>
          <w:bCs/>
          <w:sz w:val="20"/>
          <w:szCs w:val="20"/>
        </w:rPr>
        <w:t>NOTE 2</w:t>
      </w:r>
      <w:r>
        <w:rPr>
          <w:b/>
          <w:bCs/>
          <w:sz w:val="20"/>
          <w:szCs w:val="20"/>
        </w:rPr>
        <w:t> </w:t>
      </w:r>
      <w:r>
        <w:rPr>
          <w:b/>
          <w:bCs/>
          <w:sz w:val="20"/>
          <w:szCs w:val="20"/>
        </w:rPr>
        <w:t>—</w:t>
      </w:r>
      <w:r>
        <w:rPr>
          <w:b/>
          <w:bCs/>
          <w:sz w:val="20"/>
          <w:szCs w:val="20"/>
        </w:rPr>
        <w:t> </w:t>
      </w:r>
      <w:r>
        <w:rPr>
          <w:b/>
          <w:bCs/>
          <w:sz w:val="20"/>
          <w:szCs w:val="20"/>
        </w:rPr>
        <w:t>SUMMARY OF SIGNIFICANT ACCOUNTING POLICIES</w:t>
      </w:r>
    </w:p>
    <w:p w14:paraId="304179C3" w14:textId="77777777" w:rsidR="00000000" w:rsidRDefault="00087966">
      <w:pPr>
        <w:pStyle w:val="a3"/>
        <w:spacing w:before="0" w:beforeAutospacing="0" w:after="0" w:afterAutospacing="0"/>
        <w:divId w:val="1595479706"/>
        <w:rPr>
          <w:sz w:val="20"/>
          <w:szCs w:val="20"/>
        </w:rPr>
      </w:pPr>
      <w:r>
        <w:rPr>
          <w:sz w:val="20"/>
          <w:szCs w:val="20"/>
        </w:rPr>
        <w:t> </w:t>
      </w:r>
    </w:p>
    <w:p w14:paraId="5AE8FA1E" w14:textId="77777777" w:rsidR="00000000" w:rsidRDefault="00087966">
      <w:pPr>
        <w:pStyle w:val="a3"/>
        <w:spacing w:before="0" w:beforeAutospacing="0" w:after="0" w:afterAutospacing="0"/>
        <w:jc w:val="both"/>
        <w:divId w:val="1595479706"/>
        <w:rPr>
          <w:sz w:val="20"/>
          <w:szCs w:val="20"/>
        </w:rPr>
      </w:pPr>
      <w:r>
        <w:rPr>
          <w:b/>
          <w:bCs/>
          <w:i/>
          <w:iCs/>
          <w:sz w:val="20"/>
          <w:szCs w:val="20"/>
        </w:rPr>
        <w:t>Basis of Presentation</w:t>
      </w:r>
    </w:p>
    <w:p w14:paraId="36D0274B" w14:textId="77777777" w:rsidR="00000000" w:rsidRDefault="00087966">
      <w:pPr>
        <w:pStyle w:val="a3"/>
        <w:spacing w:before="0" w:beforeAutospacing="0" w:after="0" w:afterAutospacing="0"/>
        <w:divId w:val="1595479706"/>
        <w:rPr>
          <w:sz w:val="20"/>
          <w:szCs w:val="20"/>
        </w:rPr>
      </w:pPr>
      <w:r>
        <w:rPr>
          <w:sz w:val="20"/>
          <w:szCs w:val="20"/>
        </w:rPr>
        <w:t> </w:t>
      </w:r>
    </w:p>
    <w:p w14:paraId="6A802C47" w14:textId="77777777" w:rsidR="00000000" w:rsidRDefault="00087966">
      <w:pPr>
        <w:pStyle w:val="a3"/>
        <w:spacing w:before="0" w:beforeAutospacing="0" w:after="0" w:afterAutospacing="0"/>
        <w:jc w:val="both"/>
        <w:divId w:val="1595479706"/>
        <w:rPr>
          <w:sz w:val="20"/>
          <w:szCs w:val="20"/>
        </w:rPr>
      </w:pPr>
      <w:r>
        <w:rPr>
          <w:sz w:val="20"/>
          <w:szCs w:val="20"/>
        </w:rPr>
        <w:t>The accompanying consolidated financial statements have been prepared in accordance with accounting principles generally accepted in the United S</w:t>
      </w:r>
      <w:r>
        <w:rPr>
          <w:sz w:val="20"/>
          <w:szCs w:val="20"/>
        </w:rPr>
        <w:t>tates of America (“U.S. GAAP”) and pursuant to the rules and regulations of the SEC.</w:t>
      </w:r>
    </w:p>
    <w:p w14:paraId="522F9D4C" w14:textId="77777777" w:rsidR="00000000" w:rsidRDefault="00087966">
      <w:pPr>
        <w:pStyle w:val="a3"/>
        <w:spacing w:before="0" w:beforeAutospacing="0" w:after="0" w:afterAutospacing="0"/>
        <w:divId w:val="1595479706"/>
        <w:rPr>
          <w:sz w:val="20"/>
          <w:szCs w:val="20"/>
        </w:rPr>
      </w:pPr>
      <w:r>
        <w:rPr>
          <w:sz w:val="20"/>
          <w:szCs w:val="20"/>
        </w:rPr>
        <w:t> </w:t>
      </w:r>
    </w:p>
    <w:p w14:paraId="07B24FF8" w14:textId="77777777" w:rsidR="00000000" w:rsidRDefault="00087966">
      <w:pPr>
        <w:pStyle w:val="a3"/>
        <w:spacing w:before="0" w:beforeAutospacing="0" w:after="0" w:afterAutospacing="0"/>
        <w:jc w:val="center"/>
        <w:divId w:val="2029410330"/>
        <w:rPr>
          <w:sz w:val="20"/>
          <w:szCs w:val="20"/>
        </w:rPr>
      </w:pPr>
      <w:r>
        <w:rPr>
          <w:sz w:val="20"/>
          <w:szCs w:val="20"/>
        </w:rPr>
        <w:t>F</w:t>
      </w:r>
      <w:r>
        <w:rPr>
          <w:sz w:val="20"/>
          <w:szCs w:val="20"/>
        </w:rPr>
        <w:t>-</w:t>
      </w:r>
      <w:r>
        <w:rPr>
          <w:sz w:val="20"/>
          <w:szCs w:val="20"/>
        </w:rPr>
        <w:t>9</w:t>
      </w:r>
    </w:p>
    <w:p w14:paraId="5EB28B06" w14:textId="77777777" w:rsidR="00000000" w:rsidRDefault="00087966">
      <w:pPr>
        <w:pStyle w:val="a3"/>
        <w:spacing w:before="0" w:beforeAutospacing="0" w:after="0" w:afterAutospacing="0"/>
        <w:divId w:val="2006394621"/>
        <w:rPr>
          <w:sz w:val="20"/>
          <w:szCs w:val="20"/>
        </w:rPr>
      </w:pPr>
      <w:r>
        <w:rPr>
          <w:sz w:val="20"/>
          <w:szCs w:val="20"/>
        </w:rPr>
        <w:t> </w:t>
      </w:r>
    </w:p>
    <w:p w14:paraId="028C4C49" w14:textId="77777777" w:rsidR="00000000" w:rsidRDefault="00087966">
      <w:pPr>
        <w:pStyle w:val="a3"/>
        <w:spacing w:before="0" w:beforeAutospacing="0" w:after="0" w:afterAutospacing="0"/>
        <w:divId w:val="1595479706"/>
        <w:rPr>
          <w:sz w:val="20"/>
          <w:szCs w:val="20"/>
        </w:rPr>
      </w:pPr>
      <w:r>
        <w:rPr>
          <w:sz w:val="20"/>
          <w:szCs w:val="20"/>
        </w:rPr>
        <w:t> </w:t>
      </w:r>
    </w:p>
    <w:p w14:paraId="5B573D99"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3CE2EF73"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6908E997"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15F62564" w14:textId="77777777" w:rsidR="00000000" w:rsidRDefault="00087966">
      <w:pPr>
        <w:pStyle w:val="a3"/>
        <w:spacing w:before="0" w:beforeAutospacing="0" w:after="0" w:afterAutospacing="0"/>
        <w:divId w:val="1595479706"/>
        <w:rPr>
          <w:sz w:val="20"/>
          <w:szCs w:val="20"/>
        </w:rPr>
      </w:pPr>
      <w:r>
        <w:rPr>
          <w:sz w:val="20"/>
          <w:szCs w:val="20"/>
        </w:rPr>
        <w:t> </w:t>
      </w:r>
    </w:p>
    <w:p w14:paraId="1F053782" w14:textId="77777777" w:rsidR="00000000" w:rsidRDefault="00087966">
      <w:pPr>
        <w:pStyle w:val="a3"/>
        <w:spacing w:before="0" w:beforeAutospacing="0" w:after="0" w:afterAutospacing="0"/>
        <w:jc w:val="both"/>
        <w:divId w:val="1595479706"/>
        <w:rPr>
          <w:sz w:val="20"/>
          <w:szCs w:val="20"/>
        </w:rPr>
      </w:pPr>
      <w:r>
        <w:rPr>
          <w:b/>
          <w:bCs/>
          <w:i/>
          <w:iCs/>
          <w:sz w:val="20"/>
          <w:szCs w:val="20"/>
        </w:rPr>
        <w:t>Principles of Consolidation</w:t>
      </w:r>
    </w:p>
    <w:p w14:paraId="262F4953"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7F1CB97C" w14:textId="77777777" w:rsidR="00000000" w:rsidRDefault="00087966">
      <w:pPr>
        <w:pStyle w:val="a3"/>
        <w:spacing w:before="0" w:beforeAutospacing="0" w:after="0" w:afterAutospacing="0"/>
        <w:jc w:val="both"/>
        <w:divId w:val="1595479706"/>
        <w:rPr>
          <w:sz w:val="20"/>
          <w:szCs w:val="20"/>
        </w:rPr>
      </w:pPr>
      <w:r>
        <w:rPr>
          <w:sz w:val="20"/>
          <w:szCs w:val="20"/>
        </w:rPr>
        <w:t>The accompanying consolidated financ</w:t>
      </w:r>
      <w:r>
        <w:rPr>
          <w:sz w:val="20"/>
          <w:szCs w:val="20"/>
        </w:rPr>
        <w:t>ial statements include the accounts of the Company and its wholly-owned subsidiaries, which were formed on April 21, 2022. All significant intercompany balances and transactions have been eliminated in consolidation.</w:t>
      </w:r>
    </w:p>
    <w:p w14:paraId="0C04BD11" w14:textId="77777777" w:rsidR="00000000" w:rsidRDefault="00087966">
      <w:pPr>
        <w:pStyle w:val="a3"/>
        <w:spacing w:before="0" w:beforeAutospacing="0" w:after="0" w:afterAutospacing="0"/>
        <w:divId w:val="1595479706"/>
        <w:rPr>
          <w:sz w:val="20"/>
          <w:szCs w:val="20"/>
        </w:rPr>
      </w:pPr>
      <w:r>
        <w:rPr>
          <w:sz w:val="20"/>
          <w:szCs w:val="20"/>
        </w:rPr>
        <w:t> </w:t>
      </w:r>
    </w:p>
    <w:p w14:paraId="2CD5E1C2" w14:textId="77777777" w:rsidR="00000000" w:rsidRDefault="00087966">
      <w:pPr>
        <w:pStyle w:val="a3"/>
        <w:spacing w:before="0" w:beforeAutospacing="0" w:after="0" w:afterAutospacing="0"/>
        <w:jc w:val="both"/>
        <w:divId w:val="1595479706"/>
        <w:rPr>
          <w:sz w:val="20"/>
          <w:szCs w:val="20"/>
        </w:rPr>
      </w:pPr>
      <w:r>
        <w:rPr>
          <w:b/>
          <w:bCs/>
          <w:i/>
          <w:iCs/>
          <w:sz w:val="20"/>
          <w:szCs w:val="20"/>
        </w:rPr>
        <w:t>Emerging Growth Company</w:t>
      </w:r>
    </w:p>
    <w:p w14:paraId="2442AC3D" w14:textId="77777777" w:rsidR="00000000" w:rsidRDefault="00087966">
      <w:pPr>
        <w:pStyle w:val="a3"/>
        <w:spacing w:before="0" w:beforeAutospacing="0" w:after="0" w:afterAutospacing="0"/>
        <w:divId w:val="1595479706"/>
        <w:rPr>
          <w:sz w:val="20"/>
          <w:szCs w:val="20"/>
        </w:rPr>
      </w:pPr>
      <w:r>
        <w:rPr>
          <w:sz w:val="20"/>
          <w:szCs w:val="20"/>
        </w:rPr>
        <w:t> </w:t>
      </w:r>
    </w:p>
    <w:p w14:paraId="2CD6750E" w14:textId="77777777" w:rsidR="00000000" w:rsidRDefault="00087966">
      <w:pPr>
        <w:pStyle w:val="a3"/>
        <w:spacing w:before="0" w:beforeAutospacing="0" w:after="0" w:afterAutospacing="0"/>
        <w:jc w:val="both"/>
        <w:divId w:val="1595479706"/>
        <w:rPr>
          <w:sz w:val="20"/>
          <w:szCs w:val="20"/>
        </w:rPr>
      </w:pPr>
      <w:r>
        <w:rPr>
          <w:sz w:val="20"/>
          <w:szCs w:val="20"/>
        </w:rPr>
        <w:t>The Company</w:t>
      </w:r>
      <w:r>
        <w:rPr>
          <w:sz w:val="20"/>
          <w:szCs w:val="20"/>
        </w:rPr>
        <w:t xml:space="preserve"> is an “emerging growth company,” as defined in Section 2(a) of the Securities Act, as modified by the Jumpstart Our Business Startups Act of 2012 (the “JOBS Act”), and it may take advantage of certain exemptions from various reporting requirements that ar</w:t>
      </w:r>
      <w:r>
        <w:rPr>
          <w:sz w:val="20"/>
          <w:szCs w:val="20"/>
        </w:rPr>
        <w:t>e applicable to other public companies that are not emerging growth companies including, but not limited to, not being required to comply with the independent public accounting firm attestation requirements of Section 404 of the Sarbanes-Oxley Act of 2002,</w:t>
      </w:r>
      <w:r>
        <w:rPr>
          <w:sz w:val="20"/>
          <w:szCs w:val="20"/>
        </w:rPr>
        <w:t xml:space="preserve"> reduced disclosure obligations regarding executive compensation in its periodic reports and proxy statements, and exemptions from the requirements of holding a nonbinding advisory vote on executive compensation and stockholder approval of any golden parac</w:t>
      </w:r>
      <w:r>
        <w:rPr>
          <w:sz w:val="20"/>
          <w:szCs w:val="20"/>
        </w:rPr>
        <w:t>hute payments not previously approved.</w:t>
      </w:r>
    </w:p>
    <w:p w14:paraId="3A556C35" w14:textId="77777777" w:rsidR="00000000" w:rsidRDefault="00087966">
      <w:pPr>
        <w:pStyle w:val="a3"/>
        <w:spacing w:before="0" w:beforeAutospacing="0" w:after="0" w:afterAutospacing="0"/>
        <w:divId w:val="1595479706"/>
        <w:rPr>
          <w:sz w:val="20"/>
          <w:szCs w:val="20"/>
        </w:rPr>
      </w:pPr>
      <w:r>
        <w:rPr>
          <w:sz w:val="20"/>
          <w:szCs w:val="20"/>
        </w:rPr>
        <w:t> </w:t>
      </w:r>
    </w:p>
    <w:p w14:paraId="7A250A16" w14:textId="77777777" w:rsidR="00000000" w:rsidRDefault="00087966">
      <w:pPr>
        <w:pStyle w:val="a3"/>
        <w:spacing w:before="0" w:beforeAutospacing="0" w:after="0" w:afterAutospacing="0"/>
        <w:jc w:val="both"/>
        <w:divId w:val="1595479706"/>
        <w:rPr>
          <w:sz w:val="20"/>
          <w:szCs w:val="20"/>
        </w:rPr>
      </w:pPr>
      <w:r>
        <w:rPr>
          <w:sz w:val="20"/>
          <w:szCs w:val="20"/>
        </w:rPr>
        <w:t>Further, Section 102(b)(1) of the JOBS Act exempts emerging growth companies from being required to comply with new or revised financial accounting standards until private companies (that is, those that have not had</w:t>
      </w:r>
      <w:r>
        <w:rPr>
          <w:sz w:val="20"/>
          <w:szCs w:val="20"/>
        </w:rPr>
        <w:t xml:space="preserve"> a Securities Act registration statement declared effective or do not have a class of securities registered under the Exchange Act) are required to comply with the new or revised financial accounting standards. The JOBS Act provides that a company can elec</w:t>
      </w:r>
      <w:r>
        <w:rPr>
          <w:sz w:val="20"/>
          <w:szCs w:val="20"/>
        </w:rPr>
        <w:t>t to opt out of the extended transition period and comply with the requirements that apply to non-emerging growth companies but any such election to opt out is irrevocable. The Company has elected not to opt out of such extended transition period which mea</w:t>
      </w:r>
      <w:r>
        <w:rPr>
          <w:sz w:val="20"/>
          <w:szCs w:val="20"/>
        </w:rPr>
        <w:t>ns that when a standard is issued or revised and it has different application dates for public or private companies, the Company, as an emerging growth company, can adopt the new or revised standard at the time private companies adopt the new or revised st</w:t>
      </w:r>
      <w:r>
        <w:rPr>
          <w:sz w:val="20"/>
          <w:szCs w:val="20"/>
        </w:rPr>
        <w:t>andard. This may make comparison of the Company’s financial statements with another public company which is neither an emerging growth company nor an emerging growth company which has opted out of using the extended transition period difficult or impossibl</w:t>
      </w:r>
      <w:r>
        <w:rPr>
          <w:sz w:val="20"/>
          <w:szCs w:val="20"/>
        </w:rPr>
        <w:t>e because of the potential differences in accounting standards used.</w:t>
      </w:r>
    </w:p>
    <w:p w14:paraId="7A00F037" w14:textId="77777777" w:rsidR="00000000" w:rsidRDefault="00087966">
      <w:pPr>
        <w:pStyle w:val="a3"/>
        <w:spacing w:before="0" w:beforeAutospacing="0" w:after="0" w:afterAutospacing="0"/>
        <w:divId w:val="1595479706"/>
        <w:rPr>
          <w:sz w:val="20"/>
          <w:szCs w:val="20"/>
        </w:rPr>
      </w:pPr>
      <w:r>
        <w:rPr>
          <w:sz w:val="20"/>
          <w:szCs w:val="20"/>
        </w:rPr>
        <w:t> </w:t>
      </w:r>
    </w:p>
    <w:p w14:paraId="110C627F" w14:textId="77777777" w:rsidR="00000000" w:rsidRDefault="00087966">
      <w:pPr>
        <w:pStyle w:val="a3"/>
        <w:spacing w:before="0" w:beforeAutospacing="0" w:after="0" w:afterAutospacing="0"/>
        <w:jc w:val="both"/>
        <w:divId w:val="1595479706"/>
        <w:rPr>
          <w:sz w:val="20"/>
          <w:szCs w:val="20"/>
        </w:rPr>
      </w:pPr>
      <w:r>
        <w:rPr>
          <w:b/>
          <w:bCs/>
          <w:i/>
          <w:iCs/>
          <w:sz w:val="20"/>
          <w:szCs w:val="20"/>
        </w:rPr>
        <w:t>Use of Estimates</w:t>
      </w:r>
    </w:p>
    <w:p w14:paraId="232B66FF" w14:textId="77777777" w:rsidR="00000000" w:rsidRDefault="00087966">
      <w:pPr>
        <w:pStyle w:val="a3"/>
        <w:spacing w:before="0" w:beforeAutospacing="0" w:after="0" w:afterAutospacing="0"/>
        <w:divId w:val="1595479706"/>
        <w:rPr>
          <w:sz w:val="20"/>
          <w:szCs w:val="20"/>
        </w:rPr>
      </w:pPr>
      <w:r>
        <w:rPr>
          <w:sz w:val="20"/>
          <w:szCs w:val="20"/>
        </w:rPr>
        <w:t> </w:t>
      </w:r>
    </w:p>
    <w:p w14:paraId="531B1BB4" w14:textId="77777777" w:rsidR="00000000" w:rsidRDefault="00087966">
      <w:pPr>
        <w:pStyle w:val="a3"/>
        <w:spacing w:before="0" w:beforeAutospacing="0" w:after="0" w:afterAutospacing="0"/>
        <w:jc w:val="both"/>
        <w:divId w:val="1595479706"/>
        <w:rPr>
          <w:sz w:val="20"/>
          <w:szCs w:val="20"/>
        </w:rPr>
      </w:pPr>
      <w:r>
        <w:rPr>
          <w:sz w:val="20"/>
          <w:szCs w:val="20"/>
        </w:rPr>
        <w:t>The preparation of financial statements in conformity with U.S. GAAP requires the Company’</w:t>
      </w:r>
      <w:r>
        <w:rPr>
          <w:sz w:val="20"/>
          <w:szCs w:val="20"/>
        </w:rPr>
        <w:t>s management to make estimates and assumptions that affect the reported amounts of assets and liabilities and disclosure of contingent assets and liabilities at the date of the consolidated financial statements and the reported amounts of income and expens</w:t>
      </w:r>
      <w:r>
        <w:rPr>
          <w:sz w:val="20"/>
          <w:szCs w:val="20"/>
        </w:rPr>
        <w:t>es during the reporting periods.</w:t>
      </w:r>
    </w:p>
    <w:p w14:paraId="5202A4C7" w14:textId="77777777" w:rsidR="00000000" w:rsidRDefault="00087966">
      <w:pPr>
        <w:pStyle w:val="a3"/>
        <w:spacing w:before="0" w:beforeAutospacing="0" w:after="0" w:afterAutospacing="0"/>
        <w:divId w:val="1595479706"/>
        <w:rPr>
          <w:sz w:val="20"/>
          <w:szCs w:val="20"/>
        </w:rPr>
      </w:pPr>
      <w:r>
        <w:rPr>
          <w:sz w:val="20"/>
          <w:szCs w:val="20"/>
        </w:rPr>
        <w:t> </w:t>
      </w:r>
    </w:p>
    <w:p w14:paraId="4A783EB5" w14:textId="77777777" w:rsidR="00000000" w:rsidRDefault="00087966">
      <w:pPr>
        <w:pStyle w:val="a3"/>
        <w:spacing w:before="0" w:beforeAutospacing="0" w:after="0" w:afterAutospacing="0"/>
        <w:jc w:val="both"/>
        <w:divId w:val="1595479706"/>
        <w:rPr>
          <w:sz w:val="20"/>
          <w:szCs w:val="20"/>
        </w:rPr>
      </w:pPr>
      <w:r>
        <w:rPr>
          <w:sz w:val="20"/>
          <w:szCs w:val="20"/>
        </w:rPr>
        <w:t>Making estimates requires management to exercise significant judgment. It is at least reasonably possible that the estimate of the effect of a condition, situation or set of circumstances that existed at the date of the c</w:t>
      </w:r>
      <w:r>
        <w:rPr>
          <w:sz w:val="20"/>
          <w:szCs w:val="20"/>
        </w:rPr>
        <w:t>onsolidated financial statements, which management considered in formulating its estimate, could change in the near term due to one or more future confirming events. Accordingly, the actual results could differ significantly from those estimates.</w:t>
      </w:r>
    </w:p>
    <w:p w14:paraId="020A8C7C" w14:textId="77777777" w:rsidR="00000000" w:rsidRDefault="00087966">
      <w:pPr>
        <w:pStyle w:val="a3"/>
        <w:spacing w:before="0" w:beforeAutospacing="0" w:after="0" w:afterAutospacing="0"/>
        <w:divId w:val="1595479706"/>
        <w:rPr>
          <w:sz w:val="20"/>
          <w:szCs w:val="20"/>
        </w:rPr>
      </w:pPr>
      <w:r>
        <w:rPr>
          <w:sz w:val="20"/>
          <w:szCs w:val="20"/>
        </w:rPr>
        <w:t> </w:t>
      </w:r>
    </w:p>
    <w:p w14:paraId="69BC25A5" w14:textId="77777777" w:rsidR="00000000" w:rsidRDefault="00087966">
      <w:pPr>
        <w:pStyle w:val="a3"/>
        <w:spacing w:before="0" w:beforeAutospacing="0" w:after="0" w:afterAutospacing="0"/>
        <w:divId w:val="1595479706"/>
        <w:rPr>
          <w:sz w:val="20"/>
          <w:szCs w:val="20"/>
        </w:rPr>
      </w:pPr>
      <w:r>
        <w:rPr>
          <w:b/>
          <w:bCs/>
          <w:i/>
          <w:iCs/>
          <w:sz w:val="20"/>
          <w:szCs w:val="20"/>
        </w:rPr>
        <w:t>Cash an</w:t>
      </w:r>
      <w:r>
        <w:rPr>
          <w:b/>
          <w:bCs/>
          <w:i/>
          <w:iCs/>
          <w:sz w:val="20"/>
          <w:szCs w:val="20"/>
        </w:rPr>
        <w:t>d Cash Equivalents</w:t>
      </w:r>
    </w:p>
    <w:p w14:paraId="71FD1869" w14:textId="77777777" w:rsidR="00000000" w:rsidRDefault="00087966">
      <w:pPr>
        <w:pStyle w:val="a3"/>
        <w:spacing w:before="0" w:beforeAutospacing="0" w:after="0" w:afterAutospacing="0"/>
        <w:divId w:val="1595479706"/>
        <w:rPr>
          <w:sz w:val="20"/>
          <w:szCs w:val="20"/>
        </w:rPr>
      </w:pPr>
      <w:r>
        <w:rPr>
          <w:sz w:val="20"/>
          <w:szCs w:val="20"/>
        </w:rPr>
        <w:t> </w:t>
      </w:r>
    </w:p>
    <w:p w14:paraId="159E7373" w14:textId="77777777" w:rsidR="00000000" w:rsidRDefault="00087966">
      <w:pPr>
        <w:pStyle w:val="a3"/>
        <w:spacing w:before="0" w:beforeAutospacing="0" w:after="0" w:afterAutospacing="0"/>
        <w:jc w:val="both"/>
        <w:divId w:val="1595479706"/>
        <w:rPr>
          <w:sz w:val="20"/>
          <w:szCs w:val="20"/>
        </w:rPr>
      </w:pPr>
      <w:r>
        <w:rPr>
          <w:sz w:val="20"/>
          <w:szCs w:val="20"/>
        </w:rPr>
        <w:t>The Company considers all short-term investments with an original maturity of three months or less when purchased to be cash equivalents. The Company did not have any cash equivalents as of December 31, 2022 and 2021.</w:t>
      </w:r>
    </w:p>
    <w:p w14:paraId="7ABFCDA1" w14:textId="77777777" w:rsidR="00000000" w:rsidRDefault="00087966">
      <w:pPr>
        <w:pStyle w:val="a3"/>
        <w:spacing w:before="0" w:beforeAutospacing="0" w:after="0" w:afterAutospacing="0"/>
        <w:jc w:val="both"/>
        <w:divId w:val="1595479706"/>
        <w:rPr>
          <w:sz w:val="20"/>
          <w:szCs w:val="20"/>
        </w:rPr>
      </w:pPr>
      <w:r>
        <w:rPr>
          <w:sz w:val="20"/>
          <w:szCs w:val="20"/>
        </w:rPr>
        <w:t> </w:t>
      </w:r>
    </w:p>
    <w:p w14:paraId="2B4084F0" w14:textId="77777777" w:rsidR="00000000" w:rsidRDefault="00087966">
      <w:pPr>
        <w:pStyle w:val="a3"/>
        <w:spacing w:before="0" w:beforeAutospacing="0" w:after="0" w:afterAutospacing="0"/>
        <w:jc w:val="center"/>
        <w:divId w:val="993215220"/>
        <w:rPr>
          <w:sz w:val="20"/>
          <w:szCs w:val="20"/>
        </w:rPr>
      </w:pPr>
      <w:r>
        <w:rPr>
          <w:sz w:val="20"/>
          <w:szCs w:val="20"/>
        </w:rPr>
        <w:t>F</w:t>
      </w:r>
      <w:r>
        <w:rPr>
          <w:sz w:val="20"/>
          <w:szCs w:val="20"/>
        </w:rPr>
        <w:t>-</w:t>
      </w:r>
      <w:r>
        <w:rPr>
          <w:sz w:val="20"/>
          <w:szCs w:val="20"/>
        </w:rPr>
        <w:t>1</w:t>
      </w:r>
      <w:r>
        <w:rPr>
          <w:sz w:val="20"/>
          <w:szCs w:val="20"/>
        </w:rPr>
        <w:t>0</w:t>
      </w:r>
    </w:p>
    <w:p w14:paraId="6538B0F2" w14:textId="77777777" w:rsidR="00000000" w:rsidRDefault="00087966">
      <w:pPr>
        <w:pStyle w:val="a3"/>
        <w:spacing w:before="0" w:beforeAutospacing="0" w:after="0" w:afterAutospacing="0"/>
        <w:divId w:val="584532786"/>
        <w:rPr>
          <w:sz w:val="20"/>
          <w:szCs w:val="20"/>
        </w:rPr>
      </w:pPr>
      <w:r>
        <w:rPr>
          <w:sz w:val="20"/>
          <w:szCs w:val="20"/>
        </w:rPr>
        <w:t> </w:t>
      </w:r>
    </w:p>
    <w:p w14:paraId="4AE911E0" w14:textId="77777777" w:rsidR="00000000" w:rsidRDefault="00087966">
      <w:pPr>
        <w:pStyle w:val="a3"/>
        <w:spacing w:before="0" w:beforeAutospacing="0" w:after="0" w:afterAutospacing="0"/>
        <w:jc w:val="both"/>
        <w:divId w:val="1595479706"/>
        <w:rPr>
          <w:sz w:val="20"/>
          <w:szCs w:val="20"/>
        </w:rPr>
      </w:pPr>
      <w:r>
        <w:rPr>
          <w:sz w:val="20"/>
          <w:szCs w:val="20"/>
        </w:rPr>
        <w:t> </w:t>
      </w:r>
    </w:p>
    <w:p w14:paraId="6A5F8FAC" w14:textId="77777777" w:rsidR="00000000" w:rsidRDefault="00087966">
      <w:pPr>
        <w:pStyle w:val="a3"/>
        <w:spacing w:before="0" w:beforeAutospacing="0" w:after="0" w:afterAutospacing="0"/>
        <w:jc w:val="center"/>
        <w:divId w:val="1595479706"/>
        <w:rPr>
          <w:sz w:val="20"/>
          <w:szCs w:val="20"/>
        </w:rPr>
      </w:pPr>
      <w:r>
        <w:rPr>
          <w:b/>
          <w:bCs/>
          <w:sz w:val="20"/>
          <w:szCs w:val="20"/>
        </w:rPr>
        <w:t>KLUDEI</w:t>
      </w:r>
      <w:r>
        <w:rPr>
          <w:b/>
          <w:bCs/>
          <w:sz w:val="20"/>
          <w:szCs w:val="20"/>
        </w:rPr>
        <w:t>N I ACQUISITION CORP.</w:t>
      </w:r>
    </w:p>
    <w:p w14:paraId="6F179665"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76F18385"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2A4F75A3" w14:textId="77777777" w:rsidR="00000000" w:rsidRDefault="00087966">
      <w:pPr>
        <w:pStyle w:val="a3"/>
        <w:spacing w:before="0" w:beforeAutospacing="0" w:after="0" w:afterAutospacing="0"/>
        <w:jc w:val="both"/>
        <w:divId w:val="1595479706"/>
        <w:rPr>
          <w:sz w:val="20"/>
          <w:szCs w:val="20"/>
        </w:rPr>
      </w:pPr>
      <w:r>
        <w:rPr>
          <w:sz w:val="20"/>
          <w:szCs w:val="20"/>
        </w:rPr>
        <w:t> </w:t>
      </w:r>
    </w:p>
    <w:p w14:paraId="4560AC7B" w14:textId="77777777" w:rsidR="00000000" w:rsidRDefault="00087966">
      <w:pPr>
        <w:pStyle w:val="a3"/>
        <w:spacing w:before="0" w:beforeAutospacing="0" w:after="0" w:afterAutospacing="0"/>
        <w:jc w:val="both"/>
        <w:divId w:val="1595479706"/>
        <w:rPr>
          <w:sz w:val="20"/>
          <w:szCs w:val="20"/>
        </w:rPr>
      </w:pPr>
      <w:r>
        <w:rPr>
          <w:b/>
          <w:bCs/>
          <w:i/>
          <w:iCs/>
          <w:sz w:val="20"/>
          <w:szCs w:val="20"/>
        </w:rPr>
        <w:t>Marketable Securities Held in Trust Account</w:t>
      </w:r>
    </w:p>
    <w:p w14:paraId="28C5C25A" w14:textId="77777777" w:rsidR="00000000" w:rsidRDefault="00087966">
      <w:pPr>
        <w:pStyle w:val="a3"/>
        <w:spacing w:before="0" w:beforeAutospacing="0" w:after="0" w:afterAutospacing="0"/>
        <w:jc w:val="both"/>
        <w:divId w:val="1595479706"/>
        <w:rPr>
          <w:sz w:val="20"/>
          <w:szCs w:val="20"/>
        </w:rPr>
      </w:pPr>
      <w:r>
        <w:rPr>
          <w:sz w:val="20"/>
          <w:szCs w:val="20"/>
        </w:rPr>
        <w:t> </w:t>
      </w:r>
    </w:p>
    <w:p w14:paraId="45BDBE1A" w14:textId="77777777" w:rsidR="00000000" w:rsidRDefault="00087966">
      <w:pPr>
        <w:pStyle w:val="a3"/>
        <w:spacing w:before="0" w:beforeAutospacing="0" w:after="0" w:afterAutospacing="0"/>
        <w:jc w:val="both"/>
        <w:divId w:val="1595479706"/>
        <w:rPr>
          <w:sz w:val="20"/>
          <w:szCs w:val="20"/>
        </w:rPr>
      </w:pPr>
      <w:r>
        <w:rPr>
          <w:sz w:val="20"/>
          <w:szCs w:val="20"/>
        </w:rPr>
        <w:t>At December 31, 2022, substantially all of the assets held in the Trust Account were held in money market funds which are</w:t>
      </w:r>
      <w:r>
        <w:rPr>
          <w:sz w:val="20"/>
          <w:szCs w:val="20"/>
        </w:rPr>
        <w:t xml:space="preserve"> invested primarily in U.S. Treasury securities. At December 31, 2021, substantially all of the assets held in the Trust Account were primarily invested in U.S. Treasury securities. All of the Company’s investments held in the Trust Account are classified </w:t>
      </w:r>
      <w:r>
        <w:rPr>
          <w:sz w:val="20"/>
          <w:szCs w:val="20"/>
        </w:rPr>
        <w:t>as trading securities. Trading securities are presented on the consolidated balance sheets at fair value at the end of each reporting period. Interest earned and gains and losses resulting from the change in fair value of investments held in the Trust Acco</w:t>
      </w:r>
      <w:r>
        <w:rPr>
          <w:sz w:val="20"/>
          <w:szCs w:val="20"/>
        </w:rPr>
        <w:t>unt are included in the accompanying consolidated statements of operations. The estimated fair values of investments held in Trust Account are determined using available market information.</w:t>
      </w:r>
    </w:p>
    <w:p w14:paraId="1B32C942" w14:textId="77777777" w:rsidR="00000000" w:rsidRDefault="00087966">
      <w:pPr>
        <w:pStyle w:val="a3"/>
        <w:spacing w:before="0" w:beforeAutospacing="0" w:after="0" w:afterAutospacing="0"/>
        <w:jc w:val="both"/>
        <w:divId w:val="1595479706"/>
        <w:rPr>
          <w:sz w:val="20"/>
          <w:szCs w:val="20"/>
        </w:rPr>
      </w:pPr>
      <w:r>
        <w:rPr>
          <w:sz w:val="20"/>
          <w:szCs w:val="20"/>
        </w:rPr>
        <w:t> </w:t>
      </w:r>
    </w:p>
    <w:p w14:paraId="065FAC57" w14:textId="77777777" w:rsidR="00000000" w:rsidRDefault="00087966">
      <w:pPr>
        <w:pStyle w:val="a3"/>
        <w:spacing w:before="0" w:beforeAutospacing="0" w:after="0" w:afterAutospacing="0"/>
        <w:jc w:val="both"/>
        <w:divId w:val="1595479706"/>
        <w:rPr>
          <w:sz w:val="20"/>
          <w:szCs w:val="20"/>
        </w:rPr>
      </w:pPr>
      <w:r>
        <w:rPr>
          <w:b/>
          <w:bCs/>
          <w:i/>
          <w:iCs/>
          <w:sz w:val="20"/>
          <w:szCs w:val="20"/>
        </w:rPr>
        <w:t>Class A Common Stock Subject to Possible Redemption</w:t>
      </w:r>
    </w:p>
    <w:p w14:paraId="1F634466" w14:textId="77777777" w:rsidR="00000000" w:rsidRDefault="00087966">
      <w:pPr>
        <w:pStyle w:val="a3"/>
        <w:spacing w:before="0" w:beforeAutospacing="0" w:after="0" w:afterAutospacing="0"/>
        <w:jc w:val="both"/>
        <w:divId w:val="1595479706"/>
        <w:rPr>
          <w:sz w:val="20"/>
          <w:szCs w:val="20"/>
        </w:rPr>
      </w:pPr>
      <w:r>
        <w:rPr>
          <w:sz w:val="20"/>
          <w:szCs w:val="20"/>
        </w:rPr>
        <w:t> </w:t>
      </w:r>
    </w:p>
    <w:p w14:paraId="3E43B8C6" w14:textId="77777777" w:rsidR="00000000" w:rsidRDefault="00087966">
      <w:pPr>
        <w:pStyle w:val="a3"/>
        <w:spacing w:before="0" w:beforeAutospacing="0" w:after="0" w:afterAutospacing="0"/>
        <w:jc w:val="both"/>
        <w:divId w:val="1595479706"/>
        <w:rPr>
          <w:sz w:val="20"/>
          <w:szCs w:val="20"/>
        </w:rPr>
      </w:pPr>
      <w:r>
        <w:rPr>
          <w:sz w:val="20"/>
          <w:szCs w:val="20"/>
        </w:rPr>
        <w:t>The Compan</w:t>
      </w:r>
      <w:r>
        <w:rPr>
          <w:sz w:val="20"/>
          <w:szCs w:val="20"/>
        </w:rPr>
        <w:t xml:space="preserve">y accounts for its Class A common stock subject to possible redemption in accordance with the guidance in ASC Topic 480, “Distinguishing Liabilities from Equity.” Class A common stock subject to mandatory redemption is classified as a liability instrument </w:t>
      </w:r>
      <w:r>
        <w:rPr>
          <w:sz w:val="20"/>
          <w:szCs w:val="20"/>
        </w:rPr>
        <w:t>and is measured at fair value. Conditionally redeemable common stock (including Class A common stock that features redemption rights that are either within the control of the holder or subject to redemption upon the occurrence of uncertain events not solel</w:t>
      </w:r>
      <w:r>
        <w:rPr>
          <w:sz w:val="20"/>
          <w:szCs w:val="20"/>
        </w:rPr>
        <w:t>y within the Company’s control) is classified as temporary equity. At all other times, common stock is classified as stockholders’ equity. The Company’s common stock features certain redemption rights that are considered to be outside of the Company’s cont</w:t>
      </w:r>
      <w:r>
        <w:rPr>
          <w:sz w:val="20"/>
          <w:szCs w:val="20"/>
        </w:rPr>
        <w:t>rol and subject to occurrence of uncertain future events. Accordingly, Class A common stock subject to possible redemption is presented at redemption value as temporary equity, outside of the stockholders’ deficit section of the Company’s consolidated bala</w:t>
      </w:r>
      <w:r>
        <w:rPr>
          <w:sz w:val="20"/>
          <w:szCs w:val="20"/>
        </w:rPr>
        <w:t>nce sheets.</w:t>
      </w:r>
    </w:p>
    <w:p w14:paraId="471454DA" w14:textId="77777777" w:rsidR="00000000" w:rsidRDefault="00087966">
      <w:pPr>
        <w:pStyle w:val="a3"/>
        <w:spacing w:before="0" w:beforeAutospacing="0" w:after="0" w:afterAutospacing="0"/>
        <w:jc w:val="both"/>
        <w:divId w:val="1595479706"/>
        <w:rPr>
          <w:sz w:val="20"/>
          <w:szCs w:val="20"/>
        </w:rPr>
      </w:pPr>
      <w:r>
        <w:rPr>
          <w:sz w:val="20"/>
          <w:szCs w:val="20"/>
        </w:rPr>
        <w:t> </w:t>
      </w:r>
    </w:p>
    <w:p w14:paraId="72080FA0" w14:textId="77777777" w:rsidR="00000000" w:rsidRDefault="00087966">
      <w:pPr>
        <w:pStyle w:val="a3"/>
        <w:spacing w:before="0" w:beforeAutospacing="0" w:after="0" w:afterAutospacing="0"/>
        <w:jc w:val="both"/>
        <w:divId w:val="1595479706"/>
        <w:rPr>
          <w:sz w:val="20"/>
          <w:szCs w:val="20"/>
        </w:rPr>
      </w:pPr>
      <w:r>
        <w:rPr>
          <w:sz w:val="20"/>
          <w:szCs w:val="20"/>
        </w:rPr>
        <w:t xml:space="preserve">The Company recognizes changes in redemption </w:t>
      </w:r>
      <w:r>
        <w:rPr>
          <w:sz w:val="20"/>
          <w:szCs w:val="20"/>
        </w:rPr>
        <w:t>value immediately as they occur and adjusts the carrying value of redeemable common stock to equal the redemption value at the end of each reporting period. Immediately upon the closing of the Initial Public Offering, the Company recognized the re-measurem</w:t>
      </w:r>
      <w:r>
        <w:rPr>
          <w:sz w:val="20"/>
          <w:szCs w:val="20"/>
        </w:rPr>
        <w:t>ent from initial carrying value to redemption amount, which approximates fair value. The change in the carrying value of redeemable Class A common stock resulted in charges against additional paid-in capital (to the extent available), accumulated deficit a</w:t>
      </w:r>
      <w:r>
        <w:rPr>
          <w:sz w:val="20"/>
          <w:szCs w:val="20"/>
        </w:rPr>
        <w:t>nd Class A common stock during the year ended December 31, 2021. The change in the carrying value of redeemable Class A common stock during the year ended December 31, 2022 was an increase of $3,196,047 which represents cumulative earnings on the Trust Acc</w:t>
      </w:r>
      <w:r>
        <w:rPr>
          <w:sz w:val="20"/>
          <w:szCs w:val="20"/>
        </w:rPr>
        <w:t>ount through December 31, 2022, net of Trust Account earnings paid out upon redemptions, and amounts available to pay for the Company’s tax obligations as of December 31, 2022.</w:t>
      </w:r>
    </w:p>
    <w:p w14:paraId="3A4C6490" w14:textId="77777777" w:rsidR="00000000" w:rsidRDefault="00087966">
      <w:pPr>
        <w:pStyle w:val="a3"/>
        <w:spacing w:before="0" w:beforeAutospacing="0" w:after="0" w:afterAutospacing="0"/>
        <w:jc w:val="both"/>
        <w:divId w:val="1595479706"/>
        <w:rPr>
          <w:sz w:val="20"/>
          <w:szCs w:val="20"/>
        </w:rPr>
      </w:pPr>
      <w:r>
        <w:rPr>
          <w:sz w:val="20"/>
          <w:szCs w:val="20"/>
        </w:rPr>
        <w:t> </w:t>
      </w:r>
    </w:p>
    <w:p w14:paraId="1FBAB079" w14:textId="77777777" w:rsidR="00000000" w:rsidRDefault="00087966">
      <w:pPr>
        <w:pStyle w:val="a3"/>
        <w:spacing w:before="0" w:beforeAutospacing="0" w:after="0" w:afterAutospacing="0"/>
        <w:jc w:val="both"/>
        <w:divId w:val="1595479706"/>
        <w:rPr>
          <w:sz w:val="20"/>
          <w:szCs w:val="20"/>
        </w:rPr>
      </w:pPr>
      <w:r>
        <w:rPr>
          <w:sz w:val="20"/>
          <w:szCs w:val="20"/>
        </w:rPr>
        <w:t>At December 31, 2022 and 2021, the shares of Class A common stock reflected i</w:t>
      </w:r>
      <w:r>
        <w:rPr>
          <w:sz w:val="20"/>
          <w:szCs w:val="20"/>
        </w:rPr>
        <w:t>n the consolidated balance sheets as temporary equity were reconciled in the following table:</w:t>
      </w:r>
    </w:p>
    <w:p w14:paraId="5810C25C"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022"/>
        <w:gridCol w:w="50"/>
        <w:gridCol w:w="50"/>
        <w:gridCol w:w="900"/>
        <w:gridCol w:w="67"/>
        <w:gridCol w:w="50"/>
        <w:gridCol w:w="100"/>
        <w:gridCol w:w="1000"/>
        <w:gridCol w:w="67"/>
      </w:tblGrid>
      <w:tr w:rsidR="00000000" w14:paraId="285821B1" w14:textId="77777777">
        <w:trPr>
          <w:divId w:val="1595479706"/>
        </w:trPr>
        <w:tc>
          <w:tcPr>
            <w:tcW w:w="0" w:type="auto"/>
            <w:tcMar>
              <w:top w:w="0" w:type="dxa"/>
              <w:left w:w="0" w:type="dxa"/>
              <w:bottom w:w="30" w:type="dxa"/>
              <w:right w:w="0" w:type="dxa"/>
            </w:tcMar>
            <w:vAlign w:val="bottom"/>
            <w:hideMark/>
          </w:tcPr>
          <w:p w14:paraId="15FD2A4D" w14:textId="77777777" w:rsidR="00000000" w:rsidRDefault="0008796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C4C8E83" w14:textId="77777777" w:rsidR="00000000" w:rsidRDefault="0008796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003F675" w14:textId="77777777" w:rsidR="00000000" w:rsidRDefault="00087966">
            <w:pPr>
              <w:jc w:val="center"/>
              <w:rPr>
                <w:rFonts w:eastAsia="Times New Roman"/>
                <w:b/>
                <w:bCs/>
                <w:sz w:val="20"/>
                <w:szCs w:val="20"/>
              </w:rPr>
            </w:pPr>
            <w:r>
              <w:rPr>
                <w:rFonts w:eastAsia="Times New Roman"/>
                <w:b/>
                <w:bCs/>
                <w:sz w:val="20"/>
                <w:szCs w:val="20"/>
              </w:rPr>
              <w:t>Number of</w:t>
            </w:r>
            <w:r>
              <w:rPr>
                <w:rFonts w:eastAsia="Times New Roman"/>
                <w:b/>
                <w:bCs/>
                <w:sz w:val="20"/>
                <w:szCs w:val="20"/>
              </w:rPr>
              <w:br/>
              <w:t>Shares</w:t>
            </w:r>
          </w:p>
        </w:tc>
        <w:tc>
          <w:tcPr>
            <w:tcW w:w="0" w:type="auto"/>
            <w:tcMar>
              <w:top w:w="0" w:type="dxa"/>
              <w:left w:w="0" w:type="dxa"/>
              <w:bottom w:w="30" w:type="dxa"/>
              <w:right w:w="0" w:type="dxa"/>
            </w:tcMar>
            <w:vAlign w:val="bottom"/>
            <w:hideMark/>
          </w:tcPr>
          <w:p w14:paraId="0312A932" w14:textId="77777777" w:rsidR="00000000" w:rsidRDefault="00087966">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DF18999" w14:textId="77777777" w:rsidR="00000000" w:rsidRDefault="00087966">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638B9C2" w14:textId="77777777" w:rsidR="00000000" w:rsidRDefault="00087966">
            <w:pPr>
              <w:jc w:val="center"/>
              <w:rPr>
                <w:rFonts w:eastAsia="Times New Roman"/>
                <w:b/>
                <w:bCs/>
                <w:sz w:val="20"/>
                <w:szCs w:val="20"/>
              </w:rPr>
            </w:pPr>
            <w:r>
              <w:rPr>
                <w:rFonts w:eastAsia="Times New Roman"/>
                <w:b/>
                <w:bCs/>
                <w:sz w:val="20"/>
                <w:szCs w:val="20"/>
              </w:rPr>
              <w:t>Carrying Amount</w:t>
            </w:r>
          </w:p>
        </w:tc>
        <w:tc>
          <w:tcPr>
            <w:tcW w:w="0" w:type="auto"/>
            <w:tcMar>
              <w:top w:w="0" w:type="dxa"/>
              <w:left w:w="0" w:type="dxa"/>
              <w:bottom w:w="30" w:type="dxa"/>
              <w:right w:w="0" w:type="dxa"/>
            </w:tcMar>
            <w:vAlign w:val="bottom"/>
            <w:hideMark/>
          </w:tcPr>
          <w:p w14:paraId="393B05BE" w14:textId="77777777" w:rsidR="00000000" w:rsidRDefault="00087966">
            <w:pPr>
              <w:jc w:val="center"/>
              <w:rPr>
                <w:rFonts w:eastAsia="Times New Roman"/>
                <w:b/>
                <w:bCs/>
                <w:sz w:val="20"/>
                <w:szCs w:val="20"/>
              </w:rPr>
            </w:pPr>
            <w:r>
              <w:rPr>
                <w:rFonts w:eastAsia="Times New Roman"/>
                <w:b/>
                <w:bCs/>
                <w:sz w:val="20"/>
                <w:szCs w:val="20"/>
              </w:rPr>
              <w:t> </w:t>
            </w:r>
          </w:p>
        </w:tc>
      </w:tr>
      <w:tr w:rsidR="00000000" w14:paraId="683BB24D" w14:textId="77777777">
        <w:trPr>
          <w:divId w:val="1595479706"/>
        </w:trPr>
        <w:tc>
          <w:tcPr>
            <w:tcW w:w="3800" w:type="pct"/>
            <w:shd w:val="clear" w:color="auto" w:fill="CCEEFF"/>
            <w:vAlign w:val="bottom"/>
            <w:hideMark/>
          </w:tcPr>
          <w:p w14:paraId="58114AB5" w14:textId="77777777" w:rsidR="00000000" w:rsidRDefault="00087966">
            <w:pPr>
              <w:rPr>
                <w:rFonts w:eastAsia="Times New Roman"/>
                <w:sz w:val="20"/>
                <w:szCs w:val="20"/>
              </w:rPr>
            </w:pPr>
            <w:r>
              <w:rPr>
                <w:rFonts w:eastAsia="Times New Roman"/>
                <w:sz w:val="20"/>
                <w:szCs w:val="20"/>
              </w:rPr>
              <w:t>Gross proceeds for the Initial Public Offering</w:t>
            </w:r>
          </w:p>
        </w:tc>
        <w:tc>
          <w:tcPr>
            <w:tcW w:w="50" w:type="pct"/>
            <w:shd w:val="clear" w:color="auto" w:fill="CCEEFF"/>
            <w:vAlign w:val="bottom"/>
            <w:hideMark/>
          </w:tcPr>
          <w:p w14:paraId="2A6BDF91"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6C810A" w14:textId="77777777" w:rsidR="00000000" w:rsidRDefault="00087966">
            <w:pPr>
              <w:rPr>
                <w:rFonts w:eastAsia="Times New Roman"/>
                <w:sz w:val="20"/>
                <w:szCs w:val="20"/>
              </w:rPr>
            </w:pPr>
            <w:r>
              <w:rPr>
                <w:rFonts w:eastAsia="Times New Roman"/>
                <w:sz w:val="20"/>
                <w:szCs w:val="20"/>
              </w:rPr>
              <w:t> </w:t>
            </w:r>
          </w:p>
        </w:tc>
        <w:tc>
          <w:tcPr>
            <w:tcW w:w="450" w:type="pct"/>
            <w:shd w:val="clear" w:color="auto" w:fill="CCEEFF"/>
            <w:vAlign w:val="bottom"/>
            <w:hideMark/>
          </w:tcPr>
          <w:p w14:paraId="689F1B6C" w14:textId="77777777" w:rsidR="00000000" w:rsidRDefault="00087966">
            <w:pPr>
              <w:jc w:val="right"/>
              <w:rPr>
                <w:rFonts w:eastAsia="Times New Roman"/>
                <w:sz w:val="20"/>
                <w:szCs w:val="20"/>
              </w:rPr>
            </w:pPr>
            <w:r>
              <w:rPr>
                <w:rFonts w:eastAsia="Times New Roman"/>
                <w:sz w:val="20"/>
                <w:szCs w:val="20"/>
              </w:rPr>
              <w:t>17,250,000</w:t>
            </w:r>
          </w:p>
        </w:tc>
        <w:tc>
          <w:tcPr>
            <w:tcW w:w="50" w:type="pct"/>
            <w:shd w:val="clear" w:color="auto" w:fill="CCEEFF"/>
            <w:vAlign w:val="bottom"/>
            <w:hideMark/>
          </w:tcPr>
          <w:p w14:paraId="3AEBE051"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0609545A"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2EF5BAC4"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240AC247" w14:textId="77777777" w:rsidR="00000000" w:rsidRDefault="00087966">
            <w:pPr>
              <w:jc w:val="right"/>
              <w:rPr>
                <w:rFonts w:eastAsia="Times New Roman"/>
                <w:sz w:val="20"/>
                <w:szCs w:val="20"/>
              </w:rPr>
            </w:pPr>
            <w:r>
              <w:rPr>
                <w:rFonts w:eastAsia="Times New Roman"/>
                <w:sz w:val="20"/>
                <w:szCs w:val="20"/>
              </w:rPr>
              <w:t>172,500,000</w:t>
            </w:r>
          </w:p>
        </w:tc>
        <w:tc>
          <w:tcPr>
            <w:tcW w:w="50" w:type="pct"/>
            <w:shd w:val="clear" w:color="auto" w:fill="CCEEFF"/>
            <w:vAlign w:val="bottom"/>
            <w:hideMark/>
          </w:tcPr>
          <w:p w14:paraId="4BCBE5CC" w14:textId="77777777" w:rsidR="00000000" w:rsidRDefault="00087966">
            <w:pPr>
              <w:rPr>
                <w:rFonts w:eastAsia="Times New Roman"/>
                <w:sz w:val="20"/>
                <w:szCs w:val="20"/>
              </w:rPr>
            </w:pPr>
            <w:r>
              <w:rPr>
                <w:rFonts w:eastAsia="Times New Roman"/>
                <w:sz w:val="20"/>
                <w:szCs w:val="20"/>
              </w:rPr>
              <w:t> </w:t>
            </w:r>
          </w:p>
        </w:tc>
      </w:tr>
      <w:tr w:rsidR="00000000" w14:paraId="1FB11568" w14:textId="77777777">
        <w:trPr>
          <w:divId w:val="1595479706"/>
        </w:trPr>
        <w:tc>
          <w:tcPr>
            <w:tcW w:w="0" w:type="auto"/>
            <w:vAlign w:val="bottom"/>
            <w:hideMark/>
          </w:tcPr>
          <w:p w14:paraId="55342317" w14:textId="77777777" w:rsidR="00000000" w:rsidRDefault="00087966">
            <w:pPr>
              <w:rPr>
                <w:rFonts w:eastAsia="Times New Roman"/>
                <w:sz w:val="20"/>
                <w:szCs w:val="20"/>
              </w:rPr>
            </w:pPr>
            <w:r>
              <w:rPr>
                <w:rFonts w:eastAsia="Times New Roman"/>
                <w:sz w:val="20"/>
                <w:szCs w:val="20"/>
              </w:rPr>
              <w:t>Less:</w:t>
            </w:r>
          </w:p>
        </w:tc>
        <w:tc>
          <w:tcPr>
            <w:tcW w:w="0" w:type="auto"/>
            <w:vAlign w:val="bottom"/>
            <w:hideMark/>
          </w:tcPr>
          <w:p w14:paraId="4C33118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E336E2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614FA3F"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DD1324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D83B81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1396D4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322BFAB"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71FF2C3" w14:textId="77777777" w:rsidR="00000000" w:rsidRDefault="00087966">
            <w:pPr>
              <w:rPr>
                <w:rFonts w:eastAsia="Times New Roman"/>
                <w:sz w:val="20"/>
                <w:szCs w:val="20"/>
              </w:rPr>
            </w:pPr>
            <w:r>
              <w:rPr>
                <w:rFonts w:eastAsia="Times New Roman"/>
                <w:sz w:val="20"/>
                <w:szCs w:val="20"/>
              </w:rPr>
              <w:t> </w:t>
            </w:r>
          </w:p>
        </w:tc>
      </w:tr>
      <w:tr w:rsidR="00000000" w14:paraId="6BB9F049" w14:textId="77777777">
        <w:trPr>
          <w:divId w:val="1595479706"/>
        </w:trPr>
        <w:tc>
          <w:tcPr>
            <w:tcW w:w="0" w:type="auto"/>
            <w:shd w:val="clear" w:color="auto" w:fill="CCEEFF"/>
            <w:vAlign w:val="bottom"/>
            <w:hideMark/>
          </w:tcPr>
          <w:p w14:paraId="678F0647" w14:textId="77777777" w:rsidR="00000000" w:rsidRDefault="00087966">
            <w:pPr>
              <w:rPr>
                <w:rFonts w:eastAsia="Times New Roman"/>
                <w:sz w:val="20"/>
                <w:szCs w:val="20"/>
              </w:rPr>
            </w:pPr>
            <w:r>
              <w:rPr>
                <w:rFonts w:eastAsia="Times New Roman"/>
                <w:sz w:val="20"/>
                <w:szCs w:val="20"/>
              </w:rPr>
              <w:t>Proceeds allocated to the initial fair value of Public Warrants</w:t>
            </w:r>
          </w:p>
        </w:tc>
        <w:tc>
          <w:tcPr>
            <w:tcW w:w="0" w:type="auto"/>
            <w:shd w:val="clear" w:color="auto" w:fill="CCEEFF"/>
            <w:vAlign w:val="bottom"/>
            <w:hideMark/>
          </w:tcPr>
          <w:p w14:paraId="74F0C74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19E7C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DE8ACE"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47FA07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3B750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049E4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38C762" w14:textId="77777777" w:rsidR="00000000" w:rsidRDefault="00087966">
            <w:pPr>
              <w:jc w:val="right"/>
              <w:rPr>
                <w:rFonts w:eastAsia="Times New Roman"/>
                <w:sz w:val="20"/>
                <w:szCs w:val="20"/>
              </w:rPr>
            </w:pPr>
            <w:r>
              <w:rPr>
                <w:rFonts w:eastAsia="Times New Roman"/>
                <w:sz w:val="20"/>
                <w:szCs w:val="20"/>
              </w:rPr>
              <w:t>(6,210,000</w:t>
            </w:r>
          </w:p>
        </w:tc>
        <w:tc>
          <w:tcPr>
            <w:tcW w:w="0" w:type="auto"/>
            <w:shd w:val="clear" w:color="auto" w:fill="CCEEFF"/>
            <w:vAlign w:val="bottom"/>
            <w:hideMark/>
          </w:tcPr>
          <w:p w14:paraId="3845E048" w14:textId="77777777" w:rsidR="00000000" w:rsidRDefault="00087966">
            <w:pPr>
              <w:rPr>
                <w:rFonts w:eastAsia="Times New Roman"/>
                <w:sz w:val="20"/>
                <w:szCs w:val="20"/>
              </w:rPr>
            </w:pPr>
            <w:r>
              <w:rPr>
                <w:rFonts w:eastAsia="Times New Roman"/>
                <w:sz w:val="20"/>
                <w:szCs w:val="20"/>
              </w:rPr>
              <w:t>)</w:t>
            </w:r>
          </w:p>
        </w:tc>
      </w:tr>
      <w:tr w:rsidR="00000000" w14:paraId="1C299FA9" w14:textId="77777777">
        <w:trPr>
          <w:divId w:val="1595479706"/>
        </w:trPr>
        <w:tc>
          <w:tcPr>
            <w:tcW w:w="0" w:type="auto"/>
            <w:vAlign w:val="bottom"/>
            <w:hideMark/>
          </w:tcPr>
          <w:p w14:paraId="57442152" w14:textId="77777777" w:rsidR="00000000" w:rsidRDefault="00087966">
            <w:pPr>
              <w:rPr>
                <w:rFonts w:eastAsia="Times New Roman"/>
                <w:sz w:val="20"/>
                <w:szCs w:val="20"/>
              </w:rPr>
            </w:pPr>
            <w:r>
              <w:rPr>
                <w:rFonts w:eastAsia="Times New Roman"/>
                <w:sz w:val="20"/>
                <w:szCs w:val="20"/>
              </w:rPr>
              <w:t>Class A common stock issuance costs</w:t>
            </w:r>
          </w:p>
        </w:tc>
        <w:tc>
          <w:tcPr>
            <w:tcW w:w="0" w:type="auto"/>
            <w:vAlign w:val="bottom"/>
            <w:hideMark/>
          </w:tcPr>
          <w:p w14:paraId="6BBF29E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FB8022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13652E0"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C163FA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C93DED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FD82E9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3809DA4" w14:textId="77777777" w:rsidR="00000000" w:rsidRDefault="00087966">
            <w:pPr>
              <w:jc w:val="right"/>
              <w:rPr>
                <w:rFonts w:eastAsia="Times New Roman"/>
                <w:sz w:val="20"/>
                <w:szCs w:val="20"/>
              </w:rPr>
            </w:pPr>
            <w:r>
              <w:rPr>
                <w:rFonts w:eastAsia="Times New Roman"/>
                <w:sz w:val="20"/>
                <w:szCs w:val="20"/>
              </w:rPr>
              <w:t>(9,527,789</w:t>
            </w:r>
          </w:p>
        </w:tc>
        <w:tc>
          <w:tcPr>
            <w:tcW w:w="0" w:type="auto"/>
            <w:vAlign w:val="bottom"/>
            <w:hideMark/>
          </w:tcPr>
          <w:p w14:paraId="382C724C" w14:textId="77777777" w:rsidR="00000000" w:rsidRDefault="00087966">
            <w:pPr>
              <w:rPr>
                <w:rFonts w:eastAsia="Times New Roman"/>
                <w:sz w:val="20"/>
                <w:szCs w:val="20"/>
              </w:rPr>
            </w:pPr>
            <w:r>
              <w:rPr>
                <w:rFonts w:eastAsia="Times New Roman"/>
                <w:sz w:val="20"/>
                <w:szCs w:val="20"/>
              </w:rPr>
              <w:t>)</w:t>
            </w:r>
          </w:p>
        </w:tc>
      </w:tr>
      <w:tr w:rsidR="00000000" w14:paraId="707D3C45" w14:textId="77777777">
        <w:trPr>
          <w:divId w:val="1595479706"/>
        </w:trPr>
        <w:tc>
          <w:tcPr>
            <w:tcW w:w="0" w:type="auto"/>
            <w:shd w:val="clear" w:color="auto" w:fill="CCEEFF"/>
            <w:vAlign w:val="bottom"/>
            <w:hideMark/>
          </w:tcPr>
          <w:p w14:paraId="03DEC5E7" w14:textId="77777777" w:rsidR="00000000" w:rsidRDefault="00087966">
            <w:pPr>
              <w:rPr>
                <w:rFonts w:eastAsia="Times New Roman"/>
                <w:sz w:val="20"/>
                <w:szCs w:val="20"/>
              </w:rPr>
            </w:pPr>
            <w:r>
              <w:rPr>
                <w:rFonts w:eastAsia="Times New Roman"/>
                <w:sz w:val="20"/>
                <w:szCs w:val="20"/>
              </w:rPr>
              <w:t>Fair value of Founder Shares attributable to Anchor Investor allocated to redeemable Class A common stock, net of allocated transaction costs</w:t>
            </w:r>
          </w:p>
        </w:tc>
        <w:tc>
          <w:tcPr>
            <w:tcW w:w="0" w:type="auto"/>
            <w:shd w:val="clear" w:color="auto" w:fill="CCEEFF"/>
            <w:vAlign w:val="bottom"/>
            <w:hideMark/>
          </w:tcPr>
          <w:p w14:paraId="145AE88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97C3C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3DCA36"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083404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45A24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6F90B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1010FB" w14:textId="77777777" w:rsidR="00000000" w:rsidRDefault="00087966">
            <w:pPr>
              <w:jc w:val="right"/>
              <w:rPr>
                <w:rFonts w:eastAsia="Times New Roman"/>
                <w:sz w:val="20"/>
                <w:szCs w:val="20"/>
              </w:rPr>
            </w:pPr>
            <w:r>
              <w:rPr>
                <w:rFonts w:eastAsia="Times New Roman"/>
                <w:sz w:val="20"/>
                <w:szCs w:val="20"/>
              </w:rPr>
              <w:t>(4,252,433</w:t>
            </w:r>
          </w:p>
        </w:tc>
        <w:tc>
          <w:tcPr>
            <w:tcW w:w="0" w:type="auto"/>
            <w:shd w:val="clear" w:color="auto" w:fill="CCEEFF"/>
            <w:vAlign w:val="bottom"/>
            <w:hideMark/>
          </w:tcPr>
          <w:p w14:paraId="026825C2" w14:textId="77777777" w:rsidR="00000000" w:rsidRDefault="00087966">
            <w:pPr>
              <w:rPr>
                <w:rFonts w:eastAsia="Times New Roman"/>
                <w:sz w:val="20"/>
                <w:szCs w:val="20"/>
              </w:rPr>
            </w:pPr>
            <w:r>
              <w:rPr>
                <w:rFonts w:eastAsia="Times New Roman"/>
                <w:sz w:val="20"/>
                <w:szCs w:val="20"/>
              </w:rPr>
              <w:t>)</w:t>
            </w:r>
          </w:p>
        </w:tc>
      </w:tr>
      <w:tr w:rsidR="00000000" w14:paraId="74DA1476" w14:textId="77777777">
        <w:trPr>
          <w:divId w:val="1595479706"/>
        </w:trPr>
        <w:tc>
          <w:tcPr>
            <w:tcW w:w="0" w:type="auto"/>
            <w:vAlign w:val="bottom"/>
            <w:hideMark/>
          </w:tcPr>
          <w:p w14:paraId="0F7E1723" w14:textId="77777777" w:rsidR="00000000" w:rsidRDefault="00087966">
            <w:pPr>
              <w:rPr>
                <w:rFonts w:eastAsia="Times New Roman"/>
                <w:sz w:val="20"/>
                <w:szCs w:val="20"/>
              </w:rPr>
            </w:pPr>
            <w:r>
              <w:rPr>
                <w:rFonts w:eastAsia="Times New Roman"/>
                <w:sz w:val="20"/>
                <w:szCs w:val="20"/>
              </w:rPr>
              <w:t>Plus:</w:t>
            </w:r>
          </w:p>
        </w:tc>
        <w:tc>
          <w:tcPr>
            <w:tcW w:w="0" w:type="auto"/>
            <w:vAlign w:val="bottom"/>
            <w:hideMark/>
          </w:tcPr>
          <w:p w14:paraId="734A4BB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446A51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5370FAF"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C61813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3A80B1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0BECDA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2E40DAE"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1EDA4D9" w14:textId="77777777" w:rsidR="00000000" w:rsidRDefault="00087966">
            <w:pPr>
              <w:rPr>
                <w:rFonts w:eastAsia="Times New Roman"/>
                <w:sz w:val="20"/>
                <w:szCs w:val="20"/>
              </w:rPr>
            </w:pPr>
            <w:r>
              <w:rPr>
                <w:rFonts w:eastAsia="Times New Roman"/>
                <w:sz w:val="20"/>
                <w:szCs w:val="20"/>
              </w:rPr>
              <w:t> </w:t>
            </w:r>
          </w:p>
        </w:tc>
      </w:tr>
      <w:tr w:rsidR="00000000" w14:paraId="286377E0" w14:textId="77777777">
        <w:trPr>
          <w:divId w:val="1595479706"/>
        </w:trPr>
        <w:tc>
          <w:tcPr>
            <w:tcW w:w="0" w:type="auto"/>
            <w:shd w:val="clear" w:color="auto" w:fill="CCEEFF"/>
            <w:tcMar>
              <w:top w:w="0" w:type="dxa"/>
              <w:left w:w="0" w:type="dxa"/>
              <w:bottom w:w="30" w:type="dxa"/>
              <w:right w:w="0" w:type="dxa"/>
            </w:tcMar>
            <w:vAlign w:val="bottom"/>
            <w:hideMark/>
          </w:tcPr>
          <w:p w14:paraId="6D4FE7D4" w14:textId="77777777" w:rsidR="00000000" w:rsidRDefault="00087966">
            <w:pPr>
              <w:rPr>
                <w:rFonts w:eastAsia="Times New Roman"/>
                <w:sz w:val="20"/>
                <w:szCs w:val="20"/>
              </w:rPr>
            </w:pPr>
            <w:r>
              <w:rPr>
                <w:rFonts w:eastAsia="Times New Roman"/>
                <w:sz w:val="20"/>
                <w:szCs w:val="20"/>
              </w:rPr>
              <w:t>Remeasurement of carrying value to redemption value</w:t>
            </w:r>
          </w:p>
        </w:tc>
        <w:tc>
          <w:tcPr>
            <w:tcW w:w="0" w:type="auto"/>
            <w:shd w:val="clear" w:color="auto" w:fill="CCEEFF"/>
            <w:tcMar>
              <w:top w:w="0" w:type="dxa"/>
              <w:left w:w="0" w:type="dxa"/>
              <w:bottom w:w="30" w:type="dxa"/>
              <w:right w:w="0" w:type="dxa"/>
            </w:tcMar>
            <w:vAlign w:val="bottom"/>
            <w:hideMark/>
          </w:tcPr>
          <w:p w14:paraId="2D7D9EB0"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73D845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0B564D"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3FA872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D1F284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58E81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0CD5C7B" w14:textId="77777777" w:rsidR="00000000" w:rsidRDefault="00087966">
            <w:pPr>
              <w:jc w:val="right"/>
              <w:rPr>
                <w:rFonts w:eastAsia="Times New Roman"/>
                <w:sz w:val="20"/>
                <w:szCs w:val="20"/>
              </w:rPr>
            </w:pPr>
            <w:r>
              <w:rPr>
                <w:rFonts w:eastAsia="Times New Roman"/>
                <w:sz w:val="20"/>
                <w:szCs w:val="20"/>
              </w:rPr>
              <w:t>19,990,222</w:t>
            </w:r>
          </w:p>
        </w:tc>
        <w:tc>
          <w:tcPr>
            <w:tcW w:w="0" w:type="auto"/>
            <w:shd w:val="clear" w:color="auto" w:fill="CCEEFF"/>
            <w:tcMar>
              <w:top w:w="0" w:type="dxa"/>
              <w:left w:w="0" w:type="dxa"/>
              <w:bottom w:w="30" w:type="dxa"/>
              <w:right w:w="0" w:type="dxa"/>
            </w:tcMar>
            <w:vAlign w:val="bottom"/>
            <w:hideMark/>
          </w:tcPr>
          <w:p w14:paraId="51619A26" w14:textId="77777777" w:rsidR="00000000" w:rsidRDefault="00087966">
            <w:pPr>
              <w:rPr>
                <w:rFonts w:eastAsia="Times New Roman"/>
                <w:sz w:val="20"/>
                <w:szCs w:val="20"/>
              </w:rPr>
            </w:pPr>
            <w:r>
              <w:rPr>
                <w:rFonts w:eastAsia="Times New Roman"/>
                <w:sz w:val="20"/>
                <w:szCs w:val="20"/>
              </w:rPr>
              <w:t> </w:t>
            </w:r>
          </w:p>
        </w:tc>
      </w:tr>
      <w:tr w:rsidR="00000000" w14:paraId="203BAD0B" w14:textId="77777777">
        <w:trPr>
          <w:divId w:val="1595479706"/>
        </w:trPr>
        <w:tc>
          <w:tcPr>
            <w:tcW w:w="0" w:type="auto"/>
            <w:vAlign w:val="bottom"/>
            <w:hideMark/>
          </w:tcPr>
          <w:p w14:paraId="0AFA9E93" w14:textId="77777777" w:rsidR="00000000" w:rsidRDefault="00087966">
            <w:pPr>
              <w:rPr>
                <w:rFonts w:eastAsia="Times New Roman"/>
                <w:b/>
                <w:bCs/>
                <w:sz w:val="20"/>
                <w:szCs w:val="20"/>
              </w:rPr>
            </w:pPr>
            <w:r>
              <w:rPr>
                <w:rFonts w:eastAsia="Times New Roman"/>
                <w:b/>
                <w:bCs/>
                <w:sz w:val="20"/>
                <w:szCs w:val="20"/>
              </w:rPr>
              <w:t>Class A common stock subject to possible redemption, as of December 31, 2021</w:t>
            </w:r>
          </w:p>
        </w:tc>
        <w:tc>
          <w:tcPr>
            <w:tcW w:w="0" w:type="auto"/>
            <w:vAlign w:val="bottom"/>
            <w:hideMark/>
          </w:tcPr>
          <w:p w14:paraId="4BA22AD8" w14:textId="77777777" w:rsidR="00000000" w:rsidRDefault="00087966">
            <w:pPr>
              <w:rPr>
                <w:rFonts w:eastAsia="Times New Roman"/>
                <w:b/>
                <w:bCs/>
                <w:sz w:val="20"/>
                <w:szCs w:val="20"/>
              </w:rPr>
            </w:pPr>
            <w:r>
              <w:rPr>
                <w:rFonts w:eastAsia="Times New Roman"/>
                <w:b/>
                <w:bCs/>
                <w:sz w:val="20"/>
                <w:szCs w:val="20"/>
              </w:rPr>
              <w:t> </w:t>
            </w:r>
          </w:p>
        </w:tc>
        <w:tc>
          <w:tcPr>
            <w:tcW w:w="0" w:type="auto"/>
            <w:vAlign w:val="bottom"/>
            <w:hideMark/>
          </w:tcPr>
          <w:p w14:paraId="27527836" w14:textId="77777777" w:rsidR="00000000" w:rsidRDefault="00087966">
            <w:pPr>
              <w:rPr>
                <w:rFonts w:eastAsia="Times New Roman"/>
                <w:b/>
                <w:bCs/>
                <w:sz w:val="20"/>
                <w:szCs w:val="20"/>
              </w:rPr>
            </w:pPr>
            <w:r>
              <w:rPr>
                <w:rFonts w:eastAsia="Times New Roman"/>
                <w:b/>
                <w:bCs/>
                <w:sz w:val="20"/>
                <w:szCs w:val="20"/>
              </w:rPr>
              <w:t> </w:t>
            </w:r>
          </w:p>
        </w:tc>
        <w:tc>
          <w:tcPr>
            <w:tcW w:w="0" w:type="auto"/>
            <w:vAlign w:val="bottom"/>
            <w:hideMark/>
          </w:tcPr>
          <w:p w14:paraId="21DA7DFF" w14:textId="77777777" w:rsidR="00000000" w:rsidRDefault="00087966">
            <w:pPr>
              <w:jc w:val="right"/>
              <w:rPr>
                <w:rFonts w:eastAsia="Times New Roman"/>
                <w:b/>
                <w:bCs/>
                <w:sz w:val="20"/>
                <w:szCs w:val="20"/>
              </w:rPr>
            </w:pPr>
            <w:r>
              <w:rPr>
                <w:rFonts w:eastAsia="Times New Roman"/>
                <w:b/>
                <w:bCs/>
                <w:sz w:val="20"/>
                <w:szCs w:val="20"/>
              </w:rPr>
              <w:t>17,250,000</w:t>
            </w:r>
          </w:p>
        </w:tc>
        <w:tc>
          <w:tcPr>
            <w:tcW w:w="0" w:type="auto"/>
            <w:vAlign w:val="bottom"/>
            <w:hideMark/>
          </w:tcPr>
          <w:p w14:paraId="562052F6" w14:textId="77777777" w:rsidR="00000000" w:rsidRDefault="00087966">
            <w:pPr>
              <w:rPr>
                <w:rFonts w:eastAsia="Times New Roman"/>
                <w:b/>
                <w:bCs/>
                <w:sz w:val="20"/>
                <w:szCs w:val="20"/>
              </w:rPr>
            </w:pPr>
            <w:r>
              <w:rPr>
                <w:rFonts w:eastAsia="Times New Roman"/>
                <w:b/>
                <w:bCs/>
                <w:sz w:val="20"/>
                <w:szCs w:val="20"/>
              </w:rPr>
              <w:t> </w:t>
            </w:r>
          </w:p>
        </w:tc>
        <w:tc>
          <w:tcPr>
            <w:tcW w:w="0" w:type="auto"/>
            <w:vAlign w:val="bottom"/>
            <w:hideMark/>
          </w:tcPr>
          <w:p w14:paraId="311B9178" w14:textId="77777777" w:rsidR="00000000" w:rsidRDefault="00087966">
            <w:pPr>
              <w:rPr>
                <w:rFonts w:eastAsia="Times New Roman"/>
                <w:b/>
                <w:bCs/>
                <w:sz w:val="20"/>
                <w:szCs w:val="20"/>
              </w:rPr>
            </w:pPr>
            <w:r>
              <w:rPr>
                <w:rFonts w:eastAsia="Times New Roman"/>
                <w:b/>
                <w:bCs/>
                <w:sz w:val="20"/>
                <w:szCs w:val="20"/>
              </w:rPr>
              <w:t> </w:t>
            </w:r>
          </w:p>
        </w:tc>
        <w:tc>
          <w:tcPr>
            <w:tcW w:w="0" w:type="auto"/>
            <w:vAlign w:val="bottom"/>
            <w:hideMark/>
          </w:tcPr>
          <w:p w14:paraId="09A863DE" w14:textId="77777777" w:rsidR="00000000" w:rsidRDefault="00087966">
            <w:pPr>
              <w:rPr>
                <w:rFonts w:eastAsia="Times New Roman"/>
                <w:b/>
                <w:bCs/>
                <w:sz w:val="20"/>
                <w:szCs w:val="20"/>
              </w:rPr>
            </w:pPr>
            <w:r>
              <w:rPr>
                <w:rFonts w:eastAsia="Times New Roman"/>
                <w:b/>
                <w:bCs/>
                <w:sz w:val="20"/>
                <w:szCs w:val="20"/>
              </w:rPr>
              <w:t> </w:t>
            </w:r>
          </w:p>
        </w:tc>
        <w:tc>
          <w:tcPr>
            <w:tcW w:w="0" w:type="auto"/>
            <w:vAlign w:val="bottom"/>
            <w:hideMark/>
          </w:tcPr>
          <w:p w14:paraId="1C0BE2C3" w14:textId="77777777" w:rsidR="00000000" w:rsidRDefault="00087966">
            <w:pPr>
              <w:jc w:val="right"/>
              <w:rPr>
                <w:rFonts w:eastAsia="Times New Roman"/>
                <w:b/>
                <w:bCs/>
                <w:sz w:val="20"/>
                <w:szCs w:val="20"/>
              </w:rPr>
            </w:pPr>
            <w:r>
              <w:rPr>
                <w:rFonts w:eastAsia="Times New Roman"/>
                <w:b/>
                <w:bCs/>
                <w:sz w:val="20"/>
                <w:szCs w:val="20"/>
              </w:rPr>
              <w:t>172,500,000</w:t>
            </w:r>
          </w:p>
        </w:tc>
        <w:tc>
          <w:tcPr>
            <w:tcW w:w="0" w:type="auto"/>
            <w:vAlign w:val="bottom"/>
            <w:hideMark/>
          </w:tcPr>
          <w:p w14:paraId="0F0725A4" w14:textId="77777777" w:rsidR="00000000" w:rsidRDefault="00087966">
            <w:pPr>
              <w:rPr>
                <w:rFonts w:eastAsia="Times New Roman"/>
                <w:b/>
                <w:bCs/>
                <w:sz w:val="20"/>
                <w:szCs w:val="20"/>
              </w:rPr>
            </w:pPr>
            <w:r>
              <w:rPr>
                <w:rFonts w:eastAsia="Times New Roman"/>
                <w:b/>
                <w:bCs/>
                <w:sz w:val="20"/>
                <w:szCs w:val="20"/>
              </w:rPr>
              <w:t> </w:t>
            </w:r>
          </w:p>
        </w:tc>
      </w:tr>
      <w:tr w:rsidR="00000000" w14:paraId="21A37803" w14:textId="77777777">
        <w:trPr>
          <w:divId w:val="1595479706"/>
        </w:trPr>
        <w:tc>
          <w:tcPr>
            <w:tcW w:w="0" w:type="auto"/>
            <w:shd w:val="clear" w:color="auto" w:fill="CCEEFF"/>
            <w:vAlign w:val="bottom"/>
            <w:hideMark/>
          </w:tcPr>
          <w:p w14:paraId="2C6A35C5" w14:textId="77777777" w:rsidR="00000000" w:rsidRDefault="00087966">
            <w:pPr>
              <w:rPr>
                <w:rFonts w:eastAsia="Times New Roman"/>
                <w:sz w:val="20"/>
                <w:szCs w:val="20"/>
              </w:rPr>
            </w:pPr>
            <w:r>
              <w:rPr>
                <w:rFonts w:eastAsia="Times New Roman"/>
                <w:sz w:val="20"/>
                <w:szCs w:val="20"/>
              </w:rPr>
              <w:t>Less:</w:t>
            </w:r>
          </w:p>
        </w:tc>
        <w:tc>
          <w:tcPr>
            <w:tcW w:w="0" w:type="auto"/>
            <w:shd w:val="clear" w:color="auto" w:fill="CCEEFF"/>
            <w:vAlign w:val="bottom"/>
            <w:hideMark/>
          </w:tcPr>
          <w:p w14:paraId="019D97F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DAB61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8788E4"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49B423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48470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DAE21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1FF069"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256A924" w14:textId="77777777" w:rsidR="00000000" w:rsidRDefault="00087966">
            <w:pPr>
              <w:rPr>
                <w:rFonts w:eastAsia="Times New Roman"/>
                <w:sz w:val="20"/>
                <w:szCs w:val="20"/>
              </w:rPr>
            </w:pPr>
            <w:r>
              <w:rPr>
                <w:rFonts w:eastAsia="Times New Roman"/>
                <w:sz w:val="20"/>
                <w:szCs w:val="20"/>
              </w:rPr>
              <w:t> </w:t>
            </w:r>
          </w:p>
        </w:tc>
      </w:tr>
      <w:tr w:rsidR="00000000" w14:paraId="1257D9A1" w14:textId="77777777">
        <w:trPr>
          <w:divId w:val="1595479706"/>
        </w:trPr>
        <w:tc>
          <w:tcPr>
            <w:tcW w:w="0" w:type="auto"/>
            <w:vAlign w:val="bottom"/>
            <w:hideMark/>
          </w:tcPr>
          <w:p w14:paraId="173FCBD5" w14:textId="77777777" w:rsidR="00000000" w:rsidRDefault="00087966">
            <w:pPr>
              <w:rPr>
                <w:rFonts w:eastAsia="Times New Roman"/>
                <w:sz w:val="20"/>
                <w:szCs w:val="20"/>
              </w:rPr>
            </w:pPr>
            <w:r>
              <w:rPr>
                <w:rFonts w:eastAsia="Times New Roman"/>
                <w:sz w:val="20"/>
                <w:szCs w:val="20"/>
              </w:rPr>
              <w:t>Class A common stock redeemed, including Trust Account earnings of $32,631</w:t>
            </w:r>
          </w:p>
        </w:tc>
        <w:tc>
          <w:tcPr>
            <w:tcW w:w="0" w:type="auto"/>
            <w:vAlign w:val="bottom"/>
            <w:hideMark/>
          </w:tcPr>
          <w:p w14:paraId="057B5B7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870705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C93B053" w14:textId="77777777" w:rsidR="00000000" w:rsidRDefault="00087966">
            <w:pPr>
              <w:jc w:val="right"/>
              <w:rPr>
                <w:rFonts w:eastAsia="Times New Roman"/>
                <w:sz w:val="20"/>
                <w:szCs w:val="20"/>
              </w:rPr>
            </w:pPr>
            <w:r>
              <w:rPr>
                <w:rFonts w:eastAsia="Times New Roman"/>
                <w:sz w:val="20"/>
                <w:szCs w:val="20"/>
              </w:rPr>
              <w:t>(6,845,606</w:t>
            </w:r>
          </w:p>
        </w:tc>
        <w:tc>
          <w:tcPr>
            <w:tcW w:w="0" w:type="auto"/>
            <w:vAlign w:val="bottom"/>
            <w:hideMark/>
          </w:tcPr>
          <w:p w14:paraId="08E02265"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19941FB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2904FB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5501DB0" w14:textId="77777777" w:rsidR="00000000" w:rsidRDefault="00087966">
            <w:pPr>
              <w:jc w:val="right"/>
              <w:rPr>
                <w:rFonts w:eastAsia="Times New Roman"/>
                <w:sz w:val="20"/>
                <w:szCs w:val="20"/>
              </w:rPr>
            </w:pPr>
            <w:r>
              <w:rPr>
                <w:rFonts w:eastAsia="Times New Roman"/>
                <w:sz w:val="20"/>
                <w:szCs w:val="20"/>
              </w:rPr>
              <w:t>(68,488,691</w:t>
            </w:r>
          </w:p>
        </w:tc>
        <w:tc>
          <w:tcPr>
            <w:tcW w:w="0" w:type="auto"/>
            <w:vAlign w:val="bottom"/>
            <w:hideMark/>
          </w:tcPr>
          <w:p w14:paraId="7D8FD7D4" w14:textId="77777777" w:rsidR="00000000" w:rsidRDefault="00087966">
            <w:pPr>
              <w:rPr>
                <w:rFonts w:eastAsia="Times New Roman"/>
                <w:sz w:val="20"/>
                <w:szCs w:val="20"/>
              </w:rPr>
            </w:pPr>
            <w:r>
              <w:rPr>
                <w:rFonts w:eastAsia="Times New Roman"/>
                <w:sz w:val="20"/>
                <w:szCs w:val="20"/>
              </w:rPr>
              <w:t>)</w:t>
            </w:r>
          </w:p>
        </w:tc>
      </w:tr>
      <w:tr w:rsidR="00000000" w14:paraId="0E3F07A2" w14:textId="77777777">
        <w:trPr>
          <w:divId w:val="1595479706"/>
        </w:trPr>
        <w:tc>
          <w:tcPr>
            <w:tcW w:w="0" w:type="auto"/>
            <w:shd w:val="clear" w:color="auto" w:fill="CCEEFF"/>
            <w:vAlign w:val="bottom"/>
            <w:hideMark/>
          </w:tcPr>
          <w:p w14:paraId="4F44A178" w14:textId="77777777" w:rsidR="00000000" w:rsidRDefault="00087966">
            <w:pPr>
              <w:rPr>
                <w:rFonts w:eastAsia="Times New Roman"/>
                <w:sz w:val="20"/>
                <w:szCs w:val="20"/>
              </w:rPr>
            </w:pPr>
            <w:r>
              <w:rPr>
                <w:rFonts w:eastAsia="Times New Roman"/>
                <w:sz w:val="20"/>
                <w:szCs w:val="20"/>
              </w:rPr>
              <w:t>Plus:</w:t>
            </w:r>
          </w:p>
        </w:tc>
        <w:tc>
          <w:tcPr>
            <w:tcW w:w="0" w:type="auto"/>
            <w:shd w:val="clear" w:color="auto" w:fill="CCEEFF"/>
            <w:vAlign w:val="bottom"/>
            <w:hideMark/>
          </w:tcPr>
          <w:p w14:paraId="16F36A5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4334B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4B2C27"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2E9807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F1A30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0828E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16B66F"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9618BDA" w14:textId="77777777" w:rsidR="00000000" w:rsidRDefault="00087966">
            <w:pPr>
              <w:rPr>
                <w:rFonts w:eastAsia="Times New Roman"/>
                <w:sz w:val="20"/>
                <w:szCs w:val="20"/>
              </w:rPr>
            </w:pPr>
            <w:r>
              <w:rPr>
                <w:rFonts w:eastAsia="Times New Roman"/>
                <w:sz w:val="20"/>
                <w:szCs w:val="20"/>
              </w:rPr>
              <w:t> </w:t>
            </w:r>
          </w:p>
        </w:tc>
      </w:tr>
      <w:tr w:rsidR="00000000" w14:paraId="36957E07" w14:textId="77777777">
        <w:trPr>
          <w:divId w:val="1595479706"/>
        </w:trPr>
        <w:tc>
          <w:tcPr>
            <w:tcW w:w="0" w:type="auto"/>
            <w:vAlign w:val="bottom"/>
            <w:hideMark/>
          </w:tcPr>
          <w:p w14:paraId="231498BC" w14:textId="77777777" w:rsidR="00000000" w:rsidRDefault="00087966">
            <w:pPr>
              <w:rPr>
                <w:rFonts w:eastAsia="Times New Roman"/>
                <w:sz w:val="20"/>
                <w:szCs w:val="20"/>
              </w:rPr>
            </w:pPr>
            <w:r>
              <w:rPr>
                <w:rFonts w:eastAsia="Times New Roman"/>
                <w:sz w:val="20"/>
                <w:szCs w:val="20"/>
              </w:rPr>
              <w:t>Extension Funds from Sponsor</w:t>
            </w:r>
          </w:p>
        </w:tc>
        <w:tc>
          <w:tcPr>
            <w:tcW w:w="0" w:type="auto"/>
            <w:vAlign w:val="bottom"/>
            <w:hideMark/>
          </w:tcPr>
          <w:p w14:paraId="683437B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649618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82E9AC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EF3D8D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BD2C48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FCAB58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EA2DC41" w14:textId="77777777" w:rsidR="00000000" w:rsidRDefault="00087966">
            <w:pPr>
              <w:jc w:val="right"/>
              <w:rPr>
                <w:rFonts w:eastAsia="Times New Roman"/>
                <w:sz w:val="20"/>
                <w:szCs w:val="20"/>
              </w:rPr>
            </w:pPr>
            <w:r>
              <w:rPr>
                <w:rFonts w:eastAsia="Times New Roman"/>
                <w:sz w:val="20"/>
                <w:szCs w:val="20"/>
              </w:rPr>
              <w:t>1,373,380</w:t>
            </w:r>
          </w:p>
        </w:tc>
        <w:tc>
          <w:tcPr>
            <w:tcW w:w="0" w:type="auto"/>
            <w:vAlign w:val="bottom"/>
            <w:hideMark/>
          </w:tcPr>
          <w:p w14:paraId="68E865C7" w14:textId="77777777" w:rsidR="00000000" w:rsidRDefault="00087966">
            <w:pPr>
              <w:rPr>
                <w:rFonts w:eastAsia="Times New Roman"/>
                <w:sz w:val="20"/>
                <w:szCs w:val="20"/>
              </w:rPr>
            </w:pPr>
            <w:r>
              <w:rPr>
                <w:rFonts w:eastAsia="Times New Roman"/>
                <w:sz w:val="20"/>
                <w:szCs w:val="20"/>
              </w:rPr>
              <w:t> </w:t>
            </w:r>
          </w:p>
        </w:tc>
      </w:tr>
      <w:tr w:rsidR="00000000" w14:paraId="5A8B657A" w14:textId="77777777">
        <w:trPr>
          <w:divId w:val="1595479706"/>
        </w:trPr>
        <w:tc>
          <w:tcPr>
            <w:tcW w:w="0" w:type="auto"/>
            <w:shd w:val="clear" w:color="auto" w:fill="CCEEFF"/>
            <w:vAlign w:val="bottom"/>
            <w:hideMark/>
          </w:tcPr>
          <w:p w14:paraId="20109A40" w14:textId="77777777" w:rsidR="00000000" w:rsidRDefault="00087966">
            <w:pPr>
              <w:rPr>
                <w:rFonts w:eastAsia="Times New Roman"/>
                <w:sz w:val="20"/>
                <w:szCs w:val="20"/>
              </w:rPr>
            </w:pPr>
            <w:r>
              <w:rPr>
                <w:rFonts w:eastAsia="Times New Roman"/>
                <w:sz w:val="20"/>
                <w:szCs w:val="20"/>
              </w:rPr>
              <w:t>Near Extension Note</w:t>
            </w:r>
          </w:p>
        </w:tc>
        <w:tc>
          <w:tcPr>
            <w:tcW w:w="0" w:type="auto"/>
            <w:shd w:val="clear" w:color="auto" w:fill="CCEEFF"/>
            <w:vAlign w:val="bottom"/>
            <w:hideMark/>
          </w:tcPr>
          <w:p w14:paraId="37FA5C9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BE264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CF5873"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C80E16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54445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CFD87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AF180F" w14:textId="77777777" w:rsidR="00000000" w:rsidRDefault="00087966">
            <w:pPr>
              <w:jc w:val="right"/>
              <w:rPr>
                <w:rFonts w:eastAsia="Times New Roman"/>
                <w:sz w:val="20"/>
                <w:szCs w:val="20"/>
              </w:rPr>
            </w:pPr>
            <w:r>
              <w:rPr>
                <w:rFonts w:eastAsia="Times New Roman"/>
                <w:sz w:val="20"/>
                <w:szCs w:val="20"/>
              </w:rPr>
              <w:t>686,690</w:t>
            </w:r>
          </w:p>
        </w:tc>
        <w:tc>
          <w:tcPr>
            <w:tcW w:w="0" w:type="auto"/>
            <w:shd w:val="clear" w:color="auto" w:fill="CCEEFF"/>
            <w:vAlign w:val="bottom"/>
            <w:hideMark/>
          </w:tcPr>
          <w:p w14:paraId="6E3AA2FB" w14:textId="77777777" w:rsidR="00000000" w:rsidRDefault="00087966">
            <w:pPr>
              <w:rPr>
                <w:rFonts w:eastAsia="Times New Roman"/>
                <w:sz w:val="20"/>
                <w:szCs w:val="20"/>
              </w:rPr>
            </w:pPr>
            <w:r>
              <w:rPr>
                <w:rFonts w:eastAsia="Times New Roman"/>
                <w:sz w:val="20"/>
                <w:szCs w:val="20"/>
              </w:rPr>
              <w:t> </w:t>
            </w:r>
          </w:p>
        </w:tc>
      </w:tr>
      <w:tr w:rsidR="00000000" w14:paraId="6C16E320" w14:textId="77777777">
        <w:trPr>
          <w:divId w:val="1595479706"/>
        </w:trPr>
        <w:tc>
          <w:tcPr>
            <w:tcW w:w="0" w:type="auto"/>
            <w:tcMar>
              <w:top w:w="0" w:type="dxa"/>
              <w:left w:w="0" w:type="dxa"/>
              <w:bottom w:w="30" w:type="dxa"/>
              <w:right w:w="0" w:type="dxa"/>
            </w:tcMar>
            <w:vAlign w:val="bottom"/>
            <w:hideMark/>
          </w:tcPr>
          <w:p w14:paraId="30C0E18C" w14:textId="77777777" w:rsidR="00000000" w:rsidRDefault="00087966">
            <w:pPr>
              <w:rPr>
                <w:rFonts w:eastAsia="Times New Roman"/>
                <w:sz w:val="20"/>
                <w:szCs w:val="20"/>
              </w:rPr>
            </w:pPr>
            <w:r>
              <w:rPr>
                <w:rFonts w:eastAsia="Times New Roman"/>
                <w:sz w:val="20"/>
                <w:szCs w:val="20"/>
              </w:rPr>
              <w:t>Remeasurement of carrying value to redemption value</w:t>
            </w:r>
          </w:p>
        </w:tc>
        <w:tc>
          <w:tcPr>
            <w:tcW w:w="0" w:type="auto"/>
            <w:tcMar>
              <w:top w:w="0" w:type="dxa"/>
              <w:left w:w="0" w:type="dxa"/>
              <w:bottom w:w="30" w:type="dxa"/>
              <w:right w:w="0" w:type="dxa"/>
            </w:tcMar>
            <w:vAlign w:val="bottom"/>
            <w:hideMark/>
          </w:tcPr>
          <w:p w14:paraId="729984BC"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06860814"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EF08A68" w14:textId="77777777" w:rsidR="00000000" w:rsidRDefault="00087966">
            <w:pPr>
              <w:jc w:val="right"/>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CFA98E3"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4C825E4"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D62651C"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2CDAF60" w14:textId="77777777" w:rsidR="00000000" w:rsidRDefault="00087966">
            <w:pPr>
              <w:jc w:val="right"/>
              <w:rPr>
                <w:rFonts w:eastAsia="Times New Roman"/>
                <w:sz w:val="20"/>
                <w:szCs w:val="20"/>
              </w:rPr>
            </w:pPr>
            <w:r>
              <w:rPr>
                <w:rFonts w:eastAsia="Times New Roman"/>
                <w:sz w:val="20"/>
                <w:szCs w:val="20"/>
              </w:rPr>
              <w:t>1,135,977</w:t>
            </w:r>
          </w:p>
        </w:tc>
        <w:tc>
          <w:tcPr>
            <w:tcW w:w="0" w:type="auto"/>
            <w:tcMar>
              <w:top w:w="0" w:type="dxa"/>
              <w:left w:w="0" w:type="dxa"/>
              <w:bottom w:w="30" w:type="dxa"/>
              <w:right w:w="0" w:type="dxa"/>
            </w:tcMar>
            <w:vAlign w:val="bottom"/>
            <w:hideMark/>
          </w:tcPr>
          <w:p w14:paraId="37CDC54D" w14:textId="77777777" w:rsidR="00000000" w:rsidRDefault="00087966">
            <w:pPr>
              <w:rPr>
                <w:rFonts w:eastAsia="Times New Roman"/>
                <w:sz w:val="20"/>
                <w:szCs w:val="20"/>
              </w:rPr>
            </w:pPr>
            <w:r>
              <w:rPr>
                <w:rFonts w:eastAsia="Times New Roman"/>
                <w:sz w:val="20"/>
                <w:szCs w:val="20"/>
              </w:rPr>
              <w:t> </w:t>
            </w:r>
          </w:p>
        </w:tc>
      </w:tr>
      <w:tr w:rsidR="00000000" w14:paraId="1552E24C" w14:textId="77777777">
        <w:trPr>
          <w:divId w:val="1595479706"/>
        </w:trPr>
        <w:tc>
          <w:tcPr>
            <w:tcW w:w="0" w:type="auto"/>
            <w:shd w:val="clear" w:color="auto" w:fill="CCEEFF"/>
            <w:tcMar>
              <w:top w:w="0" w:type="dxa"/>
              <w:left w:w="0" w:type="dxa"/>
              <w:bottom w:w="80" w:type="dxa"/>
              <w:right w:w="0" w:type="dxa"/>
            </w:tcMar>
            <w:vAlign w:val="bottom"/>
            <w:hideMark/>
          </w:tcPr>
          <w:p w14:paraId="45143FC1" w14:textId="77777777" w:rsidR="00000000" w:rsidRDefault="00087966">
            <w:pPr>
              <w:rPr>
                <w:rFonts w:eastAsia="Times New Roman"/>
                <w:b/>
                <w:bCs/>
                <w:sz w:val="20"/>
                <w:szCs w:val="20"/>
              </w:rPr>
            </w:pPr>
            <w:r>
              <w:rPr>
                <w:rFonts w:eastAsia="Times New Roman"/>
                <w:b/>
                <w:bCs/>
                <w:sz w:val="20"/>
                <w:szCs w:val="20"/>
              </w:rPr>
              <w:t>Class A common stock subject to possible redemption, as of December 31, 2022</w:t>
            </w:r>
          </w:p>
        </w:tc>
        <w:tc>
          <w:tcPr>
            <w:tcW w:w="0" w:type="auto"/>
            <w:shd w:val="clear" w:color="auto" w:fill="CCEEFF"/>
            <w:tcMar>
              <w:top w:w="0" w:type="dxa"/>
              <w:left w:w="0" w:type="dxa"/>
              <w:bottom w:w="80" w:type="dxa"/>
              <w:right w:w="0" w:type="dxa"/>
            </w:tcMar>
            <w:vAlign w:val="bottom"/>
            <w:hideMark/>
          </w:tcPr>
          <w:p w14:paraId="34DEB624"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EFE538D"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5DD82535" w14:textId="77777777" w:rsidR="00000000" w:rsidRDefault="00087966">
            <w:pPr>
              <w:jc w:val="right"/>
              <w:rPr>
                <w:rFonts w:eastAsia="Times New Roman"/>
                <w:b/>
                <w:bCs/>
                <w:sz w:val="20"/>
                <w:szCs w:val="20"/>
              </w:rPr>
            </w:pPr>
            <w:r>
              <w:rPr>
                <w:rFonts w:eastAsia="Times New Roman"/>
                <w:b/>
                <w:bCs/>
                <w:sz w:val="20"/>
                <w:szCs w:val="20"/>
              </w:rPr>
              <w:t>10,404,394</w:t>
            </w:r>
          </w:p>
        </w:tc>
        <w:tc>
          <w:tcPr>
            <w:tcW w:w="0" w:type="auto"/>
            <w:shd w:val="clear" w:color="auto" w:fill="CCEEFF"/>
            <w:tcMar>
              <w:top w:w="0" w:type="dxa"/>
              <w:left w:w="0" w:type="dxa"/>
              <w:bottom w:w="80" w:type="dxa"/>
              <w:right w:w="0" w:type="dxa"/>
            </w:tcMar>
            <w:vAlign w:val="bottom"/>
            <w:hideMark/>
          </w:tcPr>
          <w:p w14:paraId="48184C0D" w14:textId="77777777" w:rsidR="00000000" w:rsidRDefault="00087966">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14:paraId="672A7AD8"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14:paraId="63B78E6D"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14:paraId="13DFE343" w14:textId="77777777" w:rsidR="00000000" w:rsidRDefault="00087966">
            <w:pPr>
              <w:jc w:val="right"/>
              <w:rPr>
                <w:rFonts w:eastAsia="Times New Roman"/>
                <w:b/>
                <w:bCs/>
                <w:sz w:val="20"/>
                <w:szCs w:val="20"/>
              </w:rPr>
            </w:pPr>
            <w:r>
              <w:rPr>
                <w:rFonts w:eastAsia="Times New Roman"/>
                <w:b/>
                <w:bCs/>
                <w:sz w:val="20"/>
                <w:szCs w:val="20"/>
              </w:rPr>
              <w:t>107,207,356</w:t>
            </w:r>
          </w:p>
        </w:tc>
        <w:tc>
          <w:tcPr>
            <w:tcW w:w="0" w:type="auto"/>
            <w:shd w:val="clear" w:color="auto" w:fill="CCEEFF"/>
            <w:tcMar>
              <w:top w:w="0" w:type="dxa"/>
              <w:left w:w="0" w:type="dxa"/>
              <w:bottom w:w="80" w:type="dxa"/>
              <w:right w:w="0" w:type="dxa"/>
            </w:tcMar>
            <w:vAlign w:val="bottom"/>
            <w:hideMark/>
          </w:tcPr>
          <w:p w14:paraId="0F1E37E4" w14:textId="77777777" w:rsidR="00000000" w:rsidRDefault="00087966">
            <w:pPr>
              <w:rPr>
                <w:rFonts w:eastAsia="Times New Roman"/>
                <w:b/>
                <w:bCs/>
                <w:sz w:val="20"/>
                <w:szCs w:val="20"/>
              </w:rPr>
            </w:pPr>
            <w:r>
              <w:rPr>
                <w:rFonts w:eastAsia="Times New Roman"/>
                <w:b/>
                <w:bCs/>
                <w:sz w:val="20"/>
                <w:szCs w:val="20"/>
              </w:rPr>
              <w:t> </w:t>
            </w:r>
          </w:p>
        </w:tc>
      </w:tr>
    </w:tbl>
    <w:p w14:paraId="27C0477E"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16836400" w14:textId="77777777" w:rsidR="00000000" w:rsidRDefault="00087966">
      <w:pPr>
        <w:pStyle w:val="a3"/>
        <w:spacing w:before="0" w:beforeAutospacing="0" w:after="0" w:afterAutospacing="0"/>
        <w:jc w:val="both"/>
        <w:divId w:val="1595479706"/>
        <w:rPr>
          <w:sz w:val="20"/>
          <w:szCs w:val="20"/>
        </w:rPr>
      </w:pPr>
      <w:r>
        <w:rPr>
          <w:b/>
          <w:bCs/>
          <w:i/>
          <w:iCs/>
          <w:sz w:val="20"/>
          <w:szCs w:val="20"/>
        </w:rPr>
        <w:t>Warrant Liabilities</w:t>
      </w:r>
    </w:p>
    <w:p w14:paraId="49A00275" w14:textId="77777777" w:rsidR="00000000" w:rsidRDefault="00087966">
      <w:pPr>
        <w:pStyle w:val="a3"/>
        <w:spacing w:before="0" w:beforeAutospacing="0" w:after="0" w:afterAutospacing="0"/>
        <w:jc w:val="both"/>
        <w:divId w:val="1595479706"/>
        <w:rPr>
          <w:sz w:val="20"/>
          <w:szCs w:val="20"/>
        </w:rPr>
      </w:pPr>
      <w:r>
        <w:rPr>
          <w:sz w:val="20"/>
          <w:szCs w:val="20"/>
        </w:rPr>
        <w:t> </w:t>
      </w:r>
    </w:p>
    <w:p w14:paraId="1A8B0DA9" w14:textId="77777777" w:rsidR="00000000" w:rsidRDefault="00087966">
      <w:pPr>
        <w:pStyle w:val="a3"/>
        <w:spacing w:before="0" w:beforeAutospacing="0" w:after="0" w:afterAutospacing="0"/>
        <w:jc w:val="both"/>
        <w:divId w:val="1595479706"/>
        <w:rPr>
          <w:sz w:val="20"/>
          <w:szCs w:val="20"/>
        </w:rPr>
      </w:pPr>
      <w:r>
        <w:rPr>
          <w:sz w:val="20"/>
          <w:szCs w:val="20"/>
        </w:rPr>
        <w:t>The Company does not use derivative instruments to hedge exposures to cash flow, market, or foreign currency risks. The Company accounts for warrants as either equity-classified or liability-classified instruments based on an assessment of the warrant’s sp</w:t>
      </w:r>
      <w:r>
        <w:rPr>
          <w:sz w:val="20"/>
          <w:szCs w:val="20"/>
        </w:rPr>
        <w:t xml:space="preserve">ecific terms and applicable authoritative guidance in ASC 480, and ASC 815, “Derivatives and Hedging” (“ASC 815”). The assessment considers whether the warrants are freestanding financial instruments pursuant to ASC 480, meet the definition of a liability </w:t>
      </w:r>
      <w:r>
        <w:rPr>
          <w:sz w:val="20"/>
          <w:szCs w:val="20"/>
        </w:rPr>
        <w:t>pursuant to ASC 480, and whether the warrants meet all of the requirements for equity classification under ASC 815, including whether the warrants are indexed to the Company’s own shares of common stock, among other conditions for equity classification. Th</w:t>
      </w:r>
      <w:r>
        <w:rPr>
          <w:sz w:val="20"/>
          <w:szCs w:val="20"/>
        </w:rPr>
        <w:t>is assessment, which requires the use of professional judgment, is conducted at the time of warrant issuance and as of each subsequent quarterly period end date while the warrants are outstanding.</w:t>
      </w:r>
    </w:p>
    <w:p w14:paraId="6397C6FD" w14:textId="77777777" w:rsidR="00000000" w:rsidRDefault="00087966">
      <w:pPr>
        <w:pStyle w:val="a3"/>
        <w:spacing w:before="0" w:beforeAutospacing="0" w:after="0" w:afterAutospacing="0"/>
        <w:jc w:val="both"/>
        <w:divId w:val="1595479706"/>
        <w:rPr>
          <w:sz w:val="20"/>
          <w:szCs w:val="20"/>
        </w:rPr>
      </w:pPr>
      <w:r>
        <w:rPr>
          <w:sz w:val="20"/>
          <w:szCs w:val="20"/>
        </w:rPr>
        <w:t> </w:t>
      </w:r>
    </w:p>
    <w:p w14:paraId="50B9B366" w14:textId="77777777" w:rsidR="00000000" w:rsidRDefault="00087966">
      <w:pPr>
        <w:pStyle w:val="a3"/>
        <w:spacing w:before="0" w:beforeAutospacing="0" w:after="0" w:afterAutospacing="0"/>
        <w:jc w:val="center"/>
        <w:divId w:val="8388"/>
        <w:rPr>
          <w:sz w:val="20"/>
          <w:szCs w:val="20"/>
        </w:rPr>
      </w:pPr>
      <w:r>
        <w:rPr>
          <w:sz w:val="20"/>
          <w:szCs w:val="20"/>
        </w:rPr>
        <w:t>F</w:t>
      </w:r>
      <w:r>
        <w:rPr>
          <w:sz w:val="20"/>
          <w:szCs w:val="20"/>
        </w:rPr>
        <w:t>-</w:t>
      </w:r>
      <w:r>
        <w:rPr>
          <w:sz w:val="20"/>
          <w:szCs w:val="20"/>
        </w:rPr>
        <w:t>1</w:t>
      </w:r>
      <w:r>
        <w:rPr>
          <w:sz w:val="20"/>
          <w:szCs w:val="20"/>
        </w:rPr>
        <w:t>1</w:t>
      </w:r>
    </w:p>
    <w:p w14:paraId="7F242193" w14:textId="77777777" w:rsidR="00000000" w:rsidRDefault="00087966">
      <w:pPr>
        <w:pStyle w:val="a3"/>
        <w:spacing w:before="0" w:beforeAutospacing="0" w:after="0" w:afterAutospacing="0"/>
        <w:divId w:val="366487098"/>
        <w:rPr>
          <w:sz w:val="20"/>
          <w:szCs w:val="20"/>
        </w:rPr>
      </w:pPr>
      <w:r>
        <w:rPr>
          <w:sz w:val="20"/>
          <w:szCs w:val="20"/>
        </w:rPr>
        <w:t> </w:t>
      </w:r>
    </w:p>
    <w:p w14:paraId="2828F638" w14:textId="77777777" w:rsidR="00000000" w:rsidRDefault="00087966">
      <w:pPr>
        <w:pStyle w:val="a3"/>
        <w:spacing w:before="0" w:beforeAutospacing="0" w:after="0" w:afterAutospacing="0"/>
        <w:jc w:val="both"/>
        <w:divId w:val="1595479706"/>
        <w:rPr>
          <w:sz w:val="20"/>
          <w:szCs w:val="20"/>
        </w:rPr>
      </w:pPr>
      <w:r>
        <w:rPr>
          <w:sz w:val="20"/>
          <w:szCs w:val="20"/>
        </w:rPr>
        <w:t> </w:t>
      </w:r>
    </w:p>
    <w:p w14:paraId="467A98E3"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68480E6F"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w:t>
      </w:r>
      <w:r>
        <w:rPr>
          <w:b/>
          <w:bCs/>
          <w:sz w:val="20"/>
          <w:szCs w:val="20"/>
        </w:rPr>
        <w:t>DATED FINANCIAL STATEMENTS</w:t>
      </w:r>
    </w:p>
    <w:p w14:paraId="2F5EAD97"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5E363798" w14:textId="77777777" w:rsidR="00000000" w:rsidRDefault="00087966">
      <w:pPr>
        <w:pStyle w:val="a3"/>
        <w:spacing w:before="0" w:beforeAutospacing="0" w:after="0" w:afterAutospacing="0"/>
        <w:jc w:val="both"/>
        <w:divId w:val="1595479706"/>
        <w:rPr>
          <w:sz w:val="20"/>
          <w:szCs w:val="20"/>
        </w:rPr>
      </w:pPr>
      <w:r>
        <w:rPr>
          <w:sz w:val="20"/>
          <w:szCs w:val="20"/>
        </w:rPr>
        <w:t> </w:t>
      </w:r>
    </w:p>
    <w:p w14:paraId="60FFB5D5" w14:textId="77777777" w:rsidR="00000000" w:rsidRDefault="00087966">
      <w:pPr>
        <w:pStyle w:val="a3"/>
        <w:spacing w:before="0" w:beforeAutospacing="0" w:after="0" w:afterAutospacing="0"/>
        <w:jc w:val="both"/>
        <w:divId w:val="1595479706"/>
        <w:rPr>
          <w:sz w:val="20"/>
          <w:szCs w:val="20"/>
        </w:rPr>
      </w:pPr>
      <w:r>
        <w:rPr>
          <w:sz w:val="20"/>
          <w:szCs w:val="20"/>
        </w:rPr>
        <w:t>For issued or modified warrants that meet all of the criteria for equity classification, the warrants are required to be recorded as a component of additional paid-in capital at the time of issuance. For issue</w:t>
      </w:r>
      <w:r>
        <w:rPr>
          <w:sz w:val="20"/>
          <w:szCs w:val="20"/>
        </w:rPr>
        <w:t>d or modified warrants that do not meet all the criteria for equity classification, the warrants are required to be recorded at their initial fair value on the date of issuance, and each balance sheet date thereafter. Changes in the estimated fair value of</w:t>
      </w:r>
      <w:r>
        <w:rPr>
          <w:sz w:val="20"/>
          <w:szCs w:val="20"/>
        </w:rPr>
        <w:t xml:space="preserve"> the warrants are recognized as a non-cash gain or loss on the consolidated statements of operations. For the Private Placement Warrants, the fair value was estimated using a binomial lattice model incorporating the Cox-Ross-Rubenstein methodology since th</w:t>
      </w:r>
      <w:r>
        <w:rPr>
          <w:sz w:val="20"/>
          <w:szCs w:val="20"/>
        </w:rPr>
        <w:t>e closing date of Initial Public Offering and as of December 31, 2022 (see Note 10). For the public warrants, the fair value was estimated using a binomial lattice model incorporating the Cox-Ross-Rubenstein methodology at the closing date of Initial Publi</w:t>
      </w:r>
      <w:r>
        <w:rPr>
          <w:sz w:val="20"/>
          <w:szCs w:val="20"/>
        </w:rPr>
        <w:t>c Offering and the Level 1 quoted prices in an active market since the public warrants starting trading separately on March 1, 2021 and as of December 31, 2022 (see Note 10).</w:t>
      </w:r>
    </w:p>
    <w:p w14:paraId="4CEF90A2" w14:textId="77777777" w:rsidR="00000000" w:rsidRDefault="00087966">
      <w:pPr>
        <w:pStyle w:val="a3"/>
        <w:spacing w:before="0" w:beforeAutospacing="0" w:after="0" w:afterAutospacing="0"/>
        <w:jc w:val="both"/>
        <w:divId w:val="1595479706"/>
        <w:rPr>
          <w:sz w:val="20"/>
          <w:szCs w:val="20"/>
        </w:rPr>
      </w:pPr>
      <w:r>
        <w:rPr>
          <w:sz w:val="20"/>
          <w:szCs w:val="20"/>
        </w:rPr>
        <w:t> </w:t>
      </w:r>
    </w:p>
    <w:p w14:paraId="1D8C720B" w14:textId="77777777" w:rsidR="00000000" w:rsidRDefault="00087966">
      <w:pPr>
        <w:pStyle w:val="a3"/>
        <w:spacing w:before="0" w:beforeAutospacing="0" w:after="0" w:afterAutospacing="0"/>
        <w:jc w:val="both"/>
        <w:divId w:val="1595479706"/>
        <w:rPr>
          <w:sz w:val="20"/>
          <w:szCs w:val="20"/>
        </w:rPr>
      </w:pPr>
      <w:r>
        <w:rPr>
          <w:b/>
          <w:bCs/>
          <w:i/>
          <w:iCs/>
          <w:sz w:val="20"/>
          <w:szCs w:val="20"/>
        </w:rPr>
        <w:t>Allocation of issuance costs</w:t>
      </w:r>
    </w:p>
    <w:p w14:paraId="2FFFC5A5"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024E26E2" w14:textId="77777777" w:rsidR="00000000" w:rsidRDefault="00087966">
      <w:pPr>
        <w:pStyle w:val="a3"/>
        <w:spacing w:before="0" w:beforeAutospacing="0" w:after="0" w:afterAutospacing="0"/>
        <w:jc w:val="both"/>
        <w:divId w:val="1595479706"/>
        <w:rPr>
          <w:sz w:val="20"/>
          <w:szCs w:val="20"/>
        </w:rPr>
      </w:pPr>
      <w:r>
        <w:rPr>
          <w:sz w:val="20"/>
          <w:szCs w:val="20"/>
        </w:rPr>
        <w:t>The Company accounts for the allocation of its issuance costs to its warrants using the guidance in ASC Topic 470-20, “Debt with Conversion and Other Options” (“ASC 470-20), applied by analogy. Under this guidance, if debt or stock is issued with detachabl</w:t>
      </w:r>
      <w:r>
        <w:rPr>
          <w:sz w:val="20"/>
          <w:szCs w:val="20"/>
        </w:rPr>
        <w:t xml:space="preserve">e warrants, the proceeds need to be allocated to the two instruments using either the fair value method, the relative fair value method, or the residual value method. The guidance also requires companies to use a consistent approach in allocating issuance </w:t>
      </w:r>
      <w:r>
        <w:rPr>
          <w:sz w:val="20"/>
          <w:szCs w:val="20"/>
        </w:rPr>
        <w:t xml:space="preserve">costs between the instruments. Accordingly, the Company allocated its issuance costs of $14,303,235—consisting of $3,450,000 of underwriting fees, $6,037,500 of deferred underwriting commissions, $4,411,238 of fair value of the Founder Shares attributable </w:t>
      </w:r>
      <w:r>
        <w:rPr>
          <w:sz w:val="20"/>
          <w:szCs w:val="20"/>
        </w:rPr>
        <w:t>to the Anchor Investor, and $404,497 of other offering costs—to the issuance of its Class A common stock and warrants in the amount of $13,780,222 and $523,013, respectively. Issuance costs attributed to the warrants were expensed to the statement of opera</w:t>
      </w:r>
      <w:r>
        <w:rPr>
          <w:sz w:val="20"/>
          <w:szCs w:val="20"/>
        </w:rPr>
        <w:t>tions during the year ended December 31, 2021. Issuance costs attributed to the Class A common stock were initially charged to temporary equity and then re-measured to Class A common stock subject to redemption upon completion of the Initial Public Offerin</w:t>
      </w:r>
      <w:r>
        <w:rPr>
          <w:sz w:val="20"/>
          <w:szCs w:val="20"/>
        </w:rPr>
        <w:t>g.</w:t>
      </w:r>
    </w:p>
    <w:p w14:paraId="0B365AB6" w14:textId="77777777" w:rsidR="00000000" w:rsidRDefault="00087966">
      <w:pPr>
        <w:pStyle w:val="a3"/>
        <w:spacing w:before="0" w:beforeAutospacing="0" w:after="0" w:afterAutospacing="0"/>
        <w:divId w:val="1595479706"/>
        <w:rPr>
          <w:sz w:val="20"/>
          <w:szCs w:val="20"/>
        </w:rPr>
      </w:pPr>
      <w:r>
        <w:rPr>
          <w:sz w:val="20"/>
          <w:szCs w:val="20"/>
        </w:rPr>
        <w:t> </w:t>
      </w:r>
    </w:p>
    <w:p w14:paraId="3F42AAD9" w14:textId="77777777" w:rsidR="00000000" w:rsidRDefault="00087966">
      <w:pPr>
        <w:pStyle w:val="a3"/>
        <w:spacing w:before="0" w:beforeAutospacing="0" w:after="0" w:afterAutospacing="0"/>
        <w:jc w:val="both"/>
        <w:divId w:val="1595479706"/>
        <w:rPr>
          <w:sz w:val="20"/>
          <w:szCs w:val="20"/>
        </w:rPr>
      </w:pPr>
      <w:r>
        <w:rPr>
          <w:b/>
          <w:bCs/>
          <w:i/>
          <w:iCs/>
          <w:sz w:val="20"/>
          <w:szCs w:val="20"/>
        </w:rPr>
        <w:t>Income Taxes</w:t>
      </w:r>
    </w:p>
    <w:p w14:paraId="7BA1102D" w14:textId="77777777" w:rsidR="00000000" w:rsidRDefault="00087966">
      <w:pPr>
        <w:pStyle w:val="a3"/>
        <w:spacing w:before="0" w:beforeAutospacing="0" w:after="0" w:afterAutospacing="0"/>
        <w:jc w:val="both"/>
        <w:divId w:val="1595479706"/>
        <w:rPr>
          <w:sz w:val="20"/>
          <w:szCs w:val="20"/>
        </w:rPr>
      </w:pPr>
      <w:r>
        <w:rPr>
          <w:sz w:val="20"/>
          <w:szCs w:val="20"/>
        </w:rPr>
        <w:t> </w:t>
      </w:r>
    </w:p>
    <w:p w14:paraId="6CF67898" w14:textId="77777777" w:rsidR="00000000" w:rsidRDefault="00087966">
      <w:pPr>
        <w:pStyle w:val="a3"/>
        <w:spacing w:before="0" w:beforeAutospacing="0" w:after="0" w:afterAutospacing="0"/>
        <w:jc w:val="both"/>
        <w:divId w:val="1595479706"/>
        <w:rPr>
          <w:sz w:val="20"/>
          <w:szCs w:val="20"/>
        </w:rPr>
      </w:pPr>
      <w:r>
        <w:rPr>
          <w:sz w:val="20"/>
          <w:szCs w:val="20"/>
        </w:rPr>
        <w:t>The Company follows the asset and liability method of accounting for income taxes under ASC 740, “Income Taxes.” Deferred tax assets and liabilities are recognized for the estimated future tax consequences attributable to differences be</w:t>
      </w:r>
      <w:r>
        <w:rPr>
          <w:sz w:val="20"/>
          <w:szCs w:val="20"/>
        </w:rPr>
        <w:t>tween the financial statement carrying amounts of existing assets and liabilities and their respective tax bases. Deferred tax assets and liabilities are measured using enacted tax rates expected to apply to taxable income in the years in which those tempo</w:t>
      </w:r>
      <w:r>
        <w:rPr>
          <w:sz w:val="20"/>
          <w:szCs w:val="20"/>
        </w:rPr>
        <w:t>rary differences are expected to be recovered or settled. The effect on deferred tax assets and liabilities of a change in tax rates is recognized in income in the period that included the enactment date. Valuation allowances are established, when necessar</w:t>
      </w:r>
      <w:r>
        <w:rPr>
          <w:sz w:val="20"/>
          <w:szCs w:val="20"/>
        </w:rPr>
        <w:t>y, to reduce deferred tax assets to the amount expected to be realized.</w:t>
      </w:r>
    </w:p>
    <w:p w14:paraId="467D4EF0" w14:textId="77777777" w:rsidR="00000000" w:rsidRDefault="00087966">
      <w:pPr>
        <w:pStyle w:val="a3"/>
        <w:spacing w:before="0" w:beforeAutospacing="0" w:after="0" w:afterAutospacing="0"/>
        <w:divId w:val="1595479706"/>
        <w:rPr>
          <w:sz w:val="20"/>
          <w:szCs w:val="20"/>
        </w:rPr>
      </w:pPr>
      <w:r>
        <w:rPr>
          <w:sz w:val="20"/>
          <w:szCs w:val="20"/>
        </w:rPr>
        <w:t> </w:t>
      </w:r>
    </w:p>
    <w:p w14:paraId="504A206F" w14:textId="77777777" w:rsidR="00000000" w:rsidRDefault="00087966">
      <w:pPr>
        <w:pStyle w:val="a3"/>
        <w:spacing w:before="0" w:beforeAutospacing="0" w:after="0" w:afterAutospacing="0"/>
        <w:jc w:val="both"/>
        <w:divId w:val="1595479706"/>
        <w:rPr>
          <w:sz w:val="20"/>
          <w:szCs w:val="20"/>
        </w:rPr>
      </w:pPr>
      <w:r>
        <w:rPr>
          <w:sz w:val="20"/>
          <w:szCs w:val="20"/>
        </w:rPr>
        <w:t xml:space="preserve">FASB ASC 740 prescribes a recognition threshold and a measurement attribute for the financial statement recognition and measurement of tax positions taken or expected to be taken in </w:t>
      </w:r>
      <w:r>
        <w:rPr>
          <w:sz w:val="20"/>
          <w:szCs w:val="20"/>
        </w:rPr>
        <w:t xml:space="preserve">a tax return. For those benefits to be recognized, a tax position must be more likely than not to be sustained upon examination by taxing authorities. The Company recognizes accrued interest and penalties related to unrecognized tax benefits as income tax </w:t>
      </w:r>
      <w:r>
        <w:rPr>
          <w:sz w:val="20"/>
          <w:szCs w:val="20"/>
        </w:rPr>
        <w:t>expense. There were no unrecognized tax benefits and no amounts accrued for interest and penalties as of December 31, 2022 and 2021. The Company is currently not aware of any issues under review that could result in significant payments, accruals or materi</w:t>
      </w:r>
      <w:r>
        <w:rPr>
          <w:sz w:val="20"/>
          <w:szCs w:val="20"/>
        </w:rPr>
        <w:t>al deviation from its position. The Company is subject to income tax examinations by major taxing authorities since inception.</w:t>
      </w:r>
    </w:p>
    <w:p w14:paraId="46CB1498" w14:textId="77777777" w:rsidR="00000000" w:rsidRDefault="00087966">
      <w:pPr>
        <w:pStyle w:val="a3"/>
        <w:spacing w:before="0" w:beforeAutospacing="0" w:after="0" w:afterAutospacing="0"/>
        <w:jc w:val="both"/>
        <w:divId w:val="1595479706"/>
        <w:rPr>
          <w:sz w:val="20"/>
          <w:szCs w:val="20"/>
        </w:rPr>
      </w:pPr>
      <w:r>
        <w:rPr>
          <w:sz w:val="20"/>
          <w:szCs w:val="20"/>
        </w:rPr>
        <w:t> </w:t>
      </w:r>
    </w:p>
    <w:p w14:paraId="77E1F5FD" w14:textId="77777777" w:rsidR="00000000" w:rsidRDefault="00087966">
      <w:pPr>
        <w:pStyle w:val="a3"/>
        <w:spacing w:before="0" w:beforeAutospacing="0" w:after="0" w:afterAutospacing="0"/>
        <w:jc w:val="both"/>
        <w:divId w:val="1595479706"/>
        <w:rPr>
          <w:sz w:val="20"/>
          <w:szCs w:val="20"/>
        </w:rPr>
      </w:pPr>
      <w:r>
        <w:rPr>
          <w:sz w:val="20"/>
          <w:szCs w:val="20"/>
        </w:rPr>
        <w:t>The Company has identified the United States as its only tax jurisdiction. The Company is subject to income taxation by major t</w:t>
      </w:r>
      <w:r>
        <w:rPr>
          <w:sz w:val="20"/>
          <w:szCs w:val="20"/>
        </w:rPr>
        <w:t xml:space="preserve">axing authorities since inception. These examinations may include questioning the timing and amount of deductions, the nexus of income among various tax jurisdictions and compliance with federal and state tax laws. The Company’s management does not expect </w:t>
      </w:r>
      <w:r>
        <w:rPr>
          <w:sz w:val="20"/>
          <w:szCs w:val="20"/>
        </w:rPr>
        <w:t xml:space="preserve">that the total amount of unrecognized tax benefits will materially change over the next 12 months. For interim periods, the income tax provision or benefit related to ordinary income or loss is computed at an estimated annual effective income tax rate and </w:t>
      </w:r>
      <w:r>
        <w:rPr>
          <w:sz w:val="20"/>
          <w:szCs w:val="20"/>
        </w:rPr>
        <w:t>the income tax provision or benefit related to all other items is individually computed and recognized when the items occur.</w:t>
      </w:r>
    </w:p>
    <w:p w14:paraId="32A6E4E5" w14:textId="77777777" w:rsidR="00000000" w:rsidRDefault="00087966">
      <w:pPr>
        <w:pStyle w:val="a3"/>
        <w:spacing w:before="0" w:beforeAutospacing="0" w:after="0" w:afterAutospacing="0"/>
        <w:jc w:val="both"/>
        <w:divId w:val="1595479706"/>
        <w:rPr>
          <w:sz w:val="20"/>
          <w:szCs w:val="20"/>
        </w:rPr>
      </w:pPr>
      <w:r>
        <w:rPr>
          <w:sz w:val="20"/>
          <w:szCs w:val="20"/>
        </w:rPr>
        <w:t> </w:t>
      </w:r>
    </w:p>
    <w:p w14:paraId="47A7F3F1" w14:textId="77777777" w:rsidR="00000000" w:rsidRDefault="00087966">
      <w:pPr>
        <w:pStyle w:val="a3"/>
        <w:spacing w:before="0" w:beforeAutospacing="0" w:after="0" w:afterAutospacing="0"/>
        <w:jc w:val="both"/>
        <w:divId w:val="1595479706"/>
        <w:rPr>
          <w:sz w:val="20"/>
          <w:szCs w:val="20"/>
        </w:rPr>
      </w:pPr>
      <w:r>
        <w:rPr>
          <w:i/>
          <w:iCs/>
          <w:sz w:val="20"/>
          <w:szCs w:val="20"/>
        </w:rPr>
        <w:t>Inflation Reduction Act of 2022</w:t>
      </w:r>
    </w:p>
    <w:p w14:paraId="11463AB9" w14:textId="77777777" w:rsidR="00000000" w:rsidRDefault="00087966">
      <w:pPr>
        <w:pStyle w:val="a3"/>
        <w:spacing w:before="0" w:beforeAutospacing="0" w:after="0" w:afterAutospacing="0"/>
        <w:jc w:val="both"/>
        <w:divId w:val="1595479706"/>
        <w:rPr>
          <w:sz w:val="20"/>
          <w:szCs w:val="20"/>
        </w:rPr>
      </w:pPr>
      <w:r>
        <w:rPr>
          <w:sz w:val="20"/>
          <w:szCs w:val="20"/>
        </w:rPr>
        <w:t> </w:t>
      </w:r>
    </w:p>
    <w:p w14:paraId="4E477A56" w14:textId="77777777" w:rsidR="00000000" w:rsidRDefault="00087966">
      <w:pPr>
        <w:pStyle w:val="a3"/>
        <w:spacing w:before="0" w:beforeAutospacing="0" w:after="0" w:afterAutospacing="0"/>
        <w:jc w:val="both"/>
        <w:divId w:val="1595479706"/>
        <w:rPr>
          <w:sz w:val="20"/>
          <w:szCs w:val="20"/>
        </w:rPr>
      </w:pPr>
      <w:r>
        <w:rPr>
          <w:sz w:val="20"/>
          <w:szCs w:val="20"/>
        </w:rPr>
        <w:t xml:space="preserve">On August 16, 2022, the Inflation Reduction Act of 2022 (the “IR Act”) was signed into federal </w:t>
      </w:r>
      <w:r>
        <w:rPr>
          <w:sz w:val="20"/>
          <w:szCs w:val="20"/>
        </w:rPr>
        <w:t xml:space="preserve">law. The IR Act provides for, among other things, a new U.S. federal 1% excise tax on certain repurchases of stock by publicly traded U.S. domestic corporations and certain U.S. domestic subsidiaries of publicly traded foreign corporations occurring on or </w:t>
      </w:r>
      <w:r>
        <w:rPr>
          <w:sz w:val="20"/>
          <w:szCs w:val="20"/>
        </w:rPr>
        <w:t xml:space="preserve">after January 1, 2023. The excise tax is imposed on the repurchasing corporation itself, not its stockholders from which shares are repurchased. The amount of the excise tax is generally 1% of the fair market value of the shares repurchased at the time of </w:t>
      </w:r>
      <w:r>
        <w:rPr>
          <w:sz w:val="20"/>
          <w:szCs w:val="20"/>
        </w:rPr>
        <w:t>the repurchase. However, for purposes of calculating the excise tax, repurchasing corporations are permitted to net the fair market value of certain new stock issuances against the fair market value of stock repurchases during the same taxable year. In add</w:t>
      </w:r>
      <w:r>
        <w:rPr>
          <w:sz w:val="20"/>
          <w:szCs w:val="20"/>
        </w:rPr>
        <w:t>ition, certain exceptions apply to the excise tax. The U.S. Department of the Treasury (the “Treasury”) has been given authority to provide regulations and other guidance to carry out and prevent the abuse or avoidance of the excise tax.</w:t>
      </w:r>
    </w:p>
    <w:p w14:paraId="272D18C0" w14:textId="77777777" w:rsidR="00000000" w:rsidRDefault="00087966">
      <w:pPr>
        <w:pStyle w:val="a3"/>
        <w:spacing w:before="0" w:beforeAutospacing="0" w:after="0" w:afterAutospacing="0"/>
        <w:jc w:val="both"/>
        <w:divId w:val="1595479706"/>
        <w:rPr>
          <w:sz w:val="20"/>
          <w:szCs w:val="20"/>
        </w:rPr>
      </w:pPr>
      <w:r>
        <w:rPr>
          <w:sz w:val="20"/>
          <w:szCs w:val="20"/>
        </w:rPr>
        <w:t> </w:t>
      </w:r>
    </w:p>
    <w:p w14:paraId="081B399F" w14:textId="77777777" w:rsidR="00000000" w:rsidRDefault="00087966">
      <w:pPr>
        <w:pStyle w:val="a3"/>
        <w:spacing w:before="0" w:beforeAutospacing="0" w:after="0" w:afterAutospacing="0"/>
        <w:jc w:val="center"/>
        <w:divId w:val="141393430"/>
        <w:rPr>
          <w:sz w:val="20"/>
          <w:szCs w:val="20"/>
        </w:rPr>
      </w:pPr>
      <w:r>
        <w:rPr>
          <w:sz w:val="20"/>
          <w:szCs w:val="20"/>
        </w:rPr>
        <w:t>F</w:t>
      </w:r>
      <w:r>
        <w:rPr>
          <w:sz w:val="20"/>
          <w:szCs w:val="20"/>
        </w:rPr>
        <w:t>-</w:t>
      </w:r>
      <w:r>
        <w:rPr>
          <w:sz w:val="20"/>
          <w:szCs w:val="20"/>
        </w:rPr>
        <w:t>1</w:t>
      </w:r>
      <w:r>
        <w:rPr>
          <w:sz w:val="20"/>
          <w:szCs w:val="20"/>
        </w:rPr>
        <w:t>2</w:t>
      </w:r>
    </w:p>
    <w:p w14:paraId="177E4143" w14:textId="77777777" w:rsidR="00000000" w:rsidRDefault="00087966">
      <w:pPr>
        <w:pStyle w:val="a3"/>
        <w:spacing w:before="0" w:beforeAutospacing="0" w:after="0" w:afterAutospacing="0"/>
        <w:divId w:val="876233309"/>
        <w:rPr>
          <w:sz w:val="20"/>
          <w:szCs w:val="20"/>
        </w:rPr>
      </w:pPr>
      <w:r>
        <w:rPr>
          <w:sz w:val="20"/>
          <w:szCs w:val="20"/>
        </w:rPr>
        <w:t> </w:t>
      </w:r>
    </w:p>
    <w:p w14:paraId="619A592A" w14:textId="77777777" w:rsidR="00000000" w:rsidRDefault="00087966">
      <w:pPr>
        <w:pStyle w:val="a3"/>
        <w:spacing w:before="0" w:beforeAutospacing="0" w:after="0" w:afterAutospacing="0"/>
        <w:jc w:val="both"/>
        <w:divId w:val="1595479706"/>
        <w:rPr>
          <w:sz w:val="20"/>
          <w:szCs w:val="20"/>
        </w:rPr>
      </w:pPr>
      <w:r>
        <w:rPr>
          <w:sz w:val="20"/>
          <w:szCs w:val="20"/>
        </w:rPr>
        <w:t> </w:t>
      </w:r>
    </w:p>
    <w:p w14:paraId="795B9871" w14:textId="77777777" w:rsidR="00000000" w:rsidRDefault="00087966">
      <w:pPr>
        <w:pStyle w:val="a3"/>
        <w:spacing w:before="0" w:beforeAutospacing="0" w:after="0" w:afterAutospacing="0"/>
        <w:jc w:val="center"/>
        <w:divId w:val="1595479706"/>
        <w:rPr>
          <w:sz w:val="20"/>
          <w:szCs w:val="20"/>
        </w:rPr>
      </w:pPr>
      <w:r>
        <w:rPr>
          <w:b/>
          <w:bCs/>
          <w:sz w:val="20"/>
          <w:szCs w:val="20"/>
        </w:rPr>
        <w:t>KLUDEIN</w:t>
      </w:r>
      <w:r>
        <w:rPr>
          <w:b/>
          <w:bCs/>
          <w:sz w:val="20"/>
          <w:szCs w:val="20"/>
        </w:rPr>
        <w:t xml:space="preserve"> I ACQUISITION CORP.</w:t>
      </w:r>
    </w:p>
    <w:p w14:paraId="49F40E60"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32D8654C"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32B2E815" w14:textId="77777777" w:rsidR="00000000" w:rsidRDefault="00087966">
      <w:pPr>
        <w:pStyle w:val="a3"/>
        <w:spacing w:before="0" w:beforeAutospacing="0" w:after="0" w:afterAutospacing="0"/>
        <w:jc w:val="both"/>
        <w:divId w:val="1595479706"/>
        <w:rPr>
          <w:sz w:val="20"/>
          <w:szCs w:val="20"/>
        </w:rPr>
      </w:pPr>
      <w:r>
        <w:rPr>
          <w:sz w:val="20"/>
          <w:szCs w:val="20"/>
        </w:rPr>
        <w:t> </w:t>
      </w:r>
    </w:p>
    <w:p w14:paraId="147E2E72" w14:textId="77777777" w:rsidR="00000000" w:rsidRDefault="00087966">
      <w:pPr>
        <w:pStyle w:val="a3"/>
        <w:spacing w:before="0" w:beforeAutospacing="0" w:after="0" w:afterAutospacing="0"/>
        <w:jc w:val="both"/>
        <w:divId w:val="1595479706"/>
        <w:rPr>
          <w:sz w:val="20"/>
          <w:szCs w:val="20"/>
        </w:rPr>
      </w:pPr>
      <w:r>
        <w:rPr>
          <w:sz w:val="20"/>
          <w:szCs w:val="20"/>
        </w:rPr>
        <w:t>Any redemption or other repurchase that occurs after December 31, 2022, in connection with a Business Combination, extension vote or otherwise, may be subject to the ex</w:t>
      </w:r>
      <w:r>
        <w:rPr>
          <w:sz w:val="20"/>
          <w:szCs w:val="20"/>
        </w:rPr>
        <w:t>cise tax. In January 2023, 9,786,530 shares were redeemed for an aggregate of $100,993,709, which may be subject to the excise tax. Whether and to what extent the Company would be subject to the excise tax in connection with a Business Combination, extensi</w:t>
      </w:r>
      <w:r>
        <w:rPr>
          <w:sz w:val="20"/>
          <w:szCs w:val="20"/>
        </w:rPr>
        <w:t>on vote or otherwise would depend on a number of factors, including (i) the fair market value of the redemptions and repurchases in connection with the Business Combination, extension or otherwise, (ii) the structure of a Business Combination, (iii) the na</w:t>
      </w:r>
      <w:r>
        <w:rPr>
          <w:sz w:val="20"/>
          <w:szCs w:val="20"/>
        </w:rPr>
        <w:t xml:space="preserve">ture and amount of any “PIPE” or other equity issuances in connection with a Business Combination (or otherwise issued not in connection with a Business Combination but issued within the same taxable year of a Business Combination) and (iv) the content of </w:t>
      </w:r>
      <w:r>
        <w:rPr>
          <w:sz w:val="20"/>
          <w:szCs w:val="20"/>
        </w:rPr>
        <w:t>regulations and other guidance from the Treasury. In addition, because the excise tax would be payable by the Company and not by the redeeming holder, the mechanics of any required payment of the excise tax have not been determined. The foregoing could cau</w:t>
      </w:r>
      <w:r>
        <w:rPr>
          <w:sz w:val="20"/>
          <w:szCs w:val="20"/>
        </w:rPr>
        <w:t>se a reduction in the cash available on hand to complete a Business Combination and in the Company’s ability to complete a Business Combination.</w:t>
      </w:r>
    </w:p>
    <w:p w14:paraId="47C88376" w14:textId="77777777" w:rsidR="00000000" w:rsidRDefault="00087966">
      <w:pPr>
        <w:pStyle w:val="a3"/>
        <w:spacing w:before="0" w:beforeAutospacing="0" w:after="0" w:afterAutospacing="0"/>
        <w:jc w:val="both"/>
        <w:divId w:val="1595479706"/>
        <w:rPr>
          <w:sz w:val="20"/>
          <w:szCs w:val="20"/>
        </w:rPr>
      </w:pPr>
      <w:r>
        <w:rPr>
          <w:sz w:val="20"/>
          <w:szCs w:val="20"/>
        </w:rPr>
        <w:t> </w:t>
      </w:r>
    </w:p>
    <w:p w14:paraId="72681A9C" w14:textId="77777777" w:rsidR="00000000" w:rsidRDefault="00087966">
      <w:pPr>
        <w:pStyle w:val="a3"/>
        <w:spacing w:before="0" w:beforeAutospacing="0" w:after="0" w:afterAutospacing="0"/>
        <w:jc w:val="both"/>
        <w:divId w:val="1595479706"/>
        <w:rPr>
          <w:sz w:val="20"/>
          <w:szCs w:val="20"/>
        </w:rPr>
      </w:pPr>
      <w:r>
        <w:rPr>
          <w:b/>
          <w:bCs/>
          <w:i/>
          <w:iCs/>
          <w:sz w:val="20"/>
          <w:szCs w:val="20"/>
        </w:rPr>
        <w:t>Net Income (Loss) per Share of Common Stock</w:t>
      </w:r>
    </w:p>
    <w:p w14:paraId="1ED1BD39" w14:textId="77777777" w:rsidR="00000000" w:rsidRDefault="00087966">
      <w:pPr>
        <w:pStyle w:val="a3"/>
        <w:spacing w:before="0" w:beforeAutospacing="0" w:after="0" w:afterAutospacing="0"/>
        <w:jc w:val="both"/>
        <w:divId w:val="1595479706"/>
        <w:rPr>
          <w:sz w:val="20"/>
          <w:szCs w:val="20"/>
        </w:rPr>
      </w:pPr>
      <w:r>
        <w:rPr>
          <w:sz w:val="20"/>
          <w:szCs w:val="20"/>
        </w:rPr>
        <w:t> </w:t>
      </w:r>
    </w:p>
    <w:p w14:paraId="6F54F292" w14:textId="77777777" w:rsidR="00000000" w:rsidRDefault="00087966">
      <w:pPr>
        <w:pStyle w:val="a3"/>
        <w:spacing w:before="0" w:beforeAutospacing="0" w:after="0" w:afterAutospacing="0"/>
        <w:jc w:val="both"/>
        <w:divId w:val="1595479706"/>
        <w:rPr>
          <w:sz w:val="20"/>
          <w:szCs w:val="20"/>
        </w:rPr>
      </w:pPr>
      <w:r>
        <w:rPr>
          <w:sz w:val="20"/>
          <w:szCs w:val="20"/>
        </w:rPr>
        <w:t>The Company complies with accounting and disclosure requirements of FASB ASC Topic 260, “Earnings Per Share”. Net (loss) income per share of common stock is computed by dividing net income (loss) by the weighted average number of shares of common stock out</w:t>
      </w:r>
      <w:r>
        <w:rPr>
          <w:sz w:val="20"/>
          <w:szCs w:val="20"/>
        </w:rPr>
        <w:t xml:space="preserve">standing for the period. The Company applies the two-class method in calculating income (loss) per share of common stock. Re-measurement associated with the redeemable shares of Class A common stock is excluded from (loss) income per share of common stock </w:t>
      </w:r>
      <w:r>
        <w:rPr>
          <w:sz w:val="20"/>
          <w:szCs w:val="20"/>
        </w:rPr>
        <w:t>as the redemption value approximates fair value. Net income (loss) is allocated among the classes of common stock based on weighted average shares outstanding.</w:t>
      </w:r>
    </w:p>
    <w:p w14:paraId="28EAB417" w14:textId="77777777" w:rsidR="00000000" w:rsidRDefault="00087966">
      <w:pPr>
        <w:pStyle w:val="a3"/>
        <w:spacing w:before="0" w:beforeAutospacing="0" w:after="0" w:afterAutospacing="0"/>
        <w:jc w:val="both"/>
        <w:divId w:val="1595479706"/>
        <w:rPr>
          <w:sz w:val="20"/>
          <w:szCs w:val="20"/>
        </w:rPr>
      </w:pPr>
      <w:r>
        <w:rPr>
          <w:sz w:val="20"/>
          <w:szCs w:val="20"/>
        </w:rPr>
        <w:t> </w:t>
      </w:r>
    </w:p>
    <w:p w14:paraId="4F0BA34E" w14:textId="77777777" w:rsidR="00000000" w:rsidRDefault="00087966">
      <w:pPr>
        <w:pStyle w:val="a3"/>
        <w:spacing w:before="0" w:beforeAutospacing="0" w:after="0" w:afterAutospacing="0"/>
        <w:jc w:val="both"/>
        <w:divId w:val="1595479706"/>
        <w:rPr>
          <w:sz w:val="20"/>
          <w:szCs w:val="20"/>
        </w:rPr>
      </w:pPr>
      <w:r>
        <w:rPr>
          <w:sz w:val="20"/>
          <w:szCs w:val="20"/>
        </w:rPr>
        <w:t>The calculation of diluted income (loss) per share of common stock does not consider the effec</w:t>
      </w:r>
      <w:r>
        <w:rPr>
          <w:sz w:val="20"/>
          <w:szCs w:val="20"/>
        </w:rPr>
        <w:t>t of the warrants issued in connection with the (i) Initial Public Offering, and (ii) the private placement since the exercise of the warrants is contingent upon the occurrence of future events. The warrants are exercisable to purchase 13,825,000 shares of</w:t>
      </w:r>
      <w:r>
        <w:rPr>
          <w:sz w:val="20"/>
          <w:szCs w:val="20"/>
        </w:rPr>
        <w:t xml:space="preserve"> Class A common stock in the aggregate, not including warrants that may be acquired from the conversion feature in the Working Capital Loan. As of December 31, 2022 and 2021, the Company did not have any other dilutive securities or other contracts that co</w:t>
      </w:r>
      <w:r>
        <w:rPr>
          <w:sz w:val="20"/>
          <w:szCs w:val="20"/>
        </w:rPr>
        <w:t>uld, potentially, be exercised or converted into common stock and then share in the earnings of the Company. As a result, diluted net income (loss) per share of common stock is the same as basic net income (loss) per share of common stock for the periods p</w:t>
      </w:r>
      <w:r>
        <w:rPr>
          <w:sz w:val="20"/>
          <w:szCs w:val="20"/>
        </w:rPr>
        <w:t>resented.</w:t>
      </w:r>
    </w:p>
    <w:p w14:paraId="0C84D615" w14:textId="77777777" w:rsidR="00000000" w:rsidRDefault="00087966">
      <w:pPr>
        <w:pStyle w:val="a3"/>
        <w:spacing w:before="0" w:beforeAutospacing="0" w:after="0" w:afterAutospacing="0"/>
        <w:jc w:val="both"/>
        <w:divId w:val="1595479706"/>
        <w:rPr>
          <w:sz w:val="20"/>
          <w:szCs w:val="20"/>
        </w:rPr>
      </w:pPr>
      <w:r>
        <w:rPr>
          <w:sz w:val="20"/>
          <w:szCs w:val="20"/>
        </w:rPr>
        <w:t> </w:t>
      </w:r>
    </w:p>
    <w:p w14:paraId="5F15A8F0" w14:textId="77777777" w:rsidR="00000000" w:rsidRDefault="00087966">
      <w:pPr>
        <w:pStyle w:val="a3"/>
        <w:spacing w:before="0" w:beforeAutospacing="0" w:after="0" w:afterAutospacing="0"/>
        <w:jc w:val="both"/>
        <w:divId w:val="1595479706"/>
        <w:rPr>
          <w:sz w:val="20"/>
          <w:szCs w:val="20"/>
        </w:rPr>
      </w:pPr>
      <w:r>
        <w:rPr>
          <w:sz w:val="20"/>
          <w:szCs w:val="20"/>
        </w:rPr>
        <w:t>Founder Shares subject to forfeiture (see Note 5) are not included in weighted average shares outstanding for basic net income (loss) per share until the forfeiture restrictions lapse, however, they are included in weighted average shares outst</w:t>
      </w:r>
      <w:r>
        <w:rPr>
          <w:sz w:val="20"/>
          <w:szCs w:val="20"/>
        </w:rPr>
        <w:t>anding for diluted net (loss) income per share for the entire period.</w:t>
      </w:r>
    </w:p>
    <w:p w14:paraId="5CFED9B3" w14:textId="77777777" w:rsidR="00000000" w:rsidRDefault="00087966">
      <w:pPr>
        <w:pStyle w:val="a3"/>
        <w:spacing w:before="0" w:beforeAutospacing="0" w:after="0" w:afterAutospacing="0"/>
        <w:jc w:val="both"/>
        <w:divId w:val="1595479706"/>
        <w:rPr>
          <w:sz w:val="20"/>
          <w:szCs w:val="20"/>
        </w:rPr>
      </w:pPr>
      <w:r>
        <w:rPr>
          <w:sz w:val="20"/>
          <w:szCs w:val="20"/>
        </w:rPr>
        <w:t> </w:t>
      </w:r>
    </w:p>
    <w:p w14:paraId="37F2920D" w14:textId="77777777" w:rsidR="00000000" w:rsidRDefault="00087966">
      <w:pPr>
        <w:pStyle w:val="a3"/>
        <w:spacing w:before="0" w:beforeAutospacing="0" w:after="0" w:afterAutospacing="0"/>
        <w:jc w:val="both"/>
        <w:divId w:val="1595479706"/>
        <w:rPr>
          <w:sz w:val="20"/>
          <w:szCs w:val="20"/>
        </w:rPr>
      </w:pPr>
      <w:r>
        <w:rPr>
          <w:sz w:val="20"/>
          <w:szCs w:val="20"/>
        </w:rPr>
        <w:t>The following table reflects the calculation of basic and diluted net income (loss) per share of common stock (in dollars, except share amounts):</w:t>
      </w:r>
    </w:p>
    <w:p w14:paraId="6FD9D76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2"/>
        <w:gridCol w:w="50"/>
        <w:gridCol w:w="100"/>
        <w:gridCol w:w="900"/>
        <w:gridCol w:w="50"/>
        <w:gridCol w:w="50"/>
        <w:gridCol w:w="100"/>
        <w:gridCol w:w="800"/>
        <w:gridCol w:w="50"/>
        <w:gridCol w:w="50"/>
        <w:gridCol w:w="100"/>
        <w:gridCol w:w="900"/>
        <w:gridCol w:w="67"/>
        <w:gridCol w:w="50"/>
        <w:gridCol w:w="100"/>
        <w:gridCol w:w="800"/>
        <w:gridCol w:w="67"/>
      </w:tblGrid>
      <w:tr w:rsidR="00000000" w14:paraId="692A8890" w14:textId="77777777">
        <w:trPr>
          <w:divId w:val="1595479706"/>
        </w:trPr>
        <w:tc>
          <w:tcPr>
            <w:tcW w:w="0" w:type="auto"/>
            <w:vAlign w:val="bottom"/>
            <w:hideMark/>
          </w:tcPr>
          <w:p w14:paraId="1328C291" w14:textId="77777777" w:rsidR="00000000" w:rsidRDefault="0008796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DBCE0D0" w14:textId="77777777" w:rsidR="00000000" w:rsidRDefault="00087966">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72093E83" w14:textId="77777777" w:rsidR="00000000" w:rsidRDefault="00087966">
            <w:pPr>
              <w:jc w:val="center"/>
              <w:rPr>
                <w:rFonts w:eastAsia="Times New Roman"/>
                <w:b/>
                <w:bCs/>
                <w:sz w:val="20"/>
                <w:szCs w:val="20"/>
              </w:rPr>
            </w:pPr>
            <w:r>
              <w:rPr>
                <w:rFonts w:eastAsia="Times New Roman"/>
                <w:b/>
                <w:bCs/>
                <w:sz w:val="20"/>
                <w:szCs w:val="20"/>
              </w:rPr>
              <w:t>For the Years Ended</w:t>
            </w:r>
            <w:r>
              <w:rPr>
                <w:rFonts w:eastAsia="Times New Roman"/>
                <w:b/>
                <w:bCs/>
                <w:sz w:val="20"/>
                <w:szCs w:val="20"/>
              </w:rPr>
              <w:br/>
              <w:t>December 31,</w:t>
            </w:r>
          </w:p>
        </w:tc>
        <w:tc>
          <w:tcPr>
            <w:tcW w:w="0" w:type="auto"/>
            <w:tcMar>
              <w:top w:w="0" w:type="dxa"/>
              <w:left w:w="0" w:type="dxa"/>
              <w:bottom w:w="30" w:type="dxa"/>
              <w:right w:w="0" w:type="dxa"/>
            </w:tcMar>
            <w:vAlign w:val="bottom"/>
            <w:hideMark/>
          </w:tcPr>
          <w:p w14:paraId="67B01535" w14:textId="77777777" w:rsidR="00000000" w:rsidRDefault="00087966">
            <w:pPr>
              <w:rPr>
                <w:rFonts w:eastAsia="Times New Roman"/>
                <w:b/>
                <w:bCs/>
                <w:sz w:val="20"/>
                <w:szCs w:val="20"/>
              </w:rPr>
            </w:pPr>
            <w:r>
              <w:rPr>
                <w:rFonts w:eastAsia="Times New Roman"/>
                <w:b/>
                <w:bCs/>
                <w:sz w:val="20"/>
                <w:szCs w:val="20"/>
              </w:rPr>
              <w:t> </w:t>
            </w:r>
          </w:p>
        </w:tc>
      </w:tr>
      <w:tr w:rsidR="00000000" w14:paraId="032A1AB2" w14:textId="77777777">
        <w:trPr>
          <w:divId w:val="1595479706"/>
        </w:trPr>
        <w:tc>
          <w:tcPr>
            <w:tcW w:w="0" w:type="auto"/>
            <w:vAlign w:val="bottom"/>
            <w:hideMark/>
          </w:tcPr>
          <w:p w14:paraId="1FC5F540" w14:textId="77777777" w:rsidR="00000000" w:rsidRDefault="0008796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85E522C" w14:textId="77777777" w:rsidR="00000000" w:rsidRDefault="00087966">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583251F" w14:textId="77777777" w:rsidR="00000000" w:rsidRDefault="00087966">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3333E683"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91EF7AB" w14:textId="77777777" w:rsidR="00000000" w:rsidRDefault="00087966">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4105148" w14:textId="77777777" w:rsidR="00000000" w:rsidRDefault="00087966">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610B2227" w14:textId="77777777" w:rsidR="00000000" w:rsidRDefault="00087966">
            <w:pPr>
              <w:rPr>
                <w:rFonts w:eastAsia="Times New Roman"/>
                <w:b/>
                <w:bCs/>
                <w:sz w:val="20"/>
                <w:szCs w:val="20"/>
              </w:rPr>
            </w:pPr>
            <w:r>
              <w:rPr>
                <w:rFonts w:eastAsia="Times New Roman"/>
                <w:b/>
                <w:bCs/>
                <w:sz w:val="20"/>
                <w:szCs w:val="20"/>
              </w:rPr>
              <w:t> </w:t>
            </w:r>
          </w:p>
        </w:tc>
      </w:tr>
      <w:tr w:rsidR="00000000" w14:paraId="5B441C09" w14:textId="77777777">
        <w:trPr>
          <w:divId w:val="1595479706"/>
        </w:trPr>
        <w:tc>
          <w:tcPr>
            <w:tcW w:w="0" w:type="auto"/>
            <w:vAlign w:val="bottom"/>
            <w:hideMark/>
          </w:tcPr>
          <w:p w14:paraId="014EE10E" w14:textId="77777777" w:rsidR="00000000" w:rsidRDefault="00087966">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A1C8704" w14:textId="77777777" w:rsidR="00000000" w:rsidRDefault="00087966">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3748661" w14:textId="77777777" w:rsidR="00000000" w:rsidRDefault="00087966">
            <w:pPr>
              <w:jc w:val="center"/>
              <w:rPr>
                <w:rFonts w:eastAsia="Times New Roman"/>
                <w:sz w:val="20"/>
                <w:szCs w:val="20"/>
              </w:rPr>
            </w:pPr>
            <w:r>
              <w:rPr>
                <w:rFonts w:eastAsia="Times New Roman"/>
                <w:sz w:val="20"/>
                <w:szCs w:val="20"/>
              </w:rPr>
              <w:t>Class A</w:t>
            </w:r>
          </w:p>
        </w:tc>
        <w:tc>
          <w:tcPr>
            <w:tcW w:w="0" w:type="auto"/>
            <w:tcMar>
              <w:top w:w="0" w:type="dxa"/>
              <w:left w:w="0" w:type="dxa"/>
              <w:bottom w:w="30" w:type="dxa"/>
              <w:right w:w="0" w:type="dxa"/>
            </w:tcMar>
            <w:vAlign w:val="bottom"/>
            <w:hideMark/>
          </w:tcPr>
          <w:p w14:paraId="68540D7B"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B960424" w14:textId="77777777" w:rsidR="00000000" w:rsidRDefault="00087966">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4529DED3" w14:textId="77777777" w:rsidR="00000000" w:rsidRDefault="00087966">
            <w:pPr>
              <w:jc w:val="center"/>
              <w:rPr>
                <w:rFonts w:eastAsia="Times New Roman"/>
                <w:sz w:val="20"/>
                <w:szCs w:val="20"/>
              </w:rPr>
            </w:pPr>
            <w:r>
              <w:rPr>
                <w:rFonts w:eastAsia="Times New Roman"/>
                <w:sz w:val="20"/>
                <w:szCs w:val="20"/>
              </w:rPr>
              <w:t>Class B</w:t>
            </w:r>
          </w:p>
        </w:tc>
        <w:tc>
          <w:tcPr>
            <w:tcW w:w="0" w:type="auto"/>
            <w:tcMar>
              <w:top w:w="0" w:type="dxa"/>
              <w:left w:w="0" w:type="dxa"/>
              <w:bottom w:w="30" w:type="dxa"/>
              <w:right w:w="0" w:type="dxa"/>
            </w:tcMar>
            <w:vAlign w:val="bottom"/>
            <w:hideMark/>
          </w:tcPr>
          <w:p w14:paraId="72562755"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E2FCA2F" w14:textId="77777777" w:rsidR="00000000" w:rsidRDefault="00087966">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3A6C52E7" w14:textId="77777777" w:rsidR="00000000" w:rsidRDefault="00087966">
            <w:pPr>
              <w:jc w:val="center"/>
              <w:rPr>
                <w:rFonts w:eastAsia="Times New Roman"/>
                <w:sz w:val="20"/>
                <w:szCs w:val="20"/>
              </w:rPr>
            </w:pPr>
            <w:r>
              <w:rPr>
                <w:rFonts w:eastAsia="Times New Roman"/>
                <w:sz w:val="20"/>
                <w:szCs w:val="20"/>
              </w:rPr>
              <w:t>Class A</w:t>
            </w:r>
          </w:p>
        </w:tc>
        <w:tc>
          <w:tcPr>
            <w:tcW w:w="0" w:type="auto"/>
            <w:tcMar>
              <w:top w:w="0" w:type="dxa"/>
              <w:left w:w="0" w:type="dxa"/>
              <w:bottom w:w="30" w:type="dxa"/>
              <w:right w:w="0" w:type="dxa"/>
            </w:tcMar>
            <w:vAlign w:val="bottom"/>
            <w:hideMark/>
          </w:tcPr>
          <w:p w14:paraId="68B53C0F"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BCE0AFB" w14:textId="77777777" w:rsidR="00000000" w:rsidRDefault="00087966">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7A87F880" w14:textId="77777777" w:rsidR="00000000" w:rsidRDefault="00087966">
            <w:pPr>
              <w:jc w:val="center"/>
              <w:rPr>
                <w:rFonts w:eastAsia="Times New Roman"/>
                <w:sz w:val="20"/>
                <w:szCs w:val="20"/>
              </w:rPr>
            </w:pPr>
            <w:r>
              <w:rPr>
                <w:rFonts w:eastAsia="Times New Roman"/>
                <w:sz w:val="20"/>
                <w:szCs w:val="20"/>
              </w:rPr>
              <w:t>Class B</w:t>
            </w:r>
          </w:p>
        </w:tc>
        <w:tc>
          <w:tcPr>
            <w:tcW w:w="0" w:type="auto"/>
            <w:tcMar>
              <w:top w:w="0" w:type="dxa"/>
              <w:left w:w="0" w:type="dxa"/>
              <w:bottom w:w="30" w:type="dxa"/>
              <w:right w:w="0" w:type="dxa"/>
            </w:tcMar>
            <w:vAlign w:val="bottom"/>
            <w:hideMark/>
          </w:tcPr>
          <w:p w14:paraId="4D5544FA" w14:textId="77777777" w:rsidR="00000000" w:rsidRDefault="00087966">
            <w:pPr>
              <w:rPr>
                <w:rFonts w:eastAsia="Times New Roman"/>
                <w:sz w:val="20"/>
                <w:szCs w:val="20"/>
              </w:rPr>
            </w:pPr>
            <w:r>
              <w:rPr>
                <w:rFonts w:eastAsia="Times New Roman"/>
                <w:sz w:val="20"/>
                <w:szCs w:val="20"/>
              </w:rPr>
              <w:t> </w:t>
            </w:r>
          </w:p>
        </w:tc>
      </w:tr>
      <w:tr w:rsidR="00000000" w14:paraId="66CC49CD" w14:textId="77777777">
        <w:trPr>
          <w:divId w:val="1595479706"/>
        </w:trPr>
        <w:tc>
          <w:tcPr>
            <w:tcW w:w="0" w:type="auto"/>
            <w:vAlign w:val="bottom"/>
            <w:hideMark/>
          </w:tcPr>
          <w:p w14:paraId="5EF470B7" w14:textId="77777777" w:rsidR="00000000" w:rsidRDefault="00087966">
            <w:pPr>
              <w:rPr>
                <w:rFonts w:eastAsia="Times New Roman"/>
                <w:sz w:val="20"/>
                <w:szCs w:val="20"/>
              </w:rPr>
            </w:pPr>
            <w:r>
              <w:rPr>
                <w:rFonts w:eastAsia="Times New Roman"/>
                <w:sz w:val="20"/>
                <w:szCs w:val="20"/>
              </w:rPr>
              <w:t>Basic and diluted net income (loss) per share of common stock</w:t>
            </w:r>
          </w:p>
        </w:tc>
        <w:tc>
          <w:tcPr>
            <w:tcW w:w="0" w:type="auto"/>
            <w:vAlign w:val="bottom"/>
            <w:hideMark/>
          </w:tcPr>
          <w:p w14:paraId="62950873"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0A721A2B"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566296C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F3FEC46"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7257FCF0"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48F764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EB95BA1"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27FD2786"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5E2193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DEE5582"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7B531FBC"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EF56263" w14:textId="77777777" w:rsidR="00000000" w:rsidRDefault="00087966">
            <w:pPr>
              <w:rPr>
                <w:rFonts w:eastAsia="Times New Roman"/>
                <w:sz w:val="20"/>
                <w:szCs w:val="20"/>
              </w:rPr>
            </w:pPr>
            <w:r>
              <w:rPr>
                <w:rFonts w:eastAsia="Times New Roman"/>
                <w:sz w:val="20"/>
                <w:szCs w:val="20"/>
              </w:rPr>
              <w:t> </w:t>
            </w:r>
          </w:p>
        </w:tc>
      </w:tr>
      <w:tr w:rsidR="00000000" w14:paraId="075BAB78" w14:textId="77777777">
        <w:trPr>
          <w:divId w:val="1595479706"/>
        </w:trPr>
        <w:tc>
          <w:tcPr>
            <w:tcW w:w="0" w:type="auto"/>
            <w:vAlign w:val="bottom"/>
            <w:hideMark/>
          </w:tcPr>
          <w:p w14:paraId="46383582" w14:textId="77777777" w:rsidR="00000000" w:rsidRDefault="00087966">
            <w:pPr>
              <w:rPr>
                <w:rFonts w:eastAsia="Times New Roman"/>
                <w:sz w:val="20"/>
                <w:szCs w:val="20"/>
              </w:rPr>
            </w:pPr>
            <w:r>
              <w:rPr>
                <w:rFonts w:eastAsia="Times New Roman"/>
                <w:sz w:val="20"/>
                <w:szCs w:val="20"/>
              </w:rPr>
              <w:t>Numerator:</w:t>
            </w:r>
          </w:p>
        </w:tc>
        <w:tc>
          <w:tcPr>
            <w:tcW w:w="0" w:type="auto"/>
            <w:vAlign w:val="bottom"/>
            <w:hideMark/>
          </w:tcPr>
          <w:p w14:paraId="7569959D"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6E9D9C9F"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F8E71E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6B390CB"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31C67D3C"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6BF373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0B54F2F"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16AB85A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D325D3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02FA848"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5F5791B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D7D34B4" w14:textId="77777777" w:rsidR="00000000" w:rsidRDefault="00087966">
            <w:pPr>
              <w:rPr>
                <w:rFonts w:eastAsia="Times New Roman"/>
                <w:sz w:val="20"/>
                <w:szCs w:val="20"/>
              </w:rPr>
            </w:pPr>
            <w:r>
              <w:rPr>
                <w:rFonts w:eastAsia="Times New Roman"/>
                <w:sz w:val="20"/>
                <w:szCs w:val="20"/>
              </w:rPr>
              <w:t> </w:t>
            </w:r>
          </w:p>
        </w:tc>
      </w:tr>
      <w:tr w:rsidR="00000000" w14:paraId="1650FD5F" w14:textId="77777777">
        <w:trPr>
          <w:divId w:val="1595479706"/>
        </w:trPr>
        <w:tc>
          <w:tcPr>
            <w:tcW w:w="2600" w:type="pct"/>
            <w:shd w:val="clear" w:color="auto" w:fill="CCEEFF"/>
            <w:tcMar>
              <w:top w:w="0" w:type="dxa"/>
              <w:left w:w="0" w:type="dxa"/>
              <w:bottom w:w="30" w:type="dxa"/>
              <w:right w:w="0" w:type="dxa"/>
            </w:tcMar>
            <w:vAlign w:val="bottom"/>
            <w:hideMark/>
          </w:tcPr>
          <w:p w14:paraId="62CDD868" w14:textId="77777777" w:rsidR="00000000" w:rsidRDefault="00087966">
            <w:pPr>
              <w:rPr>
                <w:rFonts w:eastAsia="Times New Roman"/>
                <w:sz w:val="20"/>
                <w:szCs w:val="20"/>
              </w:rPr>
            </w:pPr>
            <w:r>
              <w:rPr>
                <w:rFonts w:eastAsia="Times New Roman"/>
                <w:sz w:val="20"/>
                <w:szCs w:val="20"/>
              </w:rPr>
              <w:t>Allocation of net income (loss)</w:t>
            </w:r>
          </w:p>
        </w:tc>
        <w:tc>
          <w:tcPr>
            <w:tcW w:w="50" w:type="pct"/>
            <w:shd w:val="clear" w:color="auto" w:fill="CCEEFF"/>
            <w:tcMar>
              <w:top w:w="0" w:type="dxa"/>
              <w:left w:w="0" w:type="dxa"/>
              <w:bottom w:w="30" w:type="dxa"/>
              <w:right w:w="0" w:type="dxa"/>
            </w:tcMar>
            <w:vAlign w:val="bottom"/>
            <w:hideMark/>
          </w:tcPr>
          <w:p w14:paraId="0DF4085E" w14:textId="77777777" w:rsidR="00000000" w:rsidRDefault="0008796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65F1B7EB" w14:textId="77777777" w:rsidR="00000000" w:rsidRDefault="00087966">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05298DF0" w14:textId="77777777" w:rsidR="00000000" w:rsidRDefault="00087966">
            <w:pPr>
              <w:jc w:val="right"/>
              <w:rPr>
                <w:rFonts w:eastAsia="Times New Roman"/>
                <w:sz w:val="20"/>
                <w:szCs w:val="20"/>
              </w:rPr>
            </w:pPr>
            <w:r>
              <w:rPr>
                <w:rFonts w:eastAsia="Times New Roman"/>
                <w:sz w:val="20"/>
                <w:szCs w:val="20"/>
              </w:rPr>
              <w:t>3,842,900</w:t>
            </w:r>
          </w:p>
        </w:tc>
        <w:tc>
          <w:tcPr>
            <w:tcW w:w="50" w:type="pct"/>
            <w:shd w:val="clear" w:color="auto" w:fill="CCEEFF"/>
            <w:tcMar>
              <w:top w:w="0" w:type="dxa"/>
              <w:left w:w="0" w:type="dxa"/>
              <w:bottom w:w="30" w:type="dxa"/>
              <w:right w:w="0" w:type="dxa"/>
            </w:tcMar>
            <w:vAlign w:val="bottom"/>
            <w:hideMark/>
          </w:tcPr>
          <w:p w14:paraId="2636E251"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229504C2" w14:textId="77777777" w:rsidR="00000000" w:rsidRDefault="0008796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49E45D51" w14:textId="77777777" w:rsidR="00000000" w:rsidRDefault="00087966">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58DCDA45" w14:textId="77777777" w:rsidR="00000000" w:rsidRDefault="00087966">
            <w:pPr>
              <w:jc w:val="right"/>
              <w:rPr>
                <w:rFonts w:eastAsia="Times New Roman"/>
                <w:sz w:val="20"/>
                <w:szCs w:val="20"/>
              </w:rPr>
            </w:pPr>
            <w:r>
              <w:rPr>
                <w:rFonts w:eastAsia="Times New Roman"/>
                <w:sz w:val="20"/>
                <w:szCs w:val="20"/>
              </w:rPr>
              <w:t>1,189,669</w:t>
            </w:r>
          </w:p>
        </w:tc>
        <w:tc>
          <w:tcPr>
            <w:tcW w:w="50" w:type="pct"/>
            <w:shd w:val="clear" w:color="auto" w:fill="CCEEFF"/>
            <w:tcMar>
              <w:top w:w="0" w:type="dxa"/>
              <w:left w:w="0" w:type="dxa"/>
              <w:bottom w:w="30" w:type="dxa"/>
              <w:right w:w="0" w:type="dxa"/>
            </w:tcMar>
            <w:vAlign w:val="bottom"/>
            <w:hideMark/>
          </w:tcPr>
          <w:p w14:paraId="2BAE6DD9"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14:paraId="5DB8DD12" w14:textId="77777777" w:rsidR="00000000" w:rsidRDefault="0008796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1805E112" w14:textId="77777777" w:rsidR="00000000" w:rsidRDefault="00087966">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349827BC" w14:textId="77777777" w:rsidR="00000000" w:rsidRDefault="00087966">
            <w:pPr>
              <w:jc w:val="right"/>
              <w:rPr>
                <w:rFonts w:eastAsia="Times New Roman"/>
                <w:sz w:val="20"/>
                <w:szCs w:val="20"/>
              </w:rPr>
            </w:pPr>
            <w:r>
              <w:rPr>
                <w:rFonts w:eastAsia="Times New Roman"/>
                <w:sz w:val="20"/>
                <w:szCs w:val="20"/>
              </w:rPr>
              <w:t>(323,233</w:t>
            </w:r>
          </w:p>
        </w:tc>
        <w:tc>
          <w:tcPr>
            <w:tcW w:w="50" w:type="pct"/>
            <w:shd w:val="clear" w:color="auto" w:fill="CCEEFF"/>
            <w:tcMar>
              <w:top w:w="0" w:type="dxa"/>
              <w:left w:w="0" w:type="dxa"/>
              <w:bottom w:w="30" w:type="dxa"/>
              <w:right w:w="0" w:type="dxa"/>
            </w:tcMar>
            <w:vAlign w:val="bottom"/>
            <w:hideMark/>
          </w:tcPr>
          <w:p w14:paraId="4C3939FA" w14:textId="77777777" w:rsidR="00000000" w:rsidRDefault="00087966">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14:paraId="4A720E20" w14:textId="77777777" w:rsidR="00000000" w:rsidRDefault="00087966">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1494C775" w14:textId="77777777" w:rsidR="00000000" w:rsidRDefault="00087966">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14:paraId="2AB48136" w14:textId="77777777" w:rsidR="00000000" w:rsidRDefault="00087966">
            <w:pPr>
              <w:jc w:val="right"/>
              <w:rPr>
                <w:rFonts w:eastAsia="Times New Roman"/>
                <w:sz w:val="20"/>
                <w:szCs w:val="20"/>
              </w:rPr>
            </w:pPr>
            <w:r>
              <w:rPr>
                <w:rFonts w:eastAsia="Times New Roman"/>
                <w:sz w:val="20"/>
                <w:szCs w:val="20"/>
              </w:rPr>
              <w:t>(82,793</w:t>
            </w:r>
          </w:p>
        </w:tc>
        <w:tc>
          <w:tcPr>
            <w:tcW w:w="50" w:type="pct"/>
            <w:shd w:val="clear" w:color="auto" w:fill="CCEEFF"/>
            <w:tcMar>
              <w:top w:w="0" w:type="dxa"/>
              <w:left w:w="0" w:type="dxa"/>
              <w:bottom w:w="30" w:type="dxa"/>
              <w:right w:w="0" w:type="dxa"/>
            </w:tcMar>
            <w:vAlign w:val="bottom"/>
            <w:hideMark/>
          </w:tcPr>
          <w:p w14:paraId="69CDC6D0" w14:textId="77777777" w:rsidR="00000000" w:rsidRDefault="00087966">
            <w:pPr>
              <w:rPr>
                <w:rFonts w:eastAsia="Times New Roman"/>
                <w:sz w:val="20"/>
                <w:szCs w:val="20"/>
              </w:rPr>
            </w:pPr>
            <w:r>
              <w:rPr>
                <w:rFonts w:eastAsia="Times New Roman"/>
                <w:sz w:val="20"/>
                <w:szCs w:val="20"/>
              </w:rPr>
              <w:t>)</w:t>
            </w:r>
          </w:p>
        </w:tc>
      </w:tr>
      <w:tr w:rsidR="00000000" w14:paraId="4A73D2B3" w14:textId="77777777">
        <w:trPr>
          <w:divId w:val="1595479706"/>
        </w:trPr>
        <w:tc>
          <w:tcPr>
            <w:tcW w:w="0" w:type="auto"/>
            <w:vAlign w:val="bottom"/>
            <w:hideMark/>
          </w:tcPr>
          <w:p w14:paraId="3C14D6E4" w14:textId="77777777" w:rsidR="00000000" w:rsidRDefault="00087966">
            <w:pPr>
              <w:rPr>
                <w:rFonts w:eastAsia="Times New Roman"/>
                <w:sz w:val="20"/>
                <w:szCs w:val="20"/>
              </w:rPr>
            </w:pPr>
            <w:r>
              <w:rPr>
                <w:rFonts w:eastAsia="Times New Roman"/>
                <w:sz w:val="20"/>
                <w:szCs w:val="20"/>
              </w:rPr>
              <w:t>Denominator:</w:t>
            </w:r>
          </w:p>
        </w:tc>
        <w:tc>
          <w:tcPr>
            <w:tcW w:w="0" w:type="auto"/>
            <w:vAlign w:val="bottom"/>
            <w:hideMark/>
          </w:tcPr>
          <w:p w14:paraId="0684B73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C751F9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4495ADE"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D2FB1E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9C951D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B55C4A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4652351"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708913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EB722E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2C2B56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2B74208"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B6D1D8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41277D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38B7A8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8E91CBC"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200240D" w14:textId="77777777" w:rsidR="00000000" w:rsidRDefault="00087966">
            <w:pPr>
              <w:rPr>
                <w:rFonts w:eastAsia="Times New Roman"/>
                <w:sz w:val="20"/>
                <w:szCs w:val="20"/>
              </w:rPr>
            </w:pPr>
            <w:r>
              <w:rPr>
                <w:rFonts w:eastAsia="Times New Roman"/>
                <w:sz w:val="20"/>
                <w:szCs w:val="20"/>
              </w:rPr>
              <w:t> </w:t>
            </w:r>
          </w:p>
        </w:tc>
      </w:tr>
      <w:tr w:rsidR="00000000" w14:paraId="3DEE1F74" w14:textId="77777777">
        <w:trPr>
          <w:divId w:val="1595479706"/>
        </w:trPr>
        <w:tc>
          <w:tcPr>
            <w:tcW w:w="0" w:type="auto"/>
            <w:shd w:val="clear" w:color="auto" w:fill="CCEEFF"/>
            <w:tcMar>
              <w:top w:w="0" w:type="dxa"/>
              <w:left w:w="0" w:type="dxa"/>
              <w:bottom w:w="30" w:type="dxa"/>
              <w:right w:w="0" w:type="dxa"/>
            </w:tcMar>
            <w:vAlign w:val="bottom"/>
            <w:hideMark/>
          </w:tcPr>
          <w:p w14:paraId="5866FDE9" w14:textId="77777777" w:rsidR="00000000" w:rsidRDefault="00087966">
            <w:pPr>
              <w:divId w:val="40634138"/>
              <w:rPr>
                <w:rFonts w:eastAsia="Times New Roman"/>
                <w:sz w:val="20"/>
                <w:szCs w:val="20"/>
              </w:rPr>
            </w:pPr>
            <w:r>
              <w:rPr>
                <w:rFonts w:eastAsia="Times New Roman"/>
                <w:sz w:val="20"/>
                <w:szCs w:val="20"/>
              </w:rPr>
              <w:t>Basic and diluted weighted average shares outstanding</w:t>
            </w:r>
          </w:p>
        </w:tc>
        <w:tc>
          <w:tcPr>
            <w:tcW w:w="0" w:type="auto"/>
            <w:shd w:val="clear" w:color="auto" w:fill="CCEEFF"/>
            <w:tcMar>
              <w:top w:w="0" w:type="dxa"/>
              <w:left w:w="0" w:type="dxa"/>
              <w:bottom w:w="30" w:type="dxa"/>
              <w:right w:w="0" w:type="dxa"/>
            </w:tcMar>
            <w:vAlign w:val="bottom"/>
            <w:hideMark/>
          </w:tcPr>
          <w:p w14:paraId="0227A82B"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6B28E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0CF100" w14:textId="77777777" w:rsidR="00000000" w:rsidRDefault="00087966">
            <w:pPr>
              <w:jc w:val="right"/>
              <w:rPr>
                <w:rFonts w:eastAsia="Times New Roman"/>
                <w:sz w:val="20"/>
                <w:szCs w:val="20"/>
              </w:rPr>
            </w:pPr>
            <w:r>
              <w:rPr>
                <w:rFonts w:eastAsia="Times New Roman"/>
                <w:sz w:val="20"/>
                <w:szCs w:val="20"/>
              </w:rPr>
              <w:t>13,930,350</w:t>
            </w:r>
          </w:p>
        </w:tc>
        <w:tc>
          <w:tcPr>
            <w:tcW w:w="0" w:type="auto"/>
            <w:shd w:val="clear" w:color="auto" w:fill="CCEEFF"/>
            <w:tcMar>
              <w:top w:w="0" w:type="dxa"/>
              <w:left w:w="0" w:type="dxa"/>
              <w:bottom w:w="30" w:type="dxa"/>
              <w:right w:w="0" w:type="dxa"/>
            </w:tcMar>
            <w:vAlign w:val="bottom"/>
            <w:hideMark/>
          </w:tcPr>
          <w:p w14:paraId="438657A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3DC9209"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DB0EE2"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D69CA3" w14:textId="77777777" w:rsidR="00000000" w:rsidRDefault="00087966">
            <w:pPr>
              <w:jc w:val="right"/>
              <w:rPr>
                <w:rFonts w:eastAsia="Times New Roman"/>
                <w:sz w:val="20"/>
                <w:szCs w:val="20"/>
              </w:rPr>
            </w:pPr>
            <w:r>
              <w:rPr>
                <w:rFonts w:eastAsia="Times New Roman"/>
                <w:sz w:val="20"/>
                <w:szCs w:val="20"/>
              </w:rPr>
              <w:t>4,312,500</w:t>
            </w:r>
          </w:p>
        </w:tc>
        <w:tc>
          <w:tcPr>
            <w:tcW w:w="0" w:type="auto"/>
            <w:shd w:val="clear" w:color="auto" w:fill="CCEEFF"/>
            <w:tcMar>
              <w:top w:w="0" w:type="dxa"/>
              <w:left w:w="0" w:type="dxa"/>
              <w:bottom w:w="30" w:type="dxa"/>
              <w:right w:w="0" w:type="dxa"/>
            </w:tcMar>
            <w:vAlign w:val="bottom"/>
            <w:hideMark/>
          </w:tcPr>
          <w:p w14:paraId="0143FD5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85A000B"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C063E4"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C4E228" w14:textId="77777777" w:rsidR="00000000" w:rsidRDefault="00087966">
            <w:pPr>
              <w:jc w:val="right"/>
              <w:rPr>
                <w:rFonts w:eastAsia="Times New Roman"/>
                <w:sz w:val="20"/>
                <w:szCs w:val="20"/>
              </w:rPr>
            </w:pPr>
            <w:r>
              <w:rPr>
                <w:rFonts w:eastAsia="Times New Roman"/>
                <w:sz w:val="20"/>
                <w:szCs w:val="20"/>
              </w:rPr>
              <w:t>16,776,099</w:t>
            </w:r>
          </w:p>
        </w:tc>
        <w:tc>
          <w:tcPr>
            <w:tcW w:w="0" w:type="auto"/>
            <w:shd w:val="clear" w:color="auto" w:fill="CCEEFF"/>
            <w:tcMar>
              <w:top w:w="0" w:type="dxa"/>
              <w:left w:w="0" w:type="dxa"/>
              <w:bottom w:w="30" w:type="dxa"/>
              <w:right w:w="0" w:type="dxa"/>
            </w:tcMar>
            <w:vAlign w:val="bottom"/>
            <w:hideMark/>
          </w:tcPr>
          <w:p w14:paraId="4624DCD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F388D5E"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9410F0"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5A8D18" w14:textId="77777777" w:rsidR="00000000" w:rsidRDefault="00087966">
            <w:pPr>
              <w:jc w:val="right"/>
              <w:rPr>
                <w:rFonts w:eastAsia="Times New Roman"/>
                <w:sz w:val="20"/>
                <w:szCs w:val="20"/>
              </w:rPr>
            </w:pPr>
            <w:r>
              <w:rPr>
                <w:rFonts w:eastAsia="Times New Roman"/>
                <w:sz w:val="20"/>
                <w:szCs w:val="20"/>
              </w:rPr>
              <w:t>4,297,047</w:t>
            </w:r>
          </w:p>
        </w:tc>
        <w:tc>
          <w:tcPr>
            <w:tcW w:w="0" w:type="auto"/>
            <w:shd w:val="clear" w:color="auto" w:fill="CCEEFF"/>
            <w:tcMar>
              <w:top w:w="0" w:type="dxa"/>
              <w:left w:w="0" w:type="dxa"/>
              <w:bottom w:w="30" w:type="dxa"/>
              <w:right w:w="0" w:type="dxa"/>
            </w:tcMar>
            <w:vAlign w:val="bottom"/>
            <w:hideMark/>
          </w:tcPr>
          <w:p w14:paraId="6AE3BD9D" w14:textId="77777777" w:rsidR="00000000" w:rsidRDefault="00087966">
            <w:pPr>
              <w:rPr>
                <w:rFonts w:eastAsia="Times New Roman"/>
                <w:sz w:val="20"/>
                <w:szCs w:val="20"/>
              </w:rPr>
            </w:pPr>
            <w:r>
              <w:rPr>
                <w:rFonts w:eastAsia="Times New Roman"/>
                <w:sz w:val="20"/>
                <w:szCs w:val="20"/>
              </w:rPr>
              <w:t> </w:t>
            </w:r>
          </w:p>
        </w:tc>
      </w:tr>
      <w:tr w:rsidR="00000000" w14:paraId="39C1EBFD" w14:textId="77777777">
        <w:trPr>
          <w:divId w:val="1595479706"/>
        </w:trPr>
        <w:tc>
          <w:tcPr>
            <w:tcW w:w="0" w:type="auto"/>
            <w:vAlign w:val="bottom"/>
            <w:hideMark/>
          </w:tcPr>
          <w:p w14:paraId="733982E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05EAE2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B4B116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9E7D8CB"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E7497F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9F6F61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24B808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58ED9BF"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54441CE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4166DD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B809E5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047ED51"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267F16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8A4C00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366BA0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6FCA72B"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5A5EEAB" w14:textId="77777777" w:rsidR="00000000" w:rsidRDefault="00087966">
            <w:pPr>
              <w:rPr>
                <w:rFonts w:eastAsia="Times New Roman"/>
                <w:sz w:val="20"/>
                <w:szCs w:val="20"/>
              </w:rPr>
            </w:pPr>
            <w:r>
              <w:rPr>
                <w:rFonts w:eastAsia="Times New Roman"/>
                <w:sz w:val="20"/>
                <w:szCs w:val="20"/>
              </w:rPr>
              <w:t> </w:t>
            </w:r>
          </w:p>
        </w:tc>
      </w:tr>
      <w:tr w:rsidR="00000000" w14:paraId="35C369A4" w14:textId="77777777">
        <w:trPr>
          <w:divId w:val="1595479706"/>
        </w:trPr>
        <w:tc>
          <w:tcPr>
            <w:tcW w:w="0" w:type="auto"/>
            <w:shd w:val="clear" w:color="auto" w:fill="CCEEFF"/>
            <w:tcMar>
              <w:top w:w="0" w:type="dxa"/>
              <w:left w:w="0" w:type="dxa"/>
              <w:bottom w:w="30" w:type="dxa"/>
              <w:right w:w="0" w:type="dxa"/>
            </w:tcMar>
            <w:vAlign w:val="bottom"/>
            <w:hideMark/>
          </w:tcPr>
          <w:p w14:paraId="5F8728E4" w14:textId="77777777" w:rsidR="00000000" w:rsidRDefault="00087966">
            <w:pPr>
              <w:divId w:val="2035421931"/>
              <w:rPr>
                <w:rFonts w:eastAsia="Times New Roman"/>
                <w:sz w:val="20"/>
                <w:szCs w:val="20"/>
              </w:rPr>
            </w:pPr>
            <w:r>
              <w:rPr>
                <w:rFonts w:eastAsia="Times New Roman"/>
                <w:sz w:val="20"/>
                <w:szCs w:val="20"/>
              </w:rPr>
              <w:t>Basic and diluted net income (loss) per share of common stock</w:t>
            </w:r>
          </w:p>
        </w:tc>
        <w:tc>
          <w:tcPr>
            <w:tcW w:w="0" w:type="auto"/>
            <w:shd w:val="clear" w:color="auto" w:fill="CCEEFF"/>
            <w:tcMar>
              <w:top w:w="0" w:type="dxa"/>
              <w:left w:w="0" w:type="dxa"/>
              <w:bottom w:w="30" w:type="dxa"/>
              <w:right w:w="0" w:type="dxa"/>
            </w:tcMar>
            <w:vAlign w:val="bottom"/>
            <w:hideMark/>
          </w:tcPr>
          <w:p w14:paraId="5F38A6D1"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6480A9" w14:textId="77777777" w:rsidR="00000000" w:rsidRDefault="0008796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79A899F9" w14:textId="77777777" w:rsidR="00000000" w:rsidRDefault="00087966">
            <w:pPr>
              <w:jc w:val="right"/>
              <w:rPr>
                <w:rFonts w:eastAsia="Times New Roman"/>
                <w:sz w:val="20"/>
                <w:szCs w:val="20"/>
              </w:rPr>
            </w:pPr>
            <w:r>
              <w:rPr>
                <w:rFonts w:eastAsia="Times New Roman"/>
                <w:sz w:val="20"/>
                <w:szCs w:val="20"/>
              </w:rPr>
              <w:t>0.28</w:t>
            </w:r>
          </w:p>
        </w:tc>
        <w:tc>
          <w:tcPr>
            <w:tcW w:w="0" w:type="auto"/>
            <w:shd w:val="clear" w:color="auto" w:fill="CCEEFF"/>
            <w:tcMar>
              <w:top w:w="0" w:type="dxa"/>
              <w:left w:w="0" w:type="dxa"/>
              <w:bottom w:w="30" w:type="dxa"/>
              <w:right w:w="0" w:type="dxa"/>
            </w:tcMar>
            <w:vAlign w:val="bottom"/>
            <w:hideMark/>
          </w:tcPr>
          <w:p w14:paraId="5427E9B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A3D8F29"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A9D988" w14:textId="77777777" w:rsidR="00000000" w:rsidRDefault="0008796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7D0B14BD" w14:textId="77777777" w:rsidR="00000000" w:rsidRDefault="00087966">
            <w:pPr>
              <w:jc w:val="right"/>
              <w:rPr>
                <w:rFonts w:eastAsia="Times New Roman"/>
                <w:sz w:val="20"/>
                <w:szCs w:val="20"/>
              </w:rPr>
            </w:pPr>
            <w:r>
              <w:rPr>
                <w:rFonts w:eastAsia="Times New Roman"/>
                <w:sz w:val="20"/>
                <w:szCs w:val="20"/>
              </w:rPr>
              <w:t>0.28</w:t>
            </w:r>
          </w:p>
        </w:tc>
        <w:tc>
          <w:tcPr>
            <w:tcW w:w="0" w:type="auto"/>
            <w:shd w:val="clear" w:color="auto" w:fill="CCEEFF"/>
            <w:tcMar>
              <w:top w:w="0" w:type="dxa"/>
              <w:left w:w="0" w:type="dxa"/>
              <w:bottom w:w="30" w:type="dxa"/>
              <w:right w:w="0" w:type="dxa"/>
            </w:tcMar>
            <w:vAlign w:val="bottom"/>
            <w:hideMark/>
          </w:tcPr>
          <w:p w14:paraId="2D278AC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104A2E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EB50BE" w14:textId="77777777" w:rsidR="00000000" w:rsidRDefault="0008796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385390E" w14:textId="77777777" w:rsidR="00000000" w:rsidRDefault="00087966">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30" w:type="dxa"/>
              <w:right w:w="0" w:type="dxa"/>
            </w:tcMar>
            <w:vAlign w:val="bottom"/>
            <w:hideMark/>
          </w:tcPr>
          <w:p w14:paraId="48EA921F"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9F4866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D500C5" w14:textId="77777777" w:rsidR="00000000" w:rsidRDefault="00087966">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5A8B8039" w14:textId="77777777" w:rsidR="00000000" w:rsidRDefault="00087966">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30" w:type="dxa"/>
              <w:right w:w="0" w:type="dxa"/>
            </w:tcMar>
            <w:vAlign w:val="bottom"/>
            <w:hideMark/>
          </w:tcPr>
          <w:p w14:paraId="34C2F1CF" w14:textId="77777777" w:rsidR="00000000" w:rsidRDefault="00087966">
            <w:pPr>
              <w:rPr>
                <w:rFonts w:eastAsia="Times New Roman"/>
                <w:sz w:val="20"/>
                <w:szCs w:val="20"/>
              </w:rPr>
            </w:pPr>
            <w:r>
              <w:rPr>
                <w:rFonts w:eastAsia="Times New Roman"/>
                <w:sz w:val="20"/>
                <w:szCs w:val="20"/>
              </w:rPr>
              <w:t>)</w:t>
            </w:r>
          </w:p>
        </w:tc>
      </w:tr>
    </w:tbl>
    <w:p w14:paraId="24B89172" w14:textId="77777777" w:rsidR="00000000" w:rsidRDefault="00087966">
      <w:pPr>
        <w:pStyle w:val="a3"/>
        <w:spacing w:before="0" w:beforeAutospacing="0" w:after="0" w:afterAutospacing="0"/>
        <w:jc w:val="both"/>
        <w:divId w:val="1595479706"/>
        <w:rPr>
          <w:sz w:val="20"/>
          <w:szCs w:val="20"/>
        </w:rPr>
      </w:pPr>
      <w:r>
        <w:rPr>
          <w:sz w:val="20"/>
          <w:szCs w:val="20"/>
        </w:rPr>
        <w:t> </w:t>
      </w:r>
    </w:p>
    <w:p w14:paraId="57B08639" w14:textId="77777777" w:rsidR="00000000" w:rsidRDefault="00087966">
      <w:pPr>
        <w:pStyle w:val="a3"/>
        <w:spacing w:before="0" w:beforeAutospacing="0" w:after="0" w:afterAutospacing="0"/>
        <w:jc w:val="both"/>
        <w:divId w:val="1595479706"/>
        <w:rPr>
          <w:sz w:val="20"/>
          <w:szCs w:val="20"/>
        </w:rPr>
      </w:pPr>
      <w:r>
        <w:rPr>
          <w:b/>
          <w:bCs/>
          <w:i/>
          <w:iCs/>
          <w:sz w:val="20"/>
          <w:szCs w:val="20"/>
        </w:rPr>
        <w:t>Concentration of Credit Risk</w:t>
      </w:r>
    </w:p>
    <w:p w14:paraId="2A1A214F" w14:textId="77777777" w:rsidR="00000000" w:rsidRDefault="00087966">
      <w:pPr>
        <w:pStyle w:val="a3"/>
        <w:spacing w:before="0" w:beforeAutospacing="0" w:after="0" w:afterAutospacing="0"/>
        <w:jc w:val="both"/>
        <w:divId w:val="1595479706"/>
        <w:rPr>
          <w:sz w:val="20"/>
          <w:szCs w:val="20"/>
        </w:rPr>
      </w:pPr>
      <w:r>
        <w:rPr>
          <w:sz w:val="20"/>
          <w:szCs w:val="20"/>
        </w:rPr>
        <w:t> </w:t>
      </w:r>
    </w:p>
    <w:p w14:paraId="477C9D0E" w14:textId="77777777" w:rsidR="00000000" w:rsidRDefault="00087966">
      <w:pPr>
        <w:pStyle w:val="a3"/>
        <w:spacing w:before="0" w:beforeAutospacing="0" w:after="0" w:afterAutospacing="0"/>
        <w:jc w:val="both"/>
        <w:divId w:val="1595479706"/>
        <w:rPr>
          <w:sz w:val="20"/>
          <w:szCs w:val="20"/>
        </w:rPr>
      </w:pPr>
      <w:r>
        <w:rPr>
          <w:sz w:val="20"/>
          <w:szCs w:val="20"/>
        </w:rPr>
        <w:t>Financial instruments that potentially subject the Company to concentrations of credit risk consist of a cash account in a financial institution, which, at times, may exceed the Federal Depository Insurance Coverage of $250,000. The Company has not experie</w:t>
      </w:r>
      <w:r>
        <w:rPr>
          <w:sz w:val="20"/>
          <w:szCs w:val="20"/>
        </w:rPr>
        <w:t>nced losses on these accounts.</w:t>
      </w:r>
    </w:p>
    <w:p w14:paraId="12A1F542" w14:textId="77777777" w:rsidR="00000000" w:rsidRDefault="00087966">
      <w:pPr>
        <w:pStyle w:val="a3"/>
        <w:spacing w:before="0" w:beforeAutospacing="0" w:after="0" w:afterAutospacing="0"/>
        <w:divId w:val="1595479706"/>
        <w:rPr>
          <w:sz w:val="20"/>
          <w:szCs w:val="20"/>
        </w:rPr>
      </w:pPr>
      <w:r>
        <w:rPr>
          <w:sz w:val="20"/>
          <w:szCs w:val="20"/>
        </w:rPr>
        <w:t> </w:t>
      </w:r>
    </w:p>
    <w:p w14:paraId="6A4AB047" w14:textId="77777777" w:rsidR="00000000" w:rsidRDefault="00087966">
      <w:pPr>
        <w:pStyle w:val="a3"/>
        <w:spacing w:before="0" w:beforeAutospacing="0" w:after="0" w:afterAutospacing="0"/>
        <w:jc w:val="center"/>
        <w:divId w:val="1478376308"/>
        <w:rPr>
          <w:sz w:val="20"/>
          <w:szCs w:val="20"/>
        </w:rPr>
      </w:pPr>
      <w:r>
        <w:rPr>
          <w:sz w:val="20"/>
          <w:szCs w:val="20"/>
        </w:rPr>
        <w:t>F</w:t>
      </w:r>
      <w:r>
        <w:rPr>
          <w:sz w:val="20"/>
          <w:szCs w:val="20"/>
        </w:rPr>
        <w:t>-</w:t>
      </w:r>
      <w:r>
        <w:rPr>
          <w:sz w:val="20"/>
          <w:szCs w:val="20"/>
        </w:rPr>
        <w:t>1</w:t>
      </w:r>
      <w:r>
        <w:rPr>
          <w:sz w:val="20"/>
          <w:szCs w:val="20"/>
        </w:rPr>
        <w:t>3</w:t>
      </w:r>
    </w:p>
    <w:p w14:paraId="4E5982B0" w14:textId="77777777" w:rsidR="00000000" w:rsidRDefault="00087966">
      <w:pPr>
        <w:pStyle w:val="a3"/>
        <w:spacing w:before="0" w:beforeAutospacing="0" w:after="0" w:afterAutospacing="0"/>
        <w:divId w:val="1782457835"/>
        <w:rPr>
          <w:sz w:val="20"/>
          <w:szCs w:val="20"/>
        </w:rPr>
      </w:pPr>
      <w:r>
        <w:rPr>
          <w:sz w:val="20"/>
          <w:szCs w:val="20"/>
        </w:rPr>
        <w:t> </w:t>
      </w:r>
    </w:p>
    <w:p w14:paraId="5AF76D2E" w14:textId="77777777" w:rsidR="00000000" w:rsidRDefault="00087966">
      <w:pPr>
        <w:pStyle w:val="a3"/>
        <w:spacing w:before="0" w:beforeAutospacing="0" w:after="0" w:afterAutospacing="0"/>
        <w:divId w:val="1595479706"/>
        <w:rPr>
          <w:sz w:val="20"/>
          <w:szCs w:val="20"/>
        </w:rPr>
      </w:pPr>
      <w:r>
        <w:rPr>
          <w:sz w:val="20"/>
          <w:szCs w:val="20"/>
        </w:rPr>
        <w:t> </w:t>
      </w:r>
    </w:p>
    <w:p w14:paraId="61247658"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4EDCF8BE"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0E3F64A6"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3104DCB1" w14:textId="77777777" w:rsidR="00000000" w:rsidRDefault="00087966">
      <w:pPr>
        <w:pStyle w:val="a3"/>
        <w:spacing w:before="0" w:beforeAutospacing="0" w:after="0" w:afterAutospacing="0"/>
        <w:divId w:val="1595479706"/>
        <w:rPr>
          <w:sz w:val="20"/>
          <w:szCs w:val="20"/>
        </w:rPr>
      </w:pPr>
      <w:r>
        <w:rPr>
          <w:sz w:val="20"/>
          <w:szCs w:val="20"/>
        </w:rPr>
        <w:t> </w:t>
      </w:r>
    </w:p>
    <w:p w14:paraId="22934878" w14:textId="77777777" w:rsidR="00000000" w:rsidRDefault="00087966">
      <w:pPr>
        <w:pStyle w:val="a3"/>
        <w:spacing w:before="0" w:beforeAutospacing="0" w:after="0" w:afterAutospacing="0"/>
        <w:jc w:val="both"/>
        <w:divId w:val="1595479706"/>
        <w:rPr>
          <w:sz w:val="20"/>
          <w:szCs w:val="20"/>
        </w:rPr>
      </w:pPr>
      <w:r>
        <w:rPr>
          <w:b/>
          <w:bCs/>
          <w:i/>
          <w:iCs/>
          <w:sz w:val="20"/>
          <w:szCs w:val="20"/>
        </w:rPr>
        <w:t>Fair Value of Financial Instruments</w:t>
      </w:r>
    </w:p>
    <w:p w14:paraId="074FF917" w14:textId="77777777" w:rsidR="00000000" w:rsidRDefault="00087966">
      <w:pPr>
        <w:pStyle w:val="a3"/>
        <w:spacing w:before="0" w:beforeAutospacing="0" w:after="0" w:afterAutospacing="0"/>
        <w:jc w:val="both"/>
        <w:divId w:val="1595479706"/>
        <w:rPr>
          <w:sz w:val="20"/>
          <w:szCs w:val="20"/>
        </w:rPr>
      </w:pPr>
      <w:r>
        <w:rPr>
          <w:sz w:val="20"/>
          <w:szCs w:val="20"/>
        </w:rPr>
        <w:t> </w:t>
      </w:r>
    </w:p>
    <w:p w14:paraId="2213A480" w14:textId="77777777" w:rsidR="00000000" w:rsidRDefault="00087966">
      <w:pPr>
        <w:pStyle w:val="a3"/>
        <w:spacing w:before="0" w:beforeAutospacing="0" w:after="0" w:afterAutospacing="0"/>
        <w:jc w:val="both"/>
        <w:divId w:val="1595479706"/>
        <w:rPr>
          <w:sz w:val="20"/>
          <w:szCs w:val="20"/>
        </w:rPr>
      </w:pPr>
      <w:r>
        <w:rPr>
          <w:sz w:val="20"/>
          <w:szCs w:val="20"/>
        </w:rPr>
        <w:t>The fair value of the Company’s assets and liabilities, which qualify as financia</w:t>
      </w:r>
      <w:r>
        <w:rPr>
          <w:sz w:val="20"/>
          <w:szCs w:val="20"/>
        </w:rPr>
        <w:t>l instruments under ASC Topic 820, “Fair Value Measurement,” approximates the carrying amounts represented in the Company’s consolidated balance sheets, primarily due to their short-term nature, except for warrants and the Working Capital Loan (see Note 10</w:t>
      </w:r>
      <w:r>
        <w:rPr>
          <w:sz w:val="20"/>
          <w:szCs w:val="20"/>
        </w:rPr>
        <w:t>).</w:t>
      </w:r>
    </w:p>
    <w:p w14:paraId="669A7E5E" w14:textId="77777777" w:rsidR="00000000" w:rsidRDefault="00087966">
      <w:pPr>
        <w:pStyle w:val="a3"/>
        <w:spacing w:before="0" w:beforeAutospacing="0" w:after="0" w:afterAutospacing="0"/>
        <w:jc w:val="both"/>
        <w:divId w:val="1595479706"/>
        <w:rPr>
          <w:sz w:val="20"/>
          <w:szCs w:val="20"/>
        </w:rPr>
      </w:pPr>
      <w:r>
        <w:rPr>
          <w:sz w:val="20"/>
          <w:szCs w:val="20"/>
        </w:rPr>
        <w:t> </w:t>
      </w:r>
    </w:p>
    <w:p w14:paraId="4FEEBB02" w14:textId="77777777" w:rsidR="00000000" w:rsidRDefault="00087966">
      <w:pPr>
        <w:pStyle w:val="a3"/>
        <w:spacing w:before="0" w:beforeAutospacing="0" w:after="0" w:afterAutospacing="0"/>
        <w:jc w:val="both"/>
        <w:divId w:val="1595479706"/>
        <w:rPr>
          <w:sz w:val="20"/>
          <w:szCs w:val="20"/>
        </w:rPr>
      </w:pPr>
      <w:r>
        <w:rPr>
          <w:b/>
          <w:bCs/>
          <w:i/>
          <w:iCs/>
          <w:sz w:val="20"/>
          <w:szCs w:val="20"/>
        </w:rPr>
        <w:t>Recent Accounting Standards</w:t>
      </w:r>
    </w:p>
    <w:p w14:paraId="148913EC" w14:textId="77777777" w:rsidR="00000000" w:rsidRDefault="00087966">
      <w:pPr>
        <w:pStyle w:val="a3"/>
        <w:spacing w:before="0" w:beforeAutospacing="0" w:after="0" w:afterAutospacing="0"/>
        <w:jc w:val="both"/>
        <w:divId w:val="1595479706"/>
        <w:rPr>
          <w:sz w:val="20"/>
          <w:szCs w:val="20"/>
        </w:rPr>
      </w:pPr>
      <w:r>
        <w:rPr>
          <w:sz w:val="20"/>
          <w:szCs w:val="20"/>
        </w:rPr>
        <w:t> </w:t>
      </w:r>
    </w:p>
    <w:p w14:paraId="69CDF031" w14:textId="77777777" w:rsidR="00000000" w:rsidRDefault="00087966">
      <w:pPr>
        <w:pStyle w:val="a3"/>
        <w:spacing w:before="0" w:beforeAutospacing="0" w:after="0" w:afterAutospacing="0"/>
        <w:jc w:val="both"/>
        <w:divId w:val="1595479706"/>
        <w:rPr>
          <w:sz w:val="20"/>
          <w:szCs w:val="20"/>
        </w:rPr>
      </w:pPr>
      <w:r>
        <w:rPr>
          <w:sz w:val="20"/>
          <w:szCs w:val="20"/>
        </w:rPr>
        <w:t>Management does not believe that any recently issued, but not yet effective, accounting standards, if currently adopted, would have a material effect on the Company’s consolidated financial statements.</w:t>
      </w:r>
    </w:p>
    <w:p w14:paraId="1C846F21" w14:textId="77777777" w:rsidR="00000000" w:rsidRDefault="00087966">
      <w:pPr>
        <w:pStyle w:val="a3"/>
        <w:spacing w:before="0" w:beforeAutospacing="0" w:after="0" w:afterAutospacing="0"/>
        <w:jc w:val="both"/>
        <w:divId w:val="1595479706"/>
        <w:rPr>
          <w:sz w:val="20"/>
          <w:szCs w:val="20"/>
        </w:rPr>
      </w:pPr>
      <w:r>
        <w:rPr>
          <w:sz w:val="20"/>
          <w:szCs w:val="20"/>
        </w:rPr>
        <w:t> </w:t>
      </w:r>
    </w:p>
    <w:p w14:paraId="1FA80AF9" w14:textId="77777777" w:rsidR="00000000" w:rsidRDefault="00087966">
      <w:pPr>
        <w:pStyle w:val="a3"/>
        <w:spacing w:before="0" w:beforeAutospacing="0" w:after="0" w:afterAutospacing="0"/>
        <w:jc w:val="both"/>
        <w:divId w:val="1595479706"/>
        <w:rPr>
          <w:sz w:val="20"/>
          <w:szCs w:val="20"/>
        </w:rPr>
      </w:pPr>
      <w:r>
        <w:rPr>
          <w:b/>
          <w:bCs/>
          <w:sz w:val="20"/>
          <w:szCs w:val="20"/>
        </w:rPr>
        <w:t>NOTE 3</w:t>
      </w:r>
      <w:r>
        <w:rPr>
          <w:b/>
          <w:bCs/>
          <w:sz w:val="20"/>
          <w:szCs w:val="20"/>
        </w:rPr>
        <w:t> </w:t>
      </w:r>
      <w:r>
        <w:rPr>
          <w:b/>
          <w:bCs/>
          <w:sz w:val="20"/>
          <w:szCs w:val="20"/>
        </w:rPr>
        <w:t xml:space="preserve">— INITIAL </w:t>
      </w:r>
      <w:r>
        <w:rPr>
          <w:b/>
          <w:bCs/>
          <w:sz w:val="20"/>
          <w:szCs w:val="20"/>
        </w:rPr>
        <w:t>PUBLIC OFFERING</w:t>
      </w:r>
    </w:p>
    <w:p w14:paraId="0CB9BEF6" w14:textId="77777777" w:rsidR="00000000" w:rsidRDefault="00087966">
      <w:pPr>
        <w:pStyle w:val="a3"/>
        <w:spacing w:before="0" w:beforeAutospacing="0" w:after="0" w:afterAutospacing="0"/>
        <w:jc w:val="both"/>
        <w:divId w:val="1595479706"/>
        <w:rPr>
          <w:sz w:val="20"/>
          <w:szCs w:val="20"/>
        </w:rPr>
      </w:pPr>
      <w:r>
        <w:rPr>
          <w:sz w:val="20"/>
          <w:szCs w:val="20"/>
        </w:rPr>
        <w:t> </w:t>
      </w:r>
    </w:p>
    <w:p w14:paraId="4CDFA84D" w14:textId="77777777" w:rsidR="00000000" w:rsidRDefault="00087966">
      <w:pPr>
        <w:pStyle w:val="a3"/>
        <w:spacing w:before="0" w:beforeAutospacing="0" w:after="0" w:afterAutospacing="0"/>
        <w:jc w:val="both"/>
        <w:divId w:val="1595479706"/>
        <w:rPr>
          <w:sz w:val="20"/>
          <w:szCs w:val="20"/>
        </w:rPr>
      </w:pPr>
      <w:r>
        <w:rPr>
          <w:sz w:val="20"/>
          <w:szCs w:val="20"/>
        </w:rPr>
        <w:t>Pursuant to the Initial Public Offering, the Company sold 17,250,000 Units, which includes a full exercise by the underwriters of their over-allotment option in the amount of 2,250,000 Units, at a purchase price of $10.00 per Unit. Each U</w:t>
      </w:r>
      <w:r>
        <w:rPr>
          <w:sz w:val="20"/>
          <w:szCs w:val="20"/>
        </w:rPr>
        <w:t xml:space="preserve">nit consists of one share of the Company’s Class A common stock and one-half of one redeemable warrant (“Public Warrant”). Each Whole Public Warrant entitles the holder to purchase one share of Class A common stock at an exercise price of $11.50 per whole </w:t>
      </w:r>
      <w:r>
        <w:rPr>
          <w:sz w:val="20"/>
          <w:szCs w:val="20"/>
        </w:rPr>
        <w:t>share (see Note 8).</w:t>
      </w:r>
    </w:p>
    <w:p w14:paraId="3B487002" w14:textId="77777777" w:rsidR="00000000" w:rsidRDefault="00087966">
      <w:pPr>
        <w:pStyle w:val="a3"/>
        <w:spacing w:before="0" w:beforeAutospacing="0" w:after="0" w:afterAutospacing="0"/>
        <w:divId w:val="1595479706"/>
        <w:rPr>
          <w:sz w:val="20"/>
          <w:szCs w:val="20"/>
        </w:rPr>
      </w:pPr>
      <w:r>
        <w:rPr>
          <w:sz w:val="20"/>
          <w:szCs w:val="20"/>
        </w:rPr>
        <w:t> </w:t>
      </w:r>
    </w:p>
    <w:p w14:paraId="64FDD4FD" w14:textId="77777777" w:rsidR="00000000" w:rsidRDefault="00087966">
      <w:pPr>
        <w:pStyle w:val="a3"/>
        <w:spacing w:before="0" w:beforeAutospacing="0" w:after="0" w:afterAutospacing="0"/>
        <w:jc w:val="both"/>
        <w:divId w:val="1595479706"/>
        <w:rPr>
          <w:sz w:val="20"/>
          <w:szCs w:val="20"/>
        </w:rPr>
      </w:pPr>
      <w:r>
        <w:rPr>
          <w:b/>
          <w:bCs/>
          <w:sz w:val="20"/>
          <w:szCs w:val="20"/>
        </w:rPr>
        <w:t>NOTE 4</w:t>
      </w:r>
      <w:r>
        <w:rPr>
          <w:b/>
          <w:bCs/>
          <w:sz w:val="20"/>
          <w:szCs w:val="20"/>
        </w:rPr>
        <w:t> </w:t>
      </w:r>
      <w:r>
        <w:rPr>
          <w:b/>
          <w:bCs/>
          <w:sz w:val="20"/>
          <w:szCs w:val="20"/>
        </w:rPr>
        <w:t>—</w:t>
      </w:r>
      <w:r>
        <w:rPr>
          <w:b/>
          <w:bCs/>
          <w:sz w:val="20"/>
          <w:szCs w:val="20"/>
        </w:rPr>
        <w:t> </w:t>
      </w:r>
      <w:r>
        <w:rPr>
          <w:b/>
          <w:bCs/>
          <w:sz w:val="20"/>
          <w:szCs w:val="20"/>
        </w:rPr>
        <w:t>PRIVATE PLACEMENT</w:t>
      </w:r>
    </w:p>
    <w:p w14:paraId="78E0ED0F" w14:textId="77777777" w:rsidR="00000000" w:rsidRDefault="00087966">
      <w:pPr>
        <w:pStyle w:val="a3"/>
        <w:spacing w:before="0" w:beforeAutospacing="0" w:after="0" w:afterAutospacing="0"/>
        <w:divId w:val="1595479706"/>
        <w:rPr>
          <w:sz w:val="20"/>
          <w:szCs w:val="20"/>
        </w:rPr>
      </w:pPr>
      <w:r>
        <w:rPr>
          <w:sz w:val="20"/>
          <w:szCs w:val="20"/>
        </w:rPr>
        <w:t> </w:t>
      </w:r>
    </w:p>
    <w:p w14:paraId="67F36204" w14:textId="77777777" w:rsidR="00000000" w:rsidRDefault="00087966">
      <w:pPr>
        <w:pStyle w:val="a3"/>
        <w:spacing w:before="0" w:beforeAutospacing="0" w:after="0" w:afterAutospacing="0"/>
        <w:jc w:val="both"/>
        <w:divId w:val="1595479706"/>
        <w:rPr>
          <w:sz w:val="20"/>
          <w:szCs w:val="20"/>
        </w:rPr>
      </w:pPr>
      <w:r>
        <w:rPr>
          <w:sz w:val="20"/>
          <w:szCs w:val="20"/>
        </w:rPr>
        <w:t>Simultaneously with the closing of the Initial Public Offering, the Sponsor purchased an aggregate of 5,200,000 Private Placement Warrants at a price of $1.00 per Private Placement Warrant ($5,200,000 in t</w:t>
      </w:r>
      <w:r>
        <w:rPr>
          <w:sz w:val="20"/>
          <w:szCs w:val="20"/>
        </w:rPr>
        <w:t xml:space="preserve">he aggregate), in a private placement. Certain qualified institutional buyers or institutional accredited investors (“Anchor Investor”) purchased an aggregate of 780,000 Private Placement Warrants from the Sponsor at a price of $1.00 per Private Placement </w:t>
      </w:r>
      <w:r>
        <w:rPr>
          <w:sz w:val="20"/>
          <w:szCs w:val="20"/>
        </w:rPr>
        <w:t>Warrant ($780,000 in the aggregate). As a result, the Sponsor and Anchor Investor held 4,420,000 and 780,000 Private Placement Warrants, respectively. Each Private Placement Warrant is exercisable to purchase one share of Class A common stock at a price of</w:t>
      </w:r>
      <w:r>
        <w:rPr>
          <w:sz w:val="20"/>
          <w:szCs w:val="20"/>
        </w:rPr>
        <w:t xml:space="preserve"> $11.50 per share. The proceeds from the sale of the Private Placement Warrants were added to the net proceeds from the Initial Public Offering held in the Trust Account. If the Company does not complete a Business Combination within the Combination Period</w:t>
      </w:r>
      <w:r>
        <w:rPr>
          <w:sz w:val="20"/>
          <w:szCs w:val="20"/>
        </w:rPr>
        <w:t xml:space="preserve">, the proceeds from the sale of the Private Placement Warrants will be used to fund the redemption of the Public Shares (subject to the requirements of applicable law) and the Private Placement Warrants will expire worthless. As a result of the difference </w:t>
      </w:r>
      <w:r>
        <w:rPr>
          <w:sz w:val="20"/>
          <w:szCs w:val="20"/>
        </w:rPr>
        <w:t>in the initial fair value of $0.72 per warrant of the Private Placement Warrants and the purchase price of $1.00 per share, the Company recorded a contribution to additional paid-in capital of $1,456,000 as of the date of the Private Placement issuance whi</w:t>
      </w:r>
      <w:r>
        <w:rPr>
          <w:sz w:val="20"/>
          <w:szCs w:val="20"/>
        </w:rPr>
        <w:t>ch is included in the consolidated statement of stockholders’ deficit for the year ended December 31, 2021.</w:t>
      </w:r>
    </w:p>
    <w:p w14:paraId="7F04202C" w14:textId="77777777" w:rsidR="00000000" w:rsidRDefault="00087966">
      <w:pPr>
        <w:pStyle w:val="a3"/>
        <w:spacing w:before="0" w:beforeAutospacing="0" w:after="0" w:afterAutospacing="0"/>
        <w:jc w:val="both"/>
        <w:divId w:val="1595479706"/>
        <w:rPr>
          <w:sz w:val="20"/>
          <w:szCs w:val="20"/>
        </w:rPr>
      </w:pPr>
      <w:r>
        <w:rPr>
          <w:sz w:val="20"/>
          <w:szCs w:val="20"/>
        </w:rPr>
        <w:t> </w:t>
      </w:r>
    </w:p>
    <w:p w14:paraId="5C532754" w14:textId="77777777" w:rsidR="00000000" w:rsidRDefault="00087966">
      <w:pPr>
        <w:pStyle w:val="a3"/>
        <w:spacing w:before="0" w:beforeAutospacing="0" w:after="0" w:afterAutospacing="0"/>
        <w:jc w:val="both"/>
        <w:divId w:val="1595479706"/>
        <w:rPr>
          <w:sz w:val="20"/>
          <w:szCs w:val="20"/>
        </w:rPr>
      </w:pPr>
      <w:r>
        <w:rPr>
          <w:b/>
          <w:bCs/>
          <w:sz w:val="20"/>
          <w:szCs w:val="20"/>
        </w:rPr>
        <w:t>NOTE 5</w:t>
      </w:r>
      <w:r>
        <w:rPr>
          <w:b/>
          <w:bCs/>
          <w:sz w:val="20"/>
          <w:szCs w:val="20"/>
        </w:rPr>
        <w:t> </w:t>
      </w:r>
      <w:r>
        <w:rPr>
          <w:b/>
          <w:bCs/>
          <w:sz w:val="20"/>
          <w:szCs w:val="20"/>
        </w:rPr>
        <w:t>—</w:t>
      </w:r>
      <w:r>
        <w:rPr>
          <w:b/>
          <w:bCs/>
          <w:sz w:val="20"/>
          <w:szCs w:val="20"/>
        </w:rPr>
        <w:t> </w:t>
      </w:r>
      <w:r>
        <w:rPr>
          <w:b/>
          <w:bCs/>
          <w:sz w:val="20"/>
          <w:szCs w:val="20"/>
        </w:rPr>
        <w:t>RELATED PARTY TRANSACTIONS</w:t>
      </w:r>
    </w:p>
    <w:p w14:paraId="7D18985B" w14:textId="77777777" w:rsidR="00000000" w:rsidRDefault="00087966">
      <w:pPr>
        <w:pStyle w:val="a3"/>
        <w:spacing w:before="0" w:beforeAutospacing="0" w:after="0" w:afterAutospacing="0"/>
        <w:divId w:val="1595479706"/>
        <w:rPr>
          <w:sz w:val="20"/>
          <w:szCs w:val="20"/>
        </w:rPr>
      </w:pPr>
      <w:r>
        <w:rPr>
          <w:sz w:val="20"/>
          <w:szCs w:val="20"/>
        </w:rPr>
        <w:t> </w:t>
      </w:r>
    </w:p>
    <w:p w14:paraId="3399C8E8" w14:textId="77777777" w:rsidR="00000000" w:rsidRDefault="00087966">
      <w:pPr>
        <w:pStyle w:val="a3"/>
        <w:spacing w:before="0" w:beforeAutospacing="0" w:after="0" w:afterAutospacing="0"/>
        <w:jc w:val="both"/>
        <w:divId w:val="1595479706"/>
        <w:rPr>
          <w:sz w:val="20"/>
          <w:szCs w:val="20"/>
        </w:rPr>
      </w:pPr>
      <w:r>
        <w:rPr>
          <w:b/>
          <w:bCs/>
          <w:i/>
          <w:iCs/>
          <w:sz w:val="20"/>
          <w:szCs w:val="20"/>
        </w:rPr>
        <w:t>Founder Shares</w:t>
      </w:r>
    </w:p>
    <w:p w14:paraId="2DBD2AD9" w14:textId="77777777" w:rsidR="00000000" w:rsidRDefault="00087966">
      <w:pPr>
        <w:pStyle w:val="a3"/>
        <w:spacing w:before="0" w:beforeAutospacing="0" w:after="0" w:afterAutospacing="0"/>
        <w:divId w:val="1595479706"/>
        <w:rPr>
          <w:sz w:val="20"/>
          <w:szCs w:val="20"/>
        </w:rPr>
      </w:pPr>
      <w:r>
        <w:rPr>
          <w:sz w:val="20"/>
          <w:szCs w:val="20"/>
        </w:rPr>
        <w:t> </w:t>
      </w:r>
    </w:p>
    <w:p w14:paraId="4D219402" w14:textId="77777777" w:rsidR="00000000" w:rsidRDefault="00087966">
      <w:pPr>
        <w:pStyle w:val="a3"/>
        <w:spacing w:before="0" w:beforeAutospacing="0" w:after="0" w:afterAutospacing="0"/>
        <w:jc w:val="both"/>
        <w:divId w:val="1595479706"/>
        <w:rPr>
          <w:sz w:val="20"/>
          <w:szCs w:val="20"/>
        </w:rPr>
      </w:pPr>
      <w:r>
        <w:rPr>
          <w:sz w:val="20"/>
          <w:szCs w:val="20"/>
        </w:rPr>
        <w:t xml:space="preserve">On September 24, 2020, the Sponsor paid $25,000 </w:t>
      </w:r>
      <w:r>
        <w:rPr>
          <w:sz w:val="20"/>
          <w:szCs w:val="20"/>
        </w:rPr>
        <w:t>to cover certain offering costs of the Company in consideration for 4,312,500 shares of Class B common stock (the “Founder Shares”). On January 6, 2021, the Sponsor transferred an aggregate of 75,000 Founder Shares to the Company’s director nominees. These</w:t>
      </w:r>
      <w:r>
        <w:rPr>
          <w:sz w:val="20"/>
          <w:szCs w:val="20"/>
        </w:rPr>
        <w:t xml:space="preserve"> 75,000 Founder Shares were not subject to forfeiture in the event the underwriter’s over-allotment option was not exercised. The Founder Shares included an aggregate of up to 562,500 shares subject to forfeiture by the Sponsor to the extent that the under</w:t>
      </w:r>
      <w:r>
        <w:rPr>
          <w:sz w:val="20"/>
          <w:szCs w:val="20"/>
        </w:rPr>
        <w:t xml:space="preserve">writers’ over-allotment was not exercised in full or in part, so that the Sponsor would collectively own, on an as-converted basis, 20% of the Company’s issued and outstanding shares after the Initial Public Offering (assuming the Sponsor did not purchase </w:t>
      </w:r>
      <w:r>
        <w:rPr>
          <w:sz w:val="20"/>
          <w:szCs w:val="20"/>
        </w:rPr>
        <w:t>any Public Shares in the Initial Public Offering). As a result of the underwriters’ election to fully exercise their over-allotment option, no Founder Shares were forfeited, and none are currently subject to forfeiture.</w:t>
      </w:r>
    </w:p>
    <w:p w14:paraId="1C37EE04" w14:textId="77777777" w:rsidR="00000000" w:rsidRDefault="00087966">
      <w:pPr>
        <w:pStyle w:val="a3"/>
        <w:spacing w:before="0" w:beforeAutospacing="0" w:after="0" w:afterAutospacing="0"/>
        <w:jc w:val="both"/>
        <w:divId w:val="1595479706"/>
        <w:rPr>
          <w:sz w:val="20"/>
          <w:szCs w:val="20"/>
        </w:rPr>
      </w:pPr>
      <w:r>
        <w:rPr>
          <w:sz w:val="20"/>
          <w:szCs w:val="20"/>
        </w:rPr>
        <w:t> </w:t>
      </w:r>
    </w:p>
    <w:p w14:paraId="28B2C866" w14:textId="77777777" w:rsidR="00000000" w:rsidRDefault="00087966">
      <w:pPr>
        <w:pStyle w:val="a3"/>
        <w:spacing w:before="0" w:beforeAutospacing="0" w:after="0" w:afterAutospacing="0"/>
        <w:jc w:val="both"/>
        <w:divId w:val="1595479706"/>
        <w:rPr>
          <w:sz w:val="20"/>
          <w:szCs w:val="20"/>
        </w:rPr>
      </w:pPr>
      <w:r>
        <w:rPr>
          <w:sz w:val="20"/>
          <w:szCs w:val="20"/>
        </w:rPr>
        <w:t>The Sponsor and its director nomin</w:t>
      </w:r>
      <w:r>
        <w:rPr>
          <w:sz w:val="20"/>
          <w:szCs w:val="20"/>
        </w:rPr>
        <w:t>ees have agreed, subject to certain limited exceptions, not to transfer, assign or sell any of the Founder Shares until the earlier to occur of: (A) one year after the completion of a Business Combination or (B) subsequent to a Business Combination, (x) if</w:t>
      </w:r>
      <w:r>
        <w:rPr>
          <w:sz w:val="20"/>
          <w:szCs w:val="20"/>
        </w:rPr>
        <w:t xml:space="preserve"> the last sale price of the Class A common stock equals or exceeds $12.00 per share (as adjusted for stock splits, stock dividends, reorganizations, recapitalizations and the like) for any 20 trading days within any 30-trading day period commencing at leas</w:t>
      </w:r>
      <w:r>
        <w:rPr>
          <w:sz w:val="20"/>
          <w:szCs w:val="20"/>
        </w:rPr>
        <w:t>t 150 days after a Business Combination, or (y) the date on which the Company completes a liquidation, merger, capital stock exchange or other similar transaction that results in all of the Company’s stockholders having the right to exchange their shares o</w:t>
      </w:r>
      <w:r>
        <w:rPr>
          <w:sz w:val="20"/>
          <w:szCs w:val="20"/>
        </w:rPr>
        <w:t>f common stock for cash, securities or other property.</w:t>
      </w:r>
    </w:p>
    <w:p w14:paraId="6DBECCB1" w14:textId="77777777" w:rsidR="00000000" w:rsidRDefault="00087966">
      <w:pPr>
        <w:pStyle w:val="a3"/>
        <w:spacing w:before="0" w:beforeAutospacing="0" w:after="0" w:afterAutospacing="0"/>
        <w:jc w:val="both"/>
        <w:divId w:val="1595479706"/>
        <w:rPr>
          <w:sz w:val="20"/>
          <w:szCs w:val="20"/>
        </w:rPr>
      </w:pPr>
      <w:r>
        <w:rPr>
          <w:sz w:val="20"/>
          <w:szCs w:val="20"/>
        </w:rPr>
        <w:t> </w:t>
      </w:r>
    </w:p>
    <w:p w14:paraId="4BBF81C2" w14:textId="77777777" w:rsidR="00000000" w:rsidRDefault="00087966">
      <w:pPr>
        <w:pStyle w:val="a3"/>
        <w:spacing w:before="0" w:beforeAutospacing="0" w:after="0" w:afterAutospacing="0"/>
        <w:jc w:val="center"/>
        <w:divId w:val="1021475515"/>
        <w:rPr>
          <w:sz w:val="20"/>
          <w:szCs w:val="20"/>
        </w:rPr>
      </w:pPr>
      <w:r>
        <w:rPr>
          <w:sz w:val="20"/>
          <w:szCs w:val="20"/>
        </w:rPr>
        <w:t>F</w:t>
      </w:r>
      <w:r>
        <w:rPr>
          <w:sz w:val="20"/>
          <w:szCs w:val="20"/>
        </w:rPr>
        <w:t>-</w:t>
      </w:r>
      <w:r>
        <w:rPr>
          <w:sz w:val="20"/>
          <w:szCs w:val="20"/>
        </w:rPr>
        <w:t>1</w:t>
      </w:r>
      <w:r>
        <w:rPr>
          <w:sz w:val="20"/>
          <w:szCs w:val="20"/>
        </w:rPr>
        <w:t>4</w:t>
      </w:r>
    </w:p>
    <w:p w14:paraId="0CE1D934" w14:textId="77777777" w:rsidR="00000000" w:rsidRDefault="00087966">
      <w:pPr>
        <w:pStyle w:val="a3"/>
        <w:spacing w:before="0" w:beforeAutospacing="0" w:after="0" w:afterAutospacing="0"/>
        <w:divId w:val="1940983029"/>
        <w:rPr>
          <w:sz w:val="20"/>
          <w:szCs w:val="20"/>
        </w:rPr>
      </w:pPr>
      <w:r>
        <w:rPr>
          <w:sz w:val="20"/>
          <w:szCs w:val="20"/>
        </w:rPr>
        <w:t> </w:t>
      </w:r>
    </w:p>
    <w:p w14:paraId="4F565EAE" w14:textId="77777777" w:rsidR="00000000" w:rsidRDefault="00087966">
      <w:pPr>
        <w:pStyle w:val="a3"/>
        <w:spacing w:before="0" w:beforeAutospacing="0" w:after="0" w:afterAutospacing="0"/>
        <w:jc w:val="both"/>
        <w:divId w:val="1595479706"/>
        <w:rPr>
          <w:sz w:val="20"/>
          <w:szCs w:val="20"/>
        </w:rPr>
      </w:pPr>
      <w:r>
        <w:rPr>
          <w:sz w:val="20"/>
          <w:szCs w:val="20"/>
        </w:rPr>
        <w:t> </w:t>
      </w:r>
    </w:p>
    <w:p w14:paraId="3F7B1B4B"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70D2DD2A"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647B9B0D"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74F8393B" w14:textId="77777777" w:rsidR="00000000" w:rsidRDefault="00087966">
      <w:pPr>
        <w:pStyle w:val="a3"/>
        <w:spacing w:before="0" w:beforeAutospacing="0" w:after="0" w:afterAutospacing="0"/>
        <w:jc w:val="both"/>
        <w:divId w:val="1595479706"/>
        <w:rPr>
          <w:sz w:val="20"/>
          <w:szCs w:val="20"/>
        </w:rPr>
      </w:pPr>
      <w:r>
        <w:rPr>
          <w:sz w:val="20"/>
          <w:szCs w:val="20"/>
        </w:rPr>
        <w:t> </w:t>
      </w:r>
    </w:p>
    <w:p w14:paraId="71B881C5" w14:textId="77777777" w:rsidR="00000000" w:rsidRDefault="00087966">
      <w:pPr>
        <w:pStyle w:val="a3"/>
        <w:spacing w:before="0" w:beforeAutospacing="0" w:after="0" w:afterAutospacing="0"/>
        <w:jc w:val="both"/>
        <w:divId w:val="1595479706"/>
        <w:rPr>
          <w:sz w:val="20"/>
          <w:szCs w:val="20"/>
        </w:rPr>
      </w:pPr>
      <w:r>
        <w:rPr>
          <w:sz w:val="20"/>
          <w:szCs w:val="20"/>
        </w:rPr>
        <w:t>In connection with the closing of the Initial Public Offering, the Anchor Investor acquired fro</w:t>
      </w:r>
      <w:r>
        <w:rPr>
          <w:sz w:val="20"/>
          <w:szCs w:val="20"/>
        </w:rPr>
        <w:t>m the Sponsor an indirect economic interest in an aggregate of 635,625 Founder Shares at the original purchase price that the Sponsor paid for the Founder Shares. The Sponsor has agreed to distribute such Founder Shares to the Anchor Investor after the com</w:t>
      </w:r>
      <w:r>
        <w:rPr>
          <w:sz w:val="20"/>
          <w:szCs w:val="20"/>
        </w:rPr>
        <w:t xml:space="preserve">pletion of a Business Combination. The Company estimated the aggregate fair value of the Founder Shares attributable to the Anchor Investor to be $4,411,238, or $6.94 per share. The fair value of the Founder Shares was estimated using the income approach. </w:t>
      </w:r>
      <w:r>
        <w:rPr>
          <w:sz w:val="20"/>
          <w:szCs w:val="20"/>
        </w:rPr>
        <w:t>The excess of the fair value of the Founder Shares was determined to be an offering cost in accordance with Staff Accounting Bulletin Topic 5A and a capital contribution from the Sponsor in accordance with Topic 5T. Accordingly, the offering cost was alloc</w:t>
      </w:r>
      <w:r>
        <w:rPr>
          <w:sz w:val="20"/>
          <w:szCs w:val="20"/>
        </w:rPr>
        <w:t xml:space="preserve">ated to the separable financial instruments issued in the Initial Public Offering using the with-and-without method, compared to total proceeds received. Offering costs related to the Founder Shares amounted to a contribution to additional paid-in capital </w:t>
      </w:r>
      <w:r>
        <w:rPr>
          <w:sz w:val="20"/>
          <w:szCs w:val="20"/>
        </w:rPr>
        <w:t>$4,411,238, of which $158,805 were expensed to the statement of operations and included in transaction costs attributable to warrant liabilities and the remaining $4,252,433 recorded as an additional offering cost as a reduction of temporary equity, and re</w:t>
      </w:r>
      <w:r>
        <w:rPr>
          <w:sz w:val="20"/>
          <w:szCs w:val="20"/>
        </w:rPr>
        <w:t>-measured to accumulated deficit upon recording temporary equity at redemption value during the year ended December 31, 2021.</w:t>
      </w:r>
    </w:p>
    <w:p w14:paraId="4E574DCA"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06501587" w14:textId="77777777" w:rsidR="00000000" w:rsidRDefault="00087966">
      <w:pPr>
        <w:pStyle w:val="a3"/>
        <w:spacing w:before="0" w:beforeAutospacing="0" w:after="0" w:afterAutospacing="0"/>
        <w:jc w:val="both"/>
        <w:divId w:val="1595479706"/>
        <w:rPr>
          <w:sz w:val="20"/>
          <w:szCs w:val="20"/>
        </w:rPr>
      </w:pPr>
      <w:r>
        <w:rPr>
          <w:sz w:val="20"/>
          <w:szCs w:val="20"/>
        </w:rPr>
        <w:t>The transfer of the Founders Shares to the Company’s director nominees, as described above, is within the scope of FASB ASC Topi</w:t>
      </w:r>
      <w:r>
        <w:rPr>
          <w:sz w:val="20"/>
          <w:szCs w:val="20"/>
        </w:rPr>
        <w:t xml:space="preserve">c 718, “Compensation-Stock Compensation” (“ASC 718”). Under ASC 718, stock-based compensation associated with equity-classified awards is measured at fair value upon the grant date. The Founders Shares were effectively transferred subject to a performance </w:t>
      </w:r>
      <w:r>
        <w:rPr>
          <w:sz w:val="20"/>
          <w:szCs w:val="20"/>
        </w:rPr>
        <w:t>condition (i.e., the occurrence of a Business Combination). Compensation expense related to the Founders Shares is recognized only when the performance condition is probable of occurrence under the applicable accounting literature in this circumstance. Sto</w:t>
      </w:r>
      <w:r>
        <w:rPr>
          <w:sz w:val="20"/>
          <w:szCs w:val="20"/>
        </w:rPr>
        <w:t>ck-based compensation would be recognized at the date a Business Combination is considered probable in an amount equal to the number of Founders Shares times the grant date fair value per share (unless subsequently modified) less the amount initially recei</w:t>
      </w:r>
      <w:r>
        <w:rPr>
          <w:sz w:val="20"/>
          <w:szCs w:val="20"/>
        </w:rPr>
        <w:t>ved for the purchase of the Founders Shares. As of December 31, 2022 and 2021, the Company determined that a Business Combination is not considered probable, and, therefore, no stock-based compensation expense has been recognized.</w:t>
      </w:r>
    </w:p>
    <w:p w14:paraId="49569909"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1A39C291" w14:textId="77777777" w:rsidR="00000000" w:rsidRDefault="00087966">
      <w:pPr>
        <w:pStyle w:val="a3"/>
        <w:spacing w:before="0" w:beforeAutospacing="0" w:after="0" w:afterAutospacing="0"/>
        <w:jc w:val="both"/>
        <w:divId w:val="1595479706"/>
        <w:rPr>
          <w:sz w:val="20"/>
          <w:szCs w:val="20"/>
        </w:rPr>
      </w:pPr>
      <w:r>
        <w:rPr>
          <w:b/>
          <w:bCs/>
          <w:i/>
          <w:iCs/>
          <w:sz w:val="20"/>
          <w:szCs w:val="20"/>
        </w:rPr>
        <w:t>Promissory Note</w:t>
      </w:r>
      <w:r>
        <w:rPr>
          <w:b/>
          <w:bCs/>
          <w:i/>
          <w:iCs/>
          <w:sz w:val="20"/>
          <w:szCs w:val="20"/>
        </w:rPr>
        <w:t> </w:t>
      </w:r>
      <w:r>
        <w:rPr>
          <w:b/>
          <w:bCs/>
          <w:i/>
          <w:iCs/>
          <w:sz w:val="20"/>
          <w:szCs w:val="20"/>
        </w:rPr>
        <w:t>—</w:t>
      </w:r>
      <w:r>
        <w:rPr>
          <w:b/>
          <w:bCs/>
          <w:i/>
          <w:iCs/>
          <w:sz w:val="20"/>
          <w:szCs w:val="20"/>
        </w:rPr>
        <w:t> </w:t>
      </w:r>
      <w:r>
        <w:rPr>
          <w:b/>
          <w:bCs/>
          <w:i/>
          <w:iCs/>
          <w:sz w:val="20"/>
          <w:szCs w:val="20"/>
        </w:rPr>
        <w:t>Relat</w:t>
      </w:r>
      <w:r>
        <w:rPr>
          <w:b/>
          <w:bCs/>
          <w:i/>
          <w:iCs/>
          <w:sz w:val="20"/>
          <w:szCs w:val="20"/>
        </w:rPr>
        <w:t>ed Party</w:t>
      </w:r>
    </w:p>
    <w:p w14:paraId="34E9F56A" w14:textId="77777777" w:rsidR="00000000" w:rsidRDefault="00087966">
      <w:pPr>
        <w:pStyle w:val="a3"/>
        <w:spacing w:before="0" w:beforeAutospacing="0" w:after="0" w:afterAutospacing="0"/>
        <w:divId w:val="1595479706"/>
        <w:rPr>
          <w:sz w:val="20"/>
          <w:szCs w:val="20"/>
        </w:rPr>
      </w:pPr>
      <w:r>
        <w:rPr>
          <w:sz w:val="20"/>
          <w:szCs w:val="20"/>
        </w:rPr>
        <w:t> </w:t>
      </w:r>
    </w:p>
    <w:p w14:paraId="0E78BAF4" w14:textId="77777777" w:rsidR="00000000" w:rsidRDefault="00087966">
      <w:pPr>
        <w:pStyle w:val="a3"/>
        <w:spacing w:before="0" w:beforeAutospacing="0" w:after="0" w:afterAutospacing="0"/>
        <w:jc w:val="both"/>
        <w:divId w:val="1595479706"/>
        <w:rPr>
          <w:sz w:val="20"/>
          <w:szCs w:val="20"/>
        </w:rPr>
      </w:pPr>
      <w:r>
        <w:rPr>
          <w:sz w:val="20"/>
          <w:szCs w:val="20"/>
        </w:rPr>
        <w:t>On September 24, 2020, the Sponsor agreed to loan the Company an aggregate of up to $300,000 to cover expenses related to the Initial Public Offering pursuant to a promissory note (the “Note”). The Note was non-interest bearing and was payable o</w:t>
      </w:r>
      <w:r>
        <w:rPr>
          <w:sz w:val="20"/>
          <w:szCs w:val="20"/>
        </w:rPr>
        <w:t>n the earlier of June 30, 2021 or the completion of the Initial Public Offering. The outstanding balance under the Note of $88,905 was repaid at the closing of the Initial Public Offering on January 11, 2021. Borrowings are no longer available under the No</w:t>
      </w:r>
      <w:r>
        <w:rPr>
          <w:sz w:val="20"/>
          <w:szCs w:val="20"/>
        </w:rPr>
        <w:t>te.</w:t>
      </w:r>
    </w:p>
    <w:p w14:paraId="48A8D524" w14:textId="77777777" w:rsidR="00000000" w:rsidRDefault="00087966">
      <w:pPr>
        <w:pStyle w:val="a3"/>
        <w:spacing w:before="0" w:beforeAutospacing="0" w:after="0" w:afterAutospacing="0"/>
        <w:jc w:val="both"/>
        <w:divId w:val="1595479706"/>
        <w:rPr>
          <w:sz w:val="20"/>
          <w:szCs w:val="20"/>
        </w:rPr>
      </w:pPr>
      <w:r>
        <w:rPr>
          <w:sz w:val="20"/>
          <w:szCs w:val="20"/>
        </w:rPr>
        <w:t> </w:t>
      </w:r>
    </w:p>
    <w:p w14:paraId="1005B041" w14:textId="77777777" w:rsidR="00000000" w:rsidRDefault="00087966">
      <w:pPr>
        <w:pStyle w:val="a3"/>
        <w:spacing w:before="0" w:beforeAutospacing="0" w:after="0" w:afterAutospacing="0"/>
        <w:jc w:val="both"/>
        <w:divId w:val="1595479706"/>
        <w:rPr>
          <w:sz w:val="20"/>
          <w:szCs w:val="20"/>
        </w:rPr>
      </w:pPr>
      <w:r>
        <w:rPr>
          <w:b/>
          <w:bCs/>
          <w:i/>
          <w:iCs/>
          <w:sz w:val="20"/>
          <w:szCs w:val="20"/>
        </w:rPr>
        <w:t>Working Capital Loans</w:t>
      </w:r>
    </w:p>
    <w:p w14:paraId="45476FDA" w14:textId="77777777" w:rsidR="00000000" w:rsidRDefault="00087966">
      <w:pPr>
        <w:pStyle w:val="a3"/>
        <w:spacing w:before="0" w:beforeAutospacing="0" w:after="0" w:afterAutospacing="0"/>
        <w:jc w:val="both"/>
        <w:divId w:val="1595479706"/>
        <w:rPr>
          <w:sz w:val="20"/>
          <w:szCs w:val="20"/>
        </w:rPr>
      </w:pPr>
      <w:r>
        <w:rPr>
          <w:sz w:val="20"/>
          <w:szCs w:val="20"/>
        </w:rPr>
        <w:t> </w:t>
      </w:r>
    </w:p>
    <w:p w14:paraId="609AC78C" w14:textId="77777777" w:rsidR="00000000" w:rsidRDefault="00087966">
      <w:pPr>
        <w:pStyle w:val="a3"/>
        <w:spacing w:before="0" w:beforeAutospacing="0" w:after="0" w:afterAutospacing="0"/>
        <w:jc w:val="both"/>
        <w:divId w:val="1595479706"/>
        <w:rPr>
          <w:sz w:val="20"/>
          <w:szCs w:val="20"/>
        </w:rPr>
      </w:pPr>
      <w:r>
        <w:rPr>
          <w:sz w:val="20"/>
          <w:szCs w:val="20"/>
        </w:rPr>
        <w:t xml:space="preserve">In order to finance transaction costs in connection with a Business </w:t>
      </w:r>
      <w:r>
        <w:rPr>
          <w:sz w:val="20"/>
          <w:szCs w:val="20"/>
        </w:rPr>
        <w:t>Combination, the Sponsor or an affiliate of the Sponsor or certain of the Company’s directors and officers may, but are not obligated to, make Working Capital Loans. If the Company completes a Business Combination, the Company would repay the Working Capit</w:t>
      </w:r>
      <w:r>
        <w:rPr>
          <w:sz w:val="20"/>
          <w:szCs w:val="20"/>
        </w:rPr>
        <w:t>al Loans out of the proceeds of the Trust Account released to the Company. Otherwise, the Working Capital Loans would be repaid only out of funds held outside the Trust Account. In the event that a Business Combination does not close, the Company may use a</w:t>
      </w:r>
      <w:r>
        <w:rPr>
          <w:sz w:val="20"/>
          <w:szCs w:val="20"/>
        </w:rPr>
        <w:t xml:space="preserve"> portion of proceeds held outside the Trust Account to repay the Working Capital Loans, but no proceeds held in the Trust Account would be used to repay the Working Capital Loans. On January 21, 2022, the Company issued a promissory note with respect to th</w:t>
      </w:r>
      <w:r>
        <w:rPr>
          <w:sz w:val="20"/>
          <w:szCs w:val="20"/>
        </w:rPr>
        <w:t>e Working Capital Loans in the principal amount of up to $1,500,000 to the Sponsor. The Working Capital Loan is non-interest bearing and payable upon the consummation of a Business Combination or may be convertible into warrants of the post-Business Combin</w:t>
      </w:r>
      <w:r>
        <w:rPr>
          <w:sz w:val="20"/>
          <w:szCs w:val="20"/>
        </w:rPr>
        <w:t>ation entity at a price of $1.00 per warrant at the lender’s discretion. The warrants would be identical to the Private Placement Warrants described in Note 8. On January 31, 2022, April 1, 2022, June 30, 2022, September 30, 2022 and December 31, 2022, $35</w:t>
      </w:r>
      <w:r>
        <w:rPr>
          <w:sz w:val="20"/>
          <w:szCs w:val="20"/>
        </w:rPr>
        <w:t>0,000, $112,500, $250,000, $360,000 and $152,500 were drawn on the Working Capital Loan, respectively. As of December 31, 2022, the total Working Capital Loan amount outstanding is $1,225,000 and is included (at its then current fair value) in Working Capi</w:t>
      </w:r>
      <w:r>
        <w:rPr>
          <w:sz w:val="20"/>
          <w:szCs w:val="20"/>
        </w:rPr>
        <w:t>tal Loan on the accompanying consolidated balance sheet as of December 31, 2022. The Working Capital Loan is accounted for at fair value (see Note 10). The initial fair value of the Working Capital Loan draw on January 31, 2022 was $264,900, which resulted</w:t>
      </w:r>
      <w:r>
        <w:rPr>
          <w:sz w:val="20"/>
          <w:szCs w:val="20"/>
        </w:rPr>
        <w:t xml:space="preserve"> in a contribution of $85,100 to stockholders’ deficit. The initial fair value of the Working Capital Loan draws on April 1, 2022, June 30, 2022, September 30, 2022 and December 31, 2022 were $83,396, $184,807, $177,331 and $52,522, which resulted in a con</w:t>
      </w:r>
      <w:r>
        <w:rPr>
          <w:sz w:val="20"/>
          <w:szCs w:val="20"/>
        </w:rPr>
        <w:t>tribution of $29,104, $65,193, $182,669 and $99,977 to stockholders’ deficit, respectively. The fair value of the convertible note as of December 31, 2022 was $421,900, which resulted in a change in fair value of the convertible note of $341,057 recorded i</w:t>
      </w:r>
      <w:r>
        <w:rPr>
          <w:sz w:val="20"/>
          <w:szCs w:val="20"/>
        </w:rPr>
        <w:t>n the consolidated statement of operations for the year ended December 31, 2022.</w:t>
      </w:r>
    </w:p>
    <w:p w14:paraId="2CE63F65"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181AD0FF" w14:textId="77777777" w:rsidR="00000000" w:rsidRDefault="00087966">
      <w:pPr>
        <w:pStyle w:val="a3"/>
        <w:spacing w:before="0" w:beforeAutospacing="0" w:after="0" w:afterAutospacing="0"/>
        <w:jc w:val="center"/>
        <w:divId w:val="651132184"/>
        <w:rPr>
          <w:sz w:val="20"/>
          <w:szCs w:val="20"/>
        </w:rPr>
      </w:pPr>
      <w:r>
        <w:rPr>
          <w:sz w:val="20"/>
          <w:szCs w:val="20"/>
        </w:rPr>
        <w:t>F</w:t>
      </w:r>
      <w:r>
        <w:rPr>
          <w:sz w:val="20"/>
          <w:szCs w:val="20"/>
        </w:rPr>
        <w:t>-</w:t>
      </w:r>
      <w:r>
        <w:rPr>
          <w:sz w:val="20"/>
          <w:szCs w:val="20"/>
        </w:rPr>
        <w:t>1</w:t>
      </w:r>
      <w:r>
        <w:rPr>
          <w:sz w:val="20"/>
          <w:szCs w:val="20"/>
        </w:rPr>
        <w:t>5</w:t>
      </w:r>
    </w:p>
    <w:p w14:paraId="57D08F2B" w14:textId="77777777" w:rsidR="00000000" w:rsidRDefault="00087966">
      <w:pPr>
        <w:pStyle w:val="a3"/>
        <w:spacing w:before="0" w:beforeAutospacing="0" w:after="0" w:afterAutospacing="0"/>
        <w:divId w:val="1072314929"/>
        <w:rPr>
          <w:sz w:val="20"/>
          <w:szCs w:val="20"/>
        </w:rPr>
      </w:pPr>
      <w:r>
        <w:rPr>
          <w:sz w:val="20"/>
          <w:szCs w:val="20"/>
        </w:rPr>
        <w:t> </w:t>
      </w:r>
    </w:p>
    <w:p w14:paraId="771137DD" w14:textId="77777777" w:rsidR="00000000" w:rsidRDefault="00087966">
      <w:pPr>
        <w:pStyle w:val="a3"/>
        <w:spacing w:before="0" w:beforeAutospacing="0" w:after="0" w:afterAutospacing="0"/>
        <w:jc w:val="both"/>
        <w:divId w:val="1595479706"/>
        <w:rPr>
          <w:sz w:val="20"/>
          <w:szCs w:val="20"/>
        </w:rPr>
      </w:pPr>
      <w:r>
        <w:rPr>
          <w:sz w:val="20"/>
          <w:szCs w:val="20"/>
        </w:rPr>
        <w:t> </w:t>
      </w:r>
    </w:p>
    <w:p w14:paraId="6A9911EB"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0D514F4C"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035BD1CF"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748C9257"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4FD710E3" w14:textId="77777777" w:rsidR="00000000" w:rsidRDefault="00087966">
      <w:pPr>
        <w:pStyle w:val="a3"/>
        <w:spacing w:before="0" w:beforeAutospacing="0" w:after="0" w:afterAutospacing="0"/>
        <w:jc w:val="both"/>
        <w:divId w:val="1595479706"/>
        <w:rPr>
          <w:sz w:val="20"/>
          <w:szCs w:val="20"/>
        </w:rPr>
      </w:pPr>
      <w:r>
        <w:rPr>
          <w:b/>
          <w:bCs/>
          <w:i/>
          <w:iCs/>
          <w:sz w:val="20"/>
          <w:szCs w:val="20"/>
        </w:rPr>
        <w:t>Consulting Agreement</w:t>
      </w:r>
    </w:p>
    <w:p w14:paraId="08AFA2EB"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5509CBAA" w14:textId="77777777" w:rsidR="00000000" w:rsidRDefault="00087966">
      <w:pPr>
        <w:pStyle w:val="a3"/>
        <w:spacing w:before="0" w:beforeAutospacing="0" w:after="0" w:afterAutospacing="0"/>
        <w:jc w:val="both"/>
        <w:divId w:val="1595479706"/>
        <w:rPr>
          <w:sz w:val="20"/>
          <w:szCs w:val="20"/>
        </w:rPr>
      </w:pPr>
      <w:r>
        <w:rPr>
          <w:sz w:val="20"/>
          <w:szCs w:val="20"/>
        </w:rPr>
        <w:t>The Company entered into an agreement commenci</w:t>
      </w:r>
      <w:r>
        <w:rPr>
          <w:sz w:val="20"/>
          <w:szCs w:val="20"/>
        </w:rPr>
        <w:t>ng on September 1, 2021 to pay an affiliate of the Sponsor a sum of $7,500 per month, for consulting services for due diligence related to the business combination. For the year ended December 31, 2022 and December 31, 2021, the Company incurred $67,500 an</w:t>
      </w:r>
      <w:r>
        <w:rPr>
          <w:sz w:val="20"/>
          <w:szCs w:val="20"/>
        </w:rPr>
        <w:t>d $30,000. As of December 31, 2022 and December 31, 2021 $97,500 and $30,000 is included in accrued expenses in the accompanying consolidated balance sheets respectively.</w:t>
      </w:r>
    </w:p>
    <w:p w14:paraId="73D71EBB"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1EC2F44E" w14:textId="77777777" w:rsidR="00000000" w:rsidRDefault="00087966">
      <w:pPr>
        <w:pStyle w:val="a3"/>
        <w:spacing w:before="0" w:beforeAutospacing="0" w:after="0" w:afterAutospacing="0"/>
        <w:jc w:val="both"/>
        <w:divId w:val="1595479706"/>
        <w:rPr>
          <w:sz w:val="20"/>
          <w:szCs w:val="20"/>
        </w:rPr>
      </w:pPr>
      <w:r>
        <w:rPr>
          <w:b/>
          <w:bCs/>
          <w:i/>
          <w:iCs/>
          <w:sz w:val="20"/>
          <w:szCs w:val="20"/>
        </w:rPr>
        <w:t>Extension Funds</w:t>
      </w:r>
    </w:p>
    <w:p w14:paraId="38231E4A" w14:textId="77777777" w:rsidR="00000000" w:rsidRDefault="00087966">
      <w:pPr>
        <w:pStyle w:val="a3"/>
        <w:spacing w:before="0" w:beforeAutospacing="0" w:after="0" w:afterAutospacing="0"/>
        <w:jc w:val="both"/>
        <w:divId w:val="1595479706"/>
        <w:rPr>
          <w:sz w:val="20"/>
          <w:szCs w:val="20"/>
        </w:rPr>
      </w:pPr>
      <w:r>
        <w:rPr>
          <w:sz w:val="20"/>
          <w:szCs w:val="20"/>
        </w:rPr>
        <w:t> </w:t>
      </w:r>
    </w:p>
    <w:p w14:paraId="364DE170" w14:textId="77777777" w:rsidR="00000000" w:rsidRDefault="00087966">
      <w:pPr>
        <w:pStyle w:val="a3"/>
        <w:spacing w:before="0" w:beforeAutospacing="0" w:after="0" w:afterAutospacing="0"/>
        <w:jc w:val="both"/>
        <w:divId w:val="1595479706"/>
        <w:rPr>
          <w:sz w:val="20"/>
          <w:szCs w:val="20"/>
        </w:rPr>
      </w:pPr>
      <w:r>
        <w:rPr>
          <w:sz w:val="20"/>
          <w:szCs w:val="20"/>
        </w:rPr>
        <w:t xml:space="preserve">On July 7, 2022, the Company issued an unsecured promissory note </w:t>
      </w:r>
      <w:r>
        <w:rPr>
          <w:sz w:val="20"/>
          <w:szCs w:val="20"/>
        </w:rPr>
        <w:t>to the Sponsor for up to an aggregate principal amount of $2,060,070 to be deposited into the Trust Account in connection with the Extension.  The Company was to deposit up to six equal installments of the Extension Funds, or $343,345, into the Trust Accou</w:t>
      </w:r>
      <w:r>
        <w:rPr>
          <w:sz w:val="20"/>
          <w:szCs w:val="20"/>
        </w:rPr>
        <w:t>nt on a monthly basis for each month of the Extension and such amount will be distributed either to: (i) all of the holders of the Public Shares upon the Company’s liquidation or (ii) holders of Public Shares who elect to have their shares redeemed in conn</w:t>
      </w:r>
      <w:r>
        <w:rPr>
          <w:sz w:val="20"/>
          <w:szCs w:val="20"/>
        </w:rPr>
        <w:t>ection with the consummation of the Company’s initial Business Combination. The Extension Funds note is not convertible and bears no interest and is due and payable upon the earlier of the date on which the Company consummates its initial Business Combinat</w:t>
      </w:r>
      <w:r>
        <w:rPr>
          <w:sz w:val="20"/>
          <w:szCs w:val="20"/>
        </w:rPr>
        <w:t>ion or the date of the liquidation of the Company. As of December 31, 2022, an aggregate of $1,373,380 has been drawn down on the Extension Funds and deposited into the Trust Account to cover the first four months of the extension.</w:t>
      </w:r>
    </w:p>
    <w:p w14:paraId="64CE5662" w14:textId="77777777" w:rsidR="00000000" w:rsidRDefault="00087966">
      <w:pPr>
        <w:pStyle w:val="a3"/>
        <w:spacing w:before="0" w:beforeAutospacing="0" w:after="0" w:afterAutospacing="0"/>
        <w:jc w:val="both"/>
        <w:divId w:val="1595479706"/>
        <w:rPr>
          <w:sz w:val="20"/>
          <w:szCs w:val="20"/>
        </w:rPr>
      </w:pPr>
      <w:r>
        <w:rPr>
          <w:sz w:val="20"/>
          <w:szCs w:val="20"/>
        </w:rPr>
        <w:t> </w:t>
      </w:r>
    </w:p>
    <w:p w14:paraId="5AD4DF7E" w14:textId="77777777" w:rsidR="00000000" w:rsidRDefault="00087966">
      <w:pPr>
        <w:pStyle w:val="a3"/>
        <w:spacing w:before="0" w:beforeAutospacing="0" w:after="0" w:afterAutospacing="0"/>
        <w:jc w:val="both"/>
        <w:divId w:val="1595479706"/>
        <w:rPr>
          <w:sz w:val="20"/>
          <w:szCs w:val="20"/>
        </w:rPr>
      </w:pPr>
      <w:r>
        <w:rPr>
          <w:b/>
          <w:bCs/>
          <w:i/>
          <w:iCs/>
          <w:sz w:val="20"/>
          <w:szCs w:val="20"/>
        </w:rPr>
        <w:t>Near Extension Note</w:t>
      </w:r>
    </w:p>
    <w:p w14:paraId="338EC236" w14:textId="77777777" w:rsidR="00000000" w:rsidRDefault="00087966">
      <w:pPr>
        <w:pStyle w:val="a3"/>
        <w:spacing w:before="0" w:beforeAutospacing="0" w:after="0" w:afterAutospacing="0"/>
        <w:jc w:val="both"/>
        <w:divId w:val="1595479706"/>
        <w:rPr>
          <w:sz w:val="20"/>
          <w:szCs w:val="20"/>
        </w:rPr>
      </w:pPr>
      <w:r>
        <w:rPr>
          <w:sz w:val="20"/>
          <w:szCs w:val="20"/>
        </w:rPr>
        <w:t> </w:t>
      </w:r>
    </w:p>
    <w:p w14:paraId="06BD5881" w14:textId="77777777" w:rsidR="00000000" w:rsidRDefault="00087966">
      <w:pPr>
        <w:pStyle w:val="a3"/>
        <w:spacing w:before="0" w:beforeAutospacing="0" w:after="0" w:afterAutospacing="0"/>
        <w:jc w:val="both"/>
        <w:divId w:val="1595479706"/>
        <w:rPr>
          <w:sz w:val="20"/>
          <w:szCs w:val="20"/>
        </w:rPr>
      </w:pPr>
      <w:r>
        <w:rPr>
          <w:sz w:val="20"/>
          <w:szCs w:val="20"/>
        </w:rPr>
        <w:t xml:space="preserve">On November 23, 2022, the Company issued a promissory note (the “Near Extension Note”), dated as of November 18, 2022, in the aggregate principal amount of up to $686,690, to Near. The Near Extension Note relates to the final two payments of the Company’s </w:t>
      </w:r>
      <w:r>
        <w:rPr>
          <w:sz w:val="20"/>
          <w:szCs w:val="20"/>
        </w:rPr>
        <w:t xml:space="preserve">extension funds of $343,345 each to be deposited into the Trust Account for each month in which the date by which the Company must consummate its initial business combination is extended, from July 11, 2022 until January 11, 2023. As of December 31, 2022, </w:t>
      </w:r>
      <w:r>
        <w:rPr>
          <w:sz w:val="20"/>
          <w:szCs w:val="20"/>
        </w:rPr>
        <w:t>the full amount of $686,690 has been drawn down on the Near Extension Note and deposited into the Trust Account.</w:t>
      </w:r>
    </w:p>
    <w:p w14:paraId="28F8F9E6" w14:textId="77777777" w:rsidR="00000000" w:rsidRDefault="00087966">
      <w:pPr>
        <w:pStyle w:val="a3"/>
        <w:spacing w:before="0" w:beforeAutospacing="0" w:after="0" w:afterAutospacing="0"/>
        <w:jc w:val="both"/>
        <w:divId w:val="1595479706"/>
        <w:rPr>
          <w:sz w:val="20"/>
          <w:szCs w:val="20"/>
        </w:rPr>
      </w:pPr>
      <w:r>
        <w:rPr>
          <w:sz w:val="20"/>
          <w:szCs w:val="20"/>
        </w:rPr>
        <w:t> </w:t>
      </w:r>
    </w:p>
    <w:p w14:paraId="7297A666" w14:textId="77777777" w:rsidR="00000000" w:rsidRDefault="00087966">
      <w:pPr>
        <w:pStyle w:val="a3"/>
        <w:spacing w:before="0" w:beforeAutospacing="0" w:after="0" w:afterAutospacing="0"/>
        <w:jc w:val="both"/>
        <w:divId w:val="1595479706"/>
        <w:rPr>
          <w:sz w:val="20"/>
          <w:szCs w:val="20"/>
        </w:rPr>
      </w:pPr>
      <w:r>
        <w:rPr>
          <w:b/>
          <w:bCs/>
          <w:sz w:val="20"/>
          <w:szCs w:val="20"/>
        </w:rPr>
        <w:t>NOTE 6</w:t>
      </w:r>
      <w:r>
        <w:rPr>
          <w:b/>
          <w:bCs/>
          <w:sz w:val="20"/>
          <w:szCs w:val="20"/>
        </w:rPr>
        <w:t> </w:t>
      </w:r>
      <w:r>
        <w:rPr>
          <w:b/>
          <w:bCs/>
          <w:sz w:val="20"/>
          <w:szCs w:val="20"/>
        </w:rPr>
        <w:t>—</w:t>
      </w:r>
      <w:r>
        <w:rPr>
          <w:b/>
          <w:bCs/>
          <w:sz w:val="20"/>
          <w:szCs w:val="20"/>
        </w:rPr>
        <w:t> </w:t>
      </w:r>
      <w:r>
        <w:rPr>
          <w:b/>
          <w:bCs/>
          <w:sz w:val="20"/>
          <w:szCs w:val="20"/>
        </w:rPr>
        <w:t>COMMITMENTS AND CONTINGENCIES</w:t>
      </w:r>
    </w:p>
    <w:p w14:paraId="3ED77996" w14:textId="77777777" w:rsidR="00000000" w:rsidRDefault="00087966">
      <w:pPr>
        <w:pStyle w:val="a3"/>
        <w:spacing w:before="0" w:beforeAutospacing="0" w:after="0" w:afterAutospacing="0"/>
        <w:divId w:val="1595479706"/>
        <w:rPr>
          <w:sz w:val="20"/>
          <w:szCs w:val="20"/>
        </w:rPr>
      </w:pPr>
      <w:r>
        <w:rPr>
          <w:sz w:val="20"/>
          <w:szCs w:val="20"/>
        </w:rPr>
        <w:t> </w:t>
      </w:r>
    </w:p>
    <w:p w14:paraId="6B6043EF" w14:textId="77777777" w:rsidR="00000000" w:rsidRDefault="00087966">
      <w:pPr>
        <w:pStyle w:val="a3"/>
        <w:spacing w:before="0" w:beforeAutospacing="0" w:after="0" w:afterAutospacing="0"/>
        <w:jc w:val="both"/>
        <w:divId w:val="1595479706"/>
        <w:rPr>
          <w:sz w:val="20"/>
          <w:szCs w:val="20"/>
        </w:rPr>
      </w:pPr>
      <w:r>
        <w:rPr>
          <w:b/>
          <w:bCs/>
          <w:i/>
          <w:iCs/>
          <w:sz w:val="20"/>
          <w:szCs w:val="20"/>
        </w:rPr>
        <w:t>Registration Rights</w:t>
      </w:r>
    </w:p>
    <w:p w14:paraId="671B1CDC" w14:textId="77777777" w:rsidR="00000000" w:rsidRDefault="00087966">
      <w:pPr>
        <w:pStyle w:val="a3"/>
        <w:spacing w:before="0" w:beforeAutospacing="0" w:after="0" w:afterAutospacing="0"/>
        <w:jc w:val="both"/>
        <w:divId w:val="1595479706"/>
        <w:rPr>
          <w:sz w:val="20"/>
          <w:szCs w:val="20"/>
        </w:rPr>
      </w:pPr>
      <w:r>
        <w:rPr>
          <w:sz w:val="20"/>
          <w:szCs w:val="20"/>
        </w:rPr>
        <w:t> </w:t>
      </w:r>
    </w:p>
    <w:p w14:paraId="162F19A3" w14:textId="77777777" w:rsidR="00000000" w:rsidRDefault="00087966">
      <w:pPr>
        <w:pStyle w:val="a3"/>
        <w:spacing w:before="0" w:beforeAutospacing="0" w:after="0" w:afterAutospacing="0"/>
        <w:jc w:val="both"/>
        <w:divId w:val="1595479706"/>
        <w:rPr>
          <w:sz w:val="20"/>
          <w:szCs w:val="20"/>
        </w:rPr>
      </w:pPr>
      <w:r>
        <w:rPr>
          <w:sz w:val="20"/>
          <w:szCs w:val="20"/>
        </w:rPr>
        <w:t>Pursuant to a Registration Rights Agreement entered into on January 6, 2021, the holders of the Founder Shares, Private Placement Warrants and any warrants that may be issued upon conversion of the Working Capital Loans (and any shares of Class A common st</w:t>
      </w:r>
      <w:r>
        <w:rPr>
          <w:sz w:val="20"/>
          <w:szCs w:val="20"/>
        </w:rPr>
        <w:t xml:space="preserve">ock issuable upon the exercise of the Private Placement Warrants and warrants that may be issued upon conversion of Working Capital Loans and upon conversion of the Founder Shares) will have registration rights to require the Company to register a sale of </w:t>
      </w:r>
      <w:r>
        <w:rPr>
          <w:sz w:val="20"/>
          <w:szCs w:val="20"/>
        </w:rPr>
        <w:t>any of the Company’s securities held by them. These holders of these securities will be entitled to make up to three demands, excluding short form registration demands, that the Company register such securities for sale under the Securities Act. In additio</w:t>
      </w:r>
      <w:r>
        <w:rPr>
          <w:sz w:val="20"/>
          <w:szCs w:val="20"/>
        </w:rPr>
        <w:t>n, these holders will have “piggy-back” registration rights to include their securities in other registration statements filed by us, subject to certain limitations. The Registration Rights Agreement does not contain liquidating damages or other cash settl</w:t>
      </w:r>
      <w:r>
        <w:rPr>
          <w:sz w:val="20"/>
          <w:szCs w:val="20"/>
        </w:rPr>
        <w:t>ement provisions resulting from delays in registering the Company’s securities. The Company will bear the expenses incurred in connection with the filing of any such registration statements.</w:t>
      </w:r>
    </w:p>
    <w:p w14:paraId="27F74367" w14:textId="77777777" w:rsidR="00000000" w:rsidRDefault="00087966">
      <w:pPr>
        <w:pStyle w:val="a3"/>
        <w:spacing w:before="0" w:beforeAutospacing="0" w:after="0" w:afterAutospacing="0"/>
        <w:jc w:val="both"/>
        <w:divId w:val="1595479706"/>
        <w:rPr>
          <w:sz w:val="20"/>
          <w:szCs w:val="20"/>
        </w:rPr>
      </w:pPr>
      <w:r>
        <w:rPr>
          <w:sz w:val="20"/>
          <w:szCs w:val="20"/>
        </w:rPr>
        <w:t> </w:t>
      </w:r>
    </w:p>
    <w:p w14:paraId="53E1A14E" w14:textId="77777777" w:rsidR="00000000" w:rsidRDefault="00087966">
      <w:pPr>
        <w:pStyle w:val="a3"/>
        <w:spacing w:before="0" w:beforeAutospacing="0" w:after="0" w:afterAutospacing="0"/>
        <w:jc w:val="both"/>
        <w:divId w:val="1595479706"/>
        <w:rPr>
          <w:sz w:val="20"/>
          <w:szCs w:val="20"/>
        </w:rPr>
      </w:pPr>
      <w:r>
        <w:rPr>
          <w:sz w:val="20"/>
          <w:szCs w:val="20"/>
        </w:rPr>
        <w:t>In connection with the Closing, the existing Registration Right</w:t>
      </w:r>
      <w:r>
        <w:rPr>
          <w:sz w:val="20"/>
          <w:szCs w:val="20"/>
        </w:rPr>
        <w:t>s Agreement will be amended and restated and the Company, the Sponsor, and certain persons and entities holding securities of Near prior to the Closing (collectively, together with the Sponsor, the “Reg Rights Holders”) will enter into an Amended and Resta</w:t>
      </w:r>
      <w:r>
        <w:rPr>
          <w:sz w:val="20"/>
          <w:szCs w:val="20"/>
        </w:rPr>
        <w:t>ted Registration Rights Agreement (the “A&amp;R Registration Rights Agreement”). Pursuant to the A&amp;R Registration Rights Agreement, the Company will agree that, within 30 days after the Closing, the Company will file with the SEC (at the Company’s sole cost an</w:t>
      </w:r>
      <w:r>
        <w:rPr>
          <w:sz w:val="20"/>
          <w:szCs w:val="20"/>
        </w:rPr>
        <w:t>d expense) a registration statement registering the resale of certain securities held by or issuable to the Reg Rights Holders (the “Resale Registration Statement”), and the Company will use its reasonable best efforts to have the Resale Registration State</w:t>
      </w:r>
      <w:r>
        <w:rPr>
          <w:sz w:val="20"/>
          <w:szCs w:val="20"/>
        </w:rPr>
        <w:t>ment declared effective as soon as reasonably practicable after the filing thereof, but in no event later than 60 days (or 90 days if the SEC notifies the Company that it will review the Resale Registration Statement). In certain circumstances, each of the</w:t>
      </w:r>
      <w:r>
        <w:rPr>
          <w:sz w:val="20"/>
          <w:szCs w:val="20"/>
        </w:rPr>
        <w:t xml:space="preserve"> Reg Rights Holders can demand up to two underwritten offerings and will be entitled to piggyback registration rights, in each case subject to certain limitations set forth in the A&amp;R Registration Rights Agreement.</w:t>
      </w:r>
    </w:p>
    <w:p w14:paraId="11F613D7" w14:textId="77777777" w:rsidR="00000000" w:rsidRDefault="00087966">
      <w:pPr>
        <w:pStyle w:val="a3"/>
        <w:spacing w:before="0" w:beforeAutospacing="0" w:after="0" w:afterAutospacing="0"/>
        <w:jc w:val="both"/>
        <w:divId w:val="1595479706"/>
        <w:rPr>
          <w:sz w:val="20"/>
          <w:szCs w:val="20"/>
        </w:rPr>
      </w:pPr>
      <w:r>
        <w:rPr>
          <w:sz w:val="20"/>
          <w:szCs w:val="20"/>
        </w:rPr>
        <w:t> </w:t>
      </w:r>
    </w:p>
    <w:p w14:paraId="2863E52A" w14:textId="77777777" w:rsidR="00000000" w:rsidRDefault="00087966">
      <w:pPr>
        <w:pStyle w:val="a3"/>
        <w:spacing w:before="0" w:beforeAutospacing="0" w:after="0" w:afterAutospacing="0"/>
        <w:jc w:val="center"/>
        <w:divId w:val="12347456"/>
        <w:rPr>
          <w:sz w:val="20"/>
          <w:szCs w:val="20"/>
        </w:rPr>
      </w:pPr>
      <w:r>
        <w:rPr>
          <w:sz w:val="20"/>
          <w:szCs w:val="20"/>
        </w:rPr>
        <w:t>F</w:t>
      </w:r>
      <w:r>
        <w:rPr>
          <w:sz w:val="20"/>
          <w:szCs w:val="20"/>
        </w:rPr>
        <w:t>-</w:t>
      </w:r>
      <w:r>
        <w:rPr>
          <w:sz w:val="20"/>
          <w:szCs w:val="20"/>
        </w:rPr>
        <w:t>1</w:t>
      </w:r>
      <w:r>
        <w:rPr>
          <w:sz w:val="20"/>
          <w:szCs w:val="20"/>
        </w:rPr>
        <w:t>6</w:t>
      </w:r>
    </w:p>
    <w:p w14:paraId="1B5B4FBB" w14:textId="77777777" w:rsidR="00000000" w:rsidRDefault="00087966">
      <w:pPr>
        <w:pStyle w:val="a3"/>
        <w:spacing w:before="0" w:beforeAutospacing="0" w:after="0" w:afterAutospacing="0"/>
        <w:divId w:val="198208666"/>
        <w:rPr>
          <w:sz w:val="20"/>
          <w:szCs w:val="20"/>
        </w:rPr>
      </w:pPr>
      <w:r>
        <w:rPr>
          <w:sz w:val="20"/>
          <w:szCs w:val="20"/>
        </w:rPr>
        <w:t> </w:t>
      </w:r>
    </w:p>
    <w:p w14:paraId="190E79C0" w14:textId="77777777" w:rsidR="00000000" w:rsidRDefault="00087966">
      <w:pPr>
        <w:pStyle w:val="a3"/>
        <w:spacing w:before="0" w:beforeAutospacing="0" w:after="0" w:afterAutospacing="0"/>
        <w:jc w:val="both"/>
        <w:divId w:val="1595479706"/>
        <w:rPr>
          <w:sz w:val="20"/>
          <w:szCs w:val="20"/>
        </w:rPr>
      </w:pPr>
      <w:r>
        <w:rPr>
          <w:sz w:val="20"/>
          <w:szCs w:val="20"/>
        </w:rPr>
        <w:t> </w:t>
      </w:r>
    </w:p>
    <w:p w14:paraId="5B6172CC"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447DD0DA" w14:textId="77777777" w:rsidR="00000000" w:rsidRDefault="00087966">
      <w:pPr>
        <w:pStyle w:val="a3"/>
        <w:spacing w:before="0" w:beforeAutospacing="0" w:after="0" w:afterAutospacing="0"/>
        <w:jc w:val="center"/>
        <w:divId w:val="1595479706"/>
        <w:rPr>
          <w:sz w:val="20"/>
          <w:szCs w:val="20"/>
        </w:rPr>
      </w:pPr>
      <w:r>
        <w:rPr>
          <w:b/>
          <w:bCs/>
          <w:sz w:val="20"/>
          <w:szCs w:val="20"/>
        </w:rPr>
        <w:t>NO</w:t>
      </w:r>
      <w:r>
        <w:rPr>
          <w:b/>
          <w:bCs/>
          <w:sz w:val="20"/>
          <w:szCs w:val="20"/>
        </w:rPr>
        <w:t>TES TO THE CONSOLIDATED FINANCIAL STATEMENTS</w:t>
      </w:r>
    </w:p>
    <w:p w14:paraId="29C225BF"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182ECF1B" w14:textId="77777777" w:rsidR="00000000" w:rsidRDefault="00087966">
      <w:pPr>
        <w:pStyle w:val="a3"/>
        <w:spacing w:before="0" w:beforeAutospacing="0" w:after="0" w:afterAutospacing="0"/>
        <w:jc w:val="both"/>
        <w:divId w:val="1595479706"/>
        <w:rPr>
          <w:sz w:val="20"/>
          <w:szCs w:val="20"/>
        </w:rPr>
      </w:pPr>
      <w:r>
        <w:rPr>
          <w:sz w:val="20"/>
          <w:szCs w:val="20"/>
        </w:rPr>
        <w:t> </w:t>
      </w:r>
    </w:p>
    <w:p w14:paraId="56CBF38F" w14:textId="77777777" w:rsidR="00000000" w:rsidRDefault="00087966">
      <w:pPr>
        <w:pStyle w:val="a3"/>
        <w:spacing w:before="0" w:beforeAutospacing="0" w:after="0" w:afterAutospacing="0"/>
        <w:jc w:val="both"/>
        <w:divId w:val="1595479706"/>
        <w:rPr>
          <w:sz w:val="20"/>
          <w:szCs w:val="20"/>
        </w:rPr>
      </w:pPr>
      <w:r>
        <w:rPr>
          <w:b/>
          <w:bCs/>
          <w:i/>
          <w:iCs/>
          <w:sz w:val="20"/>
          <w:szCs w:val="20"/>
        </w:rPr>
        <w:t>Underwriting Agreement</w:t>
      </w:r>
    </w:p>
    <w:p w14:paraId="694B89FE" w14:textId="77777777" w:rsidR="00000000" w:rsidRDefault="00087966">
      <w:pPr>
        <w:pStyle w:val="a3"/>
        <w:spacing w:before="0" w:beforeAutospacing="0" w:after="0" w:afterAutospacing="0"/>
        <w:divId w:val="1595479706"/>
        <w:rPr>
          <w:sz w:val="20"/>
          <w:szCs w:val="20"/>
        </w:rPr>
      </w:pPr>
      <w:r>
        <w:rPr>
          <w:sz w:val="20"/>
          <w:szCs w:val="20"/>
        </w:rPr>
        <w:t> </w:t>
      </w:r>
    </w:p>
    <w:p w14:paraId="11F9B556" w14:textId="77777777" w:rsidR="00000000" w:rsidRDefault="00087966">
      <w:pPr>
        <w:pStyle w:val="a3"/>
        <w:spacing w:before="0" w:beforeAutospacing="0" w:after="0" w:afterAutospacing="0"/>
        <w:jc w:val="both"/>
        <w:divId w:val="1595479706"/>
        <w:rPr>
          <w:sz w:val="20"/>
          <w:szCs w:val="20"/>
        </w:rPr>
      </w:pPr>
      <w:r>
        <w:rPr>
          <w:sz w:val="20"/>
          <w:szCs w:val="20"/>
        </w:rPr>
        <w:t>The underwriters are entitled to a deferred fee of $0.35 per Unit, or $6,037,500 in the aggregate. The deferred fee will become payable to the underwriters from the a</w:t>
      </w:r>
      <w:r>
        <w:rPr>
          <w:sz w:val="20"/>
          <w:szCs w:val="20"/>
        </w:rPr>
        <w:t>mounts held in the Trust Account solely in the event that the Company completes a Business Combination, subject to the terms of the underwriting agreement.</w:t>
      </w:r>
    </w:p>
    <w:p w14:paraId="33AE5279" w14:textId="77777777" w:rsidR="00000000" w:rsidRDefault="00087966">
      <w:pPr>
        <w:pStyle w:val="a3"/>
        <w:spacing w:before="0" w:beforeAutospacing="0" w:after="0" w:afterAutospacing="0"/>
        <w:jc w:val="both"/>
        <w:divId w:val="1595479706"/>
        <w:rPr>
          <w:sz w:val="20"/>
          <w:szCs w:val="20"/>
        </w:rPr>
      </w:pPr>
      <w:r>
        <w:rPr>
          <w:sz w:val="20"/>
          <w:szCs w:val="20"/>
        </w:rPr>
        <w:t> </w:t>
      </w:r>
    </w:p>
    <w:p w14:paraId="419EC892" w14:textId="77777777" w:rsidR="00000000" w:rsidRDefault="00087966">
      <w:pPr>
        <w:pStyle w:val="a3"/>
        <w:spacing w:before="0" w:beforeAutospacing="0" w:after="0" w:afterAutospacing="0"/>
        <w:jc w:val="both"/>
        <w:divId w:val="1595479706"/>
        <w:rPr>
          <w:sz w:val="20"/>
          <w:szCs w:val="20"/>
        </w:rPr>
      </w:pPr>
      <w:r>
        <w:rPr>
          <w:b/>
          <w:bCs/>
          <w:i/>
          <w:iCs/>
          <w:sz w:val="20"/>
          <w:szCs w:val="20"/>
        </w:rPr>
        <w:t>Contingent Legal Fees</w:t>
      </w:r>
    </w:p>
    <w:p w14:paraId="03815000" w14:textId="77777777" w:rsidR="00000000" w:rsidRDefault="00087966">
      <w:pPr>
        <w:pStyle w:val="a3"/>
        <w:spacing w:before="0" w:beforeAutospacing="0" w:after="0" w:afterAutospacing="0"/>
        <w:jc w:val="both"/>
        <w:divId w:val="1595479706"/>
        <w:rPr>
          <w:sz w:val="20"/>
          <w:szCs w:val="20"/>
        </w:rPr>
      </w:pPr>
      <w:r>
        <w:rPr>
          <w:sz w:val="20"/>
          <w:szCs w:val="20"/>
        </w:rPr>
        <w:t> </w:t>
      </w:r>
    </w:p>
    <w:p w14:paraId="12E6C401" w14:textId="77777777" w:rsidR="00000000" w:rsidRDefault="00087966">
      <w:pPr>
        <w:pStyle w:val="a3"/>
        <w:spacing w:before="0" w:beforeAutospacing="0" w:after="0" w:afterAutospacing="0"/>
        <w:jc w:val="both"/>
        <w:divId w:val="1595479706"/>
        <w:rPr>
          <w:sz w:val="20"/>
          <w:szCs w:val="20"/>
        </w:rPr>
      </w:pPr>
      <w:r>
        <w:rPr>
          <w:sz w:val="20"/>
          <w:szCs w:val="20"/>
        </w:rPr>
        <w:t>As of December 31, 2022 and 2021, the Company has incurred legal fees of $</w:t>
      </w:r>
      <w:r>
        <w:rPr>
          <w:sz w:val="20"/>
          <w:szCs w:val="20"/>
        </w:rPr>
        <w:t>1,723,836 and $118,550, respectively, payments for which are contingent upon the consummation of the Business Combination, of which such amounts are included in accounts payable and accrued expenses in the accompanying consolidated balance sheets.</w:t>
      </w:r>
    </w:p>
    <w:p w14:paraId="39FA1016" w14:textId="77777777" w:rsidR="00000000" w:rsidRDefault="00087966">
      <w:pPr>
        <w:pStyle w:val="a3"/>
        <w:spacing w:before="0" w:beforeAutospacing="0" w:after="0" w:afterAutospacing="0"/>
        <w:jc w:val="both"/>
        <w:divId w:val="1595479706"/>
        <w:rPr>
          <w:sz w:val="20"/>
          <w:szCs w:val="20"/>
        </w:rPr>
      </w:pPr>
      <w:r>
        <w:rPr>
          <w:sz w:val="20"/>
          <w:szCs w:val="20"/>
        </w:rPr>
        <w:t> </w:t>
      </w:r>
    </w:p>
    <w:p w14:paraId="4947FEE6" w14:textId="77777777" w:rsidR="00000000" w:rsidRDefault="00087966">
      <w:pPr>
        <w:pStyle w:val="a3"/>
        <w:spacing w:before="0" w:beforeAutospacing="0" w:after="0" w:afterAutospacing="0"/>
        <w:jc w:val="both"/>
        <w:divId w:val="1595479706"/>
        <w:rPr>
          <w:sz w:val="20"/>
          <w:szCs w:val="20"/>
        </w:rPr>
      </w:pPr>
      <w:r>
        <w:rPr>
          <w:b/>
          <w:bCs/>
          <w:i/>
          <w:iCs/>
          <w:sz w:val="20"/>
          <w:szCs w:val="20"/>
        </w:rPr>
        <w:t>Adviso</w:t>
      </w:r>
      <w:r>
        <w:rPr>
          <w:b/>
          <w:bCs/>
          <w:i/>
          <w:iCs/>
          <w:sz w:val="20"/>
          <w:szCs w:val="20"/>
        </w:rPr>
        <w:t>r Agreement</w:t>
      </w:r>
    </w:p>
    <w:p w14:paraId="6A0A8E66"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3205DEE2" w14:textId="77777777" w:rsidR="00000000" w:rsidRDefault="00087966">
      <w:pPr>
        <w:pStyle w:val="a3"/>
        <w:spacing w:before="0" w:beforeAutospacing="0" w:after="0" w:afterAutospacing="0"/>
        <w:jc w:val="both"/>
        <w:divId w:val="1595479706"/>
        <w:rPr>
          <w:sz w:val="20"/>
          <w:szCs w:val="20"/>
        </w:rPr>
      </w:pPr>
      <w:r>
        <w:rPr>
          <w:sz w:val="20"/>
          <w:szCs w:val="20"/>
        </w:rPr>
        <w:t>On September 16, 2021, the Company entered into an advisor agreement, in which the advisor (CF&amp;CO) will act as the Company’s placement agent and arranger in connection with any financing. Additionally, the advisor will act as a capital market</w:t>
      </w:r>
      <w:r>
        <w:rPr>
          <w:sz w:val="20"/>
          <w:szCs w:val="20"/>
        </w:rPr>
        <w:t>s advisor in connection with the Target Business Combination. The Company agrees to pay the advisor the following (i) $6 million if the Total Capital (as hereinafter defined) involved in the private placement, offering or other sale of equity or equity-lin</w:t>
      </w:r>
      <w:r>
        <w:rPr>
          <w:sz w:val="20"/>
          <w:szCs w:val="20"/>
        </w:rPr>
        <w:t>ked instruments in any form, including, without limitation, preferred or common equity, or instruments convertible into preferred or common equity or other related forms of interests or capital of the Company in one or a series of transactions (“Financing”</w:t>
      </w:r>
      <w:r>
        <w:rPr>
          <w:sz w:val="20"/>
          <w:szCs w:val="20"/>
        </w:rPr>
        <w:t>) and Target Business Combination is less than $175.5 million; (ii) $8 million if the Total Capital involved in the Financing and Target Business Combination is equal to or greater than $175.5 million but less than $225 million; or (iii) $10 million if the</w:t>
      </w:r>
      <w:r>
        <w:rPr>
          <w:sz w:val="20"/>
          <w:szCs w:val="20"/>
        </w:rPr>
        <w:t xml:space="preserve"> Total Capital involved in the Financing and Target Business Combination is equal to or greater than $225 million. For purposes of the Advisor Agreement, “Total Capital” means the aggregate amount of proceeds received from any Financing plus the total amou</w:t>
      </w:r>
      <w:r>
        <w:rPr>
          <w:sz w:val="20"/>
          <w:szCs w:val="20"/>
        </w:rPr>
        <w:t>nt of proceeds raised in connection with the initial public offering of the Company (the “IPO”) that remain in the Trust Account at the time of the closing of the Target Business Combination, after giving effect to redemptions of any Public Stockholders. U</w:t>
      </w:r>
      <w:r>
        <w:rPr>
          <w:sz w:val="20"/>
          <w:szCs w:val="20"/>
        </w:rPr>
        <w:t xml:space="preserve">pon the earlier of (i) the consummation of the Target Business Combination or any other Business Combination, (ii) the liquidation of the Company in accordance with its organizational documents if it does not consummate a Business Combination prior to its </w:t>
      </w:r>
      <w:r>
        <w:rPr>
          <w:sz w:val="20"/>
          <w:szCs w:val="20"/>
        </w:rPr>
        <w:t>deadline to do so (as such deadline may be extended by amendment to the Company’s organizational documents), or (iii) termination of the Advisor Agreement, the Company will promptly reimburse CF&amp;CO for its out-of-pocket expenses reasonably incurred by CF&amp;C</w:t>
      </w:r>
      <w:r>
        <w:rPr>
          <w:sz w:val="20"/>
          <w:szCs w:val="20"/>
        </w:rPr>
        <w:t>O in connection with CF&amp;CO rendering its services under the Advisor Agreement, including the fees and disbursements of legal counsel, whether or not any Financing occurs; provided that, except as contemplated by the Indemnification Provisions (as defined i</w:t>
      </w:r>
      <w:r>
        <w:rPr>
          <w:sz w:val="20"/>
          <w:szCs w:val="20"/>
        </w:rPr>
        <w:t>n the Advisor Agreement), such expenses will not exceed $50,000 in the aggregate, in each case unless approved in writing (including e-mail) by the Company in advance (not to be unreasonably withheld, delayed or conditioned).</w:t>
      </w:r>
    </w:p>
    <w:p w14:paraId="2644594C" w14:textId="77777777" w:rsidR="00000000" w:rsidRDefault="00087966">
      <w:pPr>
        <w:pStyle w:val="a3"/>
        <w:spacing w:before="0" w:beforeAutospacing="0" w:after="0" w:afterAutospacing="0"/>
        <w:jc w:val="both"/>
        <w:divId w:val="1595479706"/>
        <w:rPr>
          <w:sz w:val="20"/>
          <w:szCs w:val="20"/>
        </w:rPr>
      </w:pPr>
      <w:r>
        <w:rPr>
          <w:sz w:val="20"/>
          <w:szCs w:val="20"/>
        </w:rPr>
        <w:t> </w:t>
      </w:r>
    </w:p>
    <w:p w14:paraId="2722803E" w14:textId="77777777" w:rsidR="00000000" w:rsidRDefault="00087966">
      <w:pPr>
        <w:pStyle w:val="a3"/>
        <w:spacing w:before="0" w:beforeAutospacing="0" w:after="0" w:afterAutospacing="0"/>
        <w:jc w:val="both"/>
        <w:divId w:val="1595479706"/>
        <w:rPr>
          <w:sz w:val="20"/>
          <w:szCs w:val="20"/>
        </w:rPr>
      </w:pPr>
      <w:r>
        <w:rPr>
          <w:b/>
          <w:bCs/>
          <w:i/>
          <w:iCs/>
          <w:sz w:val="20"/>
          <w:szCs w:val="20"/>
        </w:rPr>
        <w:t>Merger Agreement</w:t>
      </w:r>
    </w:p>
    <w:p w14:paraId="719E96DF" w14:textId="77777777" w:rsidR="00000000" w:rsidRDefault="00087966">
      <w:pPr>
        <w:pStyle w:val="a3"/>
        <w:spacing w:before="0" w:beforeAutospacing="0" w:after="0" w:afterAutospacing="0"/>
        <w:jc w:val="both"/>
        <w:divId w:val="1595479706"/>
        <w:rPr>
          <w:sz w:val="20"/>
          <w:szCs w:val="20"/>
        </w:rPr>
      </w:pPr>
      <w:r>
        <w:rPr>
          <w:sz w:val="20"/>
          <w:szCs w:val="20"/>
        </w:rPr>
        <w:t> </w:t>
      </w:r>
    </w:p>
    <w:p w14:paraId="6C0EECBC" w14:textId="77777777" w:rsidR="00000000" w:rsidRDefault="00087966">
      <w:pPr>
        <w:pStyle w:val="a3"/>
        <w:spacing w:before="0" w:beforeAutospacing="0" w:after="0" w:afterAutospacing="0"/>
        <w:jc w:val="both"/>
        <w:divId w:val="1595479706"/>
        <w:rPr>
          <w:sz w:val="20"/>
          <w:szCs w:val="20"/>
        </w:rPr>
      </w:pPr>
      <w:r>
        <w:rPr>
          <w:sz w:val="20"/>
          <w:szCs w:val="20"/>
        </w:rPr>
        <w:t>On May 18, 2022, the Company entered into the Merger Agreement. Unless otherwise defined in this Section, the capitalized terms used below have the meanings given to them in the Merger Agreement.</w:t>
      </w:r>
    </w:p>
    <w:p w14:paraId="139CCEBA" w14:textId="77777777" w:rsidR="00000000" w:rsidRDefault="00087966">
      <w:pPr>
        <w:pStyle w:val="a3"/>
        <w:spacing w:before="0" w:beforeAutospacing="0" w:after="0" w:afterAutospacing="0"/>
        <w:jc w:val="both"/>
        <w:divId w:val="1595479706"/>
        <w:rPr>
          <w:sz w:val="20"/>
          <w:szCs w:val="20"/>
        </w:rPr>
      </w:pPr>
      <w:r>
        <w:rPr>
          <w:sz w:val="20"/>
          <w:szCs w:val="20"/>
        </w:rPr>
        <w:t> </w:t>
      </w:r>
    </w:p>
    <w:p w14:paraId="01B374BD" w14:textId="77777777" w:rsidR="00000000" w:rsidRDefault="00087966">
      <w:pPr>
        <w:pStyle w:val="a3"/>
        <w:spacing w:before="0" w:beforeAutospacing="0" w:after="0" w:afterAutospacing="0"/>
        <w:jc w:val="both"/>
        <w:divId w:val="1595479706"/>
        <w:rPr>
          <w:sz w:val="20"/>
          <w:szCs w:val="20"/>
        </w:rPr>
      </w:pPr>
      <w:r>
        <w:rPr>
          <w:sz w:val="20"/>
          <w:szCs w:val="20"/>
        </w:rPr>
        <w:t>Near, a global leader in privacy-led data intelligence, cu</w:t>
      </w:r>
      <w:r>
        <w:rPr>
          <w:sz w:val="20"/>
          <w:szCs w:val="20"/>
        </w:rPr>
        <w:t>rates one of the world’s largest sources of intelligence on people, places and products. Near processes data from over 1.6 billion unique user IDs, in over 70 million places across 44 countries to empower marketing and operational data leaders to confident</w:t>
      </w:r>
      <w:r>
        <w:rPr>
          <w:sz w:val="20"/>
          <w:szCs w:val="20"/>
        </w:rPr>
        <w:t>ly reach, understand and market to consumers and optimize their business results. Near has offices in Los Angeles, Silicon Valley, Paris, Bangalore, Singapore, Sydney and Tokyo. Near serves major enterprises in retail, real estate, restaurants, tourism, te</w:t>
      </w:r>
      <w:r>
        <w:rPr>
          <w:sz w:val="20"/>
          <w:szCs w:val="20"/>
        </w:rPr>
        <w:t>chnology, marketing and other industries.</w:t>
      </w:r>
    </w:p>
    <w:p w14:paraId="5C922EDB" w14:textId="77777777" w:rsidR="00000000" w:rsidRDefault="00087966">
      <w:pPr>
        <w:pStyle w:val="a3"/>
        <w:spacing w:before="0" w:beforeAutospacing="0" w:after="0" w:afterAutospacing="0"/>
        <w:jc w:val="both"/>
        <w:divId w:val="1595479706"/>
        <w:rPr>
          <w:sz w:val="20"/>
          <w:szCs w:val="20"/>
        </w:rPr>
      </w:pPr>
      <w:r>
        <w:rPr>
          <w:sz w:val="20"/>
          <w:szCs w:val="20"/>
        </w:rPr>
        <w:t> </w:t>
      </w:r>
    </w:p>
    <w:p w14:paraId="6F1C6A3D" w14:textId="77777777" w:rsidR="00000000" w:rsidRDefault="00087966">
      <w:pPr>
        <w:pStyle w:val="a3"/>
        <w:spacing w:before="0" w:beforeAutospacing="0" w:after="0" w:afterAutospacing="0"/>
        <w:jc w:val="both"/>
        <w:divId w:val="1595479706"/>
        <w:rPr>
          <w:sz w:val="20"/>
          <w:szCs w:val="20"/>
        </w:rPr>
      </w:pPr>
      <w:r>
        <w:rPr>
          <w:sz w:val="20"/>
          <w:szCs w:val="20"/>
        </w:rPr>
        <w:t>Pursuant to the Merger Agreement, subject to the terms and conditions set forth therein, immediately prior to the Closing, (i) the First Merger will be consummated, as a result of which all of the issued and outs</w:t>
      </w:r>
      <w:r>
        <w:rPr>
          <w:sz w:val="20"/>
          <w:szCs w:val="20"/>
        </w:rPr>
        <w:t>tanding capital stock of Near will no longer be outstanding and will automatically be cancelled and will cease to exist in exchange for the right to receive the Merger Consideration (as defined below), and (ii) the Second Merger will be consummated, as a r</w:t>
      </w:r>
      <w:r>
        <w:rPr>
          <w:sz w:val="20"/>
          <w:szCs w:val="20"/>
        </w:rPr>
        <w:t>esult of which all of the issued and outstanding capital stock of Near will no longer be outstanding and will automatically be cancelled and will cease to exist and each membership interest of Merger Sub 2 will remain outstanding as a membership interest o</w:t>
      </w:r>
      <w:r>
        <w:rPr>
          <w:sz w:val="20"/>
          <w:szCs w:val="20"/>
        </w:rPr>
        <w:t>f the surviving entity. Following the Business Combination, the Company will change its name to “Near Intelligence, Inc.”, or such other name as may be mutually agreed to by the Company and Near.</w:t>
      </w:r>
    </w:p>
    <w:p w14:paraId="30249F78" w14:textId="77777777" w:rsidR="00000000" w:rsidRDefault="00087966">
      <w:pPr>
        <w:pStyle w:val="a3"/>
        <w:spacing w:before="0" w:beforeAutospacing="0" w:after="0" w:afterAutospacing="0"/>
        <w:jc w:val="both"/>
        <w:divId w:val="1595479706"/>
        <w:rPr>
          <w:sz w:val="20"/>
          <w:szCs w:val="20"/>
        </w:rPr>
      </w:pPr>
      <w:r>
        <w:rPr>
          <w:sz w:val="20"/>
          <w:szCs w:val="20"/>
        </w:rPr>
        <w:t> </w:t>
      </w:r>
    </w:p>
    <w:p w14:paraId="08069B6F" w14:textId="77777777" w:rsidR="00000000" w:rsidRDefault="00087966">
      <w:pPr>
        <w:pStyle w:val="a3"/>
        <w:spacing w:before="0" w:beforeAutospacing="0" w:after="0" w:afterAutospacing="0"/>
        <w:jc w:val="center"/>
        <w:divId w:val="1886135267"/>
        <w:rPr>
          <w:sz w:val="20"/>
          <w:szCs w:val="20"/>
        </w:rPr>
      </w:pPr>
      <w:r>
        <w:rPr>
          <w:sz w:val="20"/>
          <w:szCs w:val="20"/>
        </w:rPr>
        <w:t>F</w:t>
      </w:r>
      <w:r>
        <w:rPr>
          <w:sz w:val="20"/>
          <w:szCs w:val="20"/>
        </w:rPr>
        <w:t>-</w:t>
      </w:r>
      <w:r>
        <w:rPr>
          <w:sz w:val="20"/>
          <w:szCs w:val="20"/>
        </w:rPr>
        <w:t>1</w:t>
      </w:r>
      <w:r>
        <w:rPr>
          <w:sz w:val="20"/>
          <w:szCs w:val="20"/>
        </w:rPr>
        <w:t>7</w:t>
      </w:r>
    </w:p>
    <w:p w14:paraId="0085A6D4" w14:textId="77777777" w:rsidR="00000000" w:rsidRDefault="00087966">
      <w:pPr>
        <w:pStyle w:val="a3"/>
        <w:spacing w:before="0" w:beforeAutospacing="0" w:after="0" w:afterAutospacing="0"/>
        <w:divId w:val="1022828791"/>
        <w:rPr>
          <w:sz w:val="20"/>
          <w:szCs w:val="20"/>
        </w:rPr>
      </w:pPr>
      <w:r>
        <w:rPr>
          <w:sz w:val="20"/>
          <w:szCs w:val="20"/>
        </w:rPr>
        <w:t> </w:t>
      </w:r>
    </w:p>
    <w:p w14:paraId="225DBAA8" w14:textId="77777777" w:rsidR="00000000" w:rsidRDefault="00087966">
      <w:pPr>
        <w:pStyle w:val="a3"/>
        <w:spacing w:before="0" w:beforeAutospacing="0" w:after="0" w:afterAutospacing="0"/>
        <w:jc w:val="both"/>
        <w:divId w:val="1595479706"/>
        <w:rPr>
          <w:sz w:val="20"/>
          <w:szCs w:val="20"/>
        </w:rPr>
      </w:pPr>
      <w:r>
        <w:rPr>
          <w:sz w:val="20"/>
          <w:szCs w:val="20"/>
        </w:rPr>
        <w:t> </w:t>
      </w:r>
    </w:p>
    <w:p w14:paraId="00CE75E2"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0B8D1C95"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w:t>
      </w:r>
      <w:r>
        <w:rPr>
          <w:b/>
          <w:bCs/>
          <w:sz w:val="20"/>
          <w:szCs w:val="20"/>
        </w:rPr>
        <w:t>ATED FINANCIAL STATEMENTS</w:t>
      </w:r>
    </w:p>
    <w:p w14:paraId="3F8E482D"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5073AAFB" w14:textId="77777777" w:rsidR="00000000" w:rsidRDefault="00087966">
      <w:pPr>
        <w:pStyle w:val="a3"/>
        <w:spacing w:before="0" w:beforeAutospacing="0" w:after="0" w:afterAutospacing="0"/>
        <w:jc w:val="both"/>
        <w:divId w:val="1595479706"/>
        <w:rPr>
          <w:sz w:val="20"/>
          <w:szCs w:val="20"/>
        </w:rPr>
      </w:pPr>
      <w:r>
        <w:rPr>
          <w:sz w:val="20"/>
          <w:szCs w:val="20"/>
        </w:rPr>
        <w:t> </w:t>
      </w:r>
    </w:p>
    <w:p w14:paraId="007347B6" w14:textId="77777777" w:rsidR="00000000" w:rsidRDefault="00087966">
      <w:pPr>
        <w:pStyle w:val="a3"/>
        <w:spacing w:before="0" w:beforeAutospacing="0" w:after="0" w:afterAutospacing="0"/>
        <w:jc w:val="both"/>
        <w:divId w:val="1595479706"/>
        <w:rPr>
          <w:sz w:val="20"/>
          <w:szCs w:val="20"/>
        </w:rPr>
      </w:pPr>
      <w:r>
        <w:rPr>
          <w:sz w:val="20"/>
          <w:szCs w:val="20"/>
        </w:rPr>
        <w:t xml:space="preserve">The Company’s securities (the “Merger Consideration”) payable to Near security holders from the Company at the effective time of the First Merger (the “First Effective Time”) will have an aggregate value equal </w:t>
      </w:r>
      <w:r>
        <w:rPr>
          <w:sz w:val="20"/>
          <w:szCs w:val="20"/>
        </w:rPr>
        <w:t>to, without duplication, (i) the Company Base Value (as defined below), (ii) minus (or plus, if negative), the Closing Net Debt, (iii) (x) plus, in the event that the Closing Net Working Capital Amount exceeds the Target Net Working Capital Amount, the dif</w:t>
      </w:r>
      <w:r>
        <w:rPr>
          <w:sz w:val="20"/>
          <w:szCs w:val="20"/>
        </w:rPr>
        <w:t xml:space="preserve">ference between the Closing Net Working Capital Amount and the Target Net Working Capital Amount, or (y) minus, in the event that the Closing Net Working Capital Amount is less than the Target Net Working Capital Amount, the difference between the Closing </w:t>
      </w:r>
      <w:r>
        <w:rPr>
          <w:sz w:val="20"/>
          <w:szCs w:val="20"/>
        </w:rPr>
        <w:t>Net Working Capital Amount and the Target Net Working Capital Amount, and (iv) minus the amount of any unpaid Company Transaction Expenses. For purposes of the Merger Agreement, “Company Base Value” was an amount equal to Six Hundred Seventy-Five Million U</w:t>
      </w:r>
      <w:r>
        <w:rPr>
          <w:sz w:val="20"/>
          <w:szCs w:val="20"/>
        </w:rPr>
        <w:t>.S. Dollars ($675,000,000) plus the amount of any Permitted Equity Financing. A “Permitted Equity Financing” is any equity financing transaction or series of equity financing transactions entered into by Near on or after the date of the Merger Agreement, b</w:t>
      </w:r>
      <w:r>
        <w:rPr>
          <w:sz w:val="20"/>
          <w:szCs w:val="20"/>
        </w:rPr>
        <w:t>y way of issuance, subscription or sale, which results in cash proceeds to Near prior to the First Effective Time in an amount not exceeding Fifty Million U.S. Dollars ($50,000,000), in exchange for shares of stock or convertible securities of Near (exclud</w:t>
      </w:r>
      <w:r>
        <w:rPr>
          <w:sz w:val="20"/>
          <w:szCs w:val="20"/>
        </w:rPr>
        <w:t>ing, for the avoidance of doubt, any instrument issued by Near in connection with the Permitted Debt contemplated under the Merger Agreement). For the purposes of the Merger Agreement, “Permitted Debt” means indebtedness incurred by any Target Company afte</w:t>
      </w:r>
      <w:r>
        <w:rPr>
          <w:sz w:val="20"/>
          <w:szCs w:val="20"/>
        </w:rPr>
        <w:t>r the date of the Merger Agreement from third parties, including third party banks or financial institutions, provided that all such Indebtedness shall not result in total Indebtedness of the Target Companies (whether incurred prior to or following the dat</w:t>
      </w:r>
      <w:r>
        <w:rPr>
          <w:sz w:val="20"/>
          <w:szCs w:val="20"/>
        </w:rPr>
        <w:t>e of the Merger Agreement) in excess of $60,000,000 at any time (which amount, for the avoidance of doubt, also shall include any Indebtedness of the Target Companies as of the date of the Merger Agreement).</w:t>
      </w:r>
    </w:p>
    <w:p w14:paraId="6192D380" w14:textId="77777777" w:rsidR="00000000" w:rsidRDefault="00087966">
      <w:pPr>
        <w:pStyle w:val="a3"/>
        <w:spacing w:before="0" w:beforeAutospacing="0" w:after="0" w:afterAutospacing="0"/>
        <w:jc w:val="both"/>
        <w:divId w:val="1595479706"/>
        <w:rPr>
          <w:sz w:val="20"/>
          <w:szCs w:val="20"/>
        </w:rPr>
      </w:pPr>
      <w:r>
        <w:rPr>
          <w:sz w:val="20"/>
          <w:szCs w:val="20"/>
        </w:rPr>
        <w:t> </w:t>
      </w:r>
    </w:p>
    <w:p w14:paraId="58C8D328" w14:textId="77777777" w:rsidR="00000000" w:rsidRDefault="00087966">
      <w:pPr>
        <w:pStyle w:val="a3"/>
        <w:spacing w:before="0" w:beforeAutospacing="0" w:after="0" w:afterAutospacing="0"/>
        <w:jc w:val="both"/>
        <w:divId w:val="1595479706"/>
        <w:rPr>
          <w:sz w:val="20"/>
          <w:szCs w:val="20"/>
        </w:rPr>
      </w:pPr>
      <w:r>
        <w:rPr>
          <w:sz w:val="20"/>
          <w:szCs w:val="20"/>
        </w:rPr>
        <w:t>The Merger Consideration to be paid to the Nea</w:t>
      </w:r>
      <w:r>
        <w:rPr>
          <w:sz w:val="20"/>
          <w:szCs w:val="20"/>
        </w:rPr>
        <w:t>r security holders will be paid solely by the delivery of new Company securities in accordance with the conversion ratio specified in the Merger Agreement. In accordance with the terms and subject to the conditions of the Merger Agreement, at the First Eff</w:t>
      </w:r>
      <w:r>
        <w:rPr>
          <w:sz w:val="20"/>
          <w:szCs w:val="20"/>
        </w:rPr>
        <w:t>ective Time (i) each share of Near’s common stock outstanding as of immediately prior to the First Effective Time will be converted into a right to receive a number of shares of the Company’s Class A common stock (“Purchaser Class A Common Stock”) (with ea</w:t>
      </w:r>
      <w:r>
        <w:rPr>
          <w:sz w:val="20"/>
          <w:szCs w:val="20"/>
        </w:rPr>
        <w:t>ch valued at $10.00 per share), (ii) each outstanding Near restricted stock unit (whether vested or unvested) will be assumed by the Company and converted into a restricted stock unit of the Company, (iii) each outstanding Near warrant that is issued and o</w:t>
      </w:r>
      <w:r>
        <w:rPr>
          <w:sz w:val="20"/>
          <w:szCs w:val="20"/>
        </w:rPr>
        <w:t>utstanding will be assumed by the Company and converted into a corresponding warrant to purchase shares of Purchaser Class A Common Stock, in accordance with the terms of such warrants, and (iv) to the extent there are any other Near convertible securities</w:t>
      </w:r>
      <w:r>
        <w:rPr>
          <w:sz w:val="20"/>
          <w:szCs w:val="20"/>
        </w:rPr>
        <w:t>, if not exercised or converted prior to the First Effective Time, such security will be cancelled, retired and terminated and cease to represent a right to acquire, be exchanged for or convert into shares of Purchaser Class A Common Stock.</w:t>
      </w:r>
    </w:p>
    <w:p w14:paraId="2B597BED" w14:textId="77777777" w:rsidR="00000000" w:rsidRDefault="00087966">
      <w:pPr>
        <w:pStyle w:val="a3"/>
        <w:spacing w:before="0" w:beforeAutospacing="0" w:after="0" w:afterAutospacing="0"/>
        <w:jc w:val="both"/>
        <w:divId w:val="1595479706"/>
        <w:rPr>
          <w:sz w:val="20"/>
          <w:szCs w:val="20"/>
        </w:rPr>
      </w:pPr>
      <w:r>
        <w:rPr>
          <w:sz w:val="20"/>
          <w:szCs w:val="20"/>
        </w:rPr>
        <w:t> </w:t>
      </w:r>
    </w:p>
    <w:p w14:paraId="22F3F722" w14:textId="77777777" w:rsidR="00000000" w:rsidRDefault="00087966">
      <w:pPr>
        <w:pStyle w:val="a3"/>
        <w:spacing w:before="0" w:beforeAutospacing="0" w:after="0" w:afterAutospacing="0"/>
        <w:jc w:val="both"/>
        <w:divId w:val="1595479706"/>
        <w:rPr>
          <w:sz w:val="20"/>
          <w:szCs w:val="20"/>
        </w:rPr>
      </w:pPr>
      <w:r>
        <w:rPr>
          <w:sz w:val="20"/>
          <w:szCs w:val="20"/>
        </w:rPr>
        <w:t xml:space="preserve">The material </w:t>
      </w:r>
      <w:r>
        <w:rPr>
          <w:sz w:val="20"/>
          <w:szCs w:val="20"/>
        </w:rPr>
        <w:t>terms and conditions of the Merger Agreement and the related ancillary agreements, including those briefly explained below, were previously disclosed in the Company’s Current Report on Form 8-K filed by the Company with the SEC on May 19, 2022.</w:t>
      </w:r>
    </w:p>
    <w:p w14:paraId="045CAA7F" w14:textId="77777777" w:rsidR="00000000" w:rsidRDefault="00087966">
      <w:pPr>
        <w:pStyle w:val="a3"/>
        <w:spacing w:before="0" w:beforeAutospacing="0" w:after="0" w:afterAutospacing="0"/>
        <w:jc w:val="both"/>
        <w:divId w:val="1595479706"/>
        <w:rPr>
          <w:sz w:val="20"/>
          <w:szCs w:val="20"/>
        </w:rPr>
      </w:pPr>
      <w:r>
        <w:rPr>
          <w:sz w:val="20"/>
          <w:szCs w:val="20"/>
        </w:rPr>
        <w:t> </w:t>
      </w:r>
    </w:p>
    <w:p w14:paraId="72058720" w14:textId="77777777" w:rsidR="00000000" w:rsidRDefault="00087966">
      <w:pPr>
        <w:pStyle w:val="a3"/>
        <w:spacing w:before="0" w:beforeAutospacing="0" w:after="0" w:afterAutospacing="0"/>
        <w:jc w:val="both"/>
        <w:divId w:val="1595479706"/>
        <w:rPr>
          <w:sz w:val="20"/>
          <w:szCs w:val="20"/>
        </w:rPr>
      </w:pPr>
      <w:r>
        <w:rPr>
          <w:sz w:val="20"/>
          <w:szCs w:val="20"/>
        </w:rPr>
        <w:t>On Novemb</w:t>
      </w:r>
      <w:r>
        <w:rPr>
          <w:sz w:val="20"/>
          <w:szCs w:val="20"/>
        </w:rPr>
        <w:t>er 3, 2022, the Company entered into an Amendment No. 1 to the Agreement and Plan of Merger, which amended certain terms and conditions, including the number of post-closing Board of Directors, Trust Account proceeds, Minimum Cash Conditions and definition</w:t>
      </w:r>
      <w:r>
        <w:rPr>
          <w:sz w:val="20"/>
          <w:szCs w:val="20"/>
        </w:rPr>
        <w:t>s of certain terms.</w:t>
      </w:r>
    </w:p>
    <w:p w14:paraId="591DD148" w14:textId="77777777" w:rsidR="00000000" w:rsidRDefault="00087966">
      <w:pPr>
        <w:pStyle w:val="a3"/>
        <w:spacing w:before="0" w:beforeAutospacing="0" w:after="0" w:afterAutospacing="0"/>
        <w:jc w:val="both"/>
        <w:divId w:val="1595479706"/>
        <w:rPr>
          <w:sz w:val="20"/>
          <w:szCs w:val="20"/>
        </w:rPr>
      </w:pPr>
      <w:r>
        <w:rPr>
          <w:sz w:val="20"/>
          <w:szCs w:val="20"/>
        </w:rPr>
        <w:t> </w:t>
      </w:r>
    </w:p>
    <w:p w14:paraId="67F29E55" w14:textId="77777777" w:rsidR="00000000" w:rsidRDefault="00087966">
      <w:pPr>
        <w:pStyle w:val="a3"/>
        <w:spacing w:before="0" w:beforeAutospacing="0" w:after="0" w:afterAutospacing="0"/>
        <w:jc w:val="both"/>
        <w:divId w:val="1595479706"/>
        <w:rPr>
          <w:sz w:val="20"/>
          <w:szCs w:val="20"/>
        </w:rPr>
      </w:pPr>
      <w:r>
        <w:rPr>
          <w:sz w:val="20"/>
          <w:szCs w:val="20"/>
        </w:rPr>
        <w:t>On December 23, 2022, the Company and Near entered into Amendment No. 2 to the Agreement and Plan of Merger revising the implied equity value for the company stockholders of approximately $675 million to approximately $575 million.</w:t>
      </w:r>
    </w:p>
    <w:p w14:paraId="61B10149" w14:textId="77777777" w:rsidR="00000000" w:rsidRDefault="00087966">
      <w:pPr>
        <w:pStyle w:val="a3"/>
        <w:spacing w:before="0" w:beforeAutospacing="0" w:after="0" w:afterAutospacing="0"/>
        <w:jc w:val="both"/>
        <w:divId w:val="1595479706"/>
        <w:rPr>
          <w:sz w:val="20"/>
          <w:szCs w:val="20"/>
        </w:rPr>
      </w:pPr>
      <w:r>
        <w:rPr>
          <w:sz w:val="20"/>
          <w:szCs w:val="20"/>
        </w:rPr>
        <w:t> </w:t>
      </w:r>
    </w:p>
    <w:p w14:paraId="5E8B48A0" w14:textId="77777777" w:rsidR="00000000" w:rsidRDefault="00087966">
      <w:pPr>
        <w:pStyle w:val="a3"/>
        <w:spacing w:before="0" w:beforeAutospacing="0" w:after="0" w:afterAutospacing="0"/>
        <w:jc w:val="both"/>
        <w:divId w:val="1595479706"/>
        <w:rPr>
          <w:sz w:val="20"/>
          <w:szCs w:val="20"/>
        </w:rPr>
      </w:pPr>
      <w:r>
        <w:rPr>
          <w:b/>
          <w:bCs/>
          <w:i/>
          <w:iCs/>
          <w:sz w:val="20"/>
          <w:szCs w:val="20"/>
        </w:rPr>
        <w:t>Common Stock Subscription Agreement</w:t>
      </w:r>
    </w:p>
    <w:p w14:paraId="206E0CAD"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38E90790" w14:textId="77777777" w:rsidR="00000000" w:rsidRDefault="00087966">
      <w:pPr>
        <w:pStyle w:val="a3"/>
        <w:spacing w:before="0" w:beforeAutospacing="0" w:after="0" w:afterAutospacing="0"/>
        <w:jc w:val="both"/>
        <w:divId w:val="1595479706"/>
        <w:rPr>
          <w:sz w:val="20"/>
          <w:szCs w:val="20"/>
        </w:rPr>
      </w:pPr>
      <w:r>
        <w:rPr>
          <w:sz w:val="20"/>
          <w:szCs w:val="20"/>
        </w:rPr>
        <w:t xml:space="preserve">Simultaneously with the execution and delivery </w:t>
      </w:r>
      <w:r>
        <w:rPr>
          <w:sz w:val="20"/>
          <w:szCs w:val="20"/>
        </w:rPr>
        <w:t>of the Merger Agreement, the Company entered into a common stock purchase agreement (the “Common Stock Purchase Agreement”) and related registration rights agreement (the “CF Registration Rights Agreement”) with CF Principal Investments LLC (“CF”). Pursuan</w:t>
      </w:r>
      <w:r>
        <w:rPr>
          <w:sz w:val="20"/>
          <w:szCs w:val="20"/>
        </w:rPr>
        <w:t>t to the Common Stock Purchase Agreement, following the Closing, Near, as the Company’s successor, has the right to sell to CF up to a Total Commitment (as defined in the Common Stock Purchase Agreement) of $100,000,000 in shares of Near’s Common Stock, su</w:t>
      </w:r>
      <w:r>
        <w:rPr>
          <w:sz w:val="20"/>
          <w:szCs w:val="20"/>
        </w:rPr>
        <w:t>bject to certain limitations and conditions set forth in the Common Stock Purchase Agreement. Near is obligated under the Common Stock Purchase Agreement and the CF Registration Rights Agreement to file a registration statement with the SEC to register und</w:t>
      </w:r>
      <w:r>
        <w:rPr>
          <w:sz w:val="20"/>
          <w:szCs w:val="20"/>
        </w:rPr>
        <w:t>er the Securities Act for the resale by CF of shares of Common Stock that Near may issue to CF under the Common Stock Purchase Agreement.</w:t>
      </w:r>
    </w:p>
    <w:p w14:paraId="5ED3FA6C" w14:textId="77777777" w:rsidR="00000000" w:rsidRDefault="00087966">
      <w:pPr>
        <w:pStyle w:val="a3"/>
        <w:spacing w:before="0" w:beforeAutospacing="0" w:after="0" w:afterAutospacing="0"/>
        <w:jc w:val="both"/>
        <w:divId w:val="1595479706"/>
        <w:rPr>
          <w:sz w:val="20"/>
          <w:szCs w:val="20"/>
        </w:rPr>
      </w:pPr>
      <w:r>
        <w:rPr>
          <w:sz w:val="20"/>
          <w:szCs w:val="20"/>
        </w:rPr>
        <w:t> </w:t>
      </w:r>
    </w:p>
    <w:p w14:paraId="053AFCA5" w14:textId="77777777" w:rsidR="00000000" w:rsidRDefault="00087966">
      <w:pPr>
        <w:pStyle w:val="a3"/>
        <w:spacing w:before="0" w:beforeAutospacing="0" w:after="0" w:afterAutospacing="0"/>
        <w:jc w:val="center"/>
        <w:divId w:val="995648679"/>
        <w:rPr>
          <w:sz w:val="20"/>
          <w:szCs w:val="20"/>
        </w:rPr>
      </w:pPr>
      <w:r>
        <w:rPr>
          <w:sz w:val="20"/>
          <w:szCs w:val="20"/>
        </w:rPr>
        <w:t>F</w:t>
      </w:r>
      <w:r>
        <w:rPr>
          <w:sz w:val="20"/>
          <w:szCs w:val="20"/>
        </w:rPr>
        <w:t>-</w:t>
      </w:r>
      <w:r>
        <w:rPr>
          <w:sz w:val="20"/>
          <w:szCs w:val="20"/>
        </w:rPr>
        <w:t>1</w:t>
      </w:r>
      <w:r>
        <w:rPr>
          <w:sz w:val="20"/>
          <w:szCs w:val="20"/>
        </w:rPr>
        <w:t>8</w:t>
      </w:r>
    </w:p>
    <w:p w14:paraId="42FAFFA3" w14:textId="77777777" w:rsidR="00000000" w:rsidRDefault="00087966">
      <w:pPr>
        <w:pStyle w:val="a3"/>
        <w:spacing w:before="0" w:beforeAutospacing="0" w:after="0" w:afterAutospacing="0"/>
        <w:divId w:val="33821148"/>
        <w:rPr>
          <w:sz w:val="20"/>
          <w:szCs w:val="20"/>
        </w:rPr>
      </w:pPr>
      <w:r>
        <w:rPr>
          <w:sz w:val="20"/>
          <w:szCs w:val="20"/>
        </w:rPr>
        <w:t> </w:t>
      </w:r>
    </w:p>
    <w:p w14:paraId="322DE4CF" w14:textId="77777777" w:rsidR="00000000" w:rsidRDefault="00087966">
      <w:pPr>
        <w:pStyle w:val="a3"/>
        <w:spacing w:before="0" w:beforeAutospacing="0" w:after="0" w:afterAutospacing="0"/>
        <w:jc w:val="both"/>
        <w:divId w:val="1595479706"/>
        <w:rPr>
          <w:sz w:val="20"/>
          <w:szCs w:val="20"/>
        </w:rPr>
      </w:pPr>
      <w:r>
        <w:rPr>
          <w:sz w:val="20"/>
          <w:szCs w:val="20"/>
        </w:rPr>
        <w:t> </w:t>
      </w:r>
    </w:p>
    <w:p w14:paraId="25AFB5D0"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60DEB385"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5A99CFAE"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59C1224C" w14:textId="77777777" w:rsidR="00000000" w:rsidRDefault="00087966">
      <w:pPr>
        <w:pStyle w:val="a3"/>
        <w:spacing w:before="0" w:beforeAutospacing="0" w:after="0" w:afterAutospacing="0"/>
        <w:jc w:val="both"/>
        <w:divId w:val="1595479706"/>
        <w:rPr>
          <w:sz w:val="20"/>
          <w:szCs w:val="20"/>
        </w:rPr>
      </w:pPr>
      <w:r>
        <w:rPr>
          <w:sz w:val="20"/>
          <w:szCs w:val="20"/>
        </w:rPr>
        <w:t> </w:t>
      </w:r>
    </w:p>
    <w:p w14:paraId="614DA083" w14:textId="77777777" w:rsidR="00000000" w:rsidRDefault="00087966">
      <w:pPr>
        <w:pStyle w:val="a3"/>
        <w:spacing w:before="0" w:beforeAutospacing="0" w:after="0" w:afterAutospacing="0"/>
        <w:jc w:val="both"/>
        <w:divId w:val="1595479706"/>
        <w:rPr>
          <w:sz w:val="20"/>
          <w:szCs w:val="20"/>
        </w:rPr>
      </w:pPr>
      <w:r>
        <w:rPr>
          <w:sz w:val="20"/>
          <w:szCs w:val="20"/>
        </w:rPr>
        <w:t>Near will no</w:t>
      </w:r>
      <w:r>
        <w:rPr>
          <w:sz w:val="20"/>
          <w:szCs w:val="20"/>
        </w:rPr>
        <w:t xml:space="preserve">t have the right to commence any sales of Common Stock to CF under the Common Stock Purchase Agreement until the Commencement (as defined in the Common Stock Purchase Agreement), which is the time when all of the conditions to the Near’s right to commence </w:t>
      </w:r>
      <w:r>
        <w:rPr>
          <w:sz w:val="20"/>
          <w:szCs w:val="20"/>
        </w:rPr>
        <w:t>sales of Common Stock to CF set forth in the Common Stock Purchase Agreement have been satisfied, including that a registration statement relating to the Common Stock is filed and declared effective by the SEC.</w:t>
      </w:r>
    </w:p>
    <w:p w14:paraId="7A13B8CC" w14:textId="77777777" w:rsidR="00000000" w:rsidRDefault="00087966">
      <w:pPr>
        <w:pStyle w:val="a3"/>
        <w:spacing w:before="0" w:beforeAutospacing="0" w:after="0" w:afterAutospacing="0"/>
        <w:jc w:val="both"/>
        <w:divId w:val="1595479706"/>
        <w:rPr>
          <w:sz w:val="20"/>
          <w:szCs w:val="20"/>
        </w:rPr>
      </w:pPr>
      <w:r>
        <w:rPr>
          <w:sz w:val="20"/>
          <w:szCs w:val="20"/>
        </w:rPr>
        <w:t> </w:t>
      </w:r>
    </w:p>
    <w:p w14:paraId="61A569EF" w14:textId="77777777" w:rsidR="00000000" w:rsidRDefault="00087966">
      <w:pPr>
        <w:pStyle w:val="a3"/>
        <w:spacing w:before="0" w:beforeAutospacing="0" w:after="0" w:afterAutospacing="0"/>
        <w:jc w:val="both"/>
        <w:divId w:val="1595479706"/>
        <w:rPr>
          <w:sz w:val="20"/>
          <w:szCs w:val="20"/>
        </w:rPr>
      </w:pPr>
      <w:r>
        <w:rPr>
          <w:sz w:val="20"/>
          <w:szCs w:val="20"/>
        </w:rPr>
        <w:t xml:space="preserve">After the Commencement, Near will have the </w:t>
      </w:r>
      <w:r>
        <w:rPr>
          <w:sz w:val="20"/>
          <w:szCs w:val="20"/>
        </w:rPr>
        <w:t>right, from time to time at its sole discretion until the first day of the month next following the 36-month period from and after the Commencement, to direct CF to purchase up to a specified maximum amount of shares of Common Stock as set forth in the Com</w:t>
      </w:r>
      <w:r>
        <w:rPr>
          <w:sz w:val="20"/>
          <w:szCs w:val="20"/>
        </w:rPr>
        <w:t>mon Stock Purchase Agreement. Near will control the timing and amount of any sales of the Common Stock to CF. Actual sales of shares of the Common Stock to CF under the Common Stock Purchase Agreement will depend on a variety of factors to be determined by</w:t>
      </w:r>
      <w:r>
        <w:rPr>
          <w:sz w:val="20"/>
          <w:szCs w:val="20"/>
        </w:rPr>
        <w:t xml:space="preserve"> Near from time to time, including, among other things, market conditions, and the trading price of the Common Stock.</w:t>
      </w:r>
    </w:p>
    <w:p w14:paraId="21DDF188" w14:textId="77777777" w:rsidR="00000000" w:rsidRDefault="00087966">
      <w:pPr>
        <w:pStyle w:val="a3"/>
        <w:spacing w:before="0" w:beforeAutospacing="0" w:after="0" w:afterAutospacing="0"/>
        <w:jc w:val="both"/>
        <w:divId w:val="1595479706"/>
        <w:rPr>
          <w:sz w:val="20"/>
          <w:szCs w:val="20"/>
        </w:rPr>
      </w:pPr>
      <w:r>
        <w:rPr>
          <w:sz w:val="20"/>
          <w:szCs w:val="20"/>
        </w:rPr>
        <w:t> </w:t>
      </w:r>
    </w:p>
    <w:p w14:paraId="5A87C3F9" w14:textId="77777777" w:rsidR="00000000" w:rsidRDefault="00087966">
      <w:pPr>
        <w:pStyle w:val="a3"/>
        <w:spacing w:before="0" w:beforeAutospacing="0" w:after="0" w:afterAutospacing="0"/>
        <w:jc w:val="both"/>
        <w:divId w:val="1595479706"/>
        <w:rPr>
          <w:sz w:val="20"/>
          <w:szCs w:val="20"/>
        </w:rPr>
      </w:pPr>
      <w:r>
        <w:rPr>
          <w:sz w:val="20"/>
          <w:szCs w:val="20"/>
        </w:rPr>
        <w:t xml:space="preserve">The purchase price of the shares of Common Stock that Near elects to sell to CF pursuant to the Common Stock Purchase Agreement will be </w:t>
      </w:r>
      <w:r>
        <w:rPr>
          <w:sz w:val="20"/>
          <w:szCs w:val="20"/>
        </w:rPr>
        <w:t>the volume weighted average price of the Common Stock during the applicable purchase date on which Near has timely delivered written notice to CF directing it to purchase the shares of Common Stock under the Common Stock Purchase Agreement. Near will recei</w:t>
      </w:r>
      <w:r>
        <w:rPr>
          <w:sz w:val="20"/>
          <w:szCs w:val="20"/>
        </w:rPr>
        <w:t>ve 98% of the volume weighted average price of the Common Stock so sold.</w:t>
      </w:r>
    </w:p>
    <w:p w14:paraId="257611EF" w14:textId="77777777" w:rsidR="00000000" w:rsidRDefault="00087966">
      <w:pPr>
        <w:pStyle w:val="a3"/>
        <w:spacing w:before="0" w:beforeAutospacing="0" w:after="0" w:afterAutospacing="0"/>
        <w:jc w:val="both"/>
        <w:divId w:val="1595479706"/>
        <w:rPr>
          <w:sz w:val="20"/>
          <w:szCs w:val="20"/>
        </w:rPr>
      </w:pPr>
      <w:r>
        <w:rPr>
          <w:sz w:val="20"/>
          <w:szCs w:val="20"/>
        </w:rPr>
        <w:t> </w:t>
      </w:r>
    </w:p>
    <w:p w14:paraId="3D9AB592" w14:textId="77777777" w:rsidR="00000000" w:rsidRDefault="00087966">
      <w:pPr>
        <w:pStyle w:val="a3"/>
        <w:spacing w:before="0" w:beforeAutospacing="0" w:after="0" w:afterAutospacing="0"/>
        <w:jc w:val="both"/>
        <w:divId w:val="1595479706"/>
        <w:rPr>
          <w:sz w:val="20"/>
          <w:szCs w:val="20"/>
        </w:rPr>
      </w:pPr>
      <w:r>
        <w:rPr>
          <w:sz w:val="20"/>
          <w:szCs w:val="20"/>
        </w:rPr>
        <w:t xml:space="preserve">In connection with the execution of the Common Stock Purchase Agreement, Near will issue to CF shares of Common Stock in an amount equal to $2,000,000 at a per share price based on </w:t>
      </w:r>
      <w:r>
        <w:rPr>
          <w:sz w:val="20"/>
          <w:szCs w:val="20"/>
        </w:rPr>
        <w:t>the price of Near’s Common Stock on the Commencement Date, as consideration for CF’s irrevocable commitment to purchase the shares of Common Stock upon the terms and subject to the satisfaction of the conditions set forth in the Common Stock Purchase Agree</w:t>
      </w:r>
      <w:r>
        <w:rPr>
          <w:sz w:val="20"/>
          <w:szCs w:val="20"/>
        </w:rPr>
        <w:t>ment.</w:t>
      </w:r>
    </w:p>
    <w:p w14:paraId="73348145" w14:textId="77777777" w:rsidR="00000000" w:rsidRDefault="00087966">
      <w:pPr>
        <w:pStyle w:val="a3"/>
        <w:spacing w:before="0" w:beforeAutospacing="0" w:after="0" w:afterAutospacing="0"/>
        <w:jc w:val="both"/>
        <w:divId w:val="1595479706"/>
        <w:rPr>
          <w:sz w:val="20"/>
          <w:szCs w:val="20"/>
        </w:rPr>
      </w:pPr>
      <w:r>
        <w:rPr>
          <w:sz w:val="20"/>
          <w:szCs w:val="20"/>
        </w:rPr>
        <w:t> </w:t>
      </w:r>
    </w:p>
    <w:p w14:paraId="40502F19" w14:textId="77777777" w:rsidR="00000000" w:rsidRDefault="00087966">
      <w:pPr>
        <w:pStyle w:val="a3"/>
        <w:spacing w:before="0" w:beforeAutospacing="0" w:after="0" w:afterAutospacing="0"/>
        <w:jc w:val="both"/>
        <w:divId w:val="1595479706"/>
        <w:rPr>
          <w:sz w:val="20"/>
          <w:szCs w:val="20"/>
        </w:rPr>
      </w:pPr>
      <w:r>
        <w:rPr>
          <w:b/>
          <w:bCs/>
          <w:i/>
          <w:iCs/>
          <w:sz w:val="20"/>
          <w:szCs w:val="20"/>
        </w:rPr>
        <w:t>Registration Statement on Form S-4</w:t>
      </w:r>
    </w:p>
    <w:p w14:paraId="5F2BB5CF"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2AEABD56" w14:textId="77777777" w:rsidR="00000000" w:rsidRDefault="00087966">
      <w:pPr>
        <w:pStyle w:val="a3"/>
        <w:spacing w:before="0" w:beforeAutospacing="0" w:after="0" w:afterAutospacing="0"/>
        <w:jc w:val="both"/>
        <w:divId w:val="1595479706"/>
        <w:rPr>
          <w:sz w:val="20"/>
          <w:szCs w:val="20"/>
        </w:rPr>
      </w:pPr>
      <w:r>
        <w:rPr>
          <w:sz w:val="20"/>
          <w:szCs w:val="20"/>
        </w:rPr>
        <w:t xml:space="preserve">The Company initially filed a Registration Statement on Form S-4, as amended, with the SEC on July 1, 2022 along with subsequent amendments on September 9, 2022, October 19, 2022, November 10, 2022, December 1, </w:t>
      </w:r>
      <w:r>
        <w:rPr>
          <w:sz w:val="20"/>
          <w:szCs w:val="20"/>
        </w:rPr>
        <w:t>2022, December 28, 2022, January 17, 2023, January 26, 2023 and February 3, 2023, in connection with the registration under the Securities Act of the shares of the Company’s Class A common stock to be issued under the Merger Agreement as the Merger Conside</w:t>
      </w:r>
      <w:r>
        <w:rPr>
          <w:sz w:val="20"/>
          <w:szCs w:val="20"/>
        </w:rPr>
        <w:t>ration. This Registration Statement was declared effective by the SEC on February 13, 2023.</w:t>
      </w:r>
    </w:p>
    <w:p w14:paraId="0A6E5EBE" w14:textId="77777777" w:rsidR="00000000" w:rsidRDefault="00087966">
      <w:pPr>
        <w:pStyle w:val="a3"/>
        <w:spacing w:before="0" w:beforeAutospacing="0" w:after="0" w:afterAutospacing="0"/>
        <w:jc w:val="both"/>
        <w:divId w:val="1595479706"/>
        <w:rPr>
          <w:sz w:val="20"/>
          <w:szCs w:val="20"/>
        </w:rPr>
      </w:pPr>
      <w:r>
        <w:rPr>
          <w:sz w:val="20"/>
          <w:szCs w:val="20"/>
        </w:rPr>
        <w:t> </w:t>
      </w:r>
    </w:p>
    <w:p w14:paraId="473551F9" w14:textId="77777777" w:rsidR="00000000" w:rsidRDefault="00087966">
      <w:pPr>
        <w:pStyle w:val="a3"/>
        <w:spacing w:before="0" w:beforeAutospacing="0" w:after="0" w:afterAutospacing="0"/>
        <w:jc w:val="both"/>
        <w:divId w:val="1595479706"/>
        <w:rPr>
          <w:sz w:val="20"/>
          <w:szCs w:val="20"/>
        </w:rPr>
      </w:pPr>
      <w:r>
        <w:rPr>
          <w:b/>
          <w:bCs/>
          <w:sz w:val="20"/>
          <w:szCs w:val="20"/>
        </w:rPr>
        <w:t>NOTE 7</w:t>
      </w:r>
      <w:r>
        <w:rPr>
          <w:b/>
          <w:bCs/>
          <w:sz w:val="20"/>
          <w:szCs w:val="20"/>
        </w:rPr>
        <w:t> </w:t>
      </w:r>
      <w:r>
        <w:rPr>
          <w:b/>
          <w:bCs/>
          <w:sz w:val="20"/>
          <w:szCs w:val="20"/>
        </w:rPr>
        <w:t>—</w:t>
      </w:r>
      <w:r>
        <w:rPr>
          <w:b/>
          <w:bCs/>
          <w:sz w:val="20"/>
          <w:szCs w:val="20"/>
        </w:rPr>
        <w:t> </w:t>
      </w:r>
      <w:r>
        <w:rPr>
          <w:b/>
          <w:bCs/>
          <w:sz w:val="20"/>
          <w:szCs w:val="20"/>
        </w:rPr>
        <w:t>STOCKHOLDERS’ DEFICIT</w:t>
      </w:r>
    </w:p>
    <w:p w14:paraId="6396AB13" w14:textId="77777777" w:rsidR="00000000" w:rsidRDefault="00087966">
      <w:pPr>
        <w:pStyle w:val="a3"/>
        <w:spacing w:before="0" w:beforeAutospacing="0" w:after="0" w:afterAutospacing="0"/>
        <w:divId w:val="1595479706"/>
        <w:rPr>
          <w:sz w:val="20"/>
          <w:szCs w:val="20"/>
        </w:rPr>
      </w:pPr>
      <w:r>
        <w:rPr>
          <w:sz w:val="20"/>
          <w:szCs w:val="20"/>
        </w:rPr>
        <w:t> </w:t>
      </w:r>
    </w:p>
    <w:p w14:paraId="262DEE24" w14:textId="77777777" w:rsidR="00000000" w:rsidRDefault="00087966">
      <w:pPr>
        <w:pStyle w:val="a3"/>
        <w:spacing w:before="0" w:beforeAutospacing="0" w:after="0" w:afterAutospacing="0"/>
        <w:jc w:val="both"/>
        <w:divId w:val="1595479706"/>
        <w:rPr>
          <w:sz w:val="20"/>
          <w:szCs w:val="20"/>
        </w:rPr>
      </w:pPr>
      <w:r>
        <w:rPr>
          <w:b/>
          <w:bCs/>
          <w:i/>
          <w:iCs/>
          <w:sz w:val="20"/>
          <w:szCs w:val="20"/>
        </w:rPr>
        <w:t>Preferred Stock</w:t>
      </w:r>
      <w:r>
        <w:rPr>
          <w:sz w:val="20"/>
          <w:szCs w:val="20"/>
        </w:rPr>
        <w:t> — The Company is authorized to issue up to 1,000,000 shares of preferred stock with a par value of $0.0001 per sh</w:t>
      </w:r>
      <w:r>
        <w:rPr>
          <w:sz w:val="20"/>
          <w:szCs w:val="20"/>
        </w:rPr>
        <w:t>are with such designation, rights and preferences as may be determined from time to time by the Company’s board of directors. As of December 31, 2022 and 2021, there were</w:t>
      </w:r>
      <w:r>
        <w:rPr>
          <w:sz w:val="20"/>
          <w:szCs w:val="20"/>
        </w:rPr>
        <w:t xml:space="preserve"> </w:t>
      </w:r>
      <w:r>
        <w:rPr>
          <w:sz w:val="20"/>
          <w:szCs w:val="20"/>
        </w:rPr>
        <w:t>n</w:t>
      </w:r>
      <w:r>
        <w:rPr>
          <w:sz w:val="20"/>
          <w:szCs w:val="20"/>
        </w:rPr>
        <w:t>o</w:t>
      </w:r>
      <w:r>
        <w:rPr>
          <w:sz w:val="20"/>
          <w:szCs w:val="20"/>
        </w:rPr>
        <w:t xml:space="preserve"> shares of preferred stock issued or outstanding.</w:t>
      </w:r>
    </w:p>
    <w:p w14:paraId="4B15A6AE" w14:textId="77777777" w:rsidR="00000000" w:rsidRDefault="00087966">
      <w:pPr>
        <w:pStyle w:val="a3"/>
        <w:spacing w:before="0" w:beforeAutospacing="0" w:after="0" w:afterAutospacing="0"/>
        <w:jc w:val="both"/>
        <w:divId w:val="1595479706"/>
        <w:rPr>
          <w:sz w:val="20"/>
          <w:szCs w:val="20"/>
        </w:rPr>
      </w:pPr>
      <w:r>
        <w:rPr>
          <w:sz w:val="20"/>
          <w:szCs w:val="20"/>
        </w:rPr>
        <w:t> </w:t>
      </w:r>
    </w:p>
    <w:p w14:paraId="18A8459E" w14:textId="77777777" w:rsidR="00000000" w:rsidRDefault="00087966">
      <w:pPr>
        <w:pStyle w:val="a3"/>
        <w:spacing w:before="0" w:beforeAutospacing="0" w:after="0" w:afterAutospacing="0"/>
        <w:jc w:val="both"/>
        <w:divId w:val="1595479706"/>
        <w:rPr>
          <w:sz w:val="20"/>
          <w:szCs w:val="20"/>
        </w:rPr>
      </w:pPr>
      <w:r>
        <w:rPr>
          <w:b/>
          <w:bCs/>
          <w:i/>
          <w:iCs/>
          <w:sz w:val="20"/>
          <w:szCs w:val="20"/>
        </w:rPr>
        <w:t>Class </w:t>
      </w:r>
      <w:r>
        <w:rPr>
          <w:b/>
          <w:bCs/>
          <w:i/>
          <w:iCs/>
          <w:sz w:val="20"/>
          <w:szCs w:val="20"/>
        </w:rPr>
        <w:t>A Common Stock</w:t>
      </w:r>
      <w:r>
        <w:rPr>
          <w:sz w:val="20"/>
          <w:szCs w:val="20"/>
        </w:rPr>
        <w:t> — The Company is authorized to issue up to 280,000,000 shares of Class A common stock with a par value of $0.0001 per share. Holders of Class A common stock are entitled to one vote for each share. At December 31, 2022 and 2021, there were 1</w:t>
      </w:r>
      <w:r>
        <w:rPr>
          <w:sz w:val="20"/>
          <w:szCs w:val="20"/>
        </w:rPr>
        <w:t>0,404,394 and 17,250,000 shares of Class A common stock issued and outstanding, respectively, all of which are subject to possible redemption and presented as temporary equity.</w:t>
      </w:r>
    </w:p>
    <w:p w14:paraId="0A83812A"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71FED5A9" w14:textId="77777777" w:rsidR="00000000" w:rsidRDefault="00087966">
      <w:pPr>
        <w:pStyle w:val="a3"/>
        <w:spacing w:before="0" w:beforeAutospacing="0" w:after="0" w:afterAutospacing="0"/>
        <w:jc w:val="both"/>
        <w:divId w:val="1595479706"/>
        <w:rPr>
          <w:sz w:val="20"/>
          <w:szCs w:val="20"/>
        </w:rPr>
      </w:pPr>
      <w:r>
        <w:rPr>
          <w:b/>
          <w:bCs/>
          <w:i/>
          <w:iCs/>
          <w:sz w:val="20"/>
          <w:szCs w:val="20"/>
        </w:rPr>
        <w:t xml:space="preserve">Class B Common Stock — </w:t>
      </w:r>
      <w:r>
        <w:rPr>
          <w:sz w:val="20"/>
          <w:szCs w:val="20"/>
        </w:rPr>
        <w:t>The Company is authorized to issue up to 20,000,000 sh</w:t>
      </w:r>
      <w:r>
        <w:rPr>
          <w:sz w:val="20"/>
          <w:szCs w:val="20"/>
        </w:rPr>
        <w:t>ares of Class B common stock with a par value of $0.0001 per share. Holders of the Company’s Class B common stock are entitled to one vote for each share. At both December 31, 2022 and 2021, there were 4,312,500 shares of Class B common stock issued and ou</w:t>
      </w:r>
      <w:r>
        <w:rPr>
          <w:sz w:val="20"/>
          <w:szCs w:val="20"/>
        </w:rPr>
        <w:t>tstanding.</w:t>
      </w:r>
    </w:p>
    <w:p w14:paraId="5857B771" w14:textId="77777777" w:rsidR="00000000" w:rsidRDefault="00087966">
      <w:pPr>
        <w:pStyle w:val="a3"/>
        <w:spacing w:before="0" w:beforeAutospacing="0" w:after="0" w:afterAutospacing="0"/>
        <w:jc w:val="both"/>
        <w:divId w:val="1595479706"/>
        <w:rPr>
          <w:sz w:val="20"/>
          <w:szCs w:val="20"/>
        </w:rPr>
      </w:pPr>
      <w:r>
        <w:rPr>
          <w:sz w:val="20"/>
          <w:szCs w:val="20"/>
        </w:rPr>
        <w:t> </w:t>
      </w:r>
    </w:p>
    <w:p w14:paraId="38255E6A" w14:textId="77777777" w:rsidR="00000000" w:rsidRDefault="00087966">
      <w:pPr>
        <w:pStyle w:val="a3"/>
        <w:spacing w:before="0" w:beforeAutospacing="0" w:after="0" w:afterAutospacing="0"/>
        <w:jc w:val="both"/>
        <w:divId w:val="1595479706"/>
        <w:rPr>
          <w:sz w:val="20"/>
          <w:szCs w:val="20"/>
        </w:rPr>
      </w:pPr>
      <w:r>
        <w:rPr>
          <w:sz w:val="20"/>
          <w:szCs w:val="20"/>
        </w:rPr>
        <w:t>Holders of Class A common stock and Class B common stock will vote together as a single class on all other matters submitted to a vote of stockholders, except as required by law.</w:t>
      </w:r>
    </w:p>
    <w:p w14:paraId="0CA3E5B9" w14:textId="77777777" w:rsidR="00000000" w:rsidRDefault="00087966">
      <w:pPr>
        <w:pStyle w:val="a3"/>
        <w:spacing w:before="0" w:beforeAutospacing="0" w:after="0" w:afterAutospacing="0"/>
        <w:divId w:val="1595479706"/>
        <w:rPr>
          <w:sz w:val="20"/>
          <w:szCs w:val="20"/>
        </w:rPr>
      </w:pPr>
      <w:r>
        <w:rPr>
          <w:sz w:val="20"/>
          <w:szCs w:val="20"/>
        </w:rPr>
        <w:t> </w:t>
      </w:r>
    </w:p>
    <w:p w14:paraId="06B09C30" w14:textId="77777777" w:rsidR="00000000" w:rsidRDefault="00087966">
      <w:pPr>
        <w:pStyle w:val="a3"/>
        <w:spacing w:before="0" w:beforeAutospacing="0" w:after="0" w:afterAutospacing="0"/>
        <w:jc w:val="center"/>
        <w:divId w:val="1130510515"/>
        <w:rPr>
          <w:sz w:val="20"/>
          <w:szCs w:val="20"/>
        </w:rPr>
      </w:pPr>
      <w:r>
        <w:rPr>
          <w:sz w:val="20"/>
          <w:szCs w:val="20"/>
        </w:rPr>
        <w:t>F</w:t>
      </w:r>
      <w:r>
        <w:rPr>
          <w:sz w:val="20"/>
          <w:szCs w:val="20"/>
        </w:rPr>
        <w:t>-</w:t>
      </w:r>
      <w:r>
        <w:rPr>
          <w:sz w:val="20"/>
          <w:szCs w:val="20"/>
        </w:rPr>
        <w:t>1</w:t>
      </w:r>
      <w:r>
        <w:rPr>
          <w:sz w:val="20"/>
          <w:szCs w:val="20"/>
        </w:rPr>
        <w:t>9</w:t>
      </w:r>
    </w:p>
    <w:p w14:paraId="406496D5" w14:textId="77777777" w:rsidR="00000000" w:rsidRDefault="00087966">
      <w:pPr>
        <w:pStyle w:val="a3"/>
        <w:spacing w:before="0" w:beforeAutospacing="0" w:after="0" w:afterAutospacing="0"/>
        <w:divId w:val="1254129023"/>
        <w:rPr>
          <w:sz w:val="20"/>
          <w:szCs w:val="20"/>
        </w:rPr>
      </w:pPr>
      <w:r>
        <w:rPr>
          <w:sz w:val="20"/>
          <w:szCs w:val="20"/>
        </w:rPr>
        <w:t> </w:t>
      </w:r>
    </w:p>
    <w:p w14:paraId="6DFB4876" w14:textId="77777777" w:rsidR="00000000" w:rsidRDefault="00087966">
      <w:pPr>
        <w:pStyle w:val="a3"/>
        <w:spacing w:before="0" w:beforeAutospacing="0" w:after="0" w:afterAutospacing="0"/>
        <w:divId w:val="1595479706"/>
        <w:rPr>
          <w:sz w:val="20"/>
          <w:szCs w:val="20"/>
        </w:rPr>
      </w:pPr>
      <w:r>
        <w:rPr>
          <w:sz w:val="20"/>
          <w:szCs w:val="20"/>
        </w:rPr>
        <w:t> </w:t>
      </w:r>
    </w:p>
    <w:p w14:paraId="5C17C3F6"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16C5A031"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w:t>
      </w:r>
      <w:r>
        <w:rPr>
          <w:b/>
          <w:bCs/>
          <w:sz w:val="20"/>
          <w:szCs w:val="20"/>
        </w:rPr>
        <w:t xml:space="preserve"> FINANCIAL STATEMENTS</w:t>
      </w:r>
    </w:p>
    <w:p w14:paraId="369F39E3"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157C9B40" w14:textId="77777777" w:rsidR="00000000" w:rsidRDefault="00087966">
      <w:pPr>
        <w:pStyle w:val="a3"/>
        <w:spacing w:before="0" w:beforeAutospacing="0" w:after="0" w:afterAutospacing="0"/>
        <w:divId w:val="1595479706"/>
        <w:rPr>
          <w:sz w:val="20"/>
          <w:szCs w:val="20"/>
        </w:rPr>
      </w:pPr>
      <w:r>
        <w:rPr>
          <w:sz w:val="20"/>
          <w:szCs w:val="20"/>
        </w:rPr>
        <w:t> </w:t>
      </w:r>
    </w:p>
    <w:p w14:paraId="685C9B4C" w14:textId="77777777" w:rsidR="00000000" w:rsidRDefault="00087966">
      <w:pPr>
        <w:pStyle w:val="a3"/>
        <w:spacing w:before="0" w:beforeAutospacing="0" w:after="0" w:afterAutospacing="0"/>
        <w:jc w:val="both"/>
        <w:divId w:val="1595479706"/>
        <w:rPr>
          <w:sz w:val="20"/>
          <w:szCs w:val="20"/>
        </w:rPr>
      </w:pPr>
      <w:r>
        <w:rPr>
          <w:sz w:val="20"/>
          <w:szCs w:val="20"/>
        </w:rPr>
        <w:t>The shares of Class B common stock will automatically convert into shares of Class A common stock at the time of a Business Combination on a one-for-one basis (subject to adjustment). In the case that additional sh</w:t>
      </w:r>
      <w:r>
        <w:rPr>
          <w:sz w:val="20"/>
          <w:szCs w:val="20"/>
        </w:rPr>
        <w:t xml:space="preserve">ares of Class A common stock or equity-linked securities are issued or deemed issued in connection with a Business Combination, the number of shares of Class A common stock issuable upon conversion of all Founder Shares will equal, in the aggregate, on an </w:t>
      </w:r>
      <w:r>
        <w:rPr>
          <w:sz w:val="20"/>
          <w:szCs w:val="20"/>
        </w:rPr>
        <w:t>as-converted basis, 20% of the sum of the total number of all shares of common stock outstanding upon the completion of the Initial Public Offering, plus the total number of shares of Class A common stock issued, or deemed issued or issuable upon conversio</w:t>
      </w:r>
      <w:r>
        <w:rPr>
          <w:sz w:val="20"/>
          <w:szCs w:val="20"/>
        </w:rPr>
        <w:t>n or exercise of any equity-linked securities or rights issued or deemed issued, by the Company in connection with or in relation to the consummation of a Business Combination, excluding any shares of Class A common stock or equity-linked securities exerci</w:t>
      </w:r>
      <w:r>
        <w:rPr>
          <w:sz w:val="20"/>
          <w:szCs w:val="20"/>
        </w:rPr>
        <w:t>sable for or convertible into shares of Class A common stock issued, or to be issued, to any seller in a Business Combination and any private placement-equivalent warrants issued to the Sponsor, officers or directors upon conversion of Working Capital Loan</w:t>
      </w:r>
      <w:r>
        <w:rPr>
          <w:sz w:val="20"/>
          <w:szCs w:val="20"/>
        </w:rPr>
        <w:t>s; provided that such conversion of Founder Shares will never occur on a less than one for one basis. The holders of the Class B common stock have agreed to waive such adjustment to the conversion ratio if the Merger Agreement discussed in Note 6 is consum</w:t>
      </w:r>
      <w:r>
        <w:rPr>
          <w:sz w:val="20"/>
          <w:szCs w:val="20"/>
        </w:rPr>
        <w:t>mated.</w:t>
      </w:r>
    </w:p>
    <w:p w14:paraId="43BEA387" w14:textId="77777777" w:rsidR="00000000" w:rsidRDefault="00087966">
      <w:pPr>
        <w:pStyle w:val="a3"/>
        <w:spacing w:before="0" w:beforeAutospacing="0" w:after="0" w:afterAutospacing="0"/>
        <w:jc w:val="both"/>
        <w:divId w:val="1595479706"/>
        <w:rPr>
          <w:sz w:val="20"/>
          <w:szCs w:val="20"/>
        </w:rPr>
      </w:pPr>
      <w:r>
        <w:rPr>
          <w:sz w:val="20"/>
          <w:szCs w:val="20"/>
        </w:rPr>
        <w:t> </w:t>
      </w:r>
    </w:p>
    <w:p w14:paraId="0394419F" w14:textId="77777777" w:rsidR="00000000" w:rsidRDefault="00087966">
      <w:pPr>
        <w:pStyle w:val="a3"/>
        <w:spacing w:before="0" w:beforeAutospacing="0" w:after="0" w:afterAutospacing="0"/>
        <w:jc w:val="both"/>
        <w:divId w:val="1595479706"/>
        <w:rPr>
          <w:sz w:val="20"/>
          <w:szCs w:val="20"/>
        </w:rPr>
      </w:pPr>
      <w:r>
        <w:rPr>
          <w:b/>
          <w:bCs/>
          <w:sz w:val="20"/>
          <w:szCs w:val="20"/>
        </w:rPr>
        <w:t>NOTE 8 — WARRANT LIABILITIES</w:t>
      </w:r>
    </w:p>
    <w:p w14:paraId="69A6207D" w14:textId="77777777" w:rsidR="00000000" w:rsidRDefault="00087966">
      <w:pPr>
        <w:pStyle w:val="a3"/>
        <w:spacing w:before="0" w:beforeAutospacing="0" w:after="0" w:afterAutospacing="0"/>
        <w:jc w:val="both"/>
        <w:divId w:val="1595479706"/>
        <w:rPr>
          <w:sz w:val="20"/>
          <w:szCs w:val="20"/>
        </w:rPr>
      </w:pPr>
      <w:r>
        <w:rPr>
          <w:sz w:val="20"/>
          <w:szCs w:val="20"/>
        </w:rPr>
        <w:t> </w:t>
      </w:r>
    </w:p>
    <w:p w14:paraId="2539504D" w14:textId="77777777" w:rsidR="00000000" w:rsidRDefault="00087966">
      <w:pPr>
        <w:pStyle w:val="a3"/>
        <w:spacing w:before="0" w:beforeAutospacing="0" w:after="0" w:afterAutospacing="0"/>
        <w:jc w:val="both"/>
        <w:divId w:val="1595479706"/>
        <w:rPr>
          <w:sz w:val="20"/>
          <w:szCs w:val="20"/>
        </w:rPr>
      </w:pPr>
      <w:r>
        <w:rPr>
          <w:sz w:val="20"/>
          <w:szCs w:val="20"/>
        </w:rPr>
        <w:t>As of December 31, 2022 and 2021, there were 8,625,000 Public Warrants outstanding. No fractional shares will be issued upon exercise of the Public Warrants. The Public Warrants will become exercisable on the later o</w:t>
      </w:r>
      <w:r>
        <w:rPr>
          <w:sz w:val="20"/>
          <w:szCs w:val="20"/>
        </w:rPr>
        <w:t>f (a) 30 days after the consummation of a Business Combination or (b) 12 months from the closing of the Initial Public Offering. The Public Warrants will expire five years from the consummation of a Business Combination or earlier upon redemption or liquid</w:t>
      </w:r>
      <w:r>
        <w:rPr>
          <w:sz w:val="20"/>
          <w:szCs w:val="20"/>
        </w:rPr>
        <w:t>ation.</w:t>
      </w:r>
    </w:p>
    <w:p w14:paraId="22CA5B3D" w14:textId="77777777" w:rsidR="00000000" w:rsidRDefault="00087966">
      <w:pPr>
        <w:pStyle w:val="a3"/>
        <w:spacing w:before="0" w:beforeAutospacing="0" w:after="0" w:afterAutospacing="0"/>
        <w:jc w:val="both"/>
        <w:divId w:val="1595479706"/>
        <w:rPr>
          <w:sz w:val="20"/>
          <w:szCs w:val="20"/>
        </w:rPr>
      </w:pPr>
      <w:r>
        <w:rPr>
          <w:sz w:val="20"/>
          <w:szCs w:val="20"/>
        </w:rPr>
        <w:t> </w:t>
      </w:r>
    </w:p>
    <w:p w14:paraId="481AEEA7" w14:textId="77777777" w:rsidR="00000000" w:rsidRDefault="00087966">
      <w:pPr>
        <w:pStyle w:val="a3"/>
        <w:spacing w:before="0" w:beforeAutospacing="0" w:after="0" w:afterAutospacing="0"/>
        <w:jc w:val="both"/>
        <w:divId w:val="1595479706"/>
        <w:rPr>
          <w:sz w:val="20"/>
          <w:szCs w:val="20"/>
        </w:rPr>
      </w:pPr>
      <w:r>
        <w:rPr>
          <w:sz w:val="20"/>
          <w:szCs w:val="20"/>
        </w:rPr>
        <w:t>The Company will not be obligated to deliver any Class A common stock pursuant to the exercise of a Public Warrant and will have no obligation to settle such Public Warrant exercise unless a registration statement under the Securities Act covering</w:t>
      </w:r>
      <w:r>
        <w:rPr>
          <w:sz w:val="20"/>
          <w:szCs w:val="20"/>
        </w:rPr>
        <w:t xml:space="preserve"> the issuance of the Class A common stock issuable upon exercise of the Public Warrants is then effective and a prospectus relating thereto is current, subject to the Company satisfying its obligations with respect to registration. No warrant will be exerc</w:t>
      </w:r>
      <w:r>
        <w:rPr>
          <w:sz w:val="20"/>
          <w:szCs w:val="20"/>
        </w:rPr>
        <w:t xml:space="preserve">isable and the Company will not be obligated to issue shares of Class A common stock upon exercise of a warrant unless Class A common stock issuable upon such warrant exercise has been registered, qualified or deemed to be exempt under the securities laws </w:t>
      </w:r>
      <w:r>
        <w:rPr>
          <w:sz w:val="20"/>
          <w:szCs w:val="20"/>
        </w:rPr>
        <w:t>of the state of residence of the registered holder of the warrants.</w:t>
      </w:r>
    </w:p>
    <w:p w14:paraId="4C425F0C" w14:textId="77777777" w:rsidR="00000000" w:rsidRDefault="00087966">
      <w:pPr>
        <w:pStyle w:val="a3"/>
        <w:spacing w:before="0" w:beforeAutospacing="0" w:after="0" w:afterAutospacing="0"/>
        <w:jc w:val="both"/>
        <w:divId w:val="1595479706"/>
        <w:rPr>
          <w:sz w:val="20"/>
          <w:szCs w:val="20"/>
        </w:rPr>
      </w:pPr>
      <w:r>
        <w:rPr>
          <w:sz w:val="20"/>
          <w:szCs w:val="20"/>
        </w:rPr>
        <w:t> </w:t>
      </w:r>
    </w:p>
    <w:p w14:paraId="29453C28" w14:textId="77777777" w:rsidR="00000000" w:rsidRDefault="00087966">
      <w:pPr>
        <w:pStyle w:val="a3"/>
        <w:spacing w:before="0" w:beforeAutospacing="0" w:after="0" w:afterAutospacing="0"/>
        <w:jc w:val="both"/>
        <w:divId w:val="1595479706"/>
        <w:rPr>
          <w:sz w:val="20"/>
          <w:szCs w:val="20"/>
        </w:rPr>
      </w:pPr>
      <w:r>
        <w:rPr>
          <w:sz w:val="20"/>
          <w:szCs w:val="20"/>
        </w:rPr>
        <w:t>The Company has agreed that as soon as practicable, but in no event later than 15 business days after the closing of a Business Combination, it will use its best efforts to file with the</w:t>
      </w:r>
      <w:r>
        <w:rPr>
          <w:sz w:val="20"/>
          <w:szCs w:val="20"/>
        </w:rPr>
        <w:t xml:space="preserve"> SEC a registration statement registering the issuance of the shares of Class A common stock issuable upon exercise of the warrants, to cause such registration statement to become effective and to maintain a current prospectus relating to those shares of C</w:t>
      </w:r>
      <w:r>
        <w:rPr>
          <w:sz w:val="20"/>
          <w:szCs w:val="20"/>
        </w:rPr>
        <w:t>lass A common stock until the warrants expire or are redeemed, as specified in the warrant agreement. If a registration statement covering the shares of Class A common stock issuable upon exercise of the warrants is not effective by the 60</w:t>
      </w:r>
      <w:r>
        <w:rPr>
          <w:sz w:val="20"/>
          <w:szCs w:val="20"/>
          <w:vertAlign w:val="superscript"/>
        </w:rPr>
        <w:t>th</w:t>
      </w:r>
      <w:r>
        <w:rPr>
          <w:sz w:val="20"/>
          <w:szCs w:val="20"/>
        </w:rPr>
        <w:t xml:space="preserve"> business day a</w:t>
      </w:r>
      <w:r>
        <w:rPr>
          <w:sz w:val="20"/>
          <w:szCs w:val="20"/>
        </w:rPr>
        <w:t xml:space="preserve">fter the closing of a Business Combination or within a specified period following the consummation of a Business Combination, warrant holders may, until such time as there is an effective registration statement and during any period when the Company shall </w:t>
      </w:r>
      <w:r>
        <w:rPr>
          <w:sz w:val="20"/>
          <w:szCs w:val="20"/>
        </w:rPr>
        <w:t>have failed to maintain an effective registration statement, exercise warrants on a “cashless basis” pursuant to the exemption provided by Section 3(a)(9) of the Securities Act; provided that such exemption is available. If that exemption, or another exemp</w:t>
      </w:r>
      <w:r>
        <w:rPr>
          <w:sz w:val="20"/>
          <w:szCs w:val="20"/>
        </w:rPr>
        <w:t>tion, is not available, holders will not be able to exercise their warrants on a cashless basis.</w:t>
      </w:r>
    </w:p>
    <w:p w14:paraId="60219A7A" w14:textId="77777777" w:rsidR="00000000" w:rsidRDefault="00087966">
      <w:pPr>
        <w:pStyle w:val="a3"/>
        <w:spacing w:before="0" w:beforeAutospacing="0" w:after="0" w:afterAutospacing="0"/>
        <w:jc w:val="both"/>
        <w:divId w:val="1595479706"/>
        <w:rPr>
          <w:sz w:val="20"/>
          <w:szCs w:val="20"/>
        </w:rPr>
      </w:pPr>
      <w:r>
        <w:rPr>
          <w:b/>
          <w:bCs/>
          <w:i/>
          <w:iCs/>
          <w:sz w:val="20"/>
          <w:szCs w:val="20"/>
        </w:rPr>
        <w:t> </w:t>
      </w:r>
    </w:p>
    <w:p w14:paraId="04303342" w14:textId="77777777" w:rsidR="00000000" w:rsidRDefault="00087966">
      <w:pPr>
        <w:pStyle w:val="a3"/>
        <w:spacing w:before="0" w:beforeAutospacing="0" w:after="0" w:afterAutospacing="0"/>
        <w:jc w:val="both"/>
        <w:divId w:val="1595479706"/>
        <w:rPr>
          <w:sz w:val="20"/>
          <w:szCs w:val="20"/>
        </w:rPr>
      </w:pPr>
      <w:r>
        <w:rPr>
          <w:sz w:val="20"/>
          <w:szCs w:val="20"/>
        </w:rPr>
        <w:t>Once the warrants become exercisable, the Company may call the warrants for redemption (except as described with respect to the Private Placement Warrants):</w:t>
      </w:r>
    </w:p>
    <w:p w14:paraId="482B24E5"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7513123" w14:textId="77777777">
        <w:trPr>
          <w:divId w:val="1595479706"/>
        </w:trPr>
        <w:tc>
          <w:tcPr>
            <w:tcW w:w="360" w:type="dxa"/>
            <w:hideMark/>
          </w:tcPr>
          <w:p w14:paraId="3A334EB1"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5D5EAC8C" w14:textId="77777777" w:rsidR="00000000" w:rsidRDefault="00087966">
            <w:pPr>
              <w:rPr>
                <w:rFonts w:eastAsia="Times New Roman"/>
                <w:sz w:val="20"/>
                <w:szCs w:val="20"/>
              </w:rPr>
            </w:pPr>
            <w:r>
              <w:rPr>
                <w:rFonts w:eastAsia="Times New Roman"/>
                <w:sz w:val="20"/>
                <w:szCs w:val="20"/>
              </w:rPr>
              <w:t>●</w:t>
            </w:r>
          </w:p>
        </w:tc>
        <w:tc>
          <w:tcPr>
            <w:tcW w:w="0" w:type="auto"/>
            <w:hideMark/>
          </w:tcPr>
          <w:p w14:paraId="140E654F" w14:textId="77777777" w:rsidR="00000000" w:rsidRDefault="00087966">
            <w:pPr>
              <w:jc w:val="both"/>
              <w:rPr>
                <w:rFonts w:eastAsia="Times New Roman"/>
                <w:sz w:val="20"/>
                <w:szCs w:val="20"/>
              </w:rPr>
            </w:pPr>
            <w:r>
              <w:rPr>
                <w:rFonts w:eastAsia="Times New Roman"/>
                <w:sz w:val="20"/>
                <w:szCs w:val="20"/>
              </w:rPr>
              <w:t>in whole and not in part;</w:t>
            </w:r>
          </w:p>
        </w:tc>
      </w:tr>
      <w:tr w:rsidR="00000000" w14:paraId="0463FDFF" w14:textId="77777777">
        <w:trPr>
          <w:divId w:val="1595479706"/>
        </w:trPr>
        <w:tc>
          <w:tcPr>
            <w:tcW w:w="0" w:type="auto"/>
            <w:hideMark/>
          </w:tcPr>
          <w:p w14:paraId="50D6D059"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5C03CEDB" w14:textId="77777777" w:rsidR="00000000" w:rsidRDefault="00087966">
            <w:pPr>
              <w:rPr>
                <w:rFonts w:eastAsia="Times New Roman"/>
                <w:sz w:val="20"/>
                <w:szCs w:val="20"/>
              </w:rPr>
            </w:pPr>
            <w:r>
              <w:rPr>
                <w:rFonts w:eastAsia="Times New Roman"/>
                <w:sz w:val="20"/>
                <w:szCs w:val="20"/>
              </w:rPr>
              <w:t> </w:t>
            </w:r>
          </w:p>
        </w:tc>
        <w:tc>
          <w:tcPr>
            <w:tcW w:w="0" w:type="auto"/>
            <w:hideMark/>
          </w:tcPr>
          <w:p w14:paraId="19239050" w14:textId="77777777" w:rsidR="00000000" w:rsidRDefault="00087966">
            <w:pPr>
              <w:jc w:val="both"/>
              <w:rPr>
                <w:rFonts w:eastAsia="Times New Roman"/>
                <w:sz w:val="20"/>
                <w:szCs w:val="20"/>
              </w:rPr>
            </w:pPr>
            <w:r>
              <w:rPr>
                <w:rFonts w:eastAsia="Times New Roman"/>
                <w:sz w:val="20"/>
                <w:szCs w:val="20"/>
              </w:rPr>
              <w:t> </w:t>
            </w:r>
          </w:p>
        </w:tc>
      </w:tr>
      <w:tr w:rsidR="00000000" w14:paraId="5713AAD1" w14:textId="77777777">
        <w:trPr>
          <w:divId w:val="1595479706"/>
        </w:trPr>
        <w:tc>
          <w:tcPr>
            <w:tcW w:w="0" w:type="auto"/>
            <w:hideMark/>
          </w:tcPr>
          <w:p w14:paraId="0B13C435"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05ACAF2" w14:textId="77777777" w:rsidR="00000000" w:rsidRDefault="00087966">
            <w:pPr>
              <w:rPr>
                <w:rFonts w:eastAsia="Times New Roman"/>
                <w:sz w:val="20"/>
                <w:szCs w:val="20"/>
              </w:rPr>
            </w:pPr>
            <w:r>
              <w:rPr>
                <w:rFonts w:eastAsia="Times New Roman"/>
                <w:sz w:val="20"/>
                <w:szCs w:val="20"/>
              </w:rPr>
              <w:t>●</w:t>
            </w:r>
          </w:p>
        </w:tc>
        <w:tc>
          <w:tcPr>
            <w:tcW w:w="0" w:type="auto"/>
            <w:hideMark/>
          </w:tcPr>
          <w:p w14:paraId="06286768" w14:textId="77777777" w:rsidR="00000000" w:rsidRDefault="00087966">
            <w:pPr>
              <w:jc w:val="both"/>
              <w:rPr>
                <w:rFonts w:eastAsia="Times New Roman"/>
                <w:sz w:val="20"/>
                <w:szCs w:val="20"/>
              </w:rPr>
            </w:pPr>
            <w:r>
              <w:rPr>
                <w:rFonts w:eastAsia="Times New Roman"/>
                <w:sz w:val="20"/>
                <w:szCs w:val="20"/>
              </w:rPr>
              <w:t>at a price of $0.01 per warrant;</w:t>
            </w:r>
          </w:p>
        </w:tc>
      </w:tr>
      <w:tr w:rsidR="00000000" w14:paraId="3B070616" w14:textId="77777777">
        <w:trPr>
          <w:divId w:val="1595479706"/>
        </w:trPr>
        <w:tc>
          <w:tcPr>
            <w:tcW w:w="0" w:type="auto"/>
            <w:hideMark/>
          </w:tcPr>
          <w:p w14:paraId="288CE9F2"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40F7B079" w14:textId="77777777" w:rsidR="00000000" w:rsidRDefault="00087966">
            <w:pPr>
              <w:rPr>
                <w:rFonts w:eastAsia="Times New Roman"/>
                <w:sz w:val="20"/>
                <w:szCs w:val="20"/>
              </w:rPr>
            </w:pPr>
            <w:r>
              <w:rPr>
                <w:rFonts w:eastAsia="Times New Roman"/>
                <w:sz w:val="20"/>
                <w:szCs w:val="20"/>
              </w:rPr>
              <w:t> </w:t>
            </w:r>
          </w:p>
        </w:tc>
        <w:tc>
          <w:tcPr>
            <w:tcW w:w="0" w:type="auto"/>
            <w:hideMark/>
          </w:tcPr>
          <w:p w14:paraId="7939D756" w14:textId="77777777" w:rsidR="00000000" w:rsidRDefault="00087966">
            <w:pPr>
              <w:jc w:val="both"/>
              <w:rPr>
                <w:rFonts w:eastAsia="Times New Roman"/>
                <w:sz w:val="20"/>
                <w:szCs w:val="20"/>
              </w:rPr>
            </w:pPr>
            <w:r>
              <w:rPr>
                <w:rFonts w:eastAsia="Times New Roman"/>
                <w:sz w:val="20"/>
                <w:szCs w:val="20"/>
              </w:rPr>
              <w:t> </w:t>
            </w:r>
          </w:p>
        </w:tc>
      </w:tr>
      <w:tr w:rsidR="00000000" w14:paraId="000C079D" w14:textId="77777777">
        <w:trPr>
          <w:divId w:val="1595479706"/>
        </w:trPr>
        <w:tc>
          <w:tcPr>
            <w:tcW w:w="0" w:type="auto"/>
            <w:hideMark/>
          </w:tcPr>
          <w:p w14:paraId="17815FF9"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594B8F19" w14:textId="77777777" w:rsidR="00000000" w:rsidRDefault="00087966">
            <w:pPr>
              <w:rPr>
                <w:rFonts w:eastAsia="Times New Roman"/>
                <w:sz w:val="20"/>
                <w:szCs w:val="20"/>
              </w:rPr>
            </w:pPr>
            <w:r>
              <w:rPr>
                <w:rFonts w:eastAsia="Times New Roman"/>
                <w:sz w:val="20"/>
                <w:szCs w:val="20"/>
              </w:rPr>
              <w:t>●</w:t>
            </w:r>
          </w:p>
        </w:tc>
        <w:tc>
          <w:tcPr>
            <w:tcW w:w="0" w:type="auto"/>
            <w:hideMark/>
          </w:tcPr>
          <w:p w14:paraId="42BDA266" w14:textId="77777777" w:rsidR="00000000" w:rsidRDefault="00087966">
            <w:pPr>
              <w:jc w:val="both"/>
              <w:rPr>
                <w:rFonts w:eastAsia="Times New Roman"/>
                <w:sz w:val="20"/>
                <w:szCs w:val="20"/>
              </w:rPr>
            </w:pPr>
            <w:r>
              <w:rPr>
                <w:rFonts w:eastAsia="Times New Roman"/>
                <w:sz w:val="20"/>
                <w:szCs w:val="20"/>
              </w:rPr>
              <w:t>upon not less than 30 days’ prior written notice of redemption to each warrant holder; and</w:t>
            </w:r>
          </w:p>
        </w:tc>
      </w:tr>
      <w:tr w:rsidR="00000000" w14:paraId="39E15EF6" w14:textId="77777777">
        <w:trPr>
          <w:divId w:val="1595479706"/>
        </w:trPr>
        <w:tc>
          <w:tcPr>
            <w:tcW w:w="0" w:type="auto"/>
            <w:hideMark/>
          </w:tcPr>
          <w:p w14:paraId="688CBC5E"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7A23540A" w14:textId="77777777" w:rsidR="00000000" w:rsidRDefault="00087966">
            <w:pPr>
              <w:rPr>
                <w:rFonts w:eastAsia="Times New Roman"/>
                <w:sz w:val="20"/>
                <w:szCs w:val="20"/>
              </w:rPr>
            </w:pPr>
            <w:r>
              <w:rPr>
                <w:rFonts w:eastAsia="Times New Roman"/>
                <w:sz w:val="20"/>
                <w:szCs w:val="20"/>
              </w:rPr>
              <w:t> </w:t>
            </w:r>
          </w:p>
        </w:tc>
        <w:tc>
          <w:tcPr>
            <w:tcW w:w="0" w:type="auto"/>
            <w:hideMark/>
          </w:tcPr>
          <w:p w14:paraId="385BEEB5" w14:textId="77777777" w:rsidR="00000000" w:rsidRDefault="00087966">
            <w:pPr>
              <w:jc w:val="both"/>
              <w:rPr>
                <w:rFonts w:eastAsia="Times New Roman"/>
                <w:sz w:val="20"/>
                <w:szCs w:val="20"/>
              </w:rPr>
            </w:pPr>
            <w:r>
              <w:rPr>
                <w:rFonts w:eastAsia="Times New Roman"/>
                <w:sz w:val="20"/>
                <w:szCs w:val="20"/>
              </w:rPr>
              <w:t> </w:t>
            </w:r>
          </w:p>
        </w:tc>
      </w:tr>
      <w:tr w:rsidR="00000000" w14:paraId="54CBCDE0" w14:textId="77777777">
        <w:trPr>
          <w:divId w:val="1595479706"/>
        </w:trPr>
        <w:tc>
          <w:tcPr>
            <w:tcW w:w="0" w:type="auto"/>
            <w:hideMark/>
          </w:tcPr>
          <w:p w14:paraId="1604C89B"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50908F7D" w14:textId="77777777" w:rsidR="00000000" w:rsidRDefault="00087966">
            <w:pPr>
              <w:rPr>
                <w:rFonts w:eastAsia="Times New Roman"/>
                <w:sz w:val="20"/>
                <w:szCs w:val="20"/>
              </w:rPr>
            </w:pPr>
            <w:r>
              <w:rPr>
                <w:rFonts w:eastAsia="Times New Roman"/>
                <w:sz w:val="20"/>
                <w:szCs w:val="20"/>
              </w:rPr>
              <w:t>●</w:t>
            </w:r>
          </w:p>
        </w:tc>
        <w:tc>
          <w:tcPr>
            <w:tcW w:w="0" w:type="auto"/>
            <w:hideMark/>
          </w:tcPr>
          <w:p w14:paraId="54DD9C8E" w14:textId="77777777" w:rsidR="00000000" w:rsidRDefault="00087966">
            <w:pPr>
              <w:jc w:val="both"/>
              <w:rPr>
                <w:rFonts w:eastAsia="Times New Roman"/>
                <w:sz w:val="20"/>
                <w:szCs w:val="20"/>
              </w:rPr>
            </w:pPr>
            <w:r>
              <w:rPr>
                <w:rFonts w:eastAsia="Times New Roman"/>
                <w:sz w:val="20"/>
                <w:szCs w:val="20"/>
              </w:rPr>
              <w:t xml:space="preserve">if, and only if, the reported </w:t>
            </w:r>
            <w:r>
              <w:rPr>
                <w:rFonts w:eastAsia="Times New Roman"/>
                <w:sz w:val="20"/>
                <w:szCs w:val="20"/>
              </w:rPr>
              <w:t xml:space="preserve">closing price of the Class A common stock equals or exceeds $18.00 per share (as adjusted for stock splits, stock dividends, reorganizations, recapitalizations and the like) for any 20 trading days within a 30-trading day period ending three business days </w:t>
            </w:r>
            <w:r>
              <w:rPr>
                <w:rFonts w:eastAsia="Times New Roman"/>
                <w:sz w:val="20"/>
                <w:szCs w:val="20"/>
              </w:rPr>
              <w:t>before the Company sends to the notice of redemption to the warrant holders.</w:t>
            </w:r>
          </w:p>
        </w:tc>
      </w:tr>
    </w:tbl>
    <w:p w14:paraId="29A5DF7F" w14:textId="77777777" w:rsidR="00000000" w:rsidRDefault="00087966">
      <w:pPr>
        <w:pStyle w:val="a3"/>
        <w:spacing w:before="0" w:beforeAutospacing="0" w:after="0" w:afterAutospacing="0"/>
        <w:jc w:val="both"/>
        <w:divId w:val="1595479706"/>
        <w:rPr>
          <w:sz w:val="20"/>
          <w:szCs w:val="20"/>
        </w:rPr>
      </w:pPr>
      <w:r>
        <w:rPr>
          <w:sz w:val="20"/>
          <w:szCs w:val="20"/>
        </w:rPr>
        <w:t> </w:t>
      </w:r>
    </w:p>
    <w:p w14:paraId="5B7BCBCC" w14:textId="77777777" w:rsidR="00000000" w:rsidRDefault="00087966">
      <w:pPr>
        <w:pStyle w:val="a3"/>
        <w:spacing w:before="0" w:beforeAutospacing="0" w:after="0" w:afterAutospacing="0"/>
        <w:jc w:val="both"/>
        <w:divId w:val="1595479706"/>
        <w:rPr>
          <w:sz w:val="20"/>
          <w:szCs w:val="20"/>
        </w:rPr>
      </w:pPr>
      <w:r>
        <w:rPr>
          <w:sz w:val="20"/>
          <w:szCs w:val="20"/>
        </w:rPr>
        <w:t>If and when the warrants become redeemable by the Company, the Company may exercise its redemption right even if the Company is unable to register or qualify the underlying sec</w:t>
      </w:r>
      <w:r>
        <w:rPr>
          <w:sz w:val="20"/>
          <w:szCs w:val="20"/>
        </w:rPr>
        <w:t>urities for sale under all applicable state securities laws.</w:t>
      </w:r>
    </w:p>
    <w:p w14:paraId="374647F2" w14:textId="77777777" w:rsidR="00000000" w:rsidRDefault="00087966">
      <w:pPr>
        <w:pStyle w:val="a3"/>
        <w:spacing w:before="0" w:beforeAutospacing="0" w:after="0" w:afterAutospacing="0"/>
        <w:jc w:val="both"/>
        <w:divId w:val="1595479706"/>
        <w:rPr>
          <w:sz w:val="20"/>
          <w:szCs w:val="20"/>
        </w:rPr>
      </w:pPr>
      <w:r>
        <w:rPr>
          <w:sz w:val="20"/>
          <w:szCs w:val="20"/>
        </w:rPr>
        <w:t> </w:t>
      </w:r>
    </w:p>
    <w:p w14:paraId="1E42EBE7" w14:textId="77777777" w:rsidR="00000000" w:rsidRDefault="00087966">
      <w:pPr>
        <w:pStyle w:val="a3"/>
        <w:spacing w:before="0" w:beforeAutospacing="0" w:after="0" w:afterAutospacing="0"/>
        <w:jc w:val="center"/>
        <w:divId w:val="709186300"/>
        <w:rPr>
          <w:sz w:val="20"/>
          <w:szCs w:val="20"/>
        </w:rPr>
      </w:pPr>
      <w:r>
        <w:rPr>
          <w:sz w:val="20"/>
          <w:szCs w:val="20"/>
        </w:rPr>
        <w:t>F</w:t>
      </w:r>
      <w:r>
        <w:rPr>
          <w:sz w:val="20"/>
          <w:szCs w:val="20"/>
        </w:rPr>
        <w:t>-</w:t>
      </w:r>
      <w:r>
        <w:rPr>
          <w:sz w:val="20"/>
          <w:szCs w:val="20"/>
        </w:rPr>
        <w:t>2</w:t>
      </w:r>
      <w:r>
        <w:rPr>
          <w:sz w:val="20"/>
          <w:szCs w:val="20"/>
        </w:rPr>
        <w:t>0</w:t>
      </w:r>
    </w:p>
    <w:p w14:paraId="0860C05B" w14:textId="77777777" w:rsidR="00000000" w:rsidRDefault="00087966">
      <w:pPr>
        <w:pStyle w:val="a3"/>
        <w:spacing w:before="0" w:beforeAutospacing="0" w:after="0" w:afterAutospacing="0"/>
        <w:divId w:val="770735061"/>
        <w:rPr>
          <w:sz w:val="20"/>
          <w:szCs w:val="20"/>
        </w:rPr>
      </w:pPr>
      <w:r>
        <w:rPr>
          <w:sz w:val="20"/>
          <w:szCs w:val="20"/>
        </w:rPr>
        <w:t> </w:t>
      </w:r>
    </w:p>
    <w:p w14:paraId="02C028D2" w14:textId="77777777" w:rsidR="00000000" w:rsidRDefault="00087966">
      <w:pPr>
        <w:pStyle w:val="a3"/>
        <w:spacing w:before="0" w:beforeAutospacing="0" w:after="0" w:afterAutospacing="0"/>
        <w:jc w:val="both"/>
        <w:divId w:val="1595479706"/>
        <w:rPr>
          <w:sz w:val="20"/>
          <w:szCs w:val="20"/>
        </w:rPr>
      </w:pPr>
      <w:r>
        <w:rPr>
          <w:sz w:val="20"/>
          <w:szCs w:val="20"/>
        </w:rPr>
        <w:t> </w:t>
      </w:r>
    </w:p>
    <w:p w14:paraId="20EAB7E3"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679D50C3"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19303CC2"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6A9791E0" w14:textId="77777777" w:rsidR="00000000" w:rsidRDefault="00087966">
      <w:pPr>
        <w:pStyle w:val="a3"/>
        <w:spacing w:before="0" w:beforeAutospacing="0" w:after="0" w:afterAutospacing="0"/>
        <w:jc w:val="center"/>
        <w:divId w:val="1595479706"/>
        <w:rPr>
          <w:sz w:val="20"/>
          <w:szCs w:val="20"/>
        </w:rPr>
      </w:pPr>
      <w:r>
        <w:rPr>
          <w:sz w:val="20"/>
          <w:szCs w:val="20"/>
        </w:rPr>
        <w:t> </w:t>
      </w:r>
    </w:p>
    <w:p w14:paraId="53C42F71" w14:textId="77777777" w:rsidR="00000000" w:rsidRDefault="00087966">
      <w:pPr>
        <w:pStyle w:val="a3"/>
        <w:spacing w:before="0" w:beforeAutospacing="0" w:after="0" w:afterAutospacing="0"/>
        <w:jc w:val="both"/>
        <w:divId w:val="1595479706"/>
        <w:rPr>
          <w:sz w:val="20"/>
          <w:szCs w:val="20"/>
        </w:rPr>
      </w:pPr>
      <w:r>
        <w:rPr>
          <w:sz w:val="20"/>
          <w:szCs w:val="20"/>
        </w:rPr>
        <w:t>If the Company calls the Public Warrants for redemption, as described above, its manageme</w:t>
      </w:r>
      <w:r>
        <w:rPr>
          <w:sz w:val="20"/>
          <w:szCs w:val="20"/>
        </w:rPr>
        <w:t>nt will have the option to require any holder that wishes to exercise the Public Warrants to do so on a “cashless basis,” as described in the warrant agreement. The exercise price and number of Class A common stock issuable upon exercise of the Public Warr</w:t>
      </w:r>
      <w:r>
        <w:rPr>
          <w:sz w:val="20"/>
          <w:szCs w:val="20"/>
        </w:rPr>
        <w:t xml:space="preserve">ants may be adjusted in certain circumstances including in the event of a share dividend, extraordinary dividend or recapitalization, reorganization, merger or consolidation. However, except as described below, the Public Warrants will not be adjusted for </w:t>
      </w:r>
      <w:r>
        <w:rPr>
          <w:sz w:val="20"/>
          <w:szCs w:val="20"/>
        </w:rPr>
        <w:t xml:space="preserve">issuances of Class A common stock at a price below its exercise price. Additionally, in no event will the Company be required to net cash settle the Public Warrants. If the Company is unable to complete a Business Combination within the Combination Period </w:t>
      </w:r>
      <w:r>
        <w:rPr>
          <w:sz w:val="20"/>
          <w:szCs w:val="20"/>
        </w:rPr>
        <w:t xml:space="preserve">and the Company liquidates the funds held in the Trust Account, holders of Public Warrants will not receive any of such funds with respect to their Public Warrants, nor will they receive any distribution from the Company’s assets held outside of the Trust </w:t>
      </w:r>
      <w:r>
        <w:rPr>
          <w:sz w:val="20"/>
          <w:szCs w:val="20"/>
        </w:rPr>
        <w:t>Account with respect to such Public Warrants. Accordingly, the Public Warrants may expire worthless.</w:t>
      </w:r>
    </w:p>
    <w:p w14:paraId="285CDF90" w14:textId="77777777" w:rsidR="00000000" w:rsidRDefault="00087966">
      <w:pPr>
        <w:pStyle w:val="a3"/>
        <w:spacing w:before="0" w:beforeAutospacing="0" w:after="0" w:afterAutospacing="0"/>
        <w:divId w:val="1595479706"/>
        <w:rPr>
          <w:sz w:val="20"/>
          <w:szCs w:val="20"/>
        </w:rPr>
      </w:pPr>
      <w:r>
        <w:rPr>
          <w:sz w:val="20"/>
          <w:szCs w:val="20"/>
        </w:rPr>
        <w:t> </w:t>
      </w:r>
    </w:p>
    <w:p w14:paraId="0DF9652B" w14:textId="77777777" w:rsidR="00000000" w:rsidRDefault="00087966">
      <w:pPr>
        <w:pStyle w:val="a3"/>
        <w:spacing w:before="0" w:beforeAutospacing="0" w:after="0" w:afterAutospacing="0"/>
        <w:jc w:val="both"/>
        <w:divId w:val="1595479706"/>
        <w:rPr>
          <w:sz w:val="20"/>
          <w:szCs w:val="20"/>
        </w:rPr>
      </w:pPr>
      <w:r>
        <w:rPr>
          <w:sz w:val="20"/>
          <w:szCs w:val="20"/>
        </w:rPr>
        <w:t>In addition, if (x) the Company issues additional shares of Class </w:t>
      </w:r>
      <w:r>
        <w:rPr>
          <w:sz w:val="20"/>
          <w:szCs w:val="20"/>
        </w:rPr>
        <w:t>A common stock or equity-linked securities for capital raising purposes in connection with the closing of its initial Business Combination at an issue price or effective issue price of less than $9.20 per share of Class A common stock (with such issue pric</w:t>
      </w:r>
      <w:r>
        <w:rPr>
          <w:sz w:val="20"/>
          <w:szCs w:val="20"/>
        </w:rPr>
        <w:t xml:space="preserve">e or effective issue price to be determined in good faith by the Company’s board of directors and, in the case of any such issuance to the Sponsor or its affiliates, without taking into account any Founder Shares held by the Sponsor or such affiliates, as </w:t>
      </w:r>
      <w:r>
        <w:rPr>
          <w:sz w:val="20"/>
          <w:szCs w:val="20"/>
        </w:rPr>
        <w:t>applicable, prior to such issuance) (the “Newly Issued Price”), (y) the aggregate gross proceeds from such issuances represent more than 60% of the total equity proceeds, and interest thereon, available for the funding of the Company’s initial Business Com</w:t>
      </w:r>
      <w:r>
        <w:rPr>
          <w:sz w:val="20"/>
          <w:szCs w:val="20"/>
        </w:rPr>
        <w:t>bination on the date of the consummation of such initial Business Combination (net of redemptions), and (z) the volume weighted average trading price of the Company’s common stock during the 20 trading day period starting on the trading day prior to the da</w:t>
      </w:r>
      <w:r>
        <w:rPr>
          <w:sz w:val="20"/>
          <w:szCs w:val="20"/>
        </w:rPr>
        <w:t>y on which the Company consummates its initial Business Combination (such price, the “Market Value”) is below $9.20 per share, the exercise price of the warrants will be adjusted (to the nearest cent) to be equal to 115% of the higher of the Market Value a</w:t>
      </w:r>
      <w:r>
        <w:rPr>
          <w:sz w:val="20"/>
          <w:szCs w:val="20"/>
        </w:rPr>
        <w:t>nd the Newly Issued Price and the $18.00 per share redemption trigger price described above will be adjusted (to the nearest cent) to be equal to 180% of the higher of the Market Value and the Newly Issued Price.</w:t>
      </w:r>
    </w:p>
    <w:p w14:paraId="33AACB88" w14:textId="77777777" w:rsidR="00000000" w:rsidRDefault="00087966">
      <w:pPr>
        <w:pStyle w:val="a3"/>
        <w:spacing w:before="0" w:beforeAutospacing="0" w:after="0" w:afterAutospacing="0"/>
        <w:jc w:val="both"/>
        <w:divId w:val="1595479706"/>
        <w:rPr>
          <w:sz w:val="20"/>
          <w:szCs w:val="20"/>
        </w:rPr>
      </w:pPr>
      <w:r>
        <w:rPr>
          <w:sz w:val="20"/>
          <w:szCs w:val="20"/>
        </w:rPr>
        <w:t> </w:t>
      </w:r>
    </w:p>
    <w:p w14:paraId="3A4F00FD" w14:textId="77777777" w:rsidR="00000000" w:rsidRDefault="00087966">
      <w:pPr>
        <w:pStyle w:val="a3"/>
        <w:spacing w:before="0" w:beforeAutospacing="0" w:after="0" w:afterAutospacing="0"/>
        <w:jc w:val="both"/>
        <w:divId w:val="1595479706"/>
        <w:rPr>
          <w:sz w:val="20"/>
          <w:szCs w:val="20"/>
        </w:rPr>
      </w:pPr>
      <w:r>
        <w:rPr>
          <w:sz w:val="20"/>
          <w:szCs w:val="20"/>
        </w:rPr>
        <w:t>At December 31, 2022 and 2021, there were</w:t>
      </w:r>
      <w:r>
        <w:rPr>
          <w:sz w:val="20"/>
          <w:szCs w:val="20"/>
        </w:rPr>
        <w:t xml:space="preserve"> 5,200,000 Private Placement Warrants outstanding. The Private Placement Warrants are identical to the Public Warrants underlying the Units sold in the Initial Public Offering, except that the Private Placement Warrants and the shares of common stock issua</w:t>
      </w:r>
      <w:r>
        <w:rPr>
          <w:sz w:val="20"/>
          <w:szCs w:val="20"/>
        </w:rPr>
        <w:t>ble upon the exercise of the Private Placement Warrants will not be transferable, assignable or salable until 30 days after the completion of a Business Combination, subject to certain limited exceptions. Additionally, the Private Placement Warrants will b</w:t>
      </w:r>
      <w:r>
        <w:rPr>
          <w:sz w:val="20"/>
          <w:szCs w:val="20"/>
        </w:rPr>
        <w:t>e exercisable on a cashless basis and will be non-redeemable so long as they are held by the initial purchasers or their permitted transferees. If the Private Placement Warrants are held by someone other than the initial purchasers or their permitted trans</w:t>
      </w:r>
      <w:r>
        <w:rPr>
          <w:sz w:val="20"/>
          <w:szCs w:val="20"/>
        </w:rPr>
        <w:t>ferees, the Private Placement Warrants will be redeemable by the Company and exercisable by such holders on the same basis as the Public Warrants.</w:t>
      </w:r>
    </w:p>
    <w:p w14:paraId="03E5C8EC"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2159C580" w14:textId="77777777" w:rsidR="00000000" w:rsidRDefault="00087966">
      <w:pPr>
        <w:pStyle w:val="a3"/>
        <w:spacing w:before="0" w:beforeAutospacing="0" w:after="0" w:afterAutospacing="0"/>
        <w:jc w:val="both"/>
        <w:divId w:val="1595479706"/>
        <w:rPr>
          <w:sz w:val="20"/>
          <w:szCs w:val="20"/>
        </w:rPr>
      </w:pPr>
      <w:r>
        <w:rPr>
          <w:b/>
          <w:bCs/>
          <w:sz w:val="20"/>
          <w:szCs w:val="20"/>
        </w:rPr>
        <w:t>NOTE 9 — INCOME TAX</w:t>
      </w:r>
    </w:p>
    <w:p w14:paraId="0BFA8915" w14:textId="77777777" w:rsidR="00000000" w:rsidRDefault="00087966">
      <w:pPr>
        <w:pStyle w:val="a3"/>
        <w:spacing w:before="0" w:beforeAutospacing="0" w:after="0" w:afterAutospacing="0"/>
        <w:jc w:val="both"/>
        <w:divId w:val="1595479706"/>
        <w:rPr>
          <w:sz w:val="20"/>
          <w:szCs w:val="20"/>
        </w:rPr>
      </w:pPr>
      <w:r>
        <w:rPr>
          <w:sz w:val="20"/>
          <w:szCs w:val="20"/>
        </w:rPr>
        <w:t> </w:t>
      </w:r>
    </w:p>
    <w:p w14:paraId="2569AC58" w14:textId="77777777" w:rsidR="00000000" w:rsidRDefault="00087966">
      <w:pPr>
        <w:pStyle w:val="a3"/>
        <w:spacing w:before="0" w:beforeAutospacing="0" w:after="0" w:afterAutospacing="0"/>
        <w:jc w:val="both"/>
        <w:divId w:val="1595479706"/>
        <w:rPr>
          <w:sz w:val="20"/>
          <w:szCs w:val="20"/>
        </w:rPr>
      </w:pPr>
      <w:r>
        <w:rPr>
          <w:sz w:val="20"/>
          <w:szCs w:val="20"/>
        </w:rPr>
        <w:t>The Company’s net deferred tax assets and liabilities are as follows:</w:t>
      </w:r>
    </w:p>
    <w:p w14:paraId="62056AE8"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17"/>
        <w:gridCol w:w="1050"/>
        <w:gridCol w:w="67"/>
        <w:gridCol w:w="50"/>
        <w:gridCol w:w="117"/>
        <w:gridCol w:w="1050"/>
        <w:gridCol w:w="67"/>
      </w:tblGrid>
      <w:tr w:rsidR="00000000" w14:paraId="281B5230" w14:textId="77777777">
        <w:trPr>
          <w:divId w:val="1595479706"/>
        </w:trPr>
        <w:tc>
          <w:tcPr>
            <w:tcW w:w="0" w:type="auto"/>
            <w:vAlign w:val="bottom"/>
            <w:hideMark/>
          </w:tcPr>
          <w:p w14:paraId="04E3364E" w14:textId="77777777" w:rsidR="00000000" w:rsidRDefault="00087966">
            <w:pPr>
              <w:jc w:val="center"/>
              <w:rPr>
                <w:rFonts w:eastAsia="Times New Roman"/>
                <w:sz w:val="20"/>
                <w:szCs w:val="20"/>
              </w:rPr>
            </w:pPr>
            <w:r>
              <w:rPr>
                <w:rFonts w:eastAsia="Times New Roman"/>
                <w:sz w:val="20"/>
                <w:szCs w:val="20"/>
              </w:rPr>
              <w:t> </w:t>
            </w:r>
          </w:p>
        </w:tc>
        <w:tc>
          <w:tcPr>
            <w:tcW w:w="0" w:type="auto"/>
            <w:vAlign w:val="bottom"/>
            <w:hideMark/>
          </w:tcPr>
          <w:p w14:paraId="1BA6F0A8"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vAlign w:val="bottom"/>
            <w:hideMark/>
          </w:tcPr>
          <w:p w14:paraId="6E6B17D9" w14:textId="77777777" w:rsidR="00000000" w:rsidRDefault="00087966">
            <w:pPr>
              <w:jc w:val="center"/>
              <w:rPr>
                <w:rFonts w:eastAsia="Times New Roman"/>
                <w:b/>
                <w:bCs/>
                <w:sz w:val="20"/>
                <w:szCs w:val="20"/>
              </w:rPr>
            </w:pPr>
            <w:r>
              <w:rPr>
                <w:rFonts w:eastAsia="Times New Roman"/>
                <w:b/>
                <w:bCs/>
                <w:sz w:val="20"/>
                <w:szCs w:val="20"/>
              </w:rPr>
              <w:t>December </w:t>
            </w:r>
            <w:r>
              <w:rPr>
                <w:rFonts w:eastAsia="Times New Roman"/>
                <w:b/>
                <w:bCs/>
                <w:sz w:val="20"/>
                <w:szCs w:val="20"/>
              </w:rPr>
              <w:t>31,</w:t>
            </w:r>
          </w:p>
        </w:tc>
        <w:tc>
          <w:tcPr>
            <w:tcW w:w="0" w:type="auto"/>
            <w:vAlign w:val="bottom"/>
            <w:hideMark/>
          </w:tcPr>
          <w:p w14:paraId="1D7ED03A" w14:textId="77777777" w:rsidR="00000000" w:rsidRDefault="00087966">
            <w:pPr>
              <w:rPr>
                <w:rFonts w:eastAsia="Times New Roman"/>
                <w:b/>
                <w:bCs/>
                <w:sz w:val="20"/>
                <w:szCs w:val="20"/>
              </w:rPr>
            </w:pPr>
            <w:r>
              <w:rPr>
                <w:rFonts w:eastAsia="Times New Roman"/>
                <w:b/>
                <w:bCs/>
                <w:sz w:val="20"/>
                <w:szCs w:val="20"/>
              </w:rPr>
              <w:t> </w:t>
            </w:r>
          </w:p>
        </w:tc>
        <w:tc>
          <w:tcPr>
            <w:tcW w:w="0" w:type="auto"/>
            <w:vAlign w:val="bottom"/>
            <w:hideMark/>
          </w:tcPr>
          <w:p w14:paraId="2507063B"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vAlign w:val="bottom"/>
            <w:hideMark/>
          </w:tcPr>
          <w:p w14:paraId="1986D203" w14:textId="77777777" w:rsidR="00000000" w:rsidRDefault="00087966">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643388FE" w14:textId="77777777" w:rsidR="00000000" w:rsidRDefault="00087966">
            <w:pPr>
              <w:rPr>
                <w:rFonts w:eastAsia="Times New Roman"/>
                <w:b/>
                <w:bCs/>
                <w:sz w:val="20"/>
                <w:szCs w:val="20"/>
              </w:rPr>
            </w:pPr>
            <w:r>
              <w:rPr>
                <w:rFonts w:eastAsia="Times New Roman"/>
                <w:b/>
                <w:bCs/>
                <w:sz w:val="20"/>
                <w:szCs w:val="20"/>
              </w:rPr>
              <w:t> </w:t>
            </w:r>
          </w:p>
        </w:tc>
      </w:tr>
      <w:tr w:rsidR="00000000" w14:paraId="4A3A305A" w14:textId="77777777">
        <w:trPr>
          <w:divId w:val="1595479706"/>
        </w:trPr>
        <w:tc>
          <w:tcPr>
            <w:tcW w:w="0" w:type="auto"/>
            <w:vAlign w:val="bottom"/>
            <w:hideMark/>
          </w:tcPr>
          <w:p w14:paraId="3B2CD414"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1D0D889"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40FCE60" w14:textId="77777777" w:rsidR="00000000" w:rsidRDefault="00087966">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6D6CDABD"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41088C3"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5B5D50" w14:textId="77777777" w:rsidR="00000000" w:rsidRDefault="00087966">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11176995" w14:textId="77777777" w:rsidR="00000000" w:rsidRDefault="00087966">
            <w:pPr>
              <w:rPr>
                <w:rFonts w:eastAsia="Times New Roman"/>
                <w:b/>
                <w:bCs/>
                <w:sz w:val="20"/>
                <w:szCs w:val="20"/>
              </w:rPr>
            </w:pPr>
            <w:r>
              <w:rPr>
                <w:rFonts w:eastAsia="Times New Roman"/>
                <w:b/>
                <w:bCs/>
                <w:sz w:val="20"/>
                <w:szCs w:val="20"/>
              </w:rPr>
              <w:t> </w:t>
            </w:r>
          </w:p>
        </w:tc>
      </w:tr>
      <w:tr w:rsidR="00000000" w14:paraId="3B4B7BCC" w14:textId="77777777">
        <w:trPr>
          <w:divId w:val="1595479706"/>
        </w:trPr>
        <w:tc>
          <w:tcPr>
            <w:tcW w:w="0" w:type="auto"/>
            <w:vAlign w:val="bottom"/>
            <w:hideMark/>
          </w:tcPr>
          <w:p w14:paraId="355DC184" w14:textId="77777777" w:rsidR="00000000" w:rsidRDefault="00087966">
            <w:pPr>
              <w:rPr>
                <w:rFonts w:eastAsia="Times New Roman"/>
                <w:sz w:val="20"/>
                <w:szCs w:val="20"/>
              </w:rPr>
            </w:pPr>
            <w:r>
              <w:rPr>
                <w:rFonts w:eastAsia="Times New Roman"/>
                <w:sz w:val="20"/>
                <w:szCs w:val="20"/>
              </w:rPr>
              <w:t>Deferred tax assets, net</w:t>
            </w:r>
          </w:p>
        </w:tc>
        <w:tc>
          <w:tcPr>
            <w:tcW w:w="0" w:type="auto"/>
            <w:vAlign w:val="bottom"/>
            <w:hideMark/>
          </w:tcPr>
          <w:p w14:paraId="68D5B01B"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68D1DCC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60F26B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E4C25D3"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6A53DB1A"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2E097147" w14:textId="77777777" w:rsidR="00000000" w:rsidRDefault="00087966">
            <w:pPr>
              <w:rPr>
                <w:rFonts w:eastAsia="Times New Roman"/>
                <w:sz w:val="20"/>
                <w:szCs w:val="20"/>
              </w:rPr>
            </w:pPr>
            <w:r>
              <w:rPr>
                <w:rFonts w:eastAsia="Times New Roman"/>
                <w:sz w:val="20"/>
                <w:szCs w:val="20"/>
              </w:rPr>
              <w:t> </w:t>
            </w:r>
          </w:p>
        </w:tc>
      </w:tr>
      <w:tr w:rsidR="00000000" w14:paraId="25D99687" w14:textId="77777777">
        <w:trPr>
          <w:divId w:val="1595479706"/>
        </w:trPr>
        <w:tc>
          <w:tcPr>
            <w:tcW w:w="3800" w:type="pct"/>
            <w:shd w:val="clear" w:color="auto" w:fill="CCEEFF"/>
            <w:vAlign w:val="bottom"/>
            <w:hideMark/>
          </w:tcPr>
          <w:p w14:paraId="59D91421" w14:textId="77777777" w:rsidR="00000000" w:rsidRDefault="00087966">
            <w:pPr>
              <w:rPr>
                <w:rFonts w:eastAsia="Times New Roman"/>
                <w:sz w:val="20"/>
                <w:szCs w:val="20"/>
              </w:rPr>
            </w:pPr>
            <w:r>
              <w:rPr>
                <w:rFonts w:eastAsia="Times New Roman"/>
                <w:sz w:val="20"/>
                <w:szCs w:val="20"/>
              </w:rPr>
              <w:t>Net operating loss carryforward</w:t>
            </w:r>
          </w:p>
        </w:tc>
        <w:tc>
          <w:tcPr>
            <w:tcW w:w="50" w:type="pct"/>
            <w:shd w:val="clear" w:color="auto" w:fill="CCEEFF"/>
            <w:vAlign w:val="bottom"/>
            <w:hideMark/>
          </w:tcPr>
          <w:p w14:paraId="77E619B7"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75789E"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22A1180C" w14:textId="77777777" w:rsidR="00000000" w:rsidRDefault="00087966">
            <w:pPr>
              <w:jc w:val="right"/>
              <w:divId w:val="1173497914"/>
              <w:rPr>
                <w:rFonts w:eastAsia="Times New Roman"/>
                <w:sz w:val="20"/>
                <w:szCs w:val="20"/>
              </w:rPr>
            </w:pPr>
            <w:r>
              <w:rPr>
                <w:rFonts w:eastAsia="Times New Roman"/>
                <w:sz w:val="20"/>
                <w:szCs w:val="20"/>
              </w:rPr>
              <w:t>—</w:t>
            </w:r>
          </w:p>
        </w:tc>
        <w:tc>
          <w:tcPr>
            <w:tcW w:w="50" w:type="pct"/>
            <w:shd w:val="clear" w:color="auto" w:fill="CCEEFF"/>
            <w:vAlign w:val="bottom"/>
            <w:hideMark/>
          </w:tcPr>
          <w:p w14:paraId="19244540"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816744"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636C53"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7B3F9712" w14:textId="77777777" w:rsidR="00000000" w:rsidRDefault="00087966">
            <w:pPr>
              <w:jc w:val="right"/>
              <w:rPr>
                <w:rFonts w:eastAsia="Times New Roman"/>
                <w:sz w:val="20"/>
                <w:szCs w:val="20"/>
              </w:rPr>
            </w:pPr>
            <w:r>
              <w:rPr>
                <w:rFonts w:eastAsia="Times New Roman"/>
                <w:sz w:val="20"/>
                <w:szCs w:val="20"/>
              </w:rPr>
              <w:t>29,571</w:t>
            </w:r>
          </w:p>
        </w:tc>
        <w:tc>
          <w:tcPr>
            <w:tcW w:w="50" w:type="pct"/>
            <w:shd w:val="clear" w:color="auto" w:fill="CCEEFF"/>
            <w:vAlign w:val="bottom"/>
            <w:hideMark/>
          </w:tcPr>
          <w:p w14:paraId="51939575" w14:textId="77777777" w:rsidR="00000000" w:rsidRDefault="00087966">
            <w:pPr>
              <w:rPr>
                <w:rFonts w:eastAsia="Times New Roman"/>
                <w:sz w:val="20"/>
                <w:szCs w:val="20"/>
              </w:rPr>
            </w:pPr>
            <w:r>
              <w:rPr>
                <w:rFonts w:eastAsia="Times New Roman"/>
                <w:sz w:val="20"/>
                <w:szCs w:val="20"/>
              </w:rPr>
              <w:t> </w:t>
            </w:r>
          </w:p>
        </w:tc>
      </w:tr>
      <w:tr w:rsidR="00000000" w14:paraId="66A3E1D3" w14:textId="77777777">
        <w:trPr>
          <w:divId w:val="1595479706"/>
        </w:trPr>
        <w:tc>
          <w:tcPr>
            <w:tcW w:w="0" w:type="auto"/>
            <w:vAlign w:val="bottom"/>
            <w:hideMark/>
          </w:tcPr>
          <w:p w14:paraId="27707789" w14:textId="77777777" w:rsidR="00000000" w:rsidRDefault="00087966">
            <w:pPr>
              <w:rPr>
                <w:rFonts w:eastAsia="Times New Roman"/>
                <w:sz w:val="20"/>
                <w:szCs w:val="20"/>
              </w:rPr>
            </w:pPr>
            <w:r>
              <w:rPr>
                <w:rFonts w:eastAsia="Times New Roman"/>
                <w:sz w:val="20"/>
                <w:szCs w:val="20"/>
              </w:rPr>
              <w:t>Startup and organizational costs</w:t>
            </w:r>
          </w:p>
        </w:tc>
        <w:tc>
          <w:tcPr>
            <w:tcW w:w="0" w:type="auto"/>
            <w:vAlign w:val="bottom"/>
            <w:hideMark/>
          </w:tcPr>
          <w:p w14:paraId="20A688F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FE1C03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2985002" w14:textId="77777777" w:rsidR="00000000" w:rsidRDefault="00087966">
            <w:pPr>
              <w:jc w:val="right"/>
              <w:rPr>
                <w:rFonts w:eastAsia="Times New Roman"/>
                <w:sz w:val="20"/>
                <w:szCs w:val="20"/>
              </w:rPr>
            </w:pPr>
            <w:r>
              <w:rPr>
                <w:rFonts w:eastAsia="Times New Roman"/>
                <w:sz w:val="20"/>
                <w:szCs w:val="20"/>
              </w:rPr>
              <w:t>618,152</w:t>
            </w:r>
          </w:p>
        </w:tc>
        <w:tc>
          <w:tcPr>
            <w:tcW w:w="0" w:type="auto"/>
            <w:vAlign w:val="bottom"/>
            <w:hideMark/>
          </w:tcPr>
          <w:p w14:paraId="2842158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A40836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7FD1EF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498E34E" w14:textId="77777777" w:rsidR="00000000" w:rsidRDefault="00087966">
            <w:pPr>
              <w:jc w:val="right"/>
              <w:rPr>
                <w:rFonts w:eastAsia="Times New Roman"/>
                <w:sz w:val="20"/>
                <w:szCs w:val="20"/>
              </w:rPr>
            </w:pPr>
            <w:r>
              <w:rPr>
                <w:rFonts w:eastAsia="Times New Roman"/>
                <w:sz w:val="20"/>
                <w:szCs w:val="20"/>
              </w:rPr>
              <w:t>295,262</w:t>
            </w:r>
          </w:p>
        </w:tc>
        <w:tc>
          <w:tcPr>
            <w:tcW w:w="0" w:type="auto"/>
            <w:vAlign w:val="bottom"/>
            <w:hideMark/>
          </w:tcPr>
          <w:p w14:paraId="28552CC9" w14:textId="77777777" w:rsidR="00000000" w:rsidRDefault="00087966">
            <w:pPr>
              <w:rPr>
                <w:rFonts w:eastAsia="Times New Roman"/>
                <w:sz w:val="20"/>
                <w:szCs w:val="20"/>
              </w:rPr>
            </w:pPr>
            <w:r>
              <w:rPr>
                <w:rFonts w:eastAsia="Times New Roman"/>
                <w:sz w:val="20"/>
                <w:szCs w:val="20"/>
              </w:rPr>
              <w:t> </w:t>
            </w:r>
          </w:p>
        </w:tc>
      </w:tr>
      <w:tr w:rsidR="00000000" w14:paraId="58FD3D82" w14:textId="77777777">
        <w:trPr>
          <w:divId w:val="1595479706"/>
        </w:trPr>
        <w:tc>
          <w:tcPr>
            <w:tcW w:w="0" w:type="auto"/>
            <w:shd w:val="clear" w:color="auto" w:fill="CCEEFF"/>
            <w:vAlign w:val="bottom"/>
            <w:hideMark/>
          </w:tcPr>
          <w:p w14:paraId="381B4E71" w14:textId="77777777" w:rsidR="00000000" w:rsidRDefault="00087966">
            <w:pPr>
              <w:rPr>
                <w:rFonts w:eastAsia="Times New Roman"/>
                <w:sz w:val="20"/>
                <w:szCs w:val="20"/>
              </w:rPr>
            </w:pPr>
            <w:r>
              <w:rPr>
                <w:rFonts w:eastAsia="Times New Roman"/>
                <w:sz w:val="20"/>
                <w:szCs w:val="20"/>
              </w:rPr>
              <w:t>Change in fair value of Working Capital Loan</w:t>
            </w:r>
          </w:p>
        </w:tc>
        <w:tc>
          <w:tcPr>
            <w:tcW w:w="0" w:type="auto"/>
            <w:shd w:val="clear" w:color="auto" w:fill="CCEEFF"/>
            <w:vAlign w:val="bottom"/>
            <w:hideMark/>
          </w:tcPr>
          <w:p w14:paraId="0A9D296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49506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9E0A94" w14:textId="77777777" w:rsidR="00000000" w:rsidRDefault="00087966">
            <w:pPr>
              <w:jc w:val="right"/>
              <w:rPr>
                <w:rFonts w:eastAsia="Times New Roman"/>
                <w:sz w:val="20"/>
                <w:szCs w:val="20"/>
              </w:rPr>
            </w:pPr>
            <w:r>
              <w:rPr>
                <w:rFonts w:eastAsia="Times New Roman"/>
                <w:sz w:val="20"/>
                <w:szCs w:val="20"/>
              </w:rPr>
              <w:t>(71,622</w:t>
            </w:r>
          </w:p>
        </w:tc>
        <w:tc>
          <w:tcPr>
            <w:tcW w:w="0" w:type="auto"/>
            <w:shd w:val="clear" w:color="auto" w:fill="CCEEFF"/>
            <w:vAlign w:val="bottom"/>
            <w:hideMark/>
          </w:tcPr>
          <w:p w14:paraId="3F08D271"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507E0A7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6594F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116222" w14:textId="77777777" w:rsidR="00000000" w:rsidRDefault="00087966">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7EEA358" w14:textId="77777777" w:rsidR="00000000" w:rsidRDefault="00087966">
            <w:pPr>
              <w:rPr>
                <w:rFonts w:eastAsia="Times New Roman"/>
                <w:sz w:val="20"/>
                <w:szCs w:val="20"/>
              </w:rPr>
            </w:pPr>
            <w:r>
              <w:rPr>
                <w:rFonts w:eastAsia="Times New Roman"/>
                <w:sz w:val="20"/>
                <w:szCs w:val="20"/>
              </w:rPr>
              <w:t> </w:t>
            </w:r>
          </w:p>
        </w:tc>
      </w:tr>
      <w:tr w:rsidR="00000000" w14:paraId="47232ABE" w14:textId="77777777">
        <w:trPr>
          <w:divId w:val="1595479706"/>
        </w:trPr>
        <w:tc>
          <w:tcPr>
            <w:tcW w:w="0" w:type="auto"/>
            <w:tcMar>
              <w:top w:w="0" w:type="dxa"/>
              <w:left w:w="0" w:type="dxa"/>
              <w:bottom w:w="30" w:type="dxa"/>
              <w:right w:w="0" w:type="dxa"/>
            </w:tcMar>
            <w:vAlign w:val="bottom"/>
            <w:hideMark/>
          </w:tcPr>
          <w:p w14:paraId="062D9C91" w14:textId="77777777" w:rsidR="00000000" w:rsidRDefault="00087966">
            <w:pPr>
              <w:rPr>
                <w:rFonts w:eastAsia="Times New Roman"/>
                <w:sz w:val="20"/>
                <w:szCs w:val="20"/>
              </w:rPr>
            </w:pPr>
            <w:r>
              <w:rPr>
                <w:rFonts w:eastAsia="Times New Roman"/>
                <w:sz w:val="20"/>
                <w:szCs w:val="20"/>
              </w:rPr>
              <w:t>Unrealized gain on marketable securities</w:t>
            </w:r>
          </w:p>
        </w:tc>
        <w:tc>
          <w:tcPr>
            <w:tcW w:w="0" w:type="auto"/>
            <w:tcMar>
              <w:top w:w="0" w:type="dxa"/>
              <w:left w:w="0" w:type="dxa"/>
              <w:bottom w:w="30" w:type="dxa"/>
              <w:right w:w="0" w:type="dxa"/>
            </w:tcMar>
            <w:vAlign w:val="bottom"/>
            <w:hideMark/>
          </w:tcPr>
          <w:p w14:paraId="1EDC0F3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B406EB8"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1E47C75" w14:textId="77777777" w:rsidR="00000000" w:rsidRDefault="00087966">
            <w:pPr>
              <w:jc w:val="right"/>
              <w:divId w:val="976102832"/>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658778D5"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933659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3CDF08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E916998" w14:textId="77777777" w:rsidR="00000000" w:rsidRDefault="00087966">
            <w:pPr>
              <w:jc w:val="right"/>
              <w:rPr>
                <w:rFonts w:eastAsia="Times New Roman"/>
                <w:sz w:val="20"/>
                <w:szCs w:val="20"/>
              </w:rPr>
            </w:pPr>
            <w:r>
              <w:rPr>
                <w:rFonts w:eastAsia="Times New Roman"/>
                <w:sz w:val="20"/>
                <w:szCs w:val="20"/>
              </w:rPr>
              <w:t>(4,121</w:t>
            </w:r>
          </w:p>
        </w:tc>
        <w:tc>
          <w:tcPr>
            <w:tcW w:w="0" w:type="auto"/>
            <w:tcMar>
              <w:top w:w="0" w:type="dxa"/>
              <w:left w:w="0" w:type="dxa"/>
              <w:bottom w:w="30" w:type="dxa"/>
              <w:right w:w="0" w:type="dxa"/>
            </w:tcMar>
            <w:vAlign w:val="bottom"/>
            <w:hideMark/>
          </w:tcPr>
          <w:p w14:paraId="5B8CE467" w14:textId="77777777" w:rsidR="00000000" w:rsidRDefault="00087966">
            <w:pPr>
              <w:rPr>
                <w:rFonts w:eastAsia="Times New Roman"/>
                <w:sz w:val="20"/>
                <w:szCs w:val="20"/>
              </w:rPr>
            </w:pPr>
            <w:r>
              <w:rPr>
                <w:rFonts w:eastAsia="Times New Roman"/>
                <w:sz w:val="20"/>
                <w:szCs w:val="20"/>
              </w:rPr>
              <w:t>)</w:t>
            </w:r>
          </w:p>
        </w:tc>
      </w:tr>
      <w:tr w:rsidR="00000000" w14:paraId="65EBE87A" w14:textId="77777777">
        <w:trPr>
          <w:divId w:val="1595479706"/>
        </w:trPr>
        <w:tc>
          <w:tcPr>
            <w:tcW w:w="0" w:type="auto"/>
            <w:shd w:val="clear" w:color="auto" w:fill="CCEEFF"/>
            <w:vAlign w:val="bottom"/>
            <w:hideMark/>
          </w:tcPr>
          <w:p w14:paraId="2B2BA75F" w14:textId="77777777" w:rsidR="00000000" w:rsidRDefault="00087966">
            <w:pPr>
              <w:rPr>
                <w:rFonts w:eastAsia="Times New Roman"/>
                <w:sz w:val="20"/>
                <w:szCs w:val="20"/>
              </w:rPr>
            </w:pPr>
            <w:r>
              <w:rPr>
                <w:rFonts w:eastAsia="Times New Roman"/>
                <w:sz w:val="20"/>
                <w:szCs w:val="20"/>
              </w:rPr>
              <w:t xml:space="preserve">Total deferred tax assets, net </w:t>
            </w:r>
          </w:p>
        </w:tc>
        <w:tc>
          <w:tcPr>
            <w:tcW w:w="0" w:type="auto"/>
            <w:shd w:val="clear" w:color="auto" w:fill="CCEEFF"/>
            <w:vAlign w:val="bottom"/>
            <w:hideMark/>
          </w:tcPr>
          <w:p w14:paraId="44C0B40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C6C26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1C2DFF" w14:textId="77777777" w:rsidR="00000000" w:rsidRDefault="00087966">
            <w:pPr>
              <w:jc w:val="right"/>
              <w:rPr>
                <w:rFonts w:eastAsia="Times New Roman"/>
                <w:sz w:val="20"/>
                <w:szCs w:val="20"/>
              </w:rPr>
            </w:pPr>
            <w:r>
              <w:rPr>
                <w:rFonts w:eastAsia="Times New Roman"/>
                <w:sz w:val="20"/>
                <w:szCs w:val="20"/>
              </w:rPr>
              <w:t>546,530</w:t>
            </w:r>
          </w:p>
        </w:tc>
        <w:tc>
          <w:tcPr>
            <w:tcW w:w="0" w:type="auto"/>
            <w:shd w:val="clear" w:color="auto" w:fill="CCEEFF"/>
            <w:vAlign w:val="bottom"/>
            <w:hideMark/>
          </w:tcPr>
          <w:p w14:paraId="0F1D8E4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E79FA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E447B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A04278" w14:textId="77777777" w:rsidR="00000000" w:rsidRDefault="00087966">
            <w:pPr>
              <w:jc w:val="right"/>
              <w:rPr>
                <w:rFonts w:eastAsia="Times New Roman"/>
                <w:sz w:val="20"/>
                <w:szCs w:val="20"/>
              </w:rPr>
            </w:pPr>
            <w:r>
              <w:rPr>
                <w:rFonts w:eastAsia="Times New Roman"/>
                <w:sz w:val="20"/>
                <w:szCs w:val="20"/>
              </w:rPr>
              <w:t>320,712</w:t>
            </w:r>
          </w:p>
        </w:tc>
        <w:tc>
          <w:tcPr>
            <w:tcW w:w="0" w:type="auto"/>
            <w:shd w:val="clear" w:color="auto" w:fill="CCEEFF"/>
            <w:vAlign w:val="bottom"/>
            <w:hideMark/>
          </w:tcPr>
          <w:p w14:paraId="6622F3B2" w14:textId="77777777" w:rsidR="00000000" w:rsidRDefault="00087966">
            <w:pPr>
              <w:rPr>
                <w:rFonts w:eastAsia="Times New Roman"/>
                <w:sz w:val="20"/>
                <w:szCs w:val="20"/>
              </w:rPr>
            </w:pPr>
            <w:r>
              <w:rPr>
                <w:rFonts w:eastAsia="Times New Roman"/>
                <w:sz w:val="20"/>
                <w:szCs w:val="20"/>
              </w:rPr>
              <w:t> </w:t>
            </w:r>
          </w:p>
        </w:tc>
      </w:tr>
      <w:tr w:rsidR="00000000" w14:paraId="5A3C11D4" w14:textId="77777777">
        <w:trPr>
          <w:divId w:val="1595479706"/>
        </w:trPr>
        <w:tc>
          <w:tcPr>
            <w:tcW w:w="0" w:type="auto"/>
            <w:tcMar>
              <w:top w:w="0" w:type="dxa"/>
              <w:left w:w="0" w:type="dxa"/>
              <w:bottom w:w="30" w:type="dxa"/>
              <w:right w:w="0" w:type="dxa"/>
            </w:tcMar>
            <w:vAlign w:val="bottom"/>
            <w:hideMark/>
          </w:tcPr>
          <w:p w14:paraId="264270FB" w14:textId="77777777" w:rsidR="00000000" w:rsidRDefault="00087966">
            <w:pPr>
              <w:rPr>
                <w:rFonts w:eastAsia="Times New Roman"/>
                <w:sz w:val="20"/>
                <w:szCs w:val="20"/>
              </w:rPr>
            </w:pPr>
            <w:r>
              <w:rPr>
                <w:rFonts w:eastAsia="Times New Roman"/>
                <w:sz w:val="20"/>
                <w:szCs w:val="20"/>
              </w:rPr>
              <w:t>Valuation allowance</w:t>
            </w:r>
          </w:p>
        </w:tc>
        <w:tc>
          <w:tcPr>
            <w:tcW w:w="0" w:type="auto"/>
            <w:tcMar>
              <w:top w:w="0" w:type="dxa"/>
              <w:left w:w="0" w:type="dxa"/>
              <w:bottom w:w="30" w:type="dxa"/>
              <w:right w:w="0" w:type="dxa"/>
            </w:tcMar>
            <w:vAlign w:val="bottom"/>
            <w:hideMark/>
          </w:tcPr>
          <w:p w14:paraId="5DF50CCC"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CF8D01E"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054D8DB" w14:textId="77777777" w:rsidR="00000000" w:rsidRDefault="00087966">
            <w:pPr>
              <w:jc w:val="right"/>
              <w:rPr>
                <w:rFonts w:eastAsia="Times New Roman"/>
                <w:sz w:val="20"/>
                <w:szCs w:val="20"/>
              </w:rPr>
            </w:pPr>
            <w:r>
              <w:rPr>
                <w:rFonts w:eastAsia="Times New Roman"/>
                <w:sz w:val="20"/>
                <w:szCs w:val="20"/>
              </w:rPr>
              <w:t>(618,152</w:t>
            </w:r>
          </w:p>
        </w:tc>
        <w:tc>
          <w:tcPr>
            <w:tcW w:w="0" w:type="auto"/>
            <w:tcMar>
              <w:top w:w="0" w:type="dxa"/>
              <w:left w:w="0" w:type="dxa"/>
              <w:bottom w:w="30" w:type="dxa"/>
              <w:right w:w="0" w:type="dxa"/>
            </w:tcMar>
            <w:vAlign w:val="bottom"/>
            <w:hideMark/>
          </w:tcPr>
          <w:p w14:paraId="221007C0" w14:textId="77777777" w:rsidR="00000000" w:rsidRDefault="00087966">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5C062172"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23E044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03801C5" w14:textId="77777777" w:rsidR="00000000" w:rsidRDefault="00087966">
            <w:pPr>
              <w:jc w:val="right"/>
              <w:rPr>
                <w:rFonts w:eastAsia="Times New Roman"/>
                <w:sz w:val="20"/>
                <w:szCs w:val="20"/>
              </w:rPr>
            </w:pPr>
            <w:r>
              <w:rPr>
                <w:rFonts w:eastAsia="Times New Roman"/>
                <w:sz w:val="20"/>
                <w:szCs w:val="20"/>
              </w:rPr>
              <w:t>(320,712</w:t>
            </w:r>
          </w:p>
        </w:tc>
        <w:tc>
          <w:tcPr>
            <w:tcW w:w="0" w:type="auto"/>
            <w:tcMar>
              <w:top w:w="0" w:type="dxa"/>
              <w:left w:w="0" w:type="dxa"/>
              <w:bottom w:w="30" w:type="dxa"/>
              <w:right w:w="0" w:type="dxa"/>
            </w:tcMar>
            <w:vAlign w:val="bottom"/>
            <w:hideMark/>
          </w:tcPr>
          <w:p w14:paraId="0FA8CFE4" w14:textId="77777777" w:rsidR="00000000" w:rsidRDefault="00087966">
            <w:pPr>
              <w:rPr>
                <w:rFonts w:eastAsia="Times New Roman"/>
                <w:sz w:val="20"/>
                <w:szCs w:val="20"/>
              </w:rPr>
            </w:pPr>
            <w:r>
              <w:rPr>
                <w:rFonts w:eastAsia="Times New Roman"/>
                <w:sz w:val="20"/>
                <w:szCs w:val="20"/>
              </w:rPr>
              <w:t>)</w:t>
            </w:r>
          </w:p>
        </w:tc>
      </w:tr>
      <w:tr w:rsidR="00000000" w14:paraId="79827CE5" w14:textId="77777777">
        <w:trPr>
          <w:divId w:val="1595479706"/>
        </w:trPr>
        <w:tc>
          <w:tcPr>
            <w:tcW w:w="0" w:type="auto"/>
            <w:shd w:val="clear" w:color="auto" w:fill="CCEEFF"/>
            <w:tcMar>
              <w:top w:w="0" w:type="dxa"/>
              <w:left w:w="0" w:type="dxa"/>
              <w:bottom w:w="80" w:type="dxa"/>
              <w:right w:w="0" w:type="dxa"/>
            </w:tcMar>
            <w:vAlign w:val="bottom"/>
            <w:hideMark/>
          </w:tcPr>
          <w:p w14:paraId="4D84CE1A" w14:textId="77777777" w:rsidR="00000000" w:rsidRDefault="00087966">
            <w:pPr>
              <w:rPr>
                <w:rFonts w:eastAsia="Times New Roman"/>
                <w:sz w:val="20"/>
                <w:szCs w:val="20"/>
              </w:rPr>
            </w:pPr>
            <w:r>
              <w:rPr>
                <w:rFonts w:eastAsia="Times New Roman"/>
                <w:sz w:val="20"/>
                <w:szCs w:val="20"/>
              </w:rPr>
              <w:t>Deferred tax liability, net of valuation allowance</w:t>
            </w:r>
          </w:p>
        </w:tc>
        <w:tc>
          <w:tcPr>
            <w:tcW w:w="0" w:type="auto"/>
            <w:shd w:val="clear" w:color="auto" w:fill="CCEEFF"/>
            <w:tcMar>
              <w:top w:w="0" w:type="dxa"/>
              <w:left w:w="0" w:type="dxa"/>
              <w:bottom w:w="80" w:type="dxa"/>
              <w:right w:w="0" w:type="dxa"/>
            </w:tcMar>
            <w:vAlign w:val="bottom"/>
            <w:hideMark/>
          </w:tcPr>
          <w:p w14:paraId="7AE39E59"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93EB38C"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457AB509" w14:textId="77777777" w:rsidR="00000000" w:rsidRDefault="00087966">
            <w:pPr>
              <w:jc w:val="right"/>
              <w:rPr>
                <w:rFonts w:eastAsia="Times New Roman"/>
                <w:sz w:val="20"/>
                <w:szCs w:val="20"/>
              </w:rPr>
            </w:pPr>
            <w:r>
              <w:rPr>
                <w:rFonts w:eastAsia="Times New Roman"/>
                <w:sz w:val="20"/>
                <w:szCs w:val="20"/>
              </w:rPr>
              <w:t>(71,622</w:t>
            </w:r>
          </w:p>
        </w:tc>
        <w:tc>
          <w:tcPr>
            <w:tcW w:w="0" w:type="auto"/>
            <w:shd w:val="clear" w:color="auto" w:fill="CCEEFF"/>
            <w:tcMar>
              <w:top w:w="0" w:type="dxa"/>
              <w:left w:w="0" w:type="dxa"/>
              <w:bottom w:w="80" w:type="dxa"/>
              <w:right w:w="0" w:type="dxa"/>
            </w:tcMar>
            <w:vAlign w:val="bottom"/>
            <w:hideMark/>
          </w:tcPr>
          <w:p w14:paraId="0F7FF66F"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3B1DC3D6"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FEEB577"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03B49670" w14:textId="77777777" w:rsidR="00000000" w:rsidRDefault="00087966">
            <w:pPr>
              <w:jc w:val="right"/>
              <w:divId w:val="176425926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41FBF212" w14:textId="77777777" w:rsidR="00000000" w:rsidRDefault="00087966">
            <w:pPr>
              <w:rPr>
                <w:rFonts w:eastAsia="Times New Roman"/>
                <w:sz w:val="20"/>
                <w:szCs w:val="20"/>
              </w:rPr>
            </w:pPr>
            <w:r>
              <w:rPr>
                <w:rFonts w:eastAsia="Times New Roman"/>
                <w:sz w:val="20"/>
                <w:szCs w:val="20"/>
              </w:rPr>
              <w:t> </w:t>
            </w:r>
          </w:p>
        </w:tc>
      </w:tr>
    </w:tbl>
    <w:p w14:paraId="1DFE4DA9" w14:textId="77777777" w:rsidR="00000000" w:rsidRDefault="00087966">
      <w:pPr>
        <w:pStyle w:val="a3"/>
        <w:spacing w:before="0" w:beforeAutospacing="0" w:after="0" w:afterAutospacing="0"/>
        <w:jc w:val="both"/>
        <w:divId w:val="1595479706"/>
        <w:rPr>
          <w:sz w:val="20"/>
          <w:szCs w:val="20"/>
        </w:rPr>
      </w:pPr>
      <w:r>
        <w:rPr>
          <w:sz w:val="20"/>
          <w:szCs w:val="20"/>
        </w:rPr>
        <w:t> </w:t>
      </w:r>
    </w:p>
    <w:p w14:paraId="3FF61899" w14:textId="77777777" w:rsidR="00000000" w:rsidRDefault="00087966">
      <w:pPr>
        <w:pStyle w:val="a3"/>
        <w:spacing w:before="0" w:beforeAutospacing="0" w:after="0" w:afterAutospacing="0"/>
        <w:jc w:val="both"/>
        <w:divId w:val="1595479706"/>
        <w:rPr>
          <w:sz w:val="20"/>
          <w:szCs w:val="20"/>
        </w:rPr>
      </w:pPr>
      <w:r>
        <w:rPr>
          <w:sz w:val="20"/>
          <w:szCs w:val="20"/>
        </w:rPr>
        <w:t>The income tax provision consists of the following:</w:t>
      </w:r>
    </w:p>
    <w:p w14:paraId="5F1A7501"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8"/>
        <w:gridCol w:w="50"/>
        <w:gridCol w:w="117"/>
        <w:gridCol w:w="1050"/>
        <w:gridCol w:w="67"/>
        <w:gridCol w:w="50"/>
        <w:gridCol w:w="117"/>
        <w:gridCol w:w="1050"/>
        <w:gridCol w:w="67"/>
      </w:tblGrid>
      <w:tr w:rsidR="00000000" w14:paraId="3F534186" w14:textId="77777777">
        <w:trPr>
          <w:divId w:val="1595479706"/>
        </w:trPr>
        <w:tc>
          <w:tcPr>
            <w:tcW w:w="0" w:type="auto"/>
            <w:vAlign w:val="bottom"/>
            <w:hideMark/>
          </w:tcPr>
          <w:p w14:paraId="150795E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F0DD5DE"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vAlign w:val="bottom"/>
            <w:hideMark/>
          </w:tcPr>
          <w:p w14:paraId="30D28C87" w14:textId="77777777" w:rsidR="00000000" w:rsidRDefault="00087966">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1865D995" w14:textId="77777777" w:rsidR="00000000" w:rsidRDefault="00087966">
            <w:pPr>
              <w:rPr>
                <w:rFonts w:eastAsia="Times New Roman"/>
                <w:b/>
                <w:bCs/>
                <w:sz w:val="20"/>
                <w:szCs w:val="20"/>
              </w:rPr>
            </w:pPr>
            <w:r>
              <w:rPr>
                <w:rFonts w:eastAsia="Times New Roman"/>
                <w:b/>
                <w:bCs/>
                <w:sz w:val="20"/>
                <w:szCs w:val="20"/>
              </w:rPr>
              <w:t> </w:t>
            </w:r>
          </w:p>
        </w:tc>
        <w:tc>
          <w:tcPr>
            <w:tcW w:w="0" w:type="auto"/>
            <w:vAlign w:val="bottom"/>
            <w:hideMark/>
          </w:tcPr>
          <w:p w14:paraId="1658E7FF"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vAlign w:val="bottom"/>
            <w:hideMark/>
          </w:tcPr>
          <w:p w14:paraId="6BC8E452" w14:textId="77777777" w:rsidR="00000000" w:rsidRDefault="00087966">
            <w:pPr>
              <w:jc w:val="center"/>
              <w:rPr>
                <w:rFonts w:eastAsia="Times New Roman"/>
                <w:b/>
                <w:bCs/>
                <w:sz w:val="20"/>
                <w:szCs w:val="20"/>
              </w:rPr>
            </w:pPr>
            <w:r>
              <w:rPr>
                <w:rFonts w:eastAsia="Times New Roman"/>
                <w:b/>
                <w:bCs/>
                <w:sz w:val="20"/>
                <w:szCs w:val="20"/>
              </w:rPr>
              <w:t>December 31,</w:t>
            </w:r>
          </w:p>
        </w:tc>
        <w:tc>
          <w:tcPr>
            <w:tcW w:w="0" w:type="auto"/>
            <w:vAlign w:val="bottom"/>
            <w:hideMark/>
          </w:tcPr>
          <w:p w14:paraId="14EC10F5" w14:textId="77777777" w:rsidR="00000000" w:rsidRDefault="00087966">
            <w:pPr>
              <w:rPr>
                <w:rFonts w:eastAsia="Times New Roman"/>
                <w:b/>
                <w:bCs/>
                <w:sz w:val="20"/>
                <w:szCs w:val="20"/>
              </w:rPr>
            </w:pPr>
            <w:r>
              <w:rPr>
                <w:rFonts w:eastAsia="Times New Roman"/>
                <w:b/>
                <w:bCs/>
                <w:sz w:val="20"/>
                <w:szCs w:val="20"/>
              </w:rPr>
              <w:t> </w:t>
            </w:r>
          </w:p>
        </w:tc>
      </w:tr>
      <w:tr w:rsidR="00000000" w14:paraId="6EFFF7AE" w14:textId="77777777">
        <w:trPr>
          <w:divId w:val="1595479706"/>
        </w:trPr>
        <w:tc>
          <w:tcPr>
            <w:tcW w:w="0" w:type="auto"/>
            <w:vAlign w:val="bottom"/>
            <w:hideMark/>
          </w:tcPr>
          <w:p w14:paraId="78058632"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6FA282D"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5E3EB23" w14:textId="77777777" w:rsidR="00000000" w:rsidRDefault="00087966">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53C07EAC"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AC867F9"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5498CFB" w14:textId="77777777" w:rsidR="00000000" w:rsidRDefault="00087966">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1B244A3" w14:textId="77777777" w:rsidR="00000000" w:rsidRDefault="00087966">
            <w:pPr>
              <w:rPr>
                <w:rFonts w:eastAsia="Times New Roman"/>
                <w:b/>
                <w:bCs/>
                <w:sz w:val="20"/>
                <w:szCs w:val="20"/>
              </w:rPr>
            </w:pPr>
            <w:r>
              <w:rPr>
                <w:rFonts w:eastAsia="Times New Roman"/>
                <w:b/>
                <w:bCs/>
                <w:sz w:val="20"/>
                <w:szCs w:val="20"/>
              </w:rPr>
              <w:t> </w:t>
            </w:r>
          </w:p>
        </w:tc>
      </w:tr>
      <w:tr w:rsidR="00000000" w14:paraId="2DE01677" w14:textId="77777777">
        <w:trPr>
          <w:divId w:val="1595479706"/>
        </w:trPr>
        <w:tc>
          <w:tcPr>
            <w:tcW w:w="0" w:type="auto"/>
            <w:vAlign w:val="bottom"/>
            <w:hideMark/>
          </w:tcPr>
          <w:p w14:paraId="6CCDBF93" w14:textId="77777777" w:rsidR="00000000" w:rsidRDefault="00087966">
            <w:pPr>
              <w:rPr>
                <w:rFonts w:eastAsia="Times New Roman"/>
                <w:sz w:val="20"/>
                <w:szCs w:val="20"/>
              </w:rPr>
            </w:pPr>
            <w:r>
              <w:rPr>
                <w:rFonts w:eastAsia="Times New Roman"/>
                <w:sz w:val="20"/>
                <w:szCs w:val="20"/>
              </w:rPr>
              <w:t>Federal</w:t>
            </w:r>
          </w:p>
        </w:tc>
        <w:tc>
          <w:tcPr>
            <w:tcW w:w="0" w:type="auto"/>
            <w:vAlign w:val="bottom"/>
            <w:hideMark/>
          </w:tcPr>
          <w:p w14:paraId="2C3B63DD"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7D72D9B1"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3A16554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5D2A046"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7C5B4D3B"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55AECC4A" w14:textId="77777777" w:rsidR="00000000" w:rsidRDefault="00087966">
            <w:pPr>
              <w:rPr>
                <w:rFonts w:eastAsia="Times New Roman"/>
                <w:sz w:val="20"/>
                <w:szCs w:val="20"/>
              </w:rPr>
            </w:pPr>
            <w:r>
              <w:rPr>
                <w:rFonts w:eastAsia="Times New Roman"/>
                <w:sz w:val="20"/>
                <w:szCs w:val="20"/>
              </w:rPr>
              <w:t> </w:t>
            </w:r>
          </w:p>
        </w:tc>
      </w:tr>
      <w:tr w:rsidR="00000000" w14:paraId="0E875084" w14:textId="77777777">
        <w:trPr>
          <w:divId w:val="1595479706"/>
        </w:trPr>
        <w:tc>
          <w:tcPr>
            <w:tcW w:w="3800" w:type="pct"/>
            <w:shd w:val="clear" w:color="auto" w:fill="CCEEFF"/>
            <w:vAlign w:val="bottom"/>
            <w:hideMark/>
          </w:tcPr>
          <w:p w14:paraId="08CA9612" w14:textId="77777777" w:rsidR="00000000" w:rsidRDefault="00087966">
            <w:pPr>
              <w:rPr>
                <w:rFonts w:eastAsia="Times New Roman"/>
                <w:sz w:val="20"/>
                <w:szCs w:val="20"/>
              </w:rPr>
            </w:pPr>
            <w:r>
              <w:rPr>
                <w:rFonts w:eastAsia="Times New Roman"/>
                <w:sz w:val="20"/>
                <w:szCs w:val="20"/>
              </w:rPr>
              <w:t>Current</w:t>
            </w:r>
          </w:p>
        </w:tc>
        <w:tc>
          <w:tcPr>
            <w:tcW w:w="50" w:type="pct"/>
            <w:shd w:val="clear" w:color="auto" w:fill="CCEEFF"/>
            <w:vAlign w:val="bottom"/>
            <w:hideMark/>
          </w:tcPr>
          <w:p w14:paraId="5EEBE4EA"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1AB9BD93"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62AA7EB3" w14:textId="77777777" w:rsidR="00000000" w:rsidRDefault="00087966">
            <w:pPr>
              <w:jc w:val="right"/>
              <w:rPr>
                <w:rFonts w:eastAsia="Times New Roman"/>
                <w:sz w:val="20"/>
                <w:szCs w:val="20"/>
              </w:rPr>
            </w:pPr>
            <w:r>
              <w:rPr>
                <w:rFonts w:eastAsia="Times New Roman"/>
                <w:sz w:val="20"/>
                <w:szCs w:val="20"/>
              </w:rPr>
              <w:t>302,394</w:t>
            </w:r>
          </w:p>
        </w:tc>
        <w:tc>
          <w:tcPr>
            <w:tcW w:w="50" w:type="pct"/>
            <w:shd w:val="clear" w:color="auto" w:fill="CCEEFF"/>
            <w:vAlign w:val="bottom"/>
            <w:hideMark/>
          </w:tcPr>
          <w:p w14:paraId="41CB921D"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39B12A64"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B41F95"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052C8E7E" w14:textId="77777777" w:rsidR="00000000" w:rsidRDefault="00087966">
            <w:pPr>
              <w:jc w:val="right"/>
              <w:divId w:val="859852923"/>
              <w:rPr>
                <w:rFonts w:eastAsia="Times New Roman"/>
                <w:sz w:val="20"/>
                <w:szCs w:val="20"/>
              </w:rPr>
            </w:pPr>
            <w:r>
              <w:rPr>
                <w:rFonts w:eastAsia="Times New Roman"/>
                <w:sz w:val="20"/>
                <w:szCs w:val="20"/>
              </w:rPr>
              <w:t>—</w:t>
            </w:r>
          </w:p>
        </w:tc>
        <w:tc>
          <w:tcPr>
            <w:tcW w:w="50" w:type="pct"/>
            <w:shd w:val="clear" w:color="auto" w:fill="CCEEFF"/>
            <w:vAlign w:val="bottom"/>
            <w:hideMark/>
          </w:tcPr>
          <w:p w14:paraId="196338D0" w14:textId="77777777" w:rsidR="00000000" w:rsidRDefault="00087966">
            <w:pPr>
              <w:rPr>
                <w:rFonts w:eastAsia="Times New Roman"/>
                <w:sz w:val="20"/>
                <w:szCs w:val="20"/>
              </w:rPr>
            </w:pPr>
            <w:r>
              <w:rPr>
                <w:rFonts w:eastAsia="Times New Roman"/>
                <w:sz w:val="20"/>
                <w:szCs w:val="20"/>
              </w:rPr>
              <w:t> </w:t>
            </w:r>
          </w:p>
        </w:tc>
      </w:tr>
      <w:tr w:rsidR="00000000" w14:paraId="48CFA8D7" w14:textId="77777777">
        <w:trPr>
          <w:divId w:val="1595479706"/>
        </w:trPr>
        <w:tc>
          <w:tcPr>
            <w:tcW w:w="0" w:type="auto"/>
            <w:vAlign w:val="bottom"/>
            <w:hideMark/>
          </w:tcPr>
          <w:p w14:paraId="7828A055" w14:textId="77777777" w:rsidR="00000000" w:rsidRDefault="00087966">
            <w:pPr>
              <w:rPr>
                <w:rFonts w:eastAsia="Times New Roman"/>
                <w:sz w:val="20"/>
                <w:szCs w:val="20"/>
              </w:rPr>
            </w:pPr>
            <w:r>
              <w:rPr>
                <w:rFonts w:eastAsia="Times New Roman"/>
                <w:sz w:val="20"/>
                <w:szCs w:val="20"/>
              </w:rPr>
              <w:t>Deferred</w:t>
            </w:r>
          </w:p>
        </w:tc>
        <w:tc>
          <w:tcPr>
            <w:tcW w:w="0" w:type="auto"/>
            <w:vAlign w:val="bottom"/>
            <w:hideMark/>
          </w:tcPr>
          <w:p w14:paraId="499BC88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869A3C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7BE2D32" w14:textId="77777777" w:rsidR="00000000" w:rsidRDefault="00087966">
            <w:pPr>
              <w:jc w:val="right"/>
              <w:rPr>
                <w:rFonts w:eastAsia="Times New Roman"/>
                <w:sz w:val="20"/>
                <w:szCs w:val="20"/>
              </w:rPr>
            </w:pPr>
            <w:r>
              <w:rPr>
                <w:rFonts w:eastAsia="Times New Roman"/>
                <w:sz w:val="20"/>
                <w:szCs w:val="20"/>
              </w:rPr>
              <w:t>(225,819</w:t>
            </w:r>
          </w:p>
        </w:tc>
        <w:tc>
          <w:tcPr>
            <w:tcW w:w="0" w:type="auto"/>
            <w:vAlign w:val="bottom"/>
            <w:hideMark/>
          </w:tcPr>
          <w:p w14:paraId="25D88758"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7ECD0CF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B76487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3C647F5" w14:textId="77777777" w:rsidR="00000000" w:rsidRDefault="00087966">
            <w:pPr>
              <w:jc w:val="right"/>
              <w:rPr>
                <w:rFonts w:eastAsia="Times New Roman"/>
                <w:sz w:val="20"/>
                <w:szCs w:val="20"/>
              </w:rPr>
            </w:pPr>
            <w:r>
              <w:rPr>
                <w:rFonts w:eastAsia="Times New Roman"/>
                <w:sz w:val="20"/>
                <w:szCs w:val="20"/>
              </w:rPr>
              <w:t>(320,314</w:t>
            </w:r>
          </w:p>
        </w:tc>
        <w:tc>
          <w:tcPr>
            <w:tcW w:w="0" w:type="auto"/>
            <w:vAlign w:val="bottom"/>
            <w:hideMark/>
          </w:tcPr>
          <w:p w14:paraId="08C3563A" w14:textId="77777777" w:rsidR="00000000" w:rsidRDefault="00087966">
            <w:pPr>
              <w:rPr>
                <w:rFonts w:eastAsia="Times New Roman"/>
                <w:sz w:val="20"/>
                <w:szCs w:val="20"/>
              </w:rPr>
            </w:pPr>
            <w:r>
              <w:rPr>
                <w:rFonts w:eastAsia="Times New Roman"/>
                <w:sz w:val="20"/>
                <w:szCs w:val="20"/>
              </w:rPr>
              <w:t>)</w:t>
            </w:r>
          </w:p>
        </w:tc>
      </w:tr>
      <w:tr w:rsidR="00000000" w14:paraId="482FF0F4" w14:textId="77777777">
        <w:trPr>
          <w:divId w:val="1595479706"/>
        </w:trPr>
        <w:tc>
          <w:tcPr>
            <w:tcW w:w="0" w:type="auto"/>
            <w:shd w:val="clear" w:color="auto" w:fill="CCEEFF"/>
            <w:vAlign w:val="bottom"/>
            <w:hideMark/>
          </w:tcPr>
          <w:p w14:paraId="618D1BA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6B479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A7195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8501FF"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AA34C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B6B4E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467FE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A6C199"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5DF93F" w14:textId="77777777" w:rsidR="00000000" w:rsidRDefault="00087966">
            <w:pPr>
              <w:rPr>
                <w:rFonts w:eastAsia="Times New Roman"/>
                <w:sz w:val="20"/>
                <w:szCs w:val="20"/>
              </w:rPr>
            </w:pPr>
            <w:r>
              <w:rPr>
                <w:rFonts w:eastAsia="Times New Roman"/>
                <w:sz w:val="20"/>
                <w:szCs w:val="20"/>
              </w:rPr>
              <w:t> </w:t>
            </w:r>
          </w:p>
        </w:tc>
      </w:tr>
      <w:tr w:rsidR="00000000" w14:paraId="46EE535D" w14:textId="77777777">
        <w:trPr>
          <w:divId w:val="1595479706"/>
        </w:trPr>
        <w:tc>
          <w:tcPr>
            <w:tcW w:w="0" w:type="auto"/>
            <w:vAlign w:val="bottom"/>
            <w:hideMark/>
          </w:tcPr>
          <w:p w14:paraId="723B9F46" w14:textId="77777777" w:rsidR="00000000" w:rsidRDefault="00087966">
            <w:pPr>
              <w:rPr>
                <w:rFonts w:eastAsia="Times New Roman"/>
                <w:sz w:val="20"/>
                <w:szCs w:val="20"/>
              </w:rPr>
            </w:pPr>
            <w:r>
              <w:rPr>
                <w:rFonts w:eastAsia="Times New Roman"/>
                <w:sz w:val="20"/>
                <w:szCs w:val="20"/>
              </w:rPr>
              <w:t>State and Local</w:t>
            </w:r>
          </w:p>
        </w:tc>
        <w:tc>
          <w:tcPr>
            <w:tcW w:w="0" w:type="auto"/>
            <w:vAlign w:val="bottom"/>
            <w:hideMark/>
          </w:tcPr>
          <w:p w14:paraId="745A2A1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20D1F9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C8224CD"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77CA756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D06113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CCE172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95B46A0"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DB153F2" w14:textId="77777777" w:rsidR="00000000" w:rsidRDefault="00087966">
            <w:pPr>
              <w:rPr>
                <w:rFonts w:eastAsia="Times New Roman"/>
                <w:sz w:val="20"/>
                <w:szCs w:val="20"/>
              </w:rPr>
            </w:pPr>
            <w:r>
              <w:rPr>
                <w:rFonts w:eastAsia="Times New Roman"/>
                <w:sz w:val="20"/>
                <w:szCs w:val="20"/>
              </w:rPr>
              <w:t> </w:t>
            </w:r>
          </w:p>
        </w:tc>
      </w:tr>
      <w:tr w:rsidR="00000000" w14:paraId="6057E4A9" w14:textId="77777777">
        <w:trPr>
          <w:divId w:val="1595479706"/>
        </w:trPr>
        <w:tc>
          <w:tcPr>
            <w:tcW w:w="0" w:type="auto"/>
            <w:shd w:val="clear" w:color="auto" w:fill="CCEEFF"/>
            <w:vAlign w:val="bottom"/>
            <w:hideMark/>
          </w:tcPr>
          <w:p w14:paraId="4000F8B7" w14:textId="77777777" w:rsidR="00000000" w:rsidRDefault="00087966">
            <w:pPr>
              <w:rPr>
                <w:rFonts w:eastAsia="Times New Roman"/>
                <w:sz w:val="20"/>
                <w:szCs w:val="20"/>
              </w:rPr>
            </w:pPr>
            <w:r>
              <w:rPr>
                <w:rFonts w:eastAsia="Times New Roman"/>
                <w:sz w:val="20"/>
                <w:szCs w:val="20"/>
              </w:rPr>
              <w:t>Current</w:t>
            </w:r>
          </w:p>
        </w:tc>
        <w:tc>
          <w:tcPr>
            <w:tcW w:w="0" w:type="auto"/>
            <w:shd w:val="clear" w:color="auto" w:fill="CCEEFF"/>
            <w:vAlign w:val="bottom"/>
            <w:hideMark/>
          </w:tcPr>
          <w:p w14:paraId="00526DD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4C46B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40C4A1" w14:textId="77777777" w:rsidR="00000000" w:rsidRDefault="00087966">
            <w:pPr>
              <w:jc w:val="right"/>
              <w:divId w:val="287856968"/>
              <w:rPr>
                <w:rFonts w:eastAsia="Times New Roman"/>
                <w:sz w:val="20"/>
                <w:szCs w:val="20"/>
              </w:rPr>
            </w:pPr>
            <w:r>
              <w:rPr>
                <w:rFonts w:eastAsia="Times New Roman"/>
                <w:sz w:val="20"/>
                <w:szCs w:val="20"/>
              </w:rPr>
              <w:t>—</w:t>
            </w:r>
          </w:p>
        </w:tc>
        <w:tc>
          <w:tcPr>
            <w:tcW w:w="0" w:type="auto"/>
            <w:shd w:val="clear" w:color="auto" w:fill="CCEEFF"/>
            <w:vAlign w:val="bottom"/>
            <w:hideMark/>
          </w:tcPr>
          <w:p w14:paraId="71C40B8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FC5A3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1D03B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2424E5" w14:textId="77777777" w:rsidR="00000000" w:rsidRDefault="00087966">
            <w:pPr>
              <w:jc w:val="right"/>
              <w:divId w:val="1294795793"/>
              <w:rPr>
                <w:rFonts w:eastAsia="Times New Roman"/>
                <w:sz w:val="20"/>
                <w:szCs w:val="20"/>
              </w:rPr>
            </w:pPr>
            <w:r>
              <w:rPr>
                <w:rFonts w:eastAsia="Times New Roman"/>
                <w:sz w:val="20"/>
                <w:szCs w:val="20"/>
              </w:rPr>
              <w:t>—</w:t>
            </w:r>
          </w:p>
        </w:tc>
        <w:tc>
          <w:tcPr>
            <w:tcW w:w="0" w:type="auto"/>
            <w:shd w:val="clear" w:color="auto" w:fill="CCEEFF"/>
            <w:vAlign w:val="bottom"/>
            <w:hideMark/>
          </w:tcPr>
          <w:p w14:paraId="1DA865D9" w14:textId="77777777" w:rsidR="00000000" w:rsidRDefault="00087966">
            <w:pPr>
              <w:rPr>
                <w:rFonts w:eastAsia="Times New Roman"/>
                <w:sz w:val="20"/>
                <w:szCs w:val="20"/>
              </w:rPr>
            </w:pPr>
            <w:r>
              <w:rPr>
                <w:rFonts w:eastAsia="Times New Roman"/>
                <w:sz w:val="20"/>
                <w:szCs w:val="20"/>
              </w:rPr>
              <w:t> </w:t>
            </w:r>
          </w:p>
        </w:tc>
      </w:tr>
      <w:tr w:rsidR="00000000" w14:paraId="54A081EF" w14:textId="77777777">
        <w:trPr>
          <w:divId w:val="1595479706"/>
        </w:trPr>
        <w:tc>
          <w:tcPr>
            <w:tcW w:w="0" w:type="auto"/>
            <w:vAlign w:val="bottom"/>
            <w:hideMark/>
          </w:tcPr>
          <w:p w14:paraId="26EC1564" w14:textId="77777777" w:rsidR="00000000" w:rsidRDefault="00087966">
            <w:pPr>
              <w:rPr>
                <w:rFonts w:eastAsia="Times New Roman"/>
                <w:sz w:val="20"/>
                <w:szCs w:val="20"/>
              </w:rPr>
            </w:pPr>
            <w:r>
              <w:rPr>
                <w:rFonts w:eastAsia="Times New Roman"/>
                <w:sz w:val="20"/>
                <w:szCs w:val="20"/>
              </w:rPr>
              <w:t>Deferred</w:t>
            </w:r>
          </w:p>
        </w:tc>
        <w:tc>
          <w:tcPr>
            <w:tcW w:w="0" w:type="auto"/>
            <w:vAlign w:val="bottom"/>
            <w:hideMark/>
          </w:tcPr>
          <w:p w14:paraId="49FD69A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9CC159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5646851" w14:textId="77777777" w:rsidR="00000000" w:rsidRDefault="00087966">
            <w:pPr>
              <w:jc w:val="right"/>
              <w:divId w:val="421411468"/>
              <w:rPr>
                <w:rFonts w:eastAsia="Times New Roman"/>
                <w:sz w:val="20"/>
                <w:szCs w:val="20"/>
              </w:rPr>
            </w:pPr>
            <w:r>
              <w:rPr>
                <w:rFonts w:eastAsia="Times New Roman"/>
                <w:sz w:val="20"/>
                <w:szCs w:val="20"/>
              </w:rPr>
              <w:t>—</w:t>
            </w:r>
          </w:p>
        </w:tc>
        <w:tc>
          <w:tcPr>
            <w:tcW w:w="0" w:type="auto"/>
            <w:vAlign w:val="bottom"/>
            <w:hideMark/>
          </w:tcPr>
          <w:p w14:paraId="3802C2F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CFD776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2D9D0A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9267FA4" w14:textId="77777777" w:rsidR="00000000" w:rsidRDefault="00087966">
            <w:pPr>
              <w:jc w:val="right"/>
              <w:divId w:val="591398098"/>
              <w:rPr>
                <w:rFonts w:eastAsia="Times New Roman"/>
                <w:sz w:val="20"/>
                <w:szCs w:val="20"/>
              </w:rPr>
            </w:pPr>
            <w:r>
              <w:rPr>
                <w:rFonts w:eastAsia="Times New Roman"/>
                <w:sz w:val="20"/>
                <w:szCs w:val="20"/>
              </w:rPr>
              <w:t>—</w:t>
            </w:r>
          </w:p>
        </w:tc>
        <w:tc>
          <w:tcPr>
            <w:tcW w:w="0" w:type="auto"/>
            <w:vAlign w:val="bottom"/>
            <w:hideMark/>
          </w:tcPr>
          <w:p w14:paraId="54FBA2C7" w14:textId="77777777" w:rsidR="00000000" w:rsidRDefault="00087966">
            <w:pPr>
              <w:rPr>
                <w:rFonts w:eastAsia="Times New Roman"/>
                <w:sz w:val="20"/>
                <w:szCs w:val="20"/>
              </w:rPr>
            </w:pPr>
            <w:r>
              <w:rPr>
                <w:rFonts w:eastAsia="Times New Roman"/>
                <w:sz w:val="20"/>
                <w:szCs w:val="20"/>
              </w:rPr>
              <w:t> </w:t>
            </w:r>
          </w:p>
        </w:tc>
      </w:tr>
      <w:tr w:rsidR="00000000" w14:paraId="50C3FC4F" w14:textId="77777777">
        <w:trPr>
          <w:divId w:val="1595479706"/>
        </w:trPr>
        <w:tc>
          <w:tcPr>
            <w:tcW w:w="0" w:type="auto"/>
            <w:shd w:val="clear" w:color="auto" w:fill="CCEEFF"/>
            <w:vAlign w:val="bottom"/>
            <w:hideMark/>
          </w:tcPr>
          <w:p w14:paraId="2CA59F4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DBCDB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6EDEE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6A61CA"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F3677B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9BB8E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11D88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AB8B22"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70548BA" w14:textId="77777777" w:rsidR="00000000" w:rsidRDefault="00087966">
            <w:pPr>
              <w:rPr>
                <w:rFonts w:eastAsia="Times New Roman"/>
                <w:sz w:val="20"/>
                <w:szCs w:val="20"/>
              </w:rPr>
            </w:pPr>
            <w:r>
              <w:rPr>
                <w:rFonts w:eastAsia="Times New Roman"/>
                <w:sz w:val="20"/>
                <w:szCs w:val="20"/>
              </w:rPr>
              <w:t> </w:t>
            </w:r>
          </w:p>
        </w:tc>
      </w:tr>
      <w:tr w:rsidR="00000000" w14:paraId="4A4B3B1C" w14:textId="77777777">
        <w:trPr>
          <w:divId w:val="1595479706"/>
        </w:trPr>
        <w:tc>
          <w:tcPr>
            <w:tcW w:w="0" w:type="auto"/>
            <w:tcMar>
              <w:top w:w="0" w:type="dxa"/>
              <w:left w:w="0" w:type="dxa"/>
              <w:bottom w:w="30" w:type="dxa"/>
              <w:right w:w="0" w:type="dxa"/>
            </w:tcMar>
            <w:vAlign w:val="bottom"/>
            <w:hideMark/>
          </w:tcPr>
          <w:p w14:paraId="09B33C64" w14:textId="77777777" w:rsidR="00000000" w:rsidRDefault="00087966">
            <w:pPr>
              <w:rPr>
                <w:rFonts w:eastAsia="Times New Roman"/>
                <w:sz w:val="20"/>
                <w:szCs w:val="20"/>
              </w:rPr>
            </w:pPr>
            <w:r>
              <w:rPr>
                <w:rFonts w:eastAsia="Times New Roman"/>
                <w:sz w:val="20"/>
                <w:szCs w:val="20"/>
              </w:rPr>
              <w:t>Change in valuation allowance</w:t>
            </w:r>
          </w:p>
        </w:tc>
        <w:tc>
          <w:tcPr>
            <w:tcW w:w="0" w:type="auto"/>
            <w:tcMar>
              <w:top w:w="0" w:type="dxa"/>
              <w:left w:w="0" w:type="dxa"/>
              <w:bottom w:w="30" w:type="dxa"/>
              <w:right w:w="0" w:type="dxa"/>
            </w:tcMar>
            <w:vAlign w:val="bottom"/>
            <w:hideMark/>
          </w:tcPr>
          <w:p w14:paraId="3C208C10"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47AA2372"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51E99E3" w14:textId="77777777" w:rsidR="00000000" w:rsidRDefault="00087966">
            <w:pPr>
              <w:jc w:val="right"/>
              <w:rPr>
                <w:rFonts w:eastAsia="Times New Roman"/>
                <w:sz w:val="20"/>
                <w:szCs w:val="20"/>
              </w:rPr>
            </w:pPr>
            <w:r>
              <w:rPr>
                <w:rFonts w:eastAsia="Times New Roman"/>
                <w:sz w:val="20"/>
                <w:szCs w:val="20"/>
              </w:rPr>
              <w:t>297,441</w:t>
            </w:r>
          </w:p>
        </w:tc>
        <w:tc>
          <w:tcPr>
            <w:tcW w:w="0" w:type="auto"/>
            <w:tcMar>
              <w:top w:w="0" w:type="dxa"/>
              <w:left w:w="0" w:type="dxa"/>
              <w:bottom w:w="30" w:type="dxa"/>
              <w:right w:w="0" w:type="dxa"/>
            </w:tcMar>
            <w:vAlign w:val="bottom"/>
            <w:hideMark/>
          </w:tcPr>
          <w:p w14:paraId="6202929F"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7BFD2F4"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50C916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E3360E1" w14:textId="77777777" w:rsidR="00000000" w:rsidRDefault="00087966">
            <w:pPr>
              <w:jc w:val="right"/>
              <w:rPr>
                <w:rFonts w:eastAsia="Times New Roman"/>
                <w:sz w:val="20"/>
                <w:szCs w:val="20"/>
              </w:rPr>
            </w:pPr>
            <w:r>
              <w:rPr>
                <w:rFonts w:eastAsia="Times New Roman"/>
                <w:sz w:val="20"/>
                <w:szCs w:val="20"/>
              </w:rPr>
              <w:t>320,314</w:t>
            </w:r>
          </w:p>
        </w:tc>
        <w:tc>
          <w:tcPr>
            <w:tcW w:w="0" w:type="auto"/>
            <w:tcMar>
              <w:top w:w="0" w:type="dxa"/>
              <w:left w:w="0" w:type="dxa"/>
              <w:bottom w:w="30" w:type="dxa"/>
              <w:right w:w="0" w:type="dxa"/>
            </w:tcMar>
            <w:vAlign w:val="bottom"/>
            <w:hideMark/>
          </w:tcPr>
          <w:p w14:paraId="54187B9E" w14:textId="77777777" w:rsidR="00000000" w:rsidRDefault="00087966">
            <w:pPr>
              <w:rPr>
                <w:rFonts w:eastAsia="Times New Roman"/>
                <w:sz w:val="20"/>
                <w:szCs w:val="20"/>
              </w:rPr>
            </w:pPr>
            <w:r>
              <w:rPr>
                <w:rFonts w:eastAsia="Times New Roman"/>
                <w:sz w:val="20"/>
                <w:szCs w:val="20"/>
              </w:rPr>
              <w:t> </w:t>
            </w:r>
          </w:p>
        </w:tc>
      </w:tr>
      <w:tr w:rsidR="00000000" w14:paraId="7D3A0A40" w14:textId="77777777">
        <w:trPr>
          <w:divId w:val="1595479706"/>
        </w:trPr>
        <w:tc>
          <w:tcPr>
            <w:tcW w:w="0" w:type="auto"/>
            <w:shd w:val="clear" w:color="auto" w:fill="CCEEFF"/>
            <w:tcMar>
              <w:top w:w="0" w:type="dxa"/>
              <w:left w:w="0" w:type="dxa"/>
              <w:bottom w:w="80" w:type="dxa"/>
              <w:right w:w="0" w:type="dxa"/>
            </w:tcMar>
            <w:vAlign w:val="bottom"/>
            <w:hideMark/>
          </w:tcPr>
          <w:p w14:paraId="43276B6D" w14:textId="77777777" w:rsidR="00000000" w:rsidRDefault="00087966">
            <w:pPr>
              <w:rPr>
                <w:rFonts w:eastAsia="Times New Roman"/>
                <w:sz w:val="20"/>
                <w:szCs w:val="20"/>
              </w:rPr>
            </w:pPr>
            <w:r>
              <w:rPr>
                <w:rFonts w:eastAsia="Times New Roman"/>
                <w:sz w:val="20"/>
                <w:szCs w:val="20"/>
              </w:rPr>
              <w:t>Income tax provision</w:t>
            </w:r>
          </w:p>
        </w:tc>
        <w:tc>
          <w:tcPr>
            <w:tcW w:w="0" w:type="auto"/>
            <w:shd w:val="clear" w:color="auto" w:fill="CCEEFF"/>
            <w:tcMar>
              <w:top w:w="0" w:type="dxa"/>
              <w:left w:w="0" w:type="dxa"/>
              <w:bottom w:w="80" w:type="dxa"/>
              <w:right w:w="0" w:type="dxa"/>
            </w:tcMar>
            <w:vAlign w:val="bottom"/>
            <w:hideMark/>
          </w:tcPr>
          <w:p w14:paraId="5A510EA9"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2AC4FF8"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5784D07B" w14:textId="77777777" w:rsidR="00000000" w:rsidRDefault="00087966">
            <w:pPr>
              <w:jc w:val="right"/>
              <w:rPr>
                <w:rFonts w:eastAsia="Times New Roman"/>
                <w:sz w:val="20"/>
                <w:szCs w:val="20"/>
              </w:rPr>
            </w:pPr>
            <w:r>
              <w:rPr>
                <w:rFonts w:eastAsia="Times New Roman"/>
                <w:sz w:val="20"/>
                <w:szCs w:val="20"/>
              </w:rPr>
              <w:t>374,016</w:t>
            </w:r>
          </w:p>
        </w:tc>
        <w:tc>
          <w:tcPr>
            <w:tcW w:w="0" w:type="auto"/>
            <w:shd w:val="clear" w:color="auto" w:fill="CCEEFF"/>
            <w:tcMar>
              <w:top w:w="0" w:type="dxa"/>
              <w:left w:w="0" w:type="dxa"/>
              <w:bottom w:w="80" w:type="dxa"/>
              <w:right w:w="0" w:type="dxa"/>
            </w:tcMar>
            <w:vAlign w:val="bottom"/>
            <w:hideMark/>
          </w:tcPr>
          <w:p w14:paraId="1D3EF46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1332AE3F"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1A535B6A"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0AE6B1A6" w14:textId="77777777" w:rsidR="00000000" w:rsidRDefault="00087966">
            <w:pPr>
              <w:jc w:val="right"/>
              <w:divId w:val="114905754"/>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4F39F35D" w14:textId="77777777" w:rsidR="00000000" w:rsidRDefault="00087966">
            <w:pPr>
              <w:rPr>
                <w:rFonts w:eastAsia="Times New Roman"/>
                <w:sz w:val="20"/>
                <w:szCs w:val="20"/>
              </w:rPr>
            </w:pPr>
            <w:r>
              <w:rPr>
                <w:rFonts w:eastAsia="Times New Roman"/>
                <w:sz w:val="20"/>
                <w:szCs w:val="20"/>
              </w:rPr>
              <w:t> </w:t>
            </w:r>
          </w:p>
        </w:tc>
      </w:tr>
    </w:tbl>
    <w:p w14:paraId="36A846CA" w14:textId="77777777" w:rsidR="00000000" w:rsidRDefault="00087966">
      <w:pPr>
        <w:pStyle w:val="a3"/>
        <w:spacing w:before="0" w:beforeAutospacing="0" w:after="0" w:afterAutospacing="0"/>
        <w:jc w:val="both"/>
        <w:divId w:val="1595479706"/>
        <w:rPr>
          <w:sz w:val="20"/>
          <w:szCs w:val="20"/>
        </w:rPr>
      </w:pPr>
      <w:r>
        <w:rPr>
          <w:sz w:val="20"/>
          <w:szCs w:val="20"/>
        </w:rPr>
        <w:t> </w:t>
      </w:r>
    </w:p>
    <w:p w14:paraId="70B091DD" w14:textId="77777777" w:rsidR="00000000" w:rsidRDefault="00087966">
      <w:pPr>
        <w:pStyle w:val="a3"/>
        <w:spacing w:before="0" w:beforeAutospacing="0" w:after="0" w:afterAutospacing="0"/>
        <w:jc w:val="center"/>
        <w:divId w:val="1906720374"/>
        <w:rPr>
          <w:sz w:val="20"/>
          <w:szCs w:val="20"/>
        </w:rPr>
      </w:pPr>
      <w:r>
        <w:rPr>
          <w:sz w:val="20"/>
          <w:szCs w:val="20"/>
        </w:rPr>
        <w:t>F</w:t>
      </w:r>
      <w:r>
        <w:rPr>
          <w:sz w:val="20"/>
          <w:szCs w:val="20"/>
        </w:rPr>
        <w:t>-</w:t>
      </w:r>
      <w:r>
        <w:rPr>
          <w:sz w:val="20"/>
          <w:szCs w:val="20"/>
        </w:rPr>
        <w:t>2</w:t>
      </w:r>
      <w:r>
        <w:rPr>
          <w:sz w:val="20"/>
          <w:szCs w:val="20"/>
        </w:rPr>
        <w:t>1</w:t>
      </w:r>
    </w:p>
    <w:p w14:paraId="40D8CD5C" w14:textId="77777777" w:rsidR="00000000" w:rsidRDefault="00087966">
      <w:pPr>
        <w:pStyle w:val="a3"/>
        <w:spacing w:before="0" w:beforeAutospacing="0" w:after="0" w:afterAutospacing="0"/>
        <w:divId w:val="1296717045"/>
        <w:rPr>
          <w:sz w:val="20"/>
          <w:szCs w:val="20"/>
        </w:rPr>
      </w:pPr>
      <w:r>
        <w:rPr>
          <w:sz w:val="20"/>
          <w:szCs w:val="20"/>
        </w:rPr>
        <w:t> </w:t>
      </w:r>
    </w:p>
    <w:p w14:paraId="584B28D9" w14:textId="77777777" w:rsidR="00000000" w:rsidRDefault="00087966">
      <w:pPr>
        <w:pStyle w:val="a3"/>
        <w:spacing w:before="0" w:beforeAutospacing="0" w:after="0" w:afterAutospacing="0"/>
        <w:jc w:val="both"/>
        <w:divId w:val="1595479706"/>
        <w:rPr>
          <w:sz w:val="20"/>
          <w:szCs w:val="20"/>
        </w:rPr>
      </w:pPr>
      <w:r>
        <w:rPr>
          <w:sz w:val="20"/>
          <w:szCs w:val="20"/>
        </w:rPr>
        <w:t> </w:t>
      </w:r>
    </w:p>
    <w:p w14:paraId="566AF249"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5FDDB21C"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5706C2F9"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3972AC64" w14:textId="77777777" w:rsidR="00000000" w:rsidRDefault="00087966">
      <w:pPr>
        <w:pStyle w:val="a3"/>
        <w:spacing w:before="0" w:beforeAutospacing="0" w:after="0" w:afterAutospacing="0"/>
        <w:jc w:val="both"/>
        <w:divId w:val="1595479706"/>
        <w:rPr>
          <w:sz w:val="20"/>
          <w:szCs w:val="20"/>
        </w:rPr>
      </w:pPr>
      <w:r>
        <w:rPr>
          <w:sz w:val="20"/>
          <w:szCs w:val="20"/>
        </w:rPr>
        <w:t> </w:t>
      </w:r>
    </w:p>
    <w:p w14:paraId="7F4C3B4F" w14:textId="77777777" w:rsidR="00000000" w:rsidRDefault="00087966">
      <w:pPr>
        <w:pStyle w:val="a3"/>
        <w:spacing w:before="0" w:beforeAutospacing="0" w:after="0" w:afterAutospacing="0"/>
        <w:jc w:val="both"/>
        <w:divId w:val="1595479706"/>
        <w:rPr>
          <w:sz w:val="20"/>
          <w:szCs w:val="20"/>
        </w:rPr>
      </w:pPr>
      <w:r>
        <w:rPr>
          <w:sz w:val="20"/>
          <w:szCs w:val="20"/>
        </w:rPr>
        <w:t>As of December 31, 2022 and 2021, the Company had $0 and $140,812</w:t>
      </w:r>
      <w:r>
        <w:rPr>
          <w:sz w:val="20"/>
          <w:szCs w:val="20"/>
        </w:rPr>
        <w:t>, respectively, of U.S. federal net operating loss carryovers available to offset future taxable income. Federal net operating loss can be carried forward indefinitely.</w:t>
      </w:r>
    </w:p>
    <w:p w14:paraId="2A8C54BD" w14:textId="77777777" w:rsidR="00000000" w:rsidRDefault="00087966">
      <w:pPr>
        <w:pStyle w:val="a3"/>
        <w:spacing w:before="0" w:beforeAutospacing="0" w:after="0" w:afterAutospacing="0"/>
        <w:jc w:val="both"/>
        <w:divId w:val="1595479706"/>
        <w:rPr>
          <w:sz w:val="20"/>
          <w:szCs w:val="20"/>
        </w:rPr>
      </w:pPr>
      <w:r>
        <w:rPr>
          <w:sz w:val="20"/>
          <w:szCs w:val="20"/>
        </w:rPr>
        <w:t> </w:t>
      </w:r>
    </w:p>
    <w:p w14:paraId="649BA70E" w14:textId="77777777" w:rsidR="00000000" w:rsidRDefault="00087966">
      <w:pPr>
        <w:pStyle w:val="a3"/>
        <w:spacing w:before="0" w:beforeAutospacing="0" w:after="0" w:afterAutospacing="0"/>
        <w:jc w:val="both"/>
        <w:divId w:val="1595479706"/>
        <w:rPr>
          <w:sz w:val="20"/>
          <w:szCs w:val="20"/>
        </w:rPr>
      </w:pPr>
      <w:r>
        <w:rPr>
          <w:sz w:val="20"/>
          <w:szCs w:val="20"/>
        </w:rPr>
        <w:t>In assessing the realization of the deferred tax assets, management considers whether</w:t>
      </w:r>
      <w:r>
        <w:rPr>
          <w:sz w:val="20"/>
          <w:szCs w:val="20"/>
        </w:rPr>
        <w:t xml:space="preserve"> it is more likely than not that some portion of all of the deferred tax assets will not be realized. The ultimate realization of deferred tax assets is dependent upon the generation of future taxable income during the periods in which temporary difference</w:t>
      </w:r>
      <w:r>
        <w:rPr>
          <w:sz w:val="20"/>
          <w:szCs w:val="20"/>
        </w:rPr>
        <w:t>s representing net future deductible amounts become deductible. Management considers the scheduled reversal of deferred tax liabilities, projected future taxable income and tax planning strategies in making this assessment. After consideration of all of th</w:t>
      </w:r>
      <w:r>
        <w:rPr>
          <w:sz w:val="20"/>
          <w:szCs w:val="20"/>
        </w:rPr>
        <w:t>e information available, management believes that significant uncertainty exists with respect to future realization of the deferred tax assets and has therefore established a full valuation allowance. For the year ended December 31, 2022 and 2021, the chan</w:t>
      </w:r>
      <w:r>
        <w:rPr>
          <w:sz w:val="20"/>
          <w:szCs w:val="20"/>
        </w:rPr>
        <w:t>ge in the valuation allowance was $297,441 and $320,314, respectively.</w:t>
      </w:r>
    </w:p>
    <w:p w14:paraId="4264C078" w14:textId="77777777" w:rsidR="00000000" w:rsidRDefault="00087966">
      <w:pPr>
        <w:pStyle w:val="a3"/>
        <w:spacing w:before="0" w:beforeAutospacing="0" w:after="0" w:afterAutospacing="0"/>
        <w:jc w:val="both"/>
        <w:divId w:val="1595479706"/>
        <w:rPr>
          <w:sz w:val="20"/>
          <w:szCs w:val="20"/>
        </w:rPr>
      </w:pPr>
      <w:r>
        <w:rPr>
          <w:sz w:val="20"/>
          <w:szCs w:val="20"/>
        </w:rPr>
        <w:t> </w:t>
      </w:r>
    </w:p>
    <w:p w14:paraId="2E388327" w14:textId="77777777" w:rsidR="00000000" w:rsidRDefault="00087966">
      <w:pPr>
        <w:pStyle w:val="a3"/>
        <w:spacing w:before="0" w:beforeAutospacing="0" w:after="0" w:afterAutospacing="0"/>
        <w:jc w:val="both"/>
        <w:divId w:val="1595479706"/>
        <w:rPr>
          <w:sz w:val="20"/>
          <w:szCs w:val="20"/>
        </w:rPr>
      </w:pPr>
      <w:r>
        <w:rPr>
          <w:sz w:val="20"/>
          <w:szCs w:val="20"/>
        </w:rPr>
        <w:t>A reconciliation of the federal income tax rate to the Company’s effective tax rate is as follows:</w:t>
      </w:r>
    </w:p>
    <w:p w14:paraId="490C348D"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404"/>
        <w:gridCol w:w="50"/>
        <w:gridCol w:w="117"/>
        <w:gridCol w:w="1050"/>
        <w:gridCol w:w="234"/>
        <w:gridCol w:w="50"/>
        <w:gridCol w:w="117"/>
        <w:gridCol w:w="1050"/>
        <w:gridCol w:w="234"/>
      </w:tblGrid>
      <w:tr w:rsidR="00000000" w14:paraId="4F4899A3" w14:textId="77777777">
        <w:trPr>
          <w:divId w:val="1595479706"/>
        </w:trPr>
        <w:tc>
          <w:tcPr>
            <w:tcW w:w="0" w:type="auto"/>
            <w:vAlign w:val="bottom"/>
            <w:hideMark/>
          </w:tcPr>
          <w:p w14:paraId="7448E6B4"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BC76D4B"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vAlign w:val="bottom"/>
            <w:hideMark/>
          </w:tcPr>
          <w:p w14:paraId="1CB8B149" w14:textId="77777777" w:rsidR="00000000" w:rsidRDefault="00087966">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74760B98"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FA7AA65"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vAlign w:val="bottom"/>
            <w:hideMark/>
          </w:tcPr>
          <w:p w14:paraId="0E40DF5A" w14:textId="77777777" w:rsidR="00000000" w:rsidRDefault="00087966">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69C54082" w14:textId="77777777" w:rsidR="00000000" w:rsidRDefault="00087966">
            <w:pPr>
              <w:rPr>
                <w:rFonts w:eastAsia="Times New Roman"/>
                <w:b/>
                <w:bCs/>
                <w:sz w:val="20"/>
                <w:szCs w:val="20"/>
              </w:rPr>
            </w:pPr>
            <w:r>
              <w:rPr>
                <w:rFonts w:eastAsia="Times New Roman"/>
                <w:b/>
                <w:bCs/>
                <w:sz w:val="20"/>
                <w:szCs w:val="20"/>
              </w:rPr>
              <w:t> </w:t>
            </w:r>
          </w:p>
        </w:tc>
      </w:tr>
      <w:tr w:rsidR="00000000" w14:paraId="3F265506" w14:textId="77777777">
        <w:trPr>
          <w:divId w:val="1595479706"/>
        </w:trPr>
        <w:tc>
          <w:tcPr>
            <w:tcW w:w="0" w:type="auto"/>
            <w:vAlign w:val="bottom"/>
            <w:hideMark/>
          </w:tcPr>
          <w:p w14:paraId="2F3AD6F6"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F555F8C"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3F894E" w14:textId="77777777" w:rsidR="00000000" w:rsidRDefault="00087966">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65832A29"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3F542E7"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3149A38" w14:textId="77777777" w:rsidR="00000000" w:rsidRDefault="00087966">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686D2B63" w14:textId="77777777" w:rsidR="00000000" w:rsidRDefault="00087966">
            <w:pPr>
              <w:rPr>
                <w:rFonts w:eastAsia="Times New Roman"/>
                <w:b/>
                <w:bCs/>
                <w:sz w:val="20"/>
                <w:szCs w:val="20"/>
              </w:rPr>
            </w:pPr>
            <w:r>
              <w:rPr>
                <w:rFonts w:eastAsia="Times New Roman"/>
                <w:b/>
                <w:bCs/>
                <w:sz w:val="20"/>
                <w:szCs w:val="20"/>
              </w:rPr>
              <w:t> </w:t>
            </w:r>
          </w:p>
        </w:tc>
      </w:tr>
      <w:tr w:rsidR="00000000" w14:paraId="355CA546" w14:textId="77777777">
        <w:trPr>
          <w:divId w:val="1595479706"/>
        </w:trPr>
        <w:tc>
          <w:tcPr>
            <w:tcW w:w="0" w:type="auto"/>
            <w:vAlign w:val="bottom"/>
            <w:hideMark/>
          </w:tcPr>
          <w:p w14:paraId="3C989BC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59CD78B"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2D05B67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F355A8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CDDE2F3"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7758672E"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157B46ED" w14:textId="77777777" w:rsidR="00000000" w:rsidRDefault="00087966">
            <w:pPr>
              <w:rPr>
                <w:rFonts w:eastAsia="Times New Roman"/>
                <w:sz w:val="20"/>
                <w:szCs w:val="20"/>
              </w:rPr>
            </w:pPr>
            <w:r>
              <w:rPr>
                <w:rFonts w:eastAsia="Times New Roman"/>
                <w:sz w:val="20"/>
                <w:szCs w:val="20"/>
              </w:rPr>
              <w:t> </w:t>
            </w:r>
          </w:p>
        </w:tc>
      </w:tr>
      <w:tr w:rsidR="00000000" w14:paraId="784B38F9" w14:textId="77777777">
        <w:trPr>
          <w:divId w:val="1595479706"/>
        </w:trPr>
        <w:tc>
          <w:tcPr>
            <w:tcW w:w="3800" w:type="pct"/>
            <w:shd w:val="clear" w:color="auto" w:fill="CCEEFF"/>
            <w:vAlign w:val="bottom"/>
            <w:hideMark/>
          </w:tcPr>
          <w:p w14:paraId="3E3D4A98" w14:textId="77777777" w:rsidR="00000000" w:rsidRDefault="00087966">
            <w:pPr>
              <w:rPr>
                <w:rFonts w:eastAsia="Times New Roman"/>
                <w:sz w:val="20"/>
                <w:szCs w:val="20"/>
              </w:rPr>
            </w:pPr>
            <w:r>
              <w:rPr>
                <w:rFonts w:eastAsia="Times New Roman"/>
                <w:sz w:val="20"/>
                <w:szCs w:val="20"/>
              </w:rPr>
              <w:t>Statutory federal income tax rate</w:t>
            </w:r>
          </w:p>
        </w:tc>
        <w:tc>
          <w:tcPr>
            <w:tcW w:w="50" w:type="pct"/>
            <w:shd w:val="clear" w:color="auto" w:fill="CCEEFF"/>
            <w:vAlign w:val="bottom"/>
            <w:hideMark/>
          </w:tcPr>
          <w:p w14:paraId="50636CBA"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114F0EAA" w14:textId="77777777" w:rsidR="00000000" w:rsidRDefault="00087966">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0F2433C" w14:textId="77777777" w:rsidR="00000000" w:rsidRDefault="00087966">
            <w:pPr>
              <w:jc w:val="right"/>
              <w:rPr>
                <w:rFonts w:eastAsia="Times New Roman"/>
                <w:sz w:val="20"/>
                <w:szCs w:val="20"/>
              </w:rPr>
            </w:pPr>
            <w:r>
              <w:rPr>
                <w:rFonts w:eastAsia="Times New Roman"/>
                <w:sz w:val="20"/>
                <w:szCs w:val="20"/>
              </w:rPr>
              <w:t>21.0</w:t>
            </w:r>
          </w:p>
        </w:tc>
        <w:tc>
          <w:tcPr>
            <w:tcW w:w="50" w:type="pct"/>
            <w:shd w:val="clear" w:color="auto" w:fill="CCEEFF"/>
            <w:vAlign w:val="bottom"/>
            <w:hideMark/>
          </w:tcPr>
          <w:p w14:paraId="090A2679" w14:textId="77777777" w:rsidR="00000000" w:rsidRDefault="00087966">
            <w:pPr>
              <w:rPr>
                <w:rFonts w:eastAsia="Times New Roman"/>
                <w:sz w:val="20"/>
                <w:szCs w:val="20"/>
              </w:rPr>
            </w:pPr>
            <w:r>
              <w:rPr>
                <w:rFonts w:eastAsia="Times New Roman"/>
                <w:sz w:val="20"/>
                <w:szCs w:val="20"/>
              </w:rPr>
              <w:t>%</w:t>
            </w:r>
          </w:p>
        </w:tc>
        <w:tc>
          <w:tcPr>
            <w:tcW w:w="50" w:type="pct"/>
            <w:shd w:val="clear" w:color="auto" w:fill="CCEEFF"/>
            <w:vAlign w:val="bottom"/>
            <w:hideMark/>
          </w:tcPr>
          <w:p w14:paraId="6572A2FB"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E36BC5" w14:textId="77777777" w:rsidR="00000000" w:rsidRDefault="00087966">
            <w:pPr>
              <w:rPr>
                <w:rFonts w:eastAsia="Times New Roman"/>
                <w:sz w:val="20"/>
                <w:szCs w:val="20"/>
              </w:rPr>
            </w:pPr>
            <w:r>
              <w:rPr>
                <w:rFonts w:eastAsia="Times New Roman"/>
                <w:sz w:val="20"/>
                <w:szCs w:val="20"/>
              </w:rPr>
              <w:t> </w:t>
            </w:r>
          </w:p>
        </w:tc>
        <w:tc>
          <w:tcPr>
            <w:tcW w:w="450" w:type="pct"/>
            <w:shd w:val="clear" w:color="auto" w:fill="CCEEFF"/>
            <w:vAlign w:val="bottom"/>
            <w:hideMark/>
          </w:tcPr>
          <w:p w14:paraId="24AA56AF" w14:textId="77777777" w:rsidR="00000000" w:rsidRDefault="00087966">
            <w:pPr>
              <w:jc w:val="right"/>
              <w:rPr>
                <w:rFonts w:eastAsia="Times New Roman"/>
                <w:sz w:val="20"/>
                <w:szCs w:val="20"/>
              </w:rPr>
            </w:pPr>
            <w:r>
              <w:rPr>
                <w:rFonts w:eastAsia="Times New Roman"/>
                <w:sz w:val="20"/>
                <w:szCs w:val="20"/>
              </w:rPr>
              <w:t>21.0</w:t>
            </w:r>
          </w:p>
        </w:tc>
        <w:tc>
          <w:tcPr>
            <w:tcW w:w="50" w:type="pct"/>
            <w:shd w:val="clear" w:color="auto" w:fill="CCEEFF"/>
            <w:vAlign w:val="bottom"/>
            <w:hideMark/>
          </w:tcPr>
          <w:p w14:paraId="35CC43A1" w14:textId="77777777" w:rsidR="00000000" w:rsidRDefault="00087966">
            <w:pPr>
              <w:rPr>
                <w:rFonts w:eastAsia="Times New Roman"/>
                <w:sz w:val="20"/>
                <w:szCs w:val="20"/>
              </w:rPr>
            </w:pPr>
            <w:r>
              <w:rPr>
                <w:rFonts w:eastAsia="Times New Roman"/>
                <w:sz w:val="20"/>
                <w:szCs w:val="20"/>
              </w:rPr>
              <w:t>%</w:t>
            </w:r>
          </w:p>
        </w:tc>
      </w:tr>
      <w:tr w:rsidR="00000000" w14:paraId="26D6F604" w14:textId="77777777">
        <w:trPr>
          <w:divId w:val="1595479706"/>
        </w:trPr>
        <w:tc>
          <w:tcPr>
            <w:tcW w:w="0" w:type="auto"/>
            <w:vAlign w:val="bottom"/>
            <w:hideMark/>
          </w:tcPr>
          <w:p w14:paraId="78D59F37" w14:textId="77777777" w:rsidR="00000000" w:rsidRDefault="00087966">
            <w:pPr>
              <w:rPr>
                <w:rFonts w:eastAsia="Times New Roman"/>
                <w:sz w:val="20"/>
                <w:szCs w:val="20"/>
              </w:rPr>
            </w:pPr>
            <w:r>
              <w:rPr>
                <w:rFonts w:eastAsia="Times New Roman"/>
                <w:sz w:val="20"/>
                <w:szCs w:val="20"/>
              </w:rPr>
              <w:t>State taxes, net of federal tax benefit</w:t>
            </w:r>
          </w:p>
        </w:tc>
        <w:tc>
          <w:tcPr>
            <w:tcW w:w="0" w:type="auto"/>
            <w:vAlign w:val="bottom"/>
            <w:hideMark/>
          </w:tcPr>
          <w:p w14:paraId="3649FD7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F8C804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C225F1D" w14:textId="77777777" w:rsidR="00000000" w:rsidRDefault="00087966">
            <w:pPr>
              <w:jc w:val="right"/>
              <w:rPr>
                <w:rFonts w:eastAsia="Times New Roman"/>
                <w:sz w:val="20"/>
                <w:szCs w:val="20"/>
              </w:rPr>
            </w:pPr>
            <w:r>
              <w:rPr>
                <w:rFonts w:eastAsia="Times New Roman"/>
                <w:sz w:val="20"/>
                <w:szCs w:val="20"/>
              </w:rPr>
              <w:t>0.0</w:t>
            </w:r>
          </w:p>
        </w:tc>
        <w:tc>
          <w:tcPr>
            <w:tcW w:w="0" w:type="auto"/>
            <w:vAlign w:val="bottom"/>
            <w:hideMark/>
          </w:tcPr>
          <w:p w14:paraId="2DA7B946"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167B6ED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857579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9C71104" w14:textId="77777777" w:rsidR="00000000" w:rsidRDefault="00087966">
            <w:pPr>
              <w:jc w:val="right"/>
              <w:rPr>
                <w:rFonts w:eastAsia="Times New Roman"/>
                <w:sz w:val="20"/>
                <w:szCs w:val="20"/>
              </w:rPr>
            </w:pPr>
            <w:r>
              <w:rPr>
                <w:rFonts w:eastAsia="Times New Roman"/>
                <w:sz w:val="20"/>
                <w:szCs w:val="20"/>
              </w:rPr>
              <w:t>0.0</w:t>
            </w:r>
          </w:p>
        </w:tc>
        <w:tc>
          <w:tcPr>
            <w:tcW w:w="0" w:type="auto"/>
            <w:vAlign w:val="bottom"/>
            <w:hideMark/>
          </w:tcPr>
          <w:p w14:paraId="14E4C143" w14:textId="77777777" w:rsidR="00000000" w:rsidRDefault="00087966">
            <w:pPr>
              <w:rPr>
                <w:rFonts w:eastAsia="Times New Roman"/>
                <w:sz w:val="20"/>
                <w:szCs w:val="20"/>
              </w:rPr>
            </w:pPr>
            <w:r>
              <w:rPr>
                <w:rFonts w:eastAsia="Times New Roman"/>
                <w:sz w:val="20"/>
                <w:szCs w:val="20"/>
              </w:rPr>
              <w:t>%</w:t>
            </w:r>
          </w:p>
        </w:tc>
      </w:tr>
      <w:tr w:rsidR="00000000" w14:paraId="255EA2CA" w14:textId="77777777">
        <w:trPr>
          <w:divId w:val="1595479706"/>
        </w:trPr>
        <w:tc>
          <w:tcPr>
            <w:tcW w:w="0" w:type="auto"/>
            <w:shd w:val="clear" w:color="auto" w:fill="CCEEFF"/>
            <w:vAlign w:val="bottom"/>
            <w:hideMark/>
          </w:tcPr>
          <w:p w14:paraId="1FA8C6A8" w14:textId="77777777" w:rsidR="00000000" w:rsidRDefault="00087966">
            <w:pPr>
              <w:rPr>
                <w:rFonts w:eastAsia="Times New Roman"/>
                <w:sz w:val="20"/>
                <w:szCs w:val="20"/>
              </w:rPr>
            </w:pPr>
            <w:r>
              <w:rPr>
                <w:rFonts w:eastAsia="Times New Roman"/>
                <w:sz w:val="20"/>
                <w:szCs w:val="20"/>
              </w:rPr>
              <w:t>Change in fair value of warrants</w:t>
            </w:r>
          </w:p>
        </w:tc>
        <w:tc>
          <w:tcPr>
            <w:tcW w:w="0" w:type="auto"/>
            <w:shd w:val="clear" w:color="auto" w:fill="CCEEFF"/>
            <w:vAlign w:val="bottom"/>
            <w:hideMark/>
          </w:tcPr>
          <w:p w14:paraId="28D9CE4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CB834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786D47" w14:textId="77777777" w:rsidR="00000000" w:rsidRDefault="00087966">
            <w:pPr>
              <w:jc w:val="right"/>
              <w:rPr>
                <w:rFonts w:eastAsia="Times New Roman"/>
                <w:sz w:val="20"/>
                <w:szCs w:val="20"/>
              </w:rPr>
            </w:pPr>
            <w:r>
              <w:rPr>
                <w:rFonts w:eastAsia="Times New Roman"/>
                <w:sz w:val="20"/>
                <w:szCs w:val="20"/>
              </w:rPr>
              <w:t>(28.0</w:t>
            </w:r>
          </w:p>
        </w:tc>
        <w:tc>
          <w:tcPr>
            <w:tcW w:w="0" w:type="auto"/>
            <w:shd w:val="clear" w:color="auto" w:fill="CCEEFF"/>
            <w:vAlign w:val="bottom"/>
            <w:hideMark/>
          </w:tcPr>
          <w:p w14:paraId="0F04E389"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4999AEB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D0D2A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2D927B" w14:textId="77777777" w:rsidR="00000000" w:rsidRDefault="00087966">
            <w:pPr>
              <w:jc w:val="right"/>
              <w:rPr>
                <w:rFonts w:eastAsia="Times New Roman"/>
                <w:sz w:val="20"/>
                <w:szCs w:val="20"/>
              </w:rPr>
            </w:pPr>
            <w:r>
              <w:rPr>
                <w:rFonts w:eastAsia="Times New Roman"/>
                <w:sz w:val="20"/>
                <w:szCs w:val="20"/>
              </w:rPr>
              <w:t>84.9</w:t>
            </w:r>
          </w:p>
        </w:tc>
        <w:tc>
          <w:tcPr>
            <w:tcW w:w="0" w:type="auto"/>
            <w:shd w:val="clear" w:color="auto" w:fill="CCEEFF"/>
            <w:vAlign w:val="bottom"/>
            <w:hideMark/>
          </w:tcPr>
          <w:p w14:paraId="1C59354E" w14:textId="77777777" w:rsidR="00000000" w:rsidRDefault="00087966">
            <w:pPr>
              <w:rPr>
                <w:rFonts w:eastAsia="Times New Roman"/>
                <w:sz w:val="20"/>
                <w:szCs w:val="20"/>
              </w:rPr>
            </w:pPr>
            <w:r>
              <w:rPr>
                <w:rFonts w:eastAsia="Times New Roman"/>
                <w:sz w:val="20"/>
                <w:szCs w:val="20"/>
              </w:rPr>
              <w:t>%</w:t>
            </w:r>
          </w:p>
        </w:tc>
      </w:tr>
      <w:tr w:rsidR="00000000" w14:paraId="6B139102" w14:textId="77777777">
        <w:trPr>
          <w:divId w:val="1595479706"/>
        </w:trPr>
        <w:tc>
          <w:tcPr>
            <w:tcW w:w="0" w:type="auto"/>
            <w:vAlign w:val="bottom"/>
            <w:hideMark/>
          </w:tcPr>
          <w:p w14:paraId="3A97F4BA" w14:textId="77777777" w:rsidR="00000000" w:rsidRDefault="00087966">
            <w:pPr>
              <w:rPr>
                <w:rFonts w:eastAsia="Times New Roman"/>
                <w:sz w:val="20"/>
                <w:szCs w:val="20"/>
              </w:rPr>
            </w:pPr>
            <w:r>
              <w:rPr>
                <w:rFonts w:eastAsia="Times New Roman"/>
                <w:sz w:val="20"/>
                <w:szCs w:val="20"/>
              </w:rPr>
              <w:t>Transaction costs allocable to warrants</w:t>
            </w:r>
          </w:p>
        </w:tc>
        <w:tc>
          <w:tcPr>
            <w:tcW w:w="0" w:type="auto"/>
            <w:vAlign w:val="bottom"/>
            <w:hideMark/>
          </w:tcPr>
          <w:p w14:paraId="7294592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02C7E3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5F1D5A0" w14:textId="77777777" w:rsidR="00000000" w:rsidRDefault="00087966">
            <w:pPr>
              <w:jc w:val="right"/>
              <w:rPr>
                <w:rFonts w:eastAsia="Times New Roman"/>
                <w:sz w:val="20"/>
                <w:szCs w:val="20"/>
              </w:rPr>
            </w:pPr>
            <w:r>
              <w:rPr>
                <w:rFonts w:eastAsia="Times New Roman"/>
                <w:sz w:val="20"/>
                <w:szCs w:val="20"/>
              </w:rPr>
              <w:t>0.0</w:t>
            </w:r>
          </w:p>
        </w:tc>
        <w:tc>
          <w:tcPr>
            <w:tcW w:w="0" w:type="auto"/>
            <w:vAlign w:val="bottom"/>
            <w:hideMark/>
          </w:tcPr>
          <w:p w14:paraId="299D1AF7"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0B20464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034F5B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AC48611" w14:textId="77777777" w:rsidR="00000000" w:rsidRDefault="00087966">
            <w:pPr>
              <w:jc w:val="right"/>
              <w:rPr>
                <w:rFonts w:eastAsia="Times New Roman"/>
                <w:sz w:val="20"/>
                <w:szCs w:val="20"/>
              </w:rPr>
            </w:pPr>
            <w:r>
              <w:rPr>
                <w:rFonts w:eastAsia="Times New Roman"/>
                <w:sz w:val="20"/>
                <w:szCs w:val="20"/>
              </w:rPr>
              <w:t>(27.1</w:t>
            </w:r>
          </w:p>
        </w:tc>
        <w:tc>
          <w:tcPr>
            <w:tcW w:w="0" w:type="auto"/>
            <w:vAlign w:val="bottom"/>
            <w:hideMark/>
          </w:tcPr>
          <w:p w14:paraId="20580063" w14:textId="77777777" w:rsidR="00000000" w:rsidRDefault="00087966">
            <w:pPr>
              <w:rPr>
                <w:rFonts w:eastAsia="Times New Roman"/>
                <w:sz w:val="20"/>
                <w:szCs w:val="20"/>
              </w:rPr>
            </w:pPr>
            <w:r>
              <w:rPr>
                <w:rFonts w:eastAsia="Times New Roman"/>
                <w:sz w:val="20"/>
                <w:szCs w:val="20"/>
              </w:rPr>
              <w:t>)%</w:t>
            </w:r>
          </w:p>
        </w:tc>
      </w:tr>
      <w:tr w:rsidR="00000000" w14:paraId="44D3F09A" w14:textId="77777777">
        <w:trPr>
          <w:divId w:val="1595479706"/>
        </w:trPr>
        <w:tc>
          <w:tcPr>
            <w:tcW w:w="0" w:type="auto"/>
            <w:shd w:val="clear" w:color="auto" w:fill="CCEEFF"/>
            <w:vAlign w:val="bottom"/>
            <w:hideMark/>
          </w:tcPr>
          <w:p w14:paraId="68AED8A9" w14:textId="77777777" w:rsidR="00000000" w:rsidRDefault="00087966">
            <w:pPr>
              <w:rPr>
                <w:rFonts w:eastAsia="Times New Roman"/>
                <w:sz w:val="20"/>
                <w:szCs w:val="20"/>
              </w:rPr>
            </w:pPr>
            <w:r>
              <w:rPr>
                <w:rFonts w:eastAsia="Times New Roman"/>
                <w:sz w:val="20"/>
                <w:szCs w:val="20"/>
              </w:rPr>
              <w:t>Business combination expenses</w:t>
            </w:r>
          </w:p>
        </w:tc>
        <w:tc>
          <w:tcPr>
            <w:tcW w:w="0" w:type="auto"/>
            <w:shd w:val="clear" w:color="auto" w:fill="CCEEFF"/>
            <w:vAlign w:val="bottom"/>
            <w:hideMark/>
          </w:tcPr>
          <w:p w14:paraId="16BAAAA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30B72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EF5D1C" w14:textId="77777777" w:rsidR="00000000" w:rsidRDefault="00087966">
            <w:pPr>
              <w:jc w:val="right"/>
              <w:rPr>
                <w:rFonts w:eastAsia="Times New Roman"/>
                <w:sz w:val="20"/>
                <w:szCs w:val="20"/>
              </w:rPr>
            </w:pPr>
            <w:r>
              <w:rPr>
                <w:rFonts w:eastAsia="Times New Roman"/>
                <w:sz w:val="20"/>
                <w:szCs w:val="20"/>
              </w:rPr>
              <w:t>8.4</w:t>
            </w:r>
          </w:p>
        </w:tc>
        <w:tc>
          <w:tcPr>
            <w:tcW w:w="0" w:type="auto"/>
            <w:shd w:val="clear" w:color="auto" w:fill="CCEEFF"/>
            <w:vAlign w:val="bottom"/>
            <w:hideMark/>
          </w:tcPr>
          <w:p w14:paraId="06D3E460"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09ECEB4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09CED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4FF63A" w14:textId="77777777" w:rsidR="00000000" w:rsidRDefault="00087966">
            <w:pPr>
              <w:jc w:val="right"/>
              <w:divId w:val="1647707046"/>
              <w:rPr>
                <w:rFonts w:eastAsia="Times New Roman"/>
                <w:sz w:val="20"/>
                <w:szCs w:val="20"/>
              </w:rPr>
            </w:pPr>
            <w:r>
              <w:rPr>
                <w:rFonts w:eastAsia="Times New Roman"/>
                <w:sz w:val="20"/>
                <w:szCs w:val="20"/>
              </w:rPr>
              <w:t>—</w:t>
            </w:r>
          </w:p>
        </w:tc>
        <w:tc>
          <w:tcPr>
            <w:tcW w:w="0" w:type="auto"/>
            <w:shd w:val="clear" w:color="auto" w:fill="CCEEFF"/>
            <w:vAlign w:val="bottom"/>
            <w:hideMark/>
          </w:tcPr>
          <w:p w14:paraId="26A5E1CB" w14:textId="77777777" w:rsidR="00000000" w:rsidRDefault="00087966">
            <w:pPr>
              <w:rPr>
                <w:rFonts w:eastAsia="Times New Roman"/>
                <w:sz w:val="20"/>
                <w:szCs w:val="20"/>
              </w:rPr>
            </w:pPr>
            <w:r>
              <w:rPr>
                <w:rFonts w:eastAsia="Times New Roman"/>
                <w:sz w:val="20"/>
                <w:szCs w:val="20"/>
              </w:rPr>
              <w:t>%</w:t>
            </w:r>
          </w:p>
        </w:tc>
      </w:tr>
      <w:tr w:rsidR="00000000" w14:paraId="58F94AE3" w14:textId="77777777">
        <w:trPr>
          <w:divId w:val="1595479706"/>
        </w:trPr>
        <w:tc>
          <w:tcPr>
            <w:tcW w:w="0" w:type="auto"/>
            <w:tcMar>
              <w:top w:w="0" w:type="dxa"/>
              <w:left w:w="0" w:type="dxa"/>
              <w:bottom w:w="30" w:type="dxa"/>
              <w:right w:w="0" w:type="dxa"/>
            </w:tcMar>
            <w:vAlign w:val="bottom"/>
            <w:hideMark/>
          </w:tcPr>
          <w:p w14:paraId="11C22535" w14:textId="77777777" w:rsidR="00000000" w:rsidRDefault="00087966">
            <w:pPr>
              <w:rPr>
                <w:rFonts w:eastAsia="Times New Roman"/>
                <w:sz w:val="20"/>
                <w:szCs w:val="20"/>
              </w:rPr>
            </w:pPr>
            <w:r>
              <w:rPr>
                <w:rFonts w:eastAsia="Times New Roman"/>
                <w:sz w:val="20"/>
                <w:szCs w:val="20"/>
              </w:rPr>
              <w:t>Change in valuation allowance</w:t>
            </w:r>
          </w:p>
        </w:tc>
        <w:tc>
          <w:tcPr>
            <w:tcW w:w="0" w:type="auto"/>
            <w:tcMar>
              <w:top w:w="0" w:type="dxa"/>
              <w:left w:w="0" w:type="dxa"/>
              <w:bottom w:w="30" w:type="dxa"/>
              <w:right w:w="0" w:type="dxa"/>
            </w:tcMar>
            <w:vAlign w:val="bottom"/>
            <w:hideMark/>
          </w:tcPr>
          <w:p w14:paraId="601A0CE3"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26D47DD"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156ADC9A" w14:textId="77777777" w:rsidR="00000000" w:rsidRDefault="00087966">
            <w:pPr>
              <w:jc w:val="right"/>
              <w:rPr>
                <w:rFonts w:eastAsia="Times New Roman"/>
                <w:sz w:val="20"/>
                <w:szCs w:val="20"/>
              </w:rPr>
            </w:pPr>
            <w:r>
              <w:rPr>
                <w:rFonts w:eastAsia="Times New Roman"/>
                <w:sz w:val="20"/>
                <w:szCs w:val="20"/>
              </w:rPr>
              <w:t>5.5</w:t>
            </w:r>
          </w:p>
        </w:tc>
        <w:tc>
          <w:tcPr>
            <w:tcW w:w="0" w:type="auto"/>
            <w:tcMar>
              <w:top w:w="0" w:type="dxa"/>
              <w:left w:w="0" w:type="dxa"/>
              <w:bottom w:w="30" w:type="dxa"/>
              <w:right w:w="0" w:type="dxa"/>
            </w:tcMar>
            <w:vAlign w:val="bottom"/>
            <w:hideMark/>
          </w:tcPr>
          <w:p w14:paraId="3F9DC854" w14:textId="77777777" w:rsidR="00000000" w:rsidRDefault="00087966">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231B03D4"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E6E902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29D8548" w14:textId="77777777" w:rsidR="00000000" w:rsidRDefault="00087966">
            <w:pPr>
              <w:jc w:val="right"/>
              <w:rPr>
                <w:rFonts w:eastAsia="Times New Roman"/>
                <w:sz w:val="20"/>
                <w:szCs w:val="20"/>
              </w:rPr>
            </w:pPr>
            <w:r>
              <w:rPr>
                <w:rFonts w:eastAsia="Times New Roman"/>
                <w:sz w:val="20"/>
                <w:szCs w:val="20"/>
              </w:rPr>
              <w:t>(78.9</w:t>
            </w:r>
          </w:p>
        </w:tc>
        <w:tc>
          <w:tcPr>
            <w:tcW w:w="0" w:type="auto"/>
            <w:tcMar>
              <w:top w:w="0" w:type="dxa"/>
              <w:left w:w="0" w:type="dxa"/>
              <w:bottom w:w="30" w:type="dxa"/>
              <w:right w:w="0" w:type="dxa"/>
            </w:tcMar>
            <w:vAlign w:val="bottom"/>
            <w:hideMark/>
          </w:tcPr>
          <w:p w14:paraId="000EF5D3" w14:textId="77777777" w:rsidR="00000000" w:rsidRDefault="00087966">
            <w:pPr>
              <w:rPr>
                <w:rFonts w:eastAsia="Times New Roman"/>
                <w:sz w:val="20"/>
                <w:szCs w:val="20"/>
              </w:rPr>
            </w:pPr>
            <w:r>
              <w:rPr>
                <w:rFonts w:eastAsia="Times New Roman"/>
                <w:sz w:val="20"/>
                <w:szCs w:val="20"/>
              </w:rPr>
              <w:t>)%</w:t>
            </w:r>
          </w:p>
        </w:tc>
      </w:tr>
      <w:tr w:rsidR="00000000" w14:paraId="3C7183E6" w14:textId="77777777">
        <w:trPr>
          <w:divId w:val="1595479706"/>
        </w:trPr>
        <w:tc>
          <w:tcPr>
            <w:tcW w:w="0" w:type="auto"/>
            <w:shd w:val="clear" w:color="auto" w:fill="CCEEFF"/>
            <w:tcMar>
              <w:top w:w="0" w:type="dxa"/>
              <w:left w:w="0" w:type="dxa"/>
              <w:bottom w:w="80" w:type="dxa"/>
              <w:right w:w="0" w:type="dxa"/>
            </w:tcMar>
            <w:vAlign w:val="bottom"/>
            <w:hideMark/>
          </w:tcPr>
          <w:p w14:paraId="6EBAB8E3" w14:textId="77777777" w:rsidR="00000000" w:rsidRDefault="00087966">
            <w:pPr>
              <w:rPr>
                <w:rFonts w:eastAsia="Times New Roman"/>
                <w:sz w:val="20"/>
                <w:szCs w:val="20"/>
              </w:rPr>
            </w:pPr>
            <w:r>
              <w:rPr>
                <w:rFonts w:eastAsia="Times New Roman"/>
                <w:sz w:val="20"/>
                <w:szCs w:val="20"/>
              </w:rPr>
              <w:t>Income tax provision</w:t>
            </w:r>
          </w:p>
        </w:tc>
        <w:tc>
          <w:tcPr>
            <w:tcW w:w="0" w:type="auto"/>
            <w:shd w:val="clear" w:color="auto" w:fill="CCEEFF"/>
            <w:tcMar>
              <w:top w:w="0" w:type="dxa"/>
              <w:left w:w="0" w:type="dxa"/>
              <w:bottom w:w="80" w:type="dxa"/>
              <w:right w:w="0" w:type="dxa"/>
            </w:tcMar>
            <w:vAlign w:val="bottom"/>
            <w:hideMark/>
          </w:tcPr>
          <w:p w14:paraId="0C53BC74"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371557B"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DE91106" w14:textId="77777777" w:rsidR="00000000" w:rsidRDefault="00087966">
            <w:pPr>
              <w:jc w:val="right"/>
              <w:rPr>
                <w:rFonts w:eastAsia="Times New Roman"/>
                <w:sz w:val="20"/>
                <w:szCs w:val="20"/>
              </w:rPr>
            </w:pPr>
            <w:r>
              <w:rPr>
                <w:rFonts w:eastAsia="Times New Roman"/>
                <w:sz w:val="20"/>
                <w:szCs w:val="20"/>
              </w:rPr>
              <w:t>6.9</w:t>
            </w:r>
          </w:p>
        </w:tc>
        <w:tc>
          <w:tcPr>
            <w:tcW w:w="0" w:type="auto"/>
            <w:shd w:val="clear" w:color="auto" w:fill="CCEEFF"/>
            <w:tcMar>
              <w:top w:w="0" w:type="dxa"/>
              <w:left w:w="0" w:type="dxa"/>
              <w:bottom w:w="80" w:type="dxa"/>
              <w:right w:w="0" w:type="dxa"/>
            </w:tcMar>
            <w:vAlign w:val="bottom"/>
            <w:hideMark/>
          </w:tcPr>
          <w:p w14:paraId="613ED5A4"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4296D2D7"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2F2348EA"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77B1056E" w14:textId="77777777" w:rsidR="00000000" w:rsidRDefault="00087966">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80" w:type="dxa"/>
              <w:right w:w="0" w:type="dxa"/>
            </w:tcMar>
            <w:vAlign w:val="bottom"/>
            <w:hideMark/>
          </w:tcPr>
          <w:p w14:paraId="5D2A57A7" w14:textId="77777777" w:rsidR="00000000" w:rsidRDefault="00087966">
            <w:pPr>
              <w:rPr>
                <w:rFonts w:eastAsia="Times New Roman"/>
                <w:sz w:val="20"/>
                <w:szCs w:val="20"/>
              </w:rPr>
            </w:pPr>
            <w:r>
              <w:rPr>
                <w:rFonts w:eastAsia="Times New Roman"/>
                <w:sz w:val="20"/>
                <w:szCs w:val="20"/>
              </w:rPr>
              <w:t>%</w:t>
            </w:r>
          </w:p>
        </w:tc>
      </w:tr>
    </w:tbl>
    <w:p w14:paraId="69DDED69" w14:textId="77777777" w:rsidR="00000000" w:rsidRDefault="00087966">
      <w:pPr>
        <w:pStyle w:val="a3"/>
        <w:spacing w:before="0" w:beforeAutospacing="0" w:after="0" w:afterAutospacing="0"/>
        <w:jc w:val="both"/>
        <w:divId w:val="1595479706"/>
        <w:rPr>
          <w:sz w:val="20"/>
          <w:szCs w:val="20"/>
        </w:rPr>
      </w:pPr>
      <w:r>
        <w:rPr>
          <w:sz w:val="20"/>
          <w:szCs w:val="20"/>
        </w:rPr>
        <w:t> </w:t>
      </w:r>
    </w:p>
    <w:p w14:paraId="01E9D3B4" w14:textId="77777777" w:rsidR="00000000" w:rsidRDefault="00087966">
      <w:pPr>
        <w:pStyle w:val="a3"/>
        <w:spacing w:before="0" w:beforeAutospacing="0" w:after="0" w:afterAutospacing="0"/>
        <w:jc w:val="both"/>
        <w:divId w:val="1595479706"/>
        <w:rPr>
          <w:sz w:val="20"/>
          <w:szCs w:val="20"/>
        </w:rPr>
      </w:pPr>
      <w:r>
        <w:rPr>
          <w:sz w:val="20"/>
          <w:szCs w:val="20"/>
        </w:rPr>
        <w:t xml:space="preserve">The Company files income tax returns in the U.S. </w:t>
      </w:r>
      <w:r>
        <w:rPr>
          <w:sz w:val="20"/>
          <w:szCs w:val="20"/>
        </w:rPr>
        <w:t xml:space="preserve">federal jurisdiction and is subject to examination by the various taxing authorities. The Company’s tax returns since inception remain open to examination by the taxing authorities. </w:t>
      </w:r>
    </w:p>
    <w:p w14:paraId="026B4BDA"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6949AB29" w14:textId="77777777" w:rsidR="00000000" w:rsidRDefault="00087966">
      <w:pPr>
        <w:pStyle w:val="a3"/>
        <w:spacing w:before="0" w:beforeAutospacing="0" w:after="0" w:afterAutospacing="0"/>
        <w:jc w:val="both"/>
        <w:divId w:val="1595479706"/>
        <w:rPr>
          <w:sz w:val="20"/>
          <w:szCs w:val="20"/>
        </w:rPr>
      </w:pPr>
      <w:r>
        <w:rPr>
          <w:b/>
          <w:bCs/>
          <w:sz w:val="20"/>
          <w:szCs w:val="20"/>
        </w:rPr>
        <w:t>NOTE 10 — FAIR VALUE MEASUREMENTS</w:t>
      </w:r>
    </w:p>
    <w:p w14:paraId="4A3820E0" w14:textId="77777777" w:rsidR="00000000" w:rsidRDefault="00087966">
      <w:pPr>
        <w:pStyle w:val="a3"/>
        <w:spacing w:before="0" w:beforeAutospacing="0" w:after="0" w:afterAutospacing="0"/>
        <w:jc w:val="both"/>
        <w:divId w:val="1595479706"/>
        <w:rPr>
          <w:sz w:val="20"/>
          <w:szCs w:val="20"/>
        </w:rPr>
      </w:pPr>
      <w:r>
        <w:rPr>
          <w:sz w:val="20"/>
          <w:szCs w:val="20"/>
        </w:rPr>
        <w:t> </w:t>
      </w:r>
    </w:p>
    <w:p w14:paraId="66521387" w14:textId="77777777" w:rsidR="00000000" w:rsidRDefault="00087966">
      <w:pPr>
        <w:pStyle w:val="a3"/>
        <w:spacing w:before="0" w:beforeAutospacing="0" w:after="0" w:afterAutospacing="0"/>
        <w:jc w:val="both"/>
        <w:divId w:val="1595479706"/>
        <w:rPr>
          <w:sz w:val="20"/>
          <w:szCs w:val="20"/>
        </w:rPr>
      </w:pPr>
      <w:r>
        <w:rPr>
          <w:sz w:val="20"/>
          <w:szCs w:val="20"/>
        </w:rPr>
        <w:t>The Company follows the guidance in</w:t>
      </w:r>
      <w:r>
        <w:rPr>
          <w:sz w:val="20"/>
          <w:szCs w:val="20"/>
        </w:rPr>
        <w:t xml:space="preserve"> ASC 820 for its financial assets and liabilities that are re-measured and reported at fair value at each reporting period, and non-financial assets and liabilities that are re-measured and reported at fair value at least annually.</w:t>
      </w:r>
    </w:p>
    <w:p w14:paraId="75C4204B" w14:textId="77777777" w:rsidR="00000000" w:rsidRDefault="00087966">
      <w:pPr>
        <w:pStyle w:val="a3"/>
        <w:spacing w:before="0" w:beforeAutospacing="0" w:after="0" w:afterAutospacing="0"/>
        <w:jc w:val="both"/>
        <w:divId w:val="1595479706"/>
        <w:rPr>
          <w:sz w:val="20"/>
          <w:szCs w:val="20"/>
        </w:rPr>
      </w:pPr>
      <w:r>
        <w:rPr>
          <w:sz w:val="20"/>
          <w:szCs w:val="20"/>
        </w:rPr>
        <w:t> </w:t>
      </w:r>
    </w:p>
    <w:p w14:paraId="0017DFED" w14:textId="77777777" w:rsidR="00000000" w:rsidRDefault="00087966">
      <w:pPr>
        <w:pStyle w:val="a3"/>
        <w:spacing w:before="0" w:beforeAutospacing="0" w:after="0" w:afterAutospacing="0"/>
        <w:jc w:val="both"/>
        <w:divId w:val="1595479706"/>
        <w:rPr>
          <w:sz w:val="20"/>
          <w:szCs w:val="20"/>
        </w:rPr>
      </w:pPr>
      <w:r>
        <w:rPr>
          <w:sz w:val="20"/>
          <w:szCs w:val="20"/>
        </w:rPr>
        <w:t xml:space="preserve">The fair value of the </w:t>
      </w:r>
      <w:r>
        <w:rPr>
          <w:sz w:val="20"/>
          <w:szCs w:val="20"/>
        </w:rPr>
        <w:t>Company’s financial assets and liabilities reflects management’s estimate of amounts that the Company would have received in connection with the sale of the assets or paid in connection with the transfer of the liabilities in an orderly transaction between</w:t>
      </w:r>
      <w:r>
        <w:rPr>
          <w:sz w:val="20"/>
          <w:szCs w:val="20"/>
        </w:rPr>
        <w:t xml:space="preserve"> market participants at the measurement date. In connection with measuring the fair value of its assets and liabilities, the Company seeks to maximize the use of observable inputs (market data obtained from independent sources) and to minimize the use of u</w:t>
      </w:r>
      <w:r>
        <w:rPr>
          <w:sz w:val="20"/>
          <w:szCs w:val="20"/>
        </w:rPr>
        <w:t>nobservable inputs (internal assumptions about how market participants would price assets and liabilities). The following fair value hierarchy is used to classify assets and liabilities based on the observable inputs and unobservable inputs used in order t</w:t>
      </w:r>
      <w:r>
        <w:rPr>
          <w:sz w:val="20"/>
          <w:szCs w:val="20"/>
        </w:rPr>
        <w:t>o value the assets and liabilities:</w:t>
      </w:r>
    </w:p>
    <w:p w14:paraId="2EF6322F"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14:paraId="6C7C547B" w14:textId="77777777">
        <w:trPr>
          <w:divId w:val="1595479706"/>
        </w:trPr>
        <w:tc>
          <w:tcPr>
            <w:tcW w:w="360" w:type="dxa"/>
            <w:hideMark/>
          </w:tcPr>
          <w:p w14:paraId="35EFF990" w14:textId="77777777" w:rsidR="00000000" w:rsidRDefault="00087966">
            <w:pPr>
              <w:jc w:val="both"/>
              <w:rPr>
                <w:rFonts w:eastAsia="Times New Roman"/>
                <w:sz w:val="20"/>
                <w:szCs w:val="20"/>
              </w:rPr>
            </w:pPr>
            <w:r>
              <w:rPr>
                <w:rFonts w:eastAsia="Times New Roman"/>
                <w:sz w:val="20"/>
                <w:szCs w:val="20"/>
              </w:rPr>
              <w:t> </w:t>
            </w:r>
          </w:p>
        </w:tc>
        <w:tc>
          <w:tcPr>
            <w:tcW w:w="720" w:type="dxa"/>
            <w:hideMark/>
          </w:tcPr>
          <w:p w14:paraId="5245CB2C" w14:textId="77777777" w:rsidR="00000000" w:rsidRDefault="00087966">
            <w:pPr>
              <w:rPr>
                <w:rFonts w:eastAsia="Times New Roman"/>
                <w:sz w:val="20"/>
                <w:szCs w:val="20"/>
              </w:rPr>
            </w:pPr>
            <w:r>
              <w:rPr>
                <w:rFonts w:eastAsia="Times New Roman"/>
                <w:sz w:val="20"/>
                <w:szCs w:val="20"/>
              </w:rPr>
              <w:t>Level 1:</w:t>
            </w:r>
          </w:p>
        </w:tc>
        <w:tc>
          <w:tcPr>
            <w:tcW w:w="0" w:type="auto"/>
            <w:hideMark/>
          </w:tcPr>
          <w:p w14:paraId="5A904A39" w14:textId="77777777" w:rsidR="00000000" w:rsidRDefault="00087966">
            <w:pPr>
              <w:jc w:val="both"/>
              <w:rPr>
                <w:rFonts w:eastAsia="Times New Roman"/>
                <w:sz w:val="20"/>
                <w:szCs w:val="20"/>
              </w:rPr>
            </w:pPr>
            <w:r>
              <w:rPr>
                <w:rFonts w:eastAsia="Times New Roman"/>
                <w:sz w:val="20"/>
                <w:szCs w:val="20"/>
              </w:rPr>
              <w:t>Quoted prices in active markets for identical assets or liabilities. An active market for an asset or liability is a market in which transactions for the asset or liability occur with sufficient frequency an</w:t>
            </w:r>
            <w:r>
              <w:rPr>
                <w:rFonts w:eastAsia="Times New Roman"/>
                <w:sz w:val="20"/>
                <w:szCs w:val="20"/>
              </w:rPr>
              <w:t>d volume to provide pricing information on an ongoing basis.</w:t>
            </w:r>
          </w:p>
        </w:tc>
      </w:tr>
    </w:tbl>
    <w:p w14:paraId="78C1E279"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14:paraId="17F31B1B" w14:textId="77777777">
        <w:trPr>
          <w:divId w:val="1595479706"/>
        </w:trPr>
        <w:tc>
          <w:tcPr>
            <w:tcW w:w="360" w:type="dxa"/>
            <w:hideMark/>
          </w:tcPr>
          <w:p w14:paraId="411A3C76" w14:textId="77777777" w:rsidR="00000000" w:rsidRDefault="00087966">
            <w:pPr>
              <w:jc w:val="both"/>
              <w:rPr>
                <w:rFonts w:eastAsia="Times New Roman"/>
                <w:sz w:val="20"/>
                <w:szCs w:val="20"/>
              </w:rPr>
            </w:pPr>
            <w:r>
              <w:rPr>
                <w:rFonts w:eastAsia="Times New Roman"/>
                <w:sz w:val="20"/>
                <w:szCs w:val="20"/>
              </w:rPr>
              <w:t> </w:t>
            </w:r>
          </w:p>
        </w:tc>
        <w:tc>
          <w:tcPr>
            <w:tcW w:w="720" w:type="dxa"/>
            <w:hideMark/>
          </w:tcPr>
          <w:p w14:paraId="268E4220" w14:textId="77777777" w:rsidR="00000000" w:rsidRDefault="00087966">
            <w:pPr>
              <w:rPr>
                <w:rFonts w:eastAsia="Times New Roman"/>
                <w:sz w:val="20"/>
                <w:szCs w:val="20"/>
              </w:rPr>
            </w:pPr>
            <w:r>
              <w:rPr>
                <w:rFonts w:eastAsia="Times New Roman"/>
                <w:sz w:val="20"/>
                <w:szCs w:val="20"/>
              </w:rPr>
              <w:t>Level 2:</w:t>
            </w:r>
          </w:p>
        </w:tc>
        <w:tc>
          <w:tcPr>
            <w:tcW w:w="0" w:type="auto"/>
            <w:hideMark/>
          </w:tcPr>
          <w:p w14:paraId="3A8B9580" w14:textId="77777777" w:rsidR="00000000" w:rsidRDefault="00087966">
            <w:pPr>
              <w:jc w:val="both"/>
              <w:rPr>
                <w:rFonts w:eastAsia="Times New Roman"/>
                <w:sz w:val="20"/>
                <w:szCs w:val="20"/>
              </w:rPr>
            </w:pPr>
            <w:r>
              <w:rPr>
                <w:rFonts w:eastAsia="Times New Roman"/>
                <w:sz w:val="20"/>
                <w:szCs w:val="20"/>
              </w:rPr>
              <w:t xml:space="preserve">Observable </w:t>
            </w:r>
            <w:r>
              <w:rPr>
                <w:rFonts w:eastAsia="Times New Roman"/>
                <w:sz w:val="20"/>
                <w:szCs w:val="20"/>
              </w:rPr>
              <w:t>inputs other than Level 1 inputs. Examples of Level 2 inputs include quoted prices in active markets for similar assets or liabilities and quoted prices for identical assets or liabilities in markets that are not active.</w:t>
            </w:r>
          </w:p>
        </w:tc>
      </w:tr>
    </w:tbl>
    <w:p w14:paraId="646398D9"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7226"/>
      </w:tblGrid>
      <w:tr w:rsidR="00000000" w14:paraId="10117667" w14:textId="77777777">
        <w:trPr>
          <w:divId w:val="1595479706"/>
        </w:trPr>
        <w:tc>
          <w:tcPr>
            <w:tcW w:w="360" w:type="dxa"/>
            <w:hideMark/>
          </w:tcPr>
          <w:p w14:paraId="5BEBA5F4" w14:textId="77777777" w:rsidR="00000000" w:rsidRDefault="00087966">
            <w:pPr>
              <w:jc w:val="both"/>
              <w:rPr>
                <w:rFonts w:eastAsia="Times New Roman"/>
                <w:sz w:val="20"/>
                <w:szCs w:val="20"/>
              </w:rPr>
            </w:pPr>
            <w:r>
              <w:rPr>
                <w:rFonts w:eastAsia="Times New Roman"/>
                <w:sz w:val="20"/>
                <w:szCs w:val="20"/>
              </w:rPr>
              <w:t> </w:t>
            </w:r>
          </w:p>
        </w:tc>
        <w:tc>
          <w:tcPr>
            <w:tcW w:w="720" w:type="dxa"/>
            <w:hideMark/>
          </w:tcPr>
          <w:p w14:paraId="7A4A7BC5" w14:textId="77777777" w:rsidR="00000000" w:rsidRDefault="00087966">
            <w:pPr>
              <w:rPr>
                <w:rFonts w:eastAsia="Times New Roman"/>
                <w:sz w:val="20"/>
                <w:szCs w:val="20"/>
              </w:rPr>
            </w:pPr>
            <w:r>
              <w:rPr>
                <w:rFonts w:eastAsia="Times New Roman"/>
                <w:sz w:val="20"/>
                <w:szCs w:val="20"/>
              </w:rPr>
              <w:t>Level 3:</w:t>
            </w:r>
          </w:p>
        </w:tc>
        <w:tc>
          <w:tcPr>
            <w:tcW w:w="0" w:type="auto"/>
            <w:hideMark/>
          </w:tcPr>
          <w:p w14:paraId="167B379E" w14:textId="77777777" w:rsidR="00000000" w:rsidRDefault="00087966">
            <w:pPr>
              <w:jc w:val="both"/>
              <w:rPr>
                <w:rFonts w:eastAsia="Times New Roman"/>
                <w:sz w:val="20"/>
                <w:szCs w:val="20"/>
              </w:rPr>
            </w:pPr>
            <w:r>
              <w:rPr>
                <w:rFonts w:eastAsia="Times New Roman"/>
                <w:sz w:val="20"/>
                <w:szCs w:val="20"/>
              </w:rPr>
              <w:t>Unobservable inputs b</w:t>
            </w:r>
            <w:r>
              <w:rPr>
                <w:rFonts w:eastAsia="Times New Roman"/>
                <w:sz w:val="20"/>
                <w:szCs w:val="20"/>
              </w:rPr>
              <w:t>ased on the Company’s assessment of the assumptions that market participants would use in pricing the asset or liability.</w:t>
            </w:r>
          </w:p>
        </w:tc>
      </w:tr>
    </w:tbl>
    <w:p w14:paraId="08F80445" w14:textId="77777777" w:rsidR="00000000" w:rsidRDefault="00087966">
      <w:pPr>
        <w:pStyle w:val="a3"/>
        <w:spacing w:before="0" w:beforeAutospacing="0" w:after="0" w:afterAutospacing="0"/>
        <w:jc w:val="both"/>
        <w:divId w:val="1595479706"/>
        <w:rPr>
          <w:sz w:val="20"/>
          <w:szCs w:val="20"/>
        </w:rPr>
      </w:pPr>
      <w:r>
        <w:rPr>
          <w:sz w:val="20"/>
          <w:szCs w:val="20"/>
        </w:rPr>
        <w:t> </w:t>
      </w:r>
    </w:p>
    <w:p w14:paraId="2DC87D0C" w14:textId="77777777" w:rsidR="00000000" w:rsidRDefault="00087966">
      <w:pPr>
        <w:pStyle w:val="a3"/>
        <w:spacing w:before="0" w:beforeAutospacing="0" w:after="0" w:afterAutospacing="0"/>
        <w:jc w:val="center"/>
        <w:divId w:val="822700021"/>
        <w:rPr>
          <w:sz w:val="20"/>
          <w:szCs w:val="20"/>
        </w:rPr>
      </w:pPr>
      <w:r>
        <w:rPr>
          <w:sz w:val="20"/>
          <w:szCs w:val="20"/>
        </w:rPr>
        <w:t>F</w:t>
      </w:r>
      <w:r>
        <w:rPr>
          <w:sz w:val="20"/>
          <w:szCs w:val="20"/>
        </w:rPr>
        <w:t>-</w:t>
      </w:r>
      <w:r>
        <w:rPr>
          <w:sz w:val="20"/>
          <w:szCs w:val="20"/>
        </w:rPr>
        <w:t>2</w:t>
      </w:r>
      <w:r>
        <w:rPr>
          <w:sz w:val="20"/>
          <w:szCs w:val="20"/>
        </w:rPr>
        <w:t>2</w:t>
      </w:r>
    </w:p>
    <w:p w14:paraId="7F71EEC0" w14:textId="77777777" w:rsidR="00000000" w:rsidRDefault="00087966">
      <w:pPr>
        <w:pStyle w:val="a3"/>
        <w:spacing w:before="0" w:beforeAutospacing="0" w:after="0" w:afterAutospacing="0"/>
        <w:divId w:val="1462764536"/>
        <w:rPr>
          <w:sz w:val="20"/>
          <w:szCs w:val="20"/>
        </w:rPr>
      </w:pPr>
      <w:r>
        <w:rPr>
          <w:sz w:val="20"/>
          <w:szCs w:val="20"/>
        </w:rPr>
        <w:t> </w:t>
      </w:r>
    </w:p>
    <w:p w14:paraId="50E14132" w14:textId="77777777" w:rsidR="00000000" w:rsidRDefault="00087966">
      <w:pPr>
        <w:pStyle w:val="a3"/>
        <w:spacing w:before="0" w:beforeAutospacing="0" w:after="0" w:afterAutospacing="0"/>
        <w:jc w:val="both"/>
        <w:divId w:val="1595479706"/>
        <w:rPr>
          <w:sz w:val="20"/>
          <w:szCs w:val="20"/>
        </w:rPr>
      </w:pPr>
      <w:r>
        <w:rPr>
          <w:sz w:val="20"/>
          <w:szCs w:val="20"/>
        </w:rPr>
        <w:t> </w:t>
      </w:r>
    </w:p>
    <w:p w14:paraId="6C8F0855"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463F97AB"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10AA5F74"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731CA0EE" w14:textId="77777777" w:rsidR="00000000" w:rsidRDefault="00087966">
      <w:pPr>
        <w:pStyle w:val="a3"/>
        <w:spacing w:before="0" w:beforeAutospacing="0" w:after="0" w:afterAutospacing="0"/>
        <w:jc w:val="both"/>
        <w:divId w:val="1595479706"/>
        <w:rPr>
          <w:sz w:val="20"/>
          <w:szCs w:val="20"/>
        </w:rPr>
      </w:pPr>
      <w:r>
        <w:rPr>
          <w:sz w:val="20"/>
          <w:szCs w:val="20"/>
        </w:rPr>
        <w:t> </w:t>
      </w:r>
    </w:p>
    <w:p w14:paraId="2C56C8B7" w14:textId="77777777" w:rsidR="00000000" w:rsidRDefault="00087966">
      <w:pPr>
        <w:pStyle w:val="a3"/>
        <w:spacing w:before="0" w:beforeAutospacing="0" w:after="0" w:afterAutospacing="0"/>
        <w:jc w:val="both"/>
        <w:divId w:val="1595479706"/>
        <w:rPr>
          <w:sz w:val="20"/>
          <w:szCs w:val="20"/>
        </w:rPr>
      </w:pPr>
      <w:r>
        <w:rPr>
          <w:sz w:val="20"/>
          <w:szCs w:val="20"/>
        </w:rPr>
        <w:t>The following table present</w:t>
      </w:r>
      <w:r>
        <w:rPr>
          <w:sz w:val="20"/>
          <w:szCs w:val="20"/>
        </w:rPr>
        <w:t>s information about the Company’s assets and liabilities that are measured at fair value on a recurring basis at December 31, 2022 and 2021, and indicates the fair value hierarchy of the valuation inputs the Company utilized to determine such fair value:</w:t>
      </w:r>
    </w:p>
    <w:p w14:paraId="185EF0DF"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37"/>
        <w:gridCol w:w="50"/>
        <w:gridCol w:w="51"/>
        <w:gridCol w:w="484"/>
        <w:gridCol w:w="50"/>
        <w:gridCol w:w="50"/>
        <w:gridCol w:w="117"/>
        <w:gridCol w:w="1050"/>
        <w:gridCol w:w="50"/>
        <w:gridCol w:w="50"/>
        <w:gridCol w:w="117"/>
        <w:gridCol w:w="1050"/>
        <w:gridCol w:w="50"/>
      </w:tblGrid>
      <w:tr w:rsidR="00000000" w14:paraId="586F8810" w14:textId="77777777">
        <w:trPr>
          <w:divId w:val="1595479706"/>
        </w:trPr>
        <w:tc>
          <w:tcPr>
            <w:tcW w:w="0" w:type="auto"/>
            <w:tcBorders>
              <w:bottom w:val="single" w:sz="12" w:space="0" w:color="000000"/>
            </w:tcBorders>
            <w:vAlign w:val="bottom"/>
            <w:hideMark/>
          </w:tcPr>
          <w:p w14:paraId="0D4B4D11" w14:textId="77777777" w:rsidR="00000000" w:rsidRDefault="00087966">
            <w:pPr>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14:paraId="1CD8458B"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FF09A19" w14:textId="77777777" w:rsidR="00000000" w:rsidRDefault="00087966">
            <w:pPr>
              <w:jc w:val="center"/>
              <w:rPr>
                <w:rFonts w:eastAsia="Times New Roman"/>
                <w:b/>
                <w:bCs/>
                <w:sz w:val="20"/>
                <w:szCs w:val="20"/>
              </w:rPr>
            </w:pPr>
            <w:r>
              <w:rPr>
                <w:rFonts w:eastAsia="Times New Roman"/>
                <w:b/>
                <w:bCs/>
                <w:sz w:val="20"/>
                <w:szCs w:val="20"/>
              </w:rPr>
              <w:t>Level</w:t>
            </w:r>
          </w:p>
        </w:tc>
        <w:tc>
          <w:tcPr>
            <w:tcW w:w="0" w:type="auto"/>
            <w:tcMar>
              <w:top w:w="0" w:type="dxa"/>
              <w:left w:w="0" w:type="dxa"/>
              <w:bottom w:w="30" w:type="dxa"/>
              <w:right w:w="0" w:type="dxa"/>
            </w:tcMar>
            <w:vAlign w:val="bottom"/>
            <w:hideMark/>
          </w:tcPr>
          <w:p w14:paraId="3C547831"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F93B1BE"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0167382" w14:textId="77777777" w:rsidR="00000000" w:rsidRDefault="00087966">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2022</w:t>
            </w:r>
          </w:p>
        </w:tc>
        <w:tc>
          <w:tcPr>
            <w:tcW w:w="0" w:type="auto"/>
            <w:tcMar>
              <w:top w:w="0" w:type="dxa"/>
              <w:left w:w="0" w:type="dxa"/>
              <w:bottom w:w="30" w:type="dxa"/>
              <w:right w:w="0" w:type="dxa"/>
            </w:tcMar>
            <w:vAlign w:val="bottom"/>
            <w:hideMark/>
          </w:tcPr>
          <w:p w14:paraId="6859FF84"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FAC5B1F"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2308AE0" w14:textId="77777777" w:rsidR="00000000" w:rsidRDefault="00087966">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14:paraId="4B4CB2AE" w14:textId="77777777" w:rsidR="00000000" w:rsidRDefault="00087966">
            <w:pPr>
              <w:rPr>
                <w:rFonts w:eastAsia="Times New Roman"/>
                <w:b/>
                <w:bCs/>
                <w:sz w:val="20"/>
                <w:szCs w:val="20"/>
              </w:rPr>
            </w:pPr>
            <w:r>
              <w:rPr>
                <w:rFonts w:eastAsia="Times New Roman"/>
                <w:b/>
                <w:bCs/>
                <w:sz w:val="20"/>
                <w:szCs w:val="20"/>
              </w:rPr>
              <w:t> </w:t>
            </w:r>
          </w:p>
        </w:tc>
      </w:tr>
      <w:tr w:rsidR="00000000" w14:paraId="41C3C013" w14:textId="77777777">
        <w:trPr>
          <w:divId w:val="1595479706"/>
        </w:trPr>
        <w:tc>
          <w:tcPr>
            <w:tcW w:w="0" w:type="auto"/>
            <w:vAlign w:val="bottom"/>
            <w:hideMark/>
          </w:tcPr>
          <w:p w14:paraId="49C3B942" w14:textId="77777777" w:rsidR="00000000" w:rsidRDefault="00087966">
            <w:pPr>
              <w:rPr>
                <w:rFonts w:eastAsia="Times New Roman"/>
                <w:sz w:val="20"/>
                <w:szCs w:val="20"/>
              </w:rPr>
            </w:pPr>
            <w:r>
              <w:rPr>
                <w:rFonts w:eastAsia="Times New Roman"/>
                <w:sz w:val="20"/>
                <w:szCs w:val="20"/>
              </w:rPr>
              <w:t>Assets:</w:t>
            </w:r>
          </w:p>
        </w:tc>
        <w:tc>
          <w:tcPr>
            <w:tcW w:w="0" w:type="auto"/>
            <w:vAlign w:val="bottom"/>
            <w:hideMark/>
          </w:tcPr>
          <w:p w14:paraId="74A704F2"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4675AE4D" w14:textId="77777777" w:rsidR="00000000" w:rsidRDefault="00087966">
            <w:pPr>
              <w:jc w:val="center"/>
              <w:rPr>
                <w:rFonts w:eastAsia="Times New Roman"/>
                <w:sz w:val="20"/>
                <w:szCs w:val="20"/>
              </w:rPr>
            </w:pPr>
            <w:r>
              <w:rPr>
                <w:rFonts w:eastAsia="Times New Roman"/>
                <w:sz w:val="20"/>
                <w:szCs w:val="20"/>
              </w:rPr>
              <w:t> </w:t>
            </w:r>
          </w:p>
        </w:tc>
        <w:tc>
          <w:tcPr>
            <w:tcW w:w="0" w:type="auto"/>
            <w:vAlign w:val="bottom"/>
            <w:hideMark/>
          </w:tcPr>
          <w:p w14:paraId="2BAC998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78A12C1"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26FE39A0"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01F57BD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19D3409" w14:textId="77777777" w:rsidR="00000000" w:rsidRDefault="00087966">
            <w:pPr>
              <w:rPr>
                <w:rFonts w:eastAsia="Times New Roman"/>
                <w:sz w:val="20"/>
                <w:szCs w:val="20"/>
              </w:rPr>
            </w:pPr>
            <w:r>
              <w:rPr>
                <w:rFonts w:eastAsia="Times New Roman"/>
                <w:sz w:val="20"/>
                <w:szCs w:val="20"/>
              </w:rPr>
              <w:t> </w:t>
            </w:r>
          </w:p>
        </w:tc>
        <w:tc>
          <w:tcPr>
            <w:tcW w:w="0" w:type="auto"/>
            <w:gridSpan w:val="2"/>
            <w:vAlign w:val="bottom"/>
            <w:hideMark/>
          </w:tcPr>
          <w:p w14:paraId="46E20EF2"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96423F1" w14:textId="77777777" w:rsidR="00000000" w:rsidRDefault="00087966">
            <w:pPr>
              <w:rPr>
                <w:rFonts w:eastAsia="Times New Roman"/>
                <w:sz w:val="20"/>
                <w:szCs w:val="20"/>
              </w:rPr>
            </w:pPr>
            <w:r>
              <w:rPr>
                <w:rFonts w:eastAsia="Times New Roman"/>
                <w:sz w:val="20"/>
                <w:szCs w:val="20"/>
              </w:rPr>
              <w:t> </w:t>
            </w:r>
          </w:p>
        </w:tc>
      </w:tr>
      <w:tr w:rsidR="00000000" w14:paraId="28F11B6E" w14:textId="77777777">
        <w:trPr>
          <w:divId w:val="1595479706"/>
        </w:trPr>
        <w:tc>
          <w:tcPr>
            <w:tcW w:w="3200" w:type="pct"/>
            <w:shd w:val="clear" w:color="auto" w:fill="CCEEFF"/>
            <w:vAlign w:val="bottom"/>
            <w:hideMark/>
          </w:tcPr>
          <w:p w14:paraId="0DAC657C" w14:textId="77777777" w:rsidR="00000000" w:rsidRDefault="00087966">
            <w:pPr>
              <w:rPr>
                <w:rFonts w:eastAsia="Times New Roman"/>
                <w:sz w:val="20"/>
                <w:szCs w:val="20"/>
              </w:rPr>
            </w:pPr>
            <w:r>
              <w:rPr>
                <w:rFonts w:eastAsia="Times New Roman"/>
                <w:sz w:val="20"/>
                <w:szCs w:val="20"/>
              </w:rPr>
              <w:t>Cash and marketable securities held in Trust Account</w:t>
            </w:r>
          </w:p>
        </w:tc>
        <w:tc>
          <w:tcPr>
            <w:tcW w:w="50" w:type="pct"/>
            <w:shd w:val="clear" w:color="auto" w:fill="CCEEFF"/>
            <w:vAlign w:val="bottom"/>
            <w:hideMark/>
          </w:tcPr>
          <w:p w14:paraId="29BDEB96"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7603B367" w14:textId="77777777" w:rsidR="00000000" w:rsidRDefault="00087966">
            <w:pPr>
              <w:jc w:val="center"/>
              <w:rPr>
                <w:rFonts w:eastAsia="Times New Roman"/>
                <w:sz w:val="20"/>
                <w:szCs w:val="20"/>
              </w:rPr>
            </w:pPr>
            <w:r>
              <w:rPr>
                <w:rFonts w:eastAsia="Times New Roman"/>
                <w:sz w:val="20"/>
                <w:szCs w:val="20"/>
              </w:rPr>
              <w:t> </w:t>
            </w:r>
          </w:p>
        </w:tc>
        <w:tc>
          <w:tcPr>
            <w:tcW w:w="450" w:type="pct"/>
            <w:shd w:val="clear" w:color="auto" w:fill="CCEEFF"/>
            <w:vAlign w:val="bottom"/>
            <w:hideMark/>
          </w:tcPr>
          <w:p w14:paraId="0706756D" w14:textId="77777777" w:rsidR="00000000" w:rsidRDefault="00087966">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14:paraId="1DD38595"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56B85455"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78882B59"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1AF3F9CF" w14:textId="77777777" w:rsidR="00000000" w:rsidRDefault="00087966">
            <w:pPr>
              <w:jc w:val="right"/>
              <w:rPr>
                <w:rFonts w:eastAsia="Times New Roman"/>
                <w:sz w:val="20"/>
                <w:szCs w:val="20"/>
              </w:rPr>
            </w:pPr>
            <w:r>
              <w:rPr>
                <w:rFonts w:eastAsia="Times New Roman"/>
                <w:sz w:val="20"/>
                <w:szCs w:val="20"/>
              </w:rPr>
              <w:t>107,332,749</w:t>
            </w:r>
          </w:p>
        </w:tc>
        <w:tc>
          <w:tcPr>
            <w:tcW w:w="50" w:type="pct"/>
            <w:shd w:val="clear" w:color="auto" w:fill="CCEEFF"/>
            <w:vAlign w:val="bottom"/>
            <w:hideMark/>
          </w:tcPr>
          <w:p w14:paraId="1CC33313"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078B0E36"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7CACEAD5"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10B9D695" w14:textId="77777777" w:rsidR="00000000" w:rsidRDefault="00087966">
            <w:pPr>
              <w:jc w:val="right"/>
              <w:rPr>
                <w:rFonts w:eastAsia="Times New Roman"/>
                <w:sz w:val="20"/>
                <w:szCs w:val="20"/>
              </w:rPr>
            </w:pPr>
            <w:r>
              <w:rPr>
                <w:rFonts w:eastAsia="Times New Roman"/>
                <w:sz w:val="20"/>
                <w:szCs w:val="20"/>
              </w:rPr>
              <w:t>172,580,609</w:t>
            </w:r>
          </w:p>
        </w:tc>
        <w:tc>
          <w:tcPr>
            <w:tcW w:w="50" w:type="pct"/>
            <w:shd w:val="clear" w:color="auto" w:fill="CCEEFF"/>
            <w:vAlign w:val="bottom"/>
            <w:hideMark/>
          </w:tcPr>
          <w:p w14:paraId="4469C681" w14:textId="77777777" w:rsidR="00000000" w:rsidRDefault="00087966">
            <w:pPr>
              <w:rPr>
                <w:rFonts w:eastAsia="Times New Roman"/>
                <w:sz w:val="20"/>
                <w:szCs w:val="20"/>
              </w:rPr>
            </w:pPr>
            <w:r>
              <w:rPr>
                <w:rFonts w:eastAsia="Times New Roman"/>
                <w:sz w:val="20"/>
                <w:szCs w:val="20"/>
              </w:rPr>
              <w:t> </w:t>
            </w:r>
          </w:p>
        </w:tc>
      </w:tr>
      <w:tr w:rsidR="00000000" w14:paraId="7202774A" w14:textId="77777777">
        <w:trPr>
          <w:divId w:val="1595479706"/>
        </w:trPr>
        <w:tc>
          <w:tcPr>
            <w:tcW w:w="0" w:type="auto"/>
            <w:vAlign w:val="bottom"/>
            <w:hideMark/>
          </w:tcPr>
          <w:p w14:paraId="44B6194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8F3F21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19A17AB" w14:textId="77777777" w:rsidR="00000000" w:rsidRDefault="00087966">
            <w:pPr>
              <w:jc w:val="center"/>
              <w:rPr>
                <w:rFonts w:eastAsia="Times New Roman"/>
                <w:sz w:val="20"/>
                <w:szCs w:val="20"/>
              </w:rPr>
            </w:pPr>
            <w:r>
              <w:rPr>
                <w:rFonts w:eastAsia="Times New Roman"/>
                <w:sz w:val="20"/>
                <w:szCs w:val="20"/>
              </w:rPr>
              <w:t> </w:t>
            </w:r>
          </w:p>
        </w:tc>
        <w:tc>
          <w:tcPr>
            <w:tcW w:w="0" w:type="auto"/>
            <w:vAlign w:val="bottom"/>
            <w:hideMark/>
          </w:tcPr>
          <w:p w14:paraId="6F8ADC60" w14:textId="77777777" w:rsidR="00000000" w:rsidRDefault="00087966">
            <w:pPr>
              <w:jc w:val="center"/>
              <w:rPr>
                <w:rFonts w:eastAsia="Times New Roman"/>
                <w:sz w:val="20"/>
                <w:szCs w:val="20"/>
              </w:rPr>
            </w:pPr>
            <w:r>
              <w:rPr>
                <w:rFonts w:eastAsia="Times New Roman"/>
                <w:sz w:val="20"/>
                <w:szCs w:val="20"/>
              </w:rPr>
              <w:t> </w:t>
            </w:r>
          </w:p>
        </w:tc>
        <w:tc>
          <w:tcPr>
            <w:tcW w:w="0" w:type="auto"/>
            <w:vAlign w:val="bottom"/>
            <w:hideMark/>
          </w:tcPr>
          <w:p w14:paraId="3D35463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FD4534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F8B785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494D8F5"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4D53F4B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8DEDAE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881B1E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291E146" w14:textId="77777777" w:rsidR="00000000" w:rsidRDefault="00087966">
            <w:pPr>
              <w:jc w:val="right"/>
              <w:rPr>
                <w:rFonts w:eastAsia="Times New Roman"/>
                <w:sz w:val="20"/>
                <w:szCs w:val="20"/>
              </w:rPr>
            </w:pPr>
            <w:r>
              <w:rPr>
                <w:rFonts w:eastAsia="Times New Roman"/>
                <w:sz w:val="20"/>
                <w:szCs w:val="20"/>
              </w:rPr>
              <w:t> </w:t>
            </w:r>
          </w:p>
        </w:tc>
        <w:tc>
          <w:tcPr>
            <w:tcW w:w="0" w:type="auto"/>
            <w:vAlign w:val="bottom"/>
            <w:hideMark/>
          </w:tcPr>
          <w:p w14:paraId="617C20C8" w14:textId="77777777" w:rsidR="00000000" w:rsidRDefault="00087966">
            <w:pPr>
              <w:rPr>
                <w:rFonts w:eastAsia="Times New Roman"/>
                <w:sz w:val="20"/>
                <w:szCs w:val="20"/>
              </w:rPr>
            </w:pPr>
            <w:r>
              <w:rPr>
                <w:rFonts w:eastAsia="Times New Roman"/>
                <w:sz w:val="20"/>
                <w:szCs w:val="20"/>
              </w:rPr>
              <w:t> </w:t>
            </w:r>
          </w:p>
        </w:tc>
      </w:tr>
      <w:tr w:rsidR="00000000" w14:paraId="39661E6A" w14:textId="77777777">
        <w:trPr>
          <w:divId w:val="1595479706"/>
        </w:trPr>
        <w:tc>
          <w:tcPr>
            <w:tcW w:w="0" w:type="auto"/>
            <w:shd w:val="clear" w:color="auto" w:fill="CCEEFF"/>
            <w:vAlign w:val="bottom"/>
            <w:hideMark/>
          </w:tcPr>
          <w:p w14:paraId="63A73B88" w14:textId="77777777" w:rsidR="00000000" w:rsidRDefault="00087966">
            <w:pPr>
              <w:rPr>
                <w:rFonts w:eastAsia="Times New Roman"/>
                <w:sz w:val="20"/>
                <w:szCs w:val="20"/>
              </w:rPr>
            </w:pPr>
            <w:r>
              <w:rPr>
                <w:rFonts w:eastAsia="Times New Roman"/>
                <w:sz w:val="20"/>
                <w:szCs w:val="20"/>
              </w:rPr>
              <w:t>Liabilities:</w:t>
            </w:r>
          </w:p>
        </w:tc>
        <w:tc>
          <w:tcPr>
            <w:tcW w:w="0" w:type="auto"/>
            <w:shd w:val="clear" w:color="auto" w:fill="CCEEFF"/>
            <w:vAlign w:val="bottom"/>
            <w:hideMark/>
          </w:tcPr>
          <w:p w14:paraId="21A3AEB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737CCD" w14:textId="77777777" w:rsidR="00000000" w:rsidRDefault="00087966">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2C878CC8" w14:textId="77777777" w:rsidR="00000000" w:rsidRDefault="00087966">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673092F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841F4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B083B7"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B9E1AA"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131CF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4AD9E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96CA0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D1A7EA" w14:textId="77777777" w:rsidR="00000000" w:rsidRDefault="00087966">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23A461" w14:textId="77777777" w:rsidR="00000000" w:rsidRDefault="00087966">
            <w:pPr>
              <w:rPr>
                <w:rFonts w:eastAsia="Times New Roman"/>
                <w:sz w:val="20"/>
                <w:szCs w:val="20"/>
              </w:rPr>
            </w:pPr>
            <w:r>
              <w:rPr>
                <w:rFonts w:eastAsia="Times New Roman"/>
                <w:sz w:val="20"/>
                <w:szCs w:val="20"/>
              </w:rPr>
              <w:t> </w:t>
            </w:r>
          </w:p>
        </w:tc>
      </w:tr>
      <w:tr w:rsidR="00000000" w14:paraId="425843BC" w14:textId="77777777">
        <w:trPr>
          <w:divId w:val="1595479706"/>
        </w:trPr>
        <w:tc>
          <w:tcPr>
            <w:tcW w:w="0" w:type="auto"/>
            <w:vAlign w:val="bottom"/>
            <w:hideMark/>
          </w:tcPr>
          <w:p w14:paraId="1DA9A80B" w14:textId="77777777" w:rsidR="00000000" w:rsidRDefault="00087966">
            <w:pPr>
              <w:rPr>
                <w:rFonts w:eastAsia="Times New Roman"/>
                <w:sz w:val="20"/>
                <w:szCs w:val="20"/>
              </w:rPr>
            </w:pPr>
            <w:r>
              <w:rPr>
                <w:rFonts w:eastAsia="Times New Roman"/>
                <w:sz w:val="20"/>
                <w:szCs w:val="20"/>
              </w:rPr>
              <w:t>Warrant Liabilities – Public Warrants</w:t>
            </w:r>
          </w:p>
        </w:tc>
        <w:tc>
          <w:tcPr>
            <w:tcW w:w="0" w:type="auto"/>
            <w:vAlign w:val="bottom"/>
            <w:hideMark/>
          </w:tcPr>
          <w:p w14:paraId="10A0782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72F2971" w14:textId="77777777" w:rsidR="00000000" w:rsidRDefault="00087966">
            <w:pPr>
              <w:jc w:val="center"/>
              <w:rPr>
                <w:rFonts w:eastAsia="Times New Roman"/>
                <w:sz w:val="20"/>
                <w:szCs w:val="20"/>
              </w:rPr>
            </w:pPr>
            <w:r>
              <w:rPr>
                <w:rFonts w:eastAsia="Times New Roman"/>
                <w:sz w:val="20"/>
                <w:szCs w:val="20"/>
              </w:rPr>
              <w:t> </w:t>
            </w:r>
          </w:p>
        </w:tc>
        <w:tc>
          <w:tcPr>
            <w:tcW w:w="0" w:type="auto"/>
            <w:vAlign w:val="bottom"/>
            <w:hideMark/>
          </w:tcPr>
          <w:p w14:paraId="6755BEBF" w14:textId="77777777" w:rsidR="00000000" w:rsidRDefault="00087966">
            <w:pPr>
              <w:jc w:val="center"/>
              <w:rPr>
                <w:rFonts w:eastAsia="Times New Roman"/>
                <w:sz w:val="20"/>
                <w:szCs w:val="20"/>
              </w:rPr>
            </w:pPr>
            <w:r>
              <w:rPr>
                <w:rFonts w:eastAsia="Times New Roman"/>
                <w:sz w:val="20"/>
                <w:szCs w:val="20"/>
              </w:rPr>
              <w:t>1</w:t>
            </w:r>
          </w:p>
        </w:tc>
        <w:tc>
          <w:tcPr>
            <w:tcW w:w="0" w:type="auto"/>
            <w:vAlign w:val="bottom"/>
            <w:hideMark/>
          </w:tcPr>
          <w:p w14:paraId="5F83986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67A7A4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3B23EA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81B4BDC" w14:textId="77777777" w:rsidR="00000000" w:rsidRDefault="00087966">
            <w:pPr>
              <w:jc w:val="right"/>
              <w:rPr>
                <w:rFonts w:eastAsia="Times New Roman"/>
                <w:sz w:val="20"/>
                <w:szCs w:val="20"/>
              </w:rPr>
            </w:pPr>
            <w:r>
              <w:rPr>
                <w:rFonts w:eastAsia="Times New Roman"/>
                <w:sz w:val="20"/>
                <w:szCs w:val="20"/>
              </w:rPr>
              <w:t>690,000</w:t>
            </w:r>
          </w:p>
        </w:tc>
        <w:tc>
          <w:tcPr>
            <w:tcW w:w="0" w:type="auto"/>
            <w:vAlign w:val="bottom"/>
            <w:hideMark/>
          </w:tcPr>
          <w:p w14:paraId="2A3A2F0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52B264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367C8C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F8F7954" w14:textId="77777777" w:rsidR="00000000" w:rsidRDefault="00087966">
            <w:pPr>
              <w:jc w:val="right"/>
              <w:rPr>
                <w:rFonts w:eastAsia="Times New Roman"/>
                <w:sz w:val="20"/>
                <w:szCs w:val="20"/>
              </w:rPr>
            </w:pPr>
            <w:r>
              <w:rPr>
                <w:rFonts w:eastAsia="Times New Roman"/>
                <w:sz w:val="20"/>
                <w:szCs w:val="20"/>
              </w:rPr>
              <w:t>5,180,136</w:t>
            </w:r>
          </w:p>
        </w:tc>
        <w:tc>
          <w:tcPr>
            <w:tcW w:w="0" w:type="auto"/>
            <w:vAlign w:val="bottom"/>
            <w:hideMark/>
          </w:tcPr>
          <w:p w14:paraId="2E2E53F9" w14:textId="77777777" w:rsidR="00000000" w:rsidRDefault="00087966">
            <w:pPr>
              <w:rPr>
                <w:rFonts w:eastAsia="Times New Roman"/>
                <w:sz w:val="20"/>
                <w:szCs w:val="20"/>
              </w:rPr>
            </w:pPr>
            <w:r>
              <w:rPr>
                <w:rFonts w:eastAsia="Times New Roman"/>
                <w:sz w:val="20"/>
                <w:szCs w:val="20"/>
              </w:rPr>
              <w:t> </w:t>
            </w:r>
          </w:p>
        </w:tc>
      </w:tr>
      <w:tr w:rsidR="00000000" w14:paraId="5CFE9562" w14:textId="77777777">
        <w:trPr>
          <w:divId w:val="1595479706"/>
        </w:trPr>
        <w:tc>
          <w:tcPr>
            <w:tcW w:w="0" w:type="auto"/>
            <w:shd w:val="clear" w:color="auto" w:fill="CCEEFF"/>
            <w:vAlign w:val="bottom"/>
            <w:hideMark/>
          </w:tcPr>
          <w:p w14:paraId="4F2B59B0" w14:textId="77777777" w:rsidR="00000000" w:rsidRDefault="00087966">
            <w:pPr>
              <w:rPr>
                <w:rFonts w:eastAsia="Times New Roman"/>
                <w:sz w:val="20"/>
                <w:szCs w:val="20"/>
              </w:rPr>
            </w:pPr>
            <w:r>
              <w:rPr>
                <w:rFonts w:eastAsia="Times New Roman"/>
                <w:sz w:val="20"/>
                <w:szCs w:val="20"/>
              </w:rPr>
              <w:t>Warrant Liabilities – Private Placement Warrants</w:t>
            </w:r>
          </w:p>
        </w:tc>
        <w:tc>
          <w:tcPr>
            <w:tcW w:w="0" w:type="auto"/>
            <w:shd w:val="clear" w:color="auto" w:fill="CCEEFF"/>
            <w:vAlign w:val="bottom"/>
            <w:hideMark/>
          </w:tcPr>
          <w:p w14:paraId="4D1C9F5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197D62" w14:textId="77777777" w:rsidR="00000000" w:rsidRDefault="00087966">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14:paraId="12EBFBF6" w14:textId="77777777" w:rsidR="00000000" w:rsidRDefault="00087966">
            <w:pPr>
              <w:jc w:val="center"/>
              <w:rPr>
                <w:rFonts w:eastAsia="Times New Roman"/>
                <w:sz w:val="20"/>
                <w:szCs w:val="20"/>
              </w:rPr>
            </w:pPr>
            <w:r>
              <w:rPr>
                <w:rFonts w:eastAsia="Times New Roman"/>
                <w:sz w:val="20"/>
                <w:szCs w:val="20"/>
              </w:rPr>
              <w:t>3</w:t>
            </w:r>
          </w:p>
        </w:tc>
        <w:tc>
          <w:tcPr>
            <w:tcW w:w="0" w:type="auto"/>
            <w:shd w:val="clear" w:color="auto" w:fill="CCEEFF"/>
            <w:vAlign w:val="bottom"/>
            <w:hideMark/>
          </w:tcPr>
          <w:p w14:paraId="022DBA4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50DCB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30098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EBA2D1" w14:textId="77777777" w:rsidR="00000000" w:rsidRDefault="00087966">
            <w:pPr>
              <w:jc w:val="right"/>
              <w:rPr>
                <w:rFonts w:eastAsia="Times New Roman"/>
                <w:sz w:val="20"/>
                <w:szCs w:val="20"/>
              </w:rPr>
            </w:pPr>
            <w:r>
              <w:rPr>
                <w:rFonts w:eastAsia="Times New Roman"/>
                <w:sz w:val="20"/>
                <w:szCs w:val="20"/>
              </w:rPr>
              <w:t>416,000</w:t>
            </w:r>
          </w:p>
        </w:tc>
        <w:tc>
          <w:tcPr>
            <w:tcW w:w="0" w:type="auto"/>
            <w:shd w:val="clear" w:color="auto" w:fill="CCEEFF"/>
            <w:vAlign w:val="bottom"/>
            <w:hideMark/>
          </w:tcPr>
          <w:p w14:paraId="0FD20D0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4AD55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E6E72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3EDC18" w14:textId="77777777" w:rsidR="00000000" w:rsidRDefault="00087966">
            <w:pPr>
              <w:jc w:val="right"/>
              <w:rPr>
                <w:rFonts w:eastAsia="Times New Roman"/>
                <w:sz w:val="20"/>
                <w:szCs w:val="20"/>
              </w:rPr>
            </w:pPr>
            <w:r>
              <w:rPr>
                <w:rFonts w:eastAsia="Times New Roman"/>
                <w:sz w:val="20"/>
                <w:szCs w:val="20"/>
              </w:rPr>
              <w:t>3,131,574</w:t>
            </w:r>
          </w:p>
        </w:tc>
        <w:tc>
          <w:tcPr>
            <w:tcW w:w="0" w:type="auto"/>
            <w:shd w:val="clear" w:color="auto" w:fill="CCEEFF"/>
            <w:vAlign w:val="bottom"/>
            <w:hideMark/>
          </w:tcPr>
          <w:p w14:paraId="088E7A82" w14:textId="77777777" w:rsidR="00000000" w:rsidRDefault="00087966">
            <w:pPr>
              <w:rPr>
                <w:rFonts w:eastAsia="Times New Roman"/>
                <w:sz w:val="20"/>
                <w:szCs w:val="20"/>
              </w:rPr>
            </w:pPr>
            <w:r>
              <w:rPr>
                <w:rFonts w:eastAsia="Times New Roman"/>
                <w:sz w:val="20"/>
                <w:szCs w:val="20"/>
              </w:rPr>
              <w:t> </w:t>
            </w:r>
          </w:p>
        </w:tc>
      </w:tr>
      <w:tr w:rsidR="00000000" w14:paraId="0A594CAE" w14:textId="77777777">
        <w:trPr>
          <w:divId w:val="1595479706"/>
        </w:trPr>
        <w:tc>
          <w:tcPr>
            <w:tcW w:w="0" w:type="auto"/>
            <w:vAlign w:val="bottom"/>
            <w:hideMark/>
          </w:tcPr>
          <w:p w14:paraId="2DB5A75F" w14:textId="77777777" w:rsidR="00000000" w:rsidRDefault="00087966">
            <w:pPr>
              <w:rPr>
                <w:rFonts w:eastAsia="Times New Roman"/>
                <w:sz w:val="20"/>
                <w:szCs w:val="20"/>
              </w:rPr>
            </w:pPr>
            <w:r>
              <w:rPr>
                <w:rFonts w:eastAsia="Times New Roman"/>
                <w:sz w:val="20"/>
                <w:szCs w:val="20"/>
              </w:rPr>
              <w:t>Working Capital Loan</w:t>
            </w:r>
          </w:p>
        </w:tc>
        <w:tc>
          <w:tcPr>
            <w:tcW w:w="0" w:type="auto"/>
            <w:vAlign w:val="bottom"/>
            <w:hideMark/>
          </w:tcPr>
          <w:p w14:paraId="2CE2A80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E54D715" w14:textId="77777777" w:rsidR="00000000" w:rsidRDefault="00087966">
            <w:pPr>
              <w:jc w:val="center"/>
              <w:rPr>
                <w:rFonts w:eastAsia="Times New Roman"/>
                <w:sz w:val="20"/>
                <w:szCs w:val="20"/>
              </w:rPr>
            </w:pPr>
            <w:r>
              <w:rPr>
                <w:rFonts w:eastAsia="Times New Roman"/>
                <w:sz w:val="20"/>
                <w:szCs w:val="20"/>
              </w:rPr>
              <w:t> </w:t>
            </w:r>
          </w:p>
        </w:tc>
        <w:tc>
          <w:tcPr>
            <w:tcW w:w="0" w:type="auto"/>
            <w:vAlign w:val="bottom"/>
            <w:hideMark/>
          </w:tcPr>
          <w:p w14:paraId="67CBFF7E" w14:textId="77777777" w:rsidR="00000000" w:rsidRDefault="00087966">
            <w:pPr>
              <w:jc w:val="center"/>
              <w:rPr>
                <w:rFonts w:eastAsia="Times New Roman"/>
                <w:sz w:val="20"/>
                <w:szCs w:val="20"/>
              </w:rPr>
            </w:pPr>
            <w:r>
              <w:rPr>
                <w:rFonts w:eastAsia="Times New Roman"/>
                <w:sz w:val="20"/>
                <w:szCs w:val="20"/>
              </w:rPr>
              <w:t>3</w:t>
            </w:r>
          </w:p>
        </w:tc>
        <w:tc>
          <w:tcPr>
            <w:tcW w:w="0" w:type="auto"/>
            <w:vAlign w:val="bottom"/>
            <w:hideMark/>
          </w:tcPr>
          <w:p w14:paraId="18156DD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923047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F6EB6F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56D55D3" w14:textId="77777777" w:rsidR="00000000" w:rsidRDefault="00087966">
            <w:pPr>
              <w:jc w:val="right"/>
              <w:rPr>
                <w:rFonts w:eastAsia="Times New Roman"/>
                <w:sz w:val="20"/>
                <w:szCs w:val="20"/>
              </w:rPr>
            </w:pPr>
            <w:r>
              <w:rPr>
                <w:rFonts w:eastAsia="Times New Roman"/>
                <w:sz w:val="20"/>
                <w:szCs w:val="20"/>
              </w:rPr>
              <w:t>421,900</w:t>
            </w:r>
          </w:p>
        </w:tc>
        <w:tc>
          <w:tcPr>
            <w:tcW w:w="0" w:type="auto"/>
            <w:vAlign w:val="bottom"/>
            <w:hideMark/>
          </w:tcPr>
          <w:p w14:paraId="7E827FC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F6CE68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FD3F4C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1613667" w14:textId="77777777" w:rsidR="00000000" w:rsidRDefault="00087966">
            <w:pPr>
              <w:jc w:val="right"/>
              <w:divId w:val="1335375040"/>
              <w:rPr>
                <w:rFonts w:eastAsia="Times New Roman"/>
                <w:sz w:val="20"/>
                <w:szCs w:val="20"/>
              </w:rPr>
            </w:pPr>
            <w:r>
              <w:rPr>
                <w:rFonts w:eastAsia="Times New Roman"/>
                <w:sz w:val="20"/>
                <w:szCs w:val="20"/>
              </w:rPr>
              <w:t>—</w:t>
            </w:r>
          </w:p>
        </w:tc>
        <w:tc>
          <w:tcPr>
            <w:tcW w:w="0" w:type="auto"/>
            <w:vAlign w:val="bottom"/>
            <w:hideMark/>
          </w:tcPr>
          <w:p w14:paraId="4970E04A" w14:textId="77777777" w:rsidR="00000000" w:rsidRDefault="00087966">
            <w:pPr>
              <w:rPr>
                <w:rFonts w:eastAsia="Times New Roman"/>
                <w:sz w:val="20"/>
                <w:szCs w:val="20"/>
              </w:rPr>
            </w:pPr>
            <w:r>
              <w:rPr>
                <w:rFonts w:eastAsia="Times New Roman"/>
                <w:sz w:val="20"/>
                <w:szCs w:val="20"/>
              </w:rPr>
              <w:t> </w:t>
            </w:r>
          </w:p>
        </w:tc>
      </w:tr>
    </w:tbl>
    <w:p w14:paraId="1EDF61DD" w14:textId="77777777" w:rsidR="00000000" w:rsidRDefault="00087966">
      <w:pPr>
        <w:pStyle w:val="a3"/>
        <w:spacing w:before="0" w:beforeAutospacing="0" w:after="0" w:afterAutospacing="0"/>
        <w:jc w:val="center"/>
        <w:divId w:val="1595479706"/>
        <w:rPr>
          <w:sz w:val="20"/>
          <w:szCs w:val="20"/>
        </w:rPr>
      </w:pPr>
      <w:r>
        <w:rPr>
          <w:sz w:val="20"/>
          <w:szCs w:val="20"/>
        </w:rPr>
        <w:t> </w:t>
      </w:r>
    </w:p>
    <w:p w14:paraId="7ABA2D07" w14:textId="77777777" w:rsidR="00000000" w:rsidRDefault="00087966">
      <w:pPr>
        <w:pStyle w:val="a3"/>
        <w:spacing w:before="0" w:beforeAutospacing="0" w:after="0" w:afterAutospacing="0"/>
        <w:jc w:val="both"/>
        <w:divId w:val="1595479706"/>
        <w:rPr>
          <w:sz w:val="20"/>
          <w:szCs w:val="20"/>
        </w:rPr>
      </w:pPr>
      <w:r>
        <w:rPr>
          <w:sz w:val="20"/>
          <w:szCs w:val="20"/>
        </w:rPr>
        <w:t>The warrants were accounted for as liabilities in accordance with ASC 815-40 and are presented within warrant liabilities on the accompanying consolidated balance sheets. The warrant liabilities are measured at fair value at inception and on a recurring ba</w:t>
      </w:r>
      <w:r>
        <w:rPr>
          <w:sz w:val="20"/>
          <w:szCs w:val="20"/>
        </w:rPr>
        <w:t>sis, with changes in fair value presented within change in fair value of warrant liabilities in the consolidated statements of operations.</w:t>
      </w:r>
    </w:p>
    <w:p w14:paraId="535E6C43" w14:textId="77777777" w:rsidR="00000000" w:rsidRDefault="00087966">
      <w:pPr>
        <w:pStyle w:val="a3"/>
        <w:spacing w:before="0" w:beforeAutospacing="0" w:after="0" w:afterAutospacing="0"/>
        <w:jc w:val="both"/>
        <w:divId w:val="1595479706"/>
        <w:rPr>
          <w:sz w:val="20"/>
          <w:szCs w:val="20"/>
        </w:rPr>
      </w:pPr>
      <w:r>
        <w:rPr>
          <w:sz w:val="20"/>
          <w:szCs w:val="20"/>
        </w:rPr>
        <w:t> </w:t>
      </w:r>
    </w:p>
    <w:p w14:paraId="686C36F4" w14:textId="77777777" w:rsidR="00000000" w:rsidRDefault="00087966">
      <w:pPr>
        <w:pStyle w:val="a3"/>
        <w:spacing w:before="0" w:beforeAutospacing="0" w:after="0" w:afterAutospacing="0"/>
        <w:jc w:val="both"/>
        <w:divId w:val="1595479706"/>
        <w:rPr>
          <w:sz w:val="20"/>
          <w:szCs w:val="20"/>
        </w:rPr>
      </w:pPr>
      <w:r>
        <w:rPr>
          <w:sz w:val="20"/>
          <w:szCs w:val="20"/>
        </w:rPr>
        <w:t>As of December 31, 2022 and 2021, the Private Placement Warrants were valued using a binomial lattice model which i</w:t>
      </w:r>
      <w:r>
        <w:rPr>
          <w:sz w:val="20"/>
          <w:szCs w:val="20"/>
        </w:rPr>
        <w:t>s considered to be a Level 3 fair value measurement. The binomial lattice model’s primary unobservable input utilized in determining the fair value of the warrants is the expected volatility of the common stock. The expected volatility as of the closing da</w:t>
      </w:r>
      <w:r>
        <w:rPr>
          <w:sz w:val="20"/>
          <w:szCs w:val="20"/>
        </w:rPr>
        <w:t>te of the Initial Public Offering was derived from observable Public Warrant pricing on comparable ‘blank-check’ companies without an identified target. The expected volatility as of subsequent valuation dates was implied from the Company’s own Public Warr</w:t>
      </w:r>
      <w:r>
        <w:rPr>
          <w:sz w:val="20"/>
          <w:szCs w:val="20"/>
        </w:rPr>
        <w:t>ant pricing. As of December 31, 2022 and 2021, the Public Warrants were valued using the level 1 quoted prices in an active market.</w:t>
      </w:r>
    </w:p>
    <w:p w14:paraId="1A852F12" w14:textId="77777777" w:rsidR="00000000" w:rsidRDefault="00087966">
      <w:pPr>
        <w:pStyle w:val="a3"/>
        <w:spacing w:before="0" w:beforeAutospacing="0" w:after="0" w:afterAutospacing="0"/>
        <w:jc w:val="both"/>
        <w:divId w:val="1595479706"/>
        <w:rPr>
          <w:sz w:val="20"/>
          <w:szCs w:val="20"/>
        </w:rPr>
      </w:pPr>
      <w:r>
        <w:rPr>
          <w:sz w:val="20"/>
          <w:szCs w:val="20"/>
        </w:rPr>
        <w:t> </w:t>
      </w:r>
    </w:p>
    <w:p w14:paraId="026B85C2" w14:textId="77777777" w:rsidR="00000000" w:rsidRDefault="00087966">
      <w:pPr>
        <w:pStyle w:val="a3"/>
        <w:spacing w:before="0" w:beforeAutospacing="0" w:after="0" w:afterAutospacing="0"/>
        <w:jc w:val="both"/>
        <w:divId w:val="1595479706"/>
        <w:rPr>
          <w:sz w:val="20"/>
          <w:szCs w:val="20"/>
        </w:rPr>
      </w:pPr>
      <w:r>
        <w:rPr>
          <w:sz w:val="20"/>
          <w:szCs w:val="20"/>
        </w:rPr>
        <w:t>The following table provides quantitative information regarding Level </w:t>
      </w:r>
      <w:r>
        <w:rPr>
          <w:sz w:val="20"/>
          <w:szCs w:val="20"/>
        </w:rPr>
        <w:t>3 fair value measurements for Private Placement Warrants at December 31, 2022 and 2021:</w:t>
      </w:r>
    </w:p>
    <w:p w14:paraId="71F70A23"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38"/>
        <w:gridCol w:w="50"/>
        <w:gridCol w:w="117"/>
        <w:gridCol w:w="1050"/>
        <w:gridCol w:w="167"/>
        <w:gridCol w:w="50"/>
        <w:gridCol w:w="117"/>
        <w:gridCol w:w="1050"/>
        <w:gridCol w:w="167"/>
      </w:tblGrid>
      <w:tr w:rsidR="00000000" w14:paraId="7079E3BC" w14:textId="77777777">
        <w:trPr>
          <w:divId w:val="1595479706"/>
        </w:trPr>
        <w:tc>
          <w:tcPr>
            <w:tcW w:w="0" w:type="auto"/>
            <w:vAlign w:val="bottom"/>
            <w:hideMark/>
          </w:tcPr>
          <w:p w14:paraId="2D4CD66E" w14:textId="77777777" w:rsidR="00000000" w:rsidRDefault="00087966">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7CB1226" w14:textId="77777777" w:rsidR="00000000" w:rsidRDefault="00087966">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48433FD" w14:textId="77777777" w:rsidR="00000000" w:rsidRDefault="00087966">
            <w:pPr>
              <w:jc w:val="center"/>
              <w:rPr>
                <w:rFonts w:eastAsia="Times New Roman"/>
                <w:sz w:val="20"/>
                <w:szCs w:val="20"/>
              </w:rPr>
            </w:pPr>
            <w:r>
              <w:rPr>
                <w:rFonts w:eastAsia="Times New Roman"/>
                <w:b/>
                <w:bCs/>
                <w:sz w:val="20"/>
                <w:szCs w:val="20"/>
              </w:rPr>
              <w:t>As of</w:t>
            </w:r>
            <w:r>
              <w:rPr>
                <w:rFonts w:eastAsia="Times New Roman"/>
                <w:b/>
                <w:bCs/>
                <w:sz w:val="20"/>
                <w:szCs w:val="20"/>
              </w:rPr>
              <w:br/>
              <w:t>December 31,</w:t>
            </w:r>
            <w:r>
              <w:rPr>
                <w:rFonts w:eastAsia="Times New Roman"/>
                <w:b/>
                <w:bCs/>
                <w:sz w:val="20"/>
                <w:szCs w:val="20"/>
              </w:rPr>
              <w:br/>
              <w:t>2022</w:t>
            </w:r>
          </w:p>
        </w:tc>
        <w:tc>
          <w:tcPr>
            <w:tcW w:w="0" w:type="auto"/>
            <w:tcMar>
              <w:top w:w="0" w:type="dxa"/>
              <w:left w:w="0" w:type="dxa"/>
              <w:bottom w:w="30" w:type="dxa"/>
              <w:right w:w="0" w:type="dxa"/>
            </w:tcMar>
            <w:vAlign w:val="bottom"/>
            <w:hideMark/>
          </w:tcPr>
          <w:p w14:paraId="1ECB583D" w14:textId="77777777" w:rsidR="00000000" w:rsidRDefault="00087966">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A04E224" w14:textId="77777777" w:rsidR="00000000" w:rsidRDefault="00087966">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86471F2" w14:textId="77777777" w:rsidR="00000000" w:rsidRDefault="00087966">
            <w:pPr>
              <w:jc w:val="center"/>
              <w:rPr>
                <w:rFonts w:eastAsia="Times New Roman"/>
                <w:sz w:val="20"/>
                <w:szCs w:val="20"/>
              </w:rPr>
            </w:pPr>
            <w:r>
              <w:rPr>
                <w:rFonts w:eastAsia="Times New Roman"/>
                <w:b/>
                <w:bCs/>
                <w:sz w:val="20"/>
                <w:szCs w:val="20"/>
              </w:rPr>
              <w:t>As of</w:t>
            </w:r>
            <w:r>
              <w:rPr>
                <w:rFonts w:eastAsia="Times New Roman"/>
                <w:b/>
                <w:bCs/>
                <w:sz w:val="20"/>
                <w:szCs w:val="20"/>
              </w:rPr>
              <w:br/>
              <w:t>December 31,</w:t>
            </w:r>
            <w:r>
              <w:rPr>
                <w:rFonts w:eastAsia="Times New Roman"/>
                <w:b/>
                <w:bCs/>
                <w:sz w:val="20"/>
                <w:szCs w:val="20"/>
              </w:rPr>
              <w:br/>
              <w:t>2021</w:t>
            </w:r>
          </w:p>
        </w:tc>
        <w:tc>
          <w:tcPr>
            <w:tcW w:w="0" w:type="auto"/>
            <w:tcMar>
              <w:top w:w="0" w:type="dxa"/>
              <w:left w:w="0" w:type="dxa"/>
              <w:bottom w:w="30" w:type="dxa"/>
              <w:right w:w="0" w:type="dxa"/>
            </w:tcMar>
            <w:vAlign w:val="bottom"/>
            <w:hideMark/>
          </w:tcPr>
          <w:p w14:paraId="307415ED" w14:textId="77777777" w:rsidR="00000000" w:rsidRDefault="00087966">
            <w:pPr>
              <w:rPr>
                <w:rFonts w:eastAsia="Times New Roman"/>
                <w:sz w:val="20"/>
                <w:szCs w:val="20"/>
              </w:rPr>
            </w:pPr>
            <w:r>
              <w:rPr>
                <w:rFonts w:eastAsia="Times New Roman"/>
                <w:b/>
                <w:bCs/>
                <w:sz w:val="20"/>
                <w:szCs w:val="20"/>
              </w:rPr>
              <w:t> </w:t>
            </w:r>
          </w:p>
        </w:tc>
      </w:tr>
      <w:tr w:rsidR="00000000" w14:paraId="19480F7F" w14:textId="77777777">
        <w:trPr>
          <w:divId w:val="1595479706"/>
        </w:trPr>
        <w:tc>
          <w:tcPr>
            <w:tcW w:w="3800" w:type="pct"/>
            <w:shd w:val="clear" w:color="auto" w:fill="CCEEFF"/>
            <w:vAlign w:val="bottom"/>
            <w:hideMark/>
          </w:tcPr>
          <w:p w14:paraId="0F229DCF" w14:textId="77777777" w:rsidR="00000000" w:rsidRDefault="00087966">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14:paraId="3E0CC113"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0A57DC8F"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67B50794" w14:textId="77777777" w:rsidR="00000000" w:rsidRDefault="00087966">
            <w:pPr>
              <w:jc w:val="right"/>
              <w:rPr>
                <w:rFonts w:eastAsia="Times New Roman"/>
                <w:sz w:val="20"/>
                <w:szCs w:val="20"/>
              </w:rPr>
            </w:pPr>
            <w:r>
              <w:rPr>
                <w:rFonts w:eastAsia="Times New Roman"/>
                <w:sz w:val="20"/>
                <w:szCs w:val="20"/>
              </w:rPr>
              <w:t>10.24</w:t>
            </w:r>
          </w:p>
        </w:tc>
        <w:tc>
          <w:tcPr>
            <w:tcW w:w="50" w:type="pct"/>
            <w:shd w:val="clear" w:color="auto" w:fill="CCEEFF"/>
            <w:vAlign w:val="bottom"/>
            <w:hideMark/>
          </w:tcPr>
          <w:p w14:paraId="26F0AA5C"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79C44CFB"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CA36E9"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3AA9810E" w14:textId="77777777" w:rsidR="00000000" w:rsidRDefault="00087966">
            <w:pPr>
              <w:jc w:val="right"/>
              <w:rPr>
                <w:rFonts w:eastAsia="Times New Roman"/>
                <w:sz w:val="20"/>
                <w:szCs w:val="20"/>
              </w:rPr>
            </w:pPr>
            <w:r>
              <w:rPr>
                <w:rFonts w:eastAsia="Times New Roman"/>
                <w:sz w:val="20"/>
                <w:szCs w:val="20"/>
              </w:rPr>
              <w:t>9.84</w:t>
            </w:r>
          </w:p>
        </w:tc>
        <w:tc>
          <w:tcPr>
            <w:tcW w:w="50" w:type="pct"/>
            <w:shd w:val="clear" w:color="auto" w:fill="CCEEFF"/>
            <w:vAlign w:val="bottom"/>
            <w:hideMark/>
          </w:tcPr>
          <w:p w14:paraId="13C8CC08" w14:textId="77777777" w:rsidR="00000000" w:rsidRDefault="00087966">
            <w:pPr>
              <w:rPr>
                <w:rFonts w:eastAsia="Times New Roman"/>
                <w:sz w:val="20"/>
                <w:szCs w:val="20"/>
              </w:rPr>
            </w:pPr>
            <w:r>
              <w:rPr>
                <w:rFonts w:eastAsia="Times New Roman"/>
                <w:sz w:val="20"/>
                <w:szCs w:val="20"/>
              </w:rPr>
              <w:t> </w:t>
            </w:r>
          </w:p>
        </w:tc>
      </w:tr>
      <w:tr w:rsidR="00000000" w14:paraId="620F91FF" w14:textId="77777777">
        <w:trPr>
          <w:divId w:val="1595479706"/>
        </w:trPr>
        <w:tc>
          <w:tcPr>
            <w:tcW w:w="0" w:type="auto"/>
            <w:vAlign w:val="bottom"/>
            <w:hideMark/>
          </w:tcPr>
          <w:p w14:paraId="7C8744A3" w14:textId="77777777" w:rsidR="00000000" w:rsidRDefault="00087966">
            <w:pPr>
              <w:rPr>
                <w:rFonts w:eastAsia="Times New Roman"/>
                <w:sz w:val="20"/>
                <w:szCs w:val="20"/>
              </w:rPr>
            </w:pPr>
            <w:r>
              <w:rPr>
                <w:rFonts w:eastAsia="Times New Roman"/>
                <w:sz w:val="20"/>
                <w:szCs w:val="20"/>
              </w:rPr>
              <w:t>Strike price</w:t>
            </w:r>
          </w:p>
        </w:tc>
        <w:tc>
          <w:tcPr>
            <w:tcW w:w="0" w:type="auto"/>
            <w:vAlign w:val="bottom"/>
            <w:hideMark/>
          </w:tcPr>
          <w:p w14:paraId="6C6128A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662AAFF"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7246E85A" w14:textId="77777777" w:rsidR="00000000" w:rsidRDefault="00087966">
            <w:pPr>
              <w:jc w:val="right"/>
              <w:rPr>
                <w:rFonts w:eastAsia="Times New Roman"/>
                <w:sz w:val="20"/>
                <w:szCs w:val="20"/>
              </w:rPr>
            </w:pPr>
            <w:r>
              <w:rPr>
                <w:rFonts w:eastAsia="Times New Roman"/>
                <w:sz w:val="20"/>
                <w:szCs w:val="20"/>
              </w:rPr>
              <w:t>11.50</w:t>
            </w:r>
          </w:p>
        </w:tc>
        <w:tc>
          <w:tcPr>
            <w:tcW w:w="0" w:type="auto"/>
            <w:vAlign w:val="bottom"/>
            <w:hideMark/>
          </w:tcPr>
          <w:p w14:paraId="254CBE3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C2AA8E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B9DE2EE"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5317B5D4" w14:textId="77777777" w:rsidR="00000000" w:rsidRDefault="00087966">
            <w:pPr>
              <w:jc w:val="right"/>
              <w:rPr>
                <w:rFonts w:eastAsia="Times New Roman"/>
                <w:sz w:val="20"/>
                <w:szCs w:val="20"/>
              </w:rPr>
            </w:pPr>
            <w:r>
              <w:rPr>
                <w:rFonts w:eastAsia="Times New Roman"/>
                <w:sz w:val="20"/>
                <w:szCs w:val="20"/>
              </w:rPr>
              <w:t>11.50</w:t>
            </w:r>
          </w:p>
        </w:tc>
        <w:tc>
          <w:tcPr>
            <w:tcW w:w="0" w:type="auto"/>
            <w:vAlign w:val="bottom"/>
            <w:hideMark/>
          </w:tcPr>
          <w:p w14:paraId="4FA75909" w14:textId="77777777" w:rsidR="00000000" w:rsidRDefault="00087966">
            <w:pPr>
              <w:rPr>
                <w:rFonts w:eastAsia="Times New Roman"/>
                <w:sz w:val="20"/>
                <w:szCs w:val="20"/>
              </w:rPr>
            </w:pPr>
            <w:r>
              <w:rPr>
                <w:rFonts w:eastAsia="Times New Roman"/>
                <w:sz w:val="20"/>
                <w:szCs w:val="20"/>
              </w:rPr>
              <w:t> </w:t>
            </w:r>
          </w:p>
        </w:tc>
      </w:tr>
      <w:tr w:rsidR="00000000" w14:paraId="4663E07A" w14:textId="77777777">
        <w:trPr>
          <w:divId w:val="1595479706"/>
        </w:trPr>
        <w:tc>
          <w:tcPr>
            <w:tcW w:w="0" w:type="auto"/>
            <w:shd w:val="clear" w:color="auto" w:fill="CCEEFF"/>
            <w:vAlign w:val="bottom"/>
            <w:hideMark/>
          </w:tcPr>
          <w:p w14:paraId="0A60DAC7" w14:textId="77777777" w:rsidR="00000000" w:rsidRDefault="00087966">
            <w:pPr>
              <w:rPr>
                <w:rFonts w:eastAsia="Times New Roman"/>
                <w:sz w:val="20"/>
                <w:szCs w:val="20"/>
              </w:rPr>
            </w:pPr>
            <w:r>
              <w:rPr>
                <w:rFonts w:eastAsia="Times New Roman"/>
                <w:sz w:val="20"/>
                <w:szCs w:val="20"/>
              </w:rPr>
              <w:t>Volatility</w:t>
            </w:r>
          </w:p>
        </w:tc>
        <w:tc>
          <w:tcPr>
            <w:tcW w:w="0" w:type="auto"/>
            <w:shd w:val="clear" w:color="auto" w:fill="CCEEFF"/>
            <w:vAlign w:val="bottom"/>
            <w:hideMark/>
          </w:tcPr>
          <w:p w14:paraId="40B5B06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3E1EE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34BE45" w14:textId="77777777" w:rsidR="00000000" w:rsidRDefault="00087966">
            <w:pPr>
              <w:jc w:val="right"/>
              <w:rPr>
                <w:rFonts w:eastAsia="Times New Roman"/>
                <w:sz w:val="20"/>
                <w:szCs w:val="20"/>
              </w:rPr>
            </w:pPr>
            <w:r>
              <w:rPr>
                <w:rFonts w:eastAsia="Times New Roman"/>
                <w:sz w:val="20"/>
                <w:szCs w:val="20"/>
              </w:rPr>
              <w:t>3.8</w:t>
            </w:r>
          </w:p>
        </w:tc>
        <w:tc>
          <w:tcPr>
            <w:tcW w:w="0" w:type="auto"/>
            <w:shd w:val="clear" w:color="auto" w:fill="CCEEFF"/>
            <w:vAlign w:val="bottom"/>
            <w:hideMark/>
          </w:tcPr>
          <w:p w14:paraId="01740695"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5B2D275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4C258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4986CF" w14:textId="77777777" w:rsidR="00000000" w:rsidRDefault="00087966">
            <w:pPr>
              <w:jc w:val="right"/>
              <w:rPr>
                <w:rFonts w:eastAsia="Times New Roman"/>
                <w:sz w:val="20"/>
                <w:szCs w:val="20"/>
              </w:rPr>
            </w:pPr>
            <w:r>
              <w:rPr>
                <w:rFonts w:eastAsia="Times New Roman"/>
                <w:sz w:val="20"/>
                <w:szCs w:val="20"/>
              </w:rPr>
              <w:t>12.2</w:t>
            </w:r>
          </w:p>
        </w:tc>
        <w:tc>
          <w:tcPr>
            <w:tcW w:w="0" w:type="auto"/>
            <w:shd w:val="clear" w:color="auto" w:fill="CCEEFF"/>
            <w:vAlign w:val="bottom"/>
            <w:hideMark/>
          </w:tcPr>
          <w:p w14:paraId="71C5A550" w14:textId="77777777" w:rsidR="00000000" w:rsidRDefault="00087966">
            <w:pPr>
              <w:rPr>
                <w:rFonts w:eastAsia="Times New Roman"/>
                <w:sz w:val="20"/>
                <w:szCs w:val="20"/>
              </w:rPr>
            </w:pPr>
            <w:r>
              <w:rPr>
                <w:rFonts w:eastAsia="Times New Roman"/>
                <w:sz w:val="20"/>
                <w:szCs w:val="20"/>
              </w:rPr>
              <w:t>%</w:t>
            </w:r>
          </w:p>
        </w:tc>
      </w:tr>
      <w:tr w:rsidR="00000000" w14:paraId="0E14EF5C" w14:textId="77777777">
        <w:trPr>
          <w:divId w:val="1595479706"/>
        </w:trPr>
        <w:tc>
          <w:tcPr>
            <w:tcW w:w="0" w:type="auto"/>
            <w:vAlign w:val="bottom"/>
            <w:hideMark/>
          </w:tcPr>
          <w:p w14:paraId="00A79040" w14:textId="77777777" w:rsidR="00000000" w:rsidRDefault="00087966">
            <w:pPr>
              <w:rPr>
                <w:rFonts w:eastAsia="Times New Roman"/>
                <w:sz w:val="20"/>
                <w:szCs w:val="20"/>
              </w:rPr>
            </w:pPr>
            <w:r>
              <w:rPr>
                <w:rFonts w:eastAsia="Times New Roman"/>
                <w:sz w:val="20"/>
                <w:szCs w:val="20"/>
              </w:rPr>
              <w:t>Risk-free rate</w:t>
            </w:r>
          </w:p>
        </w:tc>
        <w:tc>
          <w:tcPr>
            <w:tcW w:w="0" w:type="auto"/>
            <w:vAlign w:val="bottom"/>
            <w:hideMark/>
          </w:tcPr>
          <w:p w14:paraId="3755984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9BEC78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6F8BFFC" w14:textId="77777777" w:rsidR="00000000" w:rsidRDefault="00087966">
            <w:pPr>
              <w:jc w:val="right"/>
              <w:rPr>
                <w:rFonts w:eastAsia="Times New Roman"/>
                <w:sz w:val="20"/>
                <w:szCs w:val="20"/>
              </w:rPr>
            </w:pPr>
            <w:r>
              <w:rPr>
                <w:rFonts w:eastAsia="Times New Roman"/>
                <w:sz w:val="20"/>
                <w:szCs w:val="20"/>
              </w:rPr>
              <w:t>4.41</w:t>
            </w:r>
          </w:p>
        </w:tc>
        <w:tc>
          <w:tcPr>
            <w:tcW w:w="0" w:type="auto"/>
            <w:vAlign w:val="bottom"/>
            <w:hideMark/>
          </w:tcPr>
          <w:p w14:paraId="1FEA06C2"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7011FCA4"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D161A4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3FC36EB" w14:textId="77777777" w:rsidR="00000000" w:rsidRDefault="00087966">
            <w:pPr>
              <w:jc w:val="right"/>
              <w:rPr>
                <w:rFonts w:eastAsia="Times New Roman"/>
                <w:sz w:val="20"/>
                <w:szCs w:val="20"/>
              </w:rPr>
            </w:pPr>
            <w:r>
              <w:rPr>
                <w:rFonts w:eastAsia="Times New Roman"/>
                <w:sz w:val="20"/>
                <w:szCs w:val="20"/>
              </w:rPr>
              <w:t>1.17</w:t>
            </w:r>
          </w:p>
        </w:tc>
        <w:tc>
          <w:tcPr>
            <w:tcW w:w="0" w:type="auto"/>
            <w:vAlign w:val="bottom"/>
            <w:hideMark/>
          </w:tcPr>
          <w:p w14:paraId="0DD3B6B5" w14:textId="77777777" w:rsidR="00000000" w:rsidRDefault="00087966">
            <w:pPr>
              <w:rPr>
                <w:rFonts w:eastAsia="Times New Roman"/>
                <w:sz w:val="20"/>
                <w:szCs w:val="20"/>
              </w:rPr>
            </w:pPr>
            <w:r>
              <w:rPr>
                <w:rFonts w:eastAsia="Times New Roman"/>
                <w:sz w:val="20"/>
                <w:szCs w:val="20"/>
              </w:rPr>
              <w:t>%</w:t>
            </w:r>
          </w:p>
        </w:tc>
      </w:tr>
      <w:tr w:rsidR="00000000" w14:paraId="18398BE3" w14:textId="77777777">
        <w:trPr>
          <w:divId w:val="1595479706"/>
        </w:trPr>
        <w:tc>
          <w:tcPr>
            <w:tcW w:w="0" w:type="auto"/>
            <w:shd w:val="clear" w:color="auto" w:fill="CCEEFF"/>
            <w:vAlign w:val="bottom"/>
            <w:hideMark/>
          </w:tcPr>
          <w:p w14:paraId="542F5956" w14:textId="77777777" w:rsidR="00000000" w:rsidRDefault="00087966">
            <w:pPr>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14:paraId="37832BE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3934A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A6F4A4" w14:textId="77777777" w:rsidR="00000000" w:rsidRDefault="00087966">
            <w:pPr>
              <w:jc w:val="right"/>
              <w:rPr>
                <w:rFonts w:eastAsia="Times New Roman"/>
                <w:sz w:val="20"/>
                <w:szCs w:val="20"/>
              </w:rPr>
            </w:pPr>
            <w:r>
              <w:rPr>
                <w:rFonts w:eastAsia="Times New Roman"/>
                <w:sz w:val="20"/>
                <w:szCs w:val="20"/>
              </w:rPr>
              <w:t>35</w:t>
            </w:r>
          </w:p>
        </w:tc>
        <w:tc>
          <w:tcPr>
            <w:tcW w:w="0" w:type="auto"/>
            <w:shd w:val="clear" w:color="auto" w:fill="CCEEFF"/>
            <w:vAlign w:val="bottom"/>
            <w:hideMark/>
          </w:tcPr>
          <w:p w14:paraId="270413F7"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627EC32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11492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30D196" w14:textId="77777777" w:rsidR="00000000" w:rsidRDefault="00087966">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69E52E99" w14:textId="77777777" w:rsidR="00000000" w:rsidRDefault="00087966">
            <w:pPr>
              <w:rPr>
                <w:rFonts w:eastAsia="Times New Roman"/>
                <w:sz w:val="20"/>
                <w:szCs w:val="20"/>
              </w:rPr>
            </w:pPr>
            <w:r>
              <w:rPr>
                <w:rFonts w:eastAsia="Times New Roman"/>
                <w:sz w:val="20"/>
                <w:szCs w:val="20"/>
              </w:rPr>
              <w:t>%</w:t>
            </w:r>
          </w:p>
        </w:tc>
      </w:tr>
      <w:tr w:rsidR="00000000" w14:paraId="2E3AB42B" w14:textId="77777777">
        <w:trPr>
          <w:divId w:val="1595479706"/>
        </w:trPr>
        <w:tc>
          <w:tcPr>
            <w:tcW w:w="0" w:type="auto"/>
            <w:vAlign w:val="bottom"/>
            <w:hideMark/>
          </w:tcPr>
          <w:p w14:paraId="72B830F2" w14:textId="77777777" w:rsidR="00000000" w:rsidRDefault="00087966">
            <w:pPr>
              <w:rPr>
                <w:rFonts w:eastAsia="Times New Roman"/>
                <w:sz w:val="20"/>
                <w:szCs w:val="20"/>
              </w:rPr>
            </w:pPr>
            <w:r>
              <w:rPr>
                <w:rFonts w:eastAsia="Times New Roman"/>
                <w:sz w:val="20"/>
                <w:szCs w:val="20"/>
              </w:rPr>
              <w:t>Dividend yield</w:t>
            </w:r>
          </w:p>
        </w:tc>
        <w:tc>
          <w:tcPr>
            <w:tcW w:w="0" w:type="auto"/>
            <w:vAlign w:val="bottom"/>
            <w:hideMark/>
          </w:tcPr>
          <w:p w14:paraId="1F3A979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5D585F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B8245D5" w14:textId="77777777" w:rsidR="00000000" w:rsidRDefault="00087966">
            <w:pPr>
              <w:jc w:val="right"/>
              <w:rPr>
                <w:rFonts w:eastAsia="Times New Roman"/>
                <w:sz w:val="20"/>
                <w:szCs w:val="20"/>
              </w:rPr>
            </w:pPr>
            <w:r>
              <w:rPr>
                <w:rFonts w:eastAsia="Times New Roman"/>
                <w:sz w:val="20"/>
                <w:szCs w:val="20"/>
              </w:rPr>
              <w:t>0.0</w:t>
            </w:r>
          </w:p>
        </w:tc>
        <w:tc>
          <w:tcPr>
            <w:tcW w:w="0" w:type="auto"/>
            <w:vAlign w:val="bottom"/>
            <w:hideMark/>
          </w:tcPr>
          <w:p w14:paraId="1FBDA6B7"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49B1860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3A6ED82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9678A24" w14:textId="77777777" w:rsidR="00000000" w:rsidRDefault="00087966">
            <w:pPr>
              <w:jc w:val="right"/>
              <w:rPr>
                <w:rFonts w:eastAsia="Times New Roman"/>
                <w:sz w:val="20"/>
                <w:szCs w:val="20"/>
              </w:rPr>
            </w:pPr>
            <w:r>
              <w:rPr>
                <w:rFonts w:eastAsia="Times New Roman"/>
                <w:sz w:val="20"/>
                <w:szCs w:val="20"/>
              </w:rPr>
              <w:t>0.0</w:t>
            </w:r>
          </w:p>
        </w:tc>
        <w:tc>
          <w:tcPr>
            <w:tcW w:w="0" w:type="auto"/>
            <w:vAlign w:val="bottom"/>
            <w:hideMark/>
          </w:tcPr>
          <w:p w14:paraId="242B5A7A" w14:textId="77777777" w:rsidR="00000000" w:rsidRDefault="00087966">
            <w:pPr>
              <w:rPr>
                <w:rFonts w:eastAsia="Times New Roman"/>
                <w:sz w:val="20"/>
                <w:szCs w:val="20"/>
              </w:rPr>
            </w:pPr>
            <w:r>
              <w:rPr>
                <w:rFonts w:eastAsia="Times New Roman"/>
                <w:sz w:val="20"/>
                <w:szCs w:val="20"/>
              </w:rPr>
              <w:t>%</w:t>
            </w:r>
          </w:p>
        </w:tc>
      </w:tr>
      <w:tr w:rsidR="00000000" w14:paraId="157A9C67" w14:textId="77777777">
        <w:trPr>
          <w:divId w:val="1595479706"/>
        </w:trPr>
        <w:tc>
          <w:tcPr>
            <w:tcW w:w="0" w:type="auto"/>
            <w:shd w:val="clear" w:color="auto" w:fill="CCEEFF"/>
            <w:vAlign w:val="bottom"/>
            <w:hideMark/>
          </w:tcPr>
          <w:p w14:paraId="1D1E91CA" w14:textId="77777777" w:rsidR="00000000" w:rsidRDefault="00087966">
            <w:pPr>
              <w:rPr>
                <w:rFonts w:eastAsia="Times New Roman"/>
                <w:sz w:val="20"/>
                <w:szCs w:val="20"/>
              </w:rPr>
            </w:pPr>
            <w:r>
              <w:rPr>
                <w:rFonts w:eastAsia="Times New Roman"/>
                <w:sz w:val="20"/>
                <w:szCs w:val="20"/>
              </w:rPr>
              <w:t>Fair value of warrants</w:t>
            </w:r>
          </w:p>
        </w:tc>
        <w:tc>
          <w:tcPr>
            <w:tcW w:w="0" w:type="auto"/>
            <w:shd w:val="clear" w:color="auto" w:fill="CCEEFF"/>
            <w:vAlign w:val="bottom"/>
            <w:hideMark/>
          </w:tcPr>
          <w:p w14:paraId="38CBC6C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94A1D1"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6D10C89B" w14:textId="77777777" w:rsidR="00000000" w:rsidRDefault="00087966">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14:paraId="37ECE1E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A38E6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99AD7A"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28A0E86E" w14:textId="77777777" w:rsidR="00000000" w:rsidRDefault="00087966">
            <w:pPr>
              <w:jc w:val="right"/>
              <w:rPr>
                <w:rFonts w:eastAsia="Times New Roman"/>
                <w:sz w:val="20"/>
                <w:szCs w:val="20"/>
              </w:rPr>
            </w:pPr>
            <w:r>
              <w:rPr>
                <w:rFonts w:eastAsia="Times New Roman"/>
                <w:sz w:val="20"/>
                <w:szCs w:val="20"/>
              </w:rPr>
              <w:t>0.60</w:t>
            </w:r>
          </w:p>
        </w:tc>
        <w:tc>
          <w:tcPr>
            <w:tcW w:w="0" w:type="auto"/>
            <w:shd w:val="clear" w:color="auto" w:fill="CCEEFF"/>
            <w:vAlign w:val="bottom"/>
            <w:hideMark/>
          </w:tcPr>
          <w:p w14:paraId="400185E6" w14:textId="77777777" w:rsidR="00000000" w:rsidRDefault="00087966">
            <w:pPr>
              <w:rPr>
                <w:rFonts w:eastAsia="Times New Roman"/>
                <w:sz w:val="20"/>
                <w:szCs w:val="20"/>
              </w:rPr>
            </w:pPr>
            <w:r>
              <w:rPr>
                <w:rFonts w:eastAsia="Times New Roman"/>
                <w:sz w:val="20"/>
                <w:szCs w:val="20"/>
              </w:rPr>
              <w:t> </w:t>
            </w:r>
          </w:p>
        </w:tc>
      </w:tr>
    </w:tbl>
    <w:p w14:paraId="1BCED8B6" w14:textId="77777777" w:rsidR="00000000" w:rsidRDefault="00087966">
      <w:pPr>
        <w:pStyle w:val="a3"/>
        <w:spacing w:before="0" w:beforeAutospacing="0" w:after="0" w:afterAutospacing="0"/>
        <w:jc w:val="both"/>
        <w:divId w:val="1595479706"/>
        <w:rPr>
          <w:sz w:val="20"/>
          <w:szCs w:val="20"/>
        </w:rPr>
      </w:pPr>
      <w:r>
        <w:rPr>
          <w:sz w:val="20"/>
          <w:szCs w:val="20"/>
        </w:rPr>
        <w:t> </w:t>
      </w:r>
    </w:p>
    <w:p w14:paraId="695C87EB" w14:textId="77777777" w:rsidR="00000000" w:rsidRDefault="00087966">
      <w:pPr>
        <w:pStyle w:val="a3"/>
        <w:spacing w:before="0" w:beforeAutospacing="0" w:after="0" w:afterAutospacing="0"/>
        <w:jc w:val="both"/>
        <w:divId w:val="1595479706"/>
        <w:rPr>
          <w:sz w:val="20"/>
          <w:szCs w:val="20"/>
        </w:rPr>
      </w:pPr>
      <w:r>
        <w:rPr>
          <w:sz w:val="20"/>
          <w:szCs w:val="20"/>
        </w:rPr>
        <w:t>The following table presents the changes in the fair value of Level 3 warrant liabilities for the year ended December 31, 2021:</w:t>
      </w:r>
    </w:p>
    <w:p w14:paraId="1DD73F5B"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21"/>
        <w:gridCol w:w="50"/>
        <w:gridCol w:w="100"/>
        <w:gridCol w:w="800"/>
        <w:gridCol w:w="67"/>
        <w:gridCol w:w="50"/>
        <w:gridCol w:w="100"/>
        <w:gridCol w:w="867"/>
        <w:gridCol w:w="67"/>
        <w:gridCol w:w="50"/>
        <w:gridCol w:w="100"/>
        <w:gridCol w:w="867"/>
        <w:gridCol w:w="67"/>
      </w:tblGrid>
      <w:tr w:rsidR="00000000" w14:paraId="022C45A1" w14:textId="77777777">
        <w:trPr>
          <w:divId w:val="1595479706"/>
        </w:trPr>
        <w:tc>
          <w:tcPr>
            <w:tcW w:w="0" w:type="auto"/>
            <w:vAlign w:val="bottom"/>
            <w:hideMark/>
          </w:tcPr>
          <w:p w14:paraId="65A638A2"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4D78FFF"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BBE7C0" w14:textId="77777777" w:rsidR="00000000" w:rsidRDefault="00087966">
            <w:pPr>
              <w:jc w:val="center"/>
              <w:rPr>
                <w:rFonts w:eastAsia="Times New Roman"/>
                <w:b/>
                <w:bCs/>
                <w:sz w:val="20"/>
                <w:szCs w:val="20"/>
              </w:rPr>
            </w:pPr>
            <w:r>
              <w:rPr>
                <w:rFonts w:eastAsia="Times New Roman"/>
                <w:b/>
                <w:bCs/>
                <w:sz w:val="20"/>
                <w:szCs w:val="20"/>
              </w:rPr>
              <w:t>Private</w:t>
            </w:r>
            <w:r>
              <w:rPr>
                <w:rFonts w:eastAsia="Times New Roman"/>
                <w:b/>
                <w:bCs/>
                <w:sz w:val="20"/>
                <w:szCs w:val="20"/>
              </w:rPr>
              <w:br/>
              <w:t>Placement</w:t>
            </w:r>
          </w:p>
        </w:tc>
        <w:tc>
          <w:tcPr>
            <w:tcW w:w="0" w:type="auto"/>
            <w:tcMar>
              <w:top w:w="0" w:type="dxa"/>
              <w:left w:w="0" w:type="dxa"/>
              <w:bottom w:w="30" w:type="dxa"/>
              <w:right w:w="0" w:type="dxa"/>
            </w:tcMar>
            <w:vAlign w:val="bottom"/>
            <w:hideMark/>
          </w:tcPr>
          <w:p w14:paraId="5FB6A0D7"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C454E1D"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9D2B1F7" w14:textId="77777777" w:rsidR="00000000" w:rsidRDefault="00087966">
            <w:pPr>
              <w:jc w:val="center"/>
              <w:rPr>
                <w:rFonts w:eastAsia="Times New Roman"/>
                <w:b/>
                <w:bCs/>
                <w:sz w:val="20"/>
                <w:szCs w:val="20"/>
              </w:rPr>
            </w:pPr>
            <w:r>
              <w:rPr>
                <w:rFonts w:eastAsia="Times New Roman"/>
                <w:b/>
                <w:bCs/>
                <w:sz w:val="20"/>
                <w:szCs w:val="20"/>
              </w:rPr>
              <w:t>Public</w:t>
            </w:r>
          </w:p>
        </w:tc>
        <w:tc>
          <w:tcPr>
            <w:tcW w:w="0" w:type="auto"/>
            <w:tcMar>
              <w:top w:w="0" w:type="dxa"/>
              <w:left w:w="0" w:type="dxa"/>
              <w:bottom w:w="30" w:type="dxa"/>
              <w:right w:w="0" w:type="dxa"/>
            </w:tcMar>
            <w:vAlign w:val="bottom"/>
            <w:hideMark/>
          </w:tcPr>
          <w:p w14:paraId="7301F4EB" w14:textId="77777777" w:rsidR="00000000" w:rsidRDefault="00087966">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D1DD14F"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F399F0" w14:textId="77777777" w:rsidR="00000000" w:rsidRDefault="00087966">
            <w:pPr>
              <w:jc w:val="center"/>
              <w:rPr>
                <w:rFonts w:eastAsia="Times New Roman"/>
                <w:b/>
                <w:bCs/>
                <w:sz w:val="20"/>
                <w:szCs w:val="20"/>
              </w:rPr>
            </w:pPr>
            <w:r>
              <w:rPr>
                <w:rFonts w:eastAsia="Times New Roman"/>
                <w:b/>
                <w:bCs/>
                <w:sz w:val="20"/>
                <w:szCs w:val="20"/>
              </w:rPr>
              <w:t>Warrant</w:t>
            </w:r>
            <w:r>
              <w:rPr>
                <w:rFonts w:eastAsia="Times New Roman"/>
                <w:b/>
                <w:bCs/>
                <w:sz w:val="20"/>
                <w:szCs w:val="20"/>
              </w:rPr>
              <w:br/>
              <w:t>Liabilities</w:t>
            </w:r>
          </w:p>
        </w:tc>
        <w:tc>
          <w:tcPr>
            <w:tcW w:w="0" w:type="auto"/>
            <w:tcMar>
              <w:top w:w="0" w:type="dxa"/>
              <w:left w:w="0" w:type="dxa"/>
              <w:bottom w:w="30" w:type="dxa"/>
              <w:right w:w="0" w:type="dxa"/>
            </w:tcMar>
            <w:vAlign w:val="bottom"/>
            <w:hideMark/>
          </w:tcPr>
          <w:p w14:paraId="7B658F02" w14:textId="77777777" w:rsidR="00000000" w:rsidRDefault="00087966">
            <w:pPr>
              <w:rPr>
                <w:rFonts w:eastAsia="Times New Roman"/>
                <w:b/>
                <w:bCs/>
                <w:sz w:val="20"/>
                <w:szCs w:val="20"/>
              </w:rPr>
            </w:pPr>
            <w:r>
              <w:rPr>
                <w:rFonts w:eastAsia="Times New Roman"/>
                <w:b/>
                <w:bCs/>
                <w:sz w:val="20"/>
                <w:szCs w:val="20"/>
              </w:rPr>
              <w:t> </w:t>
            </w:r>
          </w:p>
        </w:tc>
      </w:tr>
      <w:tr w:rsidR="00000000" w14:paraId="18D1F48C" w14:textId="77777777">
        <w:trPr>
          <w:divId w:val="1595479706"/>
        </w:trPr>
        <w:tc>
          <w:tcPr>
            <w:tcW w:w="0" w:type="auto"/>
            <w:shd w:val="clear" w:color="auto" w:fill="CCEEFF"/>
            <w:vAlign w:val="bottom"/>
            <w:hideMark/>
          </w:tcPr>
          <w:p w14:paraId="7777D560" w14:textId="77777777" w:rsidR="00000000" w:rsidRDefault="00087966">
            <w:pPr>
              <w:rPr>
                <w:rFonts w:eastAsia="Times New Roman"/>
                <w:sz w:val="20"/>
                <w:szCs w:val="20"/>
              </w:rPr>
            </w:pPr>
            <w:r>
              <w:rPr>
                <w:rFonts w:eastAsia="Times New Roman"/>
                <w:sz w:val="20"/>
                <w:szCs w:val="20"/>
              </w:rPr>
              <w:t>Fair value as of January 1, 2021</w:t>
            </w:r>
          </w:p>
        </w:tc>
        <w:tc>
          <w:tcPr>
            <w:tcW w:w="0" w:type="auto"/>
            <w:shd w:val="clear" w:color="auto" w:fill="CCEEFF"/>
            <w:vAlign w:val="bottom"/>
            <w:hideMark/>
          </w:tcPr>
          <w:p w14:paraId="4B41C44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14BBA1"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776EDA6A" w14:textId="77777777" w:rsidR="00000000" w:rsidRDefault="00087966">
            <w:pPr>
              <w:jc w:val="right"/>
              <w:divId w:val="2080054116"/>
              <w:rPr>
                <w:rFonts w:eastAsia="Times New Roman"/>
                <w:sz w:val="20"/>
                <w:szCs w:val="20"/>
              </w:rPr>
            </w:pPr>
            <w:r>
              <w:rPr>
                <w:rFonts w:eastAsia="Times New Roman"/>
                <w:sz w:val="20"/>
                <w:szCs w:val="20"/>
              </w:rPr>
              <w:t>—</w:t>
            </w:r>
          </w:p>
        </w:tc>
        <w:tc>
          <w:tcPr>
            <w:tcW w:w="0" w:type="auto"/>
            <w:shd w:val="clear" w:color="auto" w:fill="CCEEFF"/>
            <w:vAlign w:val="bottom"/>
            <w:hideMark/>
          </w:tcPr>
          <w:p w14:paraId="72BE06E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1C73A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8DF1D7"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3D8377AF" w14:textId="77777777" w:rsidR="00000000" w:rsidRDefault="00087966">
            <w:pPr>
              <w:jc w:val="right"/>
              <w:divId w:val="1853371232"/>
              <w:rPr>
                <w:rFonts w:eastAsia="Times New Roman"/>
                <w:sz w:val="20"/>
                <w:szCs w:val="20"/>
              </w:rPr>
            </w:pPr>
            <w:r>
              <w:rPr>
                <w:rFonts w:eastAsia="Times New Roman"/>
                <w:sz w:val="20"/>
                <w:szCs w:val="20"/>
              </w:rPr>
              <w:t>—</w:t>
            </w:r>
          </w:p>
        </w:tc>
        <w:tc>
          <w:tcPr>
            <w:tcW w:w="0" w:type="auto"/>
            <w:shd w:val="clear" w:color="auto" w:fill="CCEEFF"/>
            <w:vAlign w:val="bottom"/>
            <w:hideMark/>
          </w:tcPr>
          <w:p w14:paraId="77933F5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F24FA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E60870"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2BDEA3EE" w14:textId="77777777" w:rsidR="00000000" w:rsidRDefault="00087966">
            <w:pPr>
              <w:jc w:val="right"/>
              <w:divId w:val="136727512"/>
              <w:rPr>
                <w:rFonts w:eastAsia="Times New Roman"/>
                <w:sz w:val="20"/>
                <w:szCs w:val="20"/>
              </w:rPr>
            </w:pPr>
            <w:r>
              <w:rPr>
                <w:rFonts w:eastAsia="Times New Roman"/>
                <w:sz w:val="20"/>
                <w:szCs w:val="20"/>
              </w:rPr>
              <w:t>—</w:t>
            </w:r>
          </w:p>
        </w:tc>
        <w:tc>
          <w:tcPr>
            <w:tcW w:w="0" w:type="auto"/>
            <w:shd w:val="clear" w:color="auto" w:fill="CCEEFF"/>
            <w:vAlign w:val="bottom"/>
            <w:hideMark/>
          </w:tcPr>
          <w:p w14:paraId="1743A307" w14:textId="77777777" w:rsidR="00000000" w:rsidRDefault="00087966">
            <w:pPr>
              <w:rPr>
                <w:rFonts w:eastAsia="Times New Roman"/>
                <w:sz w:val="20"/>
                <w:szCs w:val="20"/>
              </w:rPr>
            </w:pPr>
            <w:r>
              <w:rPr>
                <w:rFonts w:eastAsia="Times New Roman"/>
                <w:sz w:val="20"/>
                <w:szCs w:val="20"/>
              </w:rPr>
              <w:t> </w:t>
            </w:r>
          </w:p>
        </w:tc>
      </w:tr>
      <w:tr w:rsidR="00000000" w14:paraId="2616B940" w14:textId="77777777">
        <w:trPr>
          <w:divId w:val="1595479706"/>
        </w:trPr>
        <w:tc>
          <w:tcPr>
            <w:tcW w:w="3200" w:type="pct"/>
            <w:vAlign w:val="bottom"/>
            <w:hideMark/>
          </w:tcPr>
          <w:p w14:paraId="499F70C1" w14:textId="77777777" w:rsidR="00000000" w:rsidRDefault="00087966">
            <w:pPr>
              <w:rPr>
                <w:rFonts w:eastAsia="Times New Roman"/>
                <w:sz w:val="20"/>
                <w:szCs w:val="20"/>
              </w:rPr>
            </w:pPr>
            <w:r>
              <w:rPr>
                <w:rFonts w:eastAsia="Times New Roman"/>
                <w:sz w:val="20"/>
                <w:szCs w:val="20"/>
              </w:rPr>
              <w:t>Initial measurement on January 11, 2021</w:t>
            </w:r>
          </w:p>
        </w:tc>
        <w:tc>
          <w:tcPr>
            <w:tcW w:w="50" w:type="pct"/>
            <w:vAlign w:val="bottom"/>
            <w:hideMark/>
          </w:tcPr>
          <w:p w14:paraId="04B58A69" w14:textId="77777777" w:rsidR="00000000" w:rsidRDefault="00087966">
            <w:pPr>
              <w:rPr>
                <w:rFonts w:eastAsia="Times New Roman"/>
                <w:sz w:val="20"/>
                <w:szCs w:val="20"/>
              </w:rPr>
            </w:pPr>
            <w:r>
              <w:rPr>
                <w:rFonts w:eastAsia="Times New Roman"/>
                <w:sz w:val="20"/>
                <w:szCs w:val="20"/>
              </w:rPr>
              <w:t> </w:t>
            </w:r>
          </w:p>
        </w:tc>
        <w:tc>
          <w:tcPr>
            <w:tcW w:w="50" w:type="pct"/>
            <w:vAlign w:val="bottom"/>
            <w:hideMark/>
          </w:tcPr>
          <w:p w14:paraId="438BA002" w14:textId="77777777" w:rsidR="00000000" w:rsidRDefault="00087966">
            <w:pPr>
              <w:rPr>
                <w:rFonts w:eastAsia="Times New Roman"/>
                <w:sz w:val="20"/>
                <w:szCs w:val="20"/>
              </w:rPr>
            </w:pPr>
            <w:r>
              <w:rPr>
                <w:rFonts w:eastAsia="Times New Roman"/>
                <w:sz w:val="20"/>
                <w:szCs w:val="20"/>
              </w:rPr>
              <w:t> </w:t>
            </w:r>
          </w:p>
        </w:tc>
        <w:tc>
          <w:tcPr>
            <w:tcW w:w="450" w:type="pct"/>
            <w:vAlign w:val="bottom"/>
            <w:hideMark/>
          </w:tcPr>
          <w:p w14:paraId="5E86399A" w14:textId="77777777" w:rsidR="00000000" w:rsidRDefault="00087966">
            <w:pPr>
              <w:jc w:val="right"/>
              <w:rPr>
                <w:rFonts w:eastAsia="Times New Roman"/>
                <w:sz w:val="20"/>
                <w:szCs w:val="20"/>
              </w:rPr>
            </w:pPr>
            <w:r>
              <w:rPr>
                <w:rFonts w:eastAsia="Times New Roman"/>
                <w:sz w:val="20"/>
                <w:szCs w:val="20"/>
              </w:rPr>
              <w:t>3,744,000</w:t>
            </w:r>
          </w:p>
        </w:tc>
        <w:tc>
          <w:tcPr>
            <w:tcW w:w="50" w:type="pct"/>
            <w:vAlign w:val="bottom"/>
            <w:hideMark/>
          </w:tcPr>
          <w:p w14:paraId="5E5CB0B8" w14:textId="77777777" w:rsidR="00000000" w:rsidRDefault="00087966">
            <w:pPr>
              <w:rPr>
                <w:rFonts w:eastAsia="Times New Roman"/>
                <w:sz w:val="20"/>
                <w:szCs w:val="20"/>
              </w:rPr>
            </w:pPr>
            <w:r>
              <w:rPr>
                <w:rFonts w:eastAsia="Times New Roman"/>
                <w:sz w:val="20"/>
                <w:szCs w:val="20"/>
              </w:rPr>
              <w:t> </w:t>
            </w:r>
          </w:p>
        </w:tc>
        <w:tc>
          <w:tcPr>
            <w:tcW w:w="50" w:type="pct"/>
            <w:vAlign w:val="bottom"/>
            <w:hideMark/>
          </w:tcPr>
          <w:p w14:paraId="24F472A4" w14:textId="77777777" w:rsidR="00000000" w:rsidRDefault="00087966">
            <w:pPr>
              <w:rPr>
                <w:rFonts w:eastAsia="Times New Roman"/>
                <w:sz w:val="20"/>
                <w:szCs w:val="20"/>
              </w:rPr>
            </w:pPr>
            <w:r>
              <w:rPr>
                <w:rFonts w:eastAsia="Times New Roman"/>
                <w:sz w:val="20"/>
                <w:szCs w:val="20"/>
              </w:rPr>
              <w:t> </w:t>
            </w:r>
          </w:p>
        </w:tc>
        <w:tc>
          <w:tcPr>
            <w:tcW w:w="50" w:type="pct"/>
            <w:vAlign w:val="bottom"/>
            <w:hideMark/>
          </w:tcPr>
          <w:p w14:paraId="50DEB15A" w14:textId="77777777" w:rsidR="00000000" w:rsidRDefault="00087966">
            <w:pPr>
              <w:rPr>
                <w:rFonts w:eastAsia="Times New Roman"/>
                <w:sz w:val="20"/>
                <w:szCs w:val="20"/>
              </w:rPr>
            </w:pPr>
            <w:r>
              <w:rPr>
                <w:rFonts w:eastAsia="Times New Roman"/>
                <w:sz w:val="20"/>
                <w:szCs w:val="20"/>
              </w:rPr>
              <w:t> </w:t>
            </w:r>
          </w:p>
        </w:tc>
        <w:tc>
          <w:tcPr>
            <w:tcW w:w="450" w:type="pct"/>
            <w:vAlign w:val="bottom"/>
            <w:hideMark/>
          </w:tcPr>
          <w:p w14:paraId="0A46B73E" w14:textId="77777777" w:rsidR="00000000" w:rsidRDefault="00087966">
            <w:pPr>
              <w:jc w:val="right"/>
              <w:rPr>
                <w:rFonts w:eastAsia="Times New Roman"/>
                <w:sz w:val="20"/>
                <w:szCs w:val="20"/>
              </w:rPr>
            </w:pPr>
            <w:r>
              <w:rPr>
                <w:rFonts w:eastAsia="Times New Roman"/>
                <w:sz w:val="20"/>
                <w:szCs w:val="20"/>
              </w:rPr>
              <w:t>6,210,000</w:t>
            </w:r>
          </w:p>
        </w:tc>
        <w:tc>
          <w:tcPr>
            <w:tcW w:w="50" w:type="pct"/>
            <w:vAlign w:val="bottom"/>
            <w:hideMark/>
          </w:tcPr>
          <w:p w14:paraId="55F08E6D" w14:textId="77777777" w:rsidR="00000000" w:rsidRDefault="00087966">
            <w:pPr>
              <w:rPr>
                <w:rFonts w:eastAsia="Times New Roman"/>
                <w:sz w:val="20"/>
                <w:szCs w:val="20"/>
              </w:rPr>
            </w:pPr>
            <w:r>
              <w:rPr>
                <w:rFonts w:eastAsia="Times New Roman"/>
                <w:sz w:val="20"/>
                <w:szCs w:val="20"/>
              </w:rPr>
              <w:t> </w:t>
            </w:r>
          </w:p>
        </w:tc>
        <w:tc>
          <w:tcPr>
            <w:tcW w:w="50" w:type="pct"/>
            <w:vAlign w:val="bottom"/>
            <w:hideMark/>
          </w:tcPr>
          <w:p w14:paraId="0894E1B0" w14:textId="77777777" w:rsidR="00000000" w:rsidRDefault="00087966">
            <w:pPr>
              <w:rPr>
                <w:rFonts w:eastAsia="Times New Roman"/>
                <w:sz w:val="20"/>
                <w:szCs w:val="20"/>
              </w:rPr>
            </w:pPr>
            <w:r>
              <w:rPr>
                <w:rFonts w:eastAsia="Times New Roman"/>
                <w:sz w:val="20"/>
                <w:szCs w:val="20"/>
              </w:rPr>
              <w:t> </w:t>
            </w:r>
          </w:p>
        </w:tc>
        <w:tc>
          <w:tcPr>
            <w:tcW w:w="50" w:type="pct"/>
            <w:vAlign w:val="bottom"/>
            <w:hideMark/>
          </w:tcPr>
          <w:p w14:paraId="52A2DA9A" w14:textId="77777777" w:rsidR="00000000" w:rsidRDefault="00087966">
            <w:pPr>
              <w:rPr>
                <w:rFonts w:eastAsia="Times New Roman"/>
                <w:sz w:val="20"/>
                <w:szCs w:val="20"/>
              </w:rPr>
            </w:pPr>
            <w:r>
              <w:rPr>
                <w:rFonts w:eastAsia="Times New Roman"/>
                <w:sz w:val="20"/>
                <w:szCs w:val="20"/>
              </w:rPr>
              <w:t> </w:t>
            </w:r>
          </w:p>
        </w:tc>
        <w:tc>
          <w:tcPr>
            <w:tcW w:w="450" w:type="pct"/>
            <w:vAlign w:val="bottom"/>
            <w:hideMark/>
          </w:tcPr>
          <w:p w14:paraId="4CA93297" w14:textId="77777777" w:rsidR="00000000" w:rsidRDefault="00087966">
            <w:pPr>
              <w:jc w:val="right"/>
              <w:rPr>
                <w:rFonts w:eastAsia="Times New Roman"/>
                <w:sz w:val="20"/>
                <w:szCs w:val="20"/>
              </w:rPr>
            </w:pPr>
            <w:r>
              <w:rPr>
                <w:rFonts w:eastAsia="Times New Roman"/>
                <w:sz w:val="20"/>
                <w:szCs w:val="20"/>
              </w:rPr>
              <w:t>9,954,000</w:t>
            </w:r>
          </w:p>
        </w:tc>
        <w:tc>
          <w:tcPr>
            <w:tcW w:w="50" w:type="pct"/>
            <w:vAlign w:val="bottom"/>
            <w:hideMark/>
          </w:tcPr>
          <w:p w14:paraId="1206B33C" w14:textId="77777777" w:rsidR="00000000" w:rsidRDefault="00087966">
            <w:pPr>
              <w:rPr>
                <w:rFonts w:eastAsia="Times New Roman"/>
                <w:sz w:val="20"/>
                <w:szCs w:val="20"/>
              </w:rPr>
            </w:pPr>
            <w:r>
              <w:rPr>
                <w:rFonts w:eastAsia="Times New Roman"/>
                <w:sz w:val="20"/>
                <w:szCs w:val="20"/>
              </w:rPr>
              <w:t> </w:t>
            </w:r>
          </w:p>
        </w:tc>
      </w:tr>
      <w:tr w:rsidR="00000000" w14:paraId="6A81F77C" w14:textId="77777777">
        <w:trPr>
          <w:divId w:val="1595479706"/>
        </w:trPr>
        <w:tc>
          <w:tcPr>
            <w:tcW w:w="0" w:type="auto"/>
            <w:shd w:val="clear" w:color="auto" w:fill="CCEEFF"/>
            <w:vAlign w:val="bottom"/>
            <w:hideMark/>
          </w:tcPr>
          <w:p w14:paraId="50CD856B" w14:textId="77777777" w:rsidR="00000000" w:rsidRDefault="00087966">
            <w:pPr>
              <w:rPr>
                <w:rFonts w:eastAsia="Times New Roman"/>
                <w:sz w:val="20"/>
                <w:szCs w:val="20"/>
              </w:rPr>
            </w:pPr>
            <w:r>
              <w:rPr>
                <w:rFonts w:eastAsia="Times New Roman"/>
                <w:sz w:val="20"/>
                <w:szCs w:val="20"/>
              </w:rPr>
              <w:t>Change in fair value</w:t>
            </w:r>
          </w:p>
        </w:tc>
        <w:tc>
          <w:tcPr>
            <w:tcW w:w="0" w:type="auto"/>
            <w:shd w:val="clear" w:color="auto" w:fill="CCEEFF"/>
            <w:vAlign w:val="bottom"/>
            <w:hideMark/>
          </w:tcPr>
          <w:p w14:paraId="77844A6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27979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EFD9B7" w14:textId="77777777" w:rsidR="00000000" w:rsidRDefault="00087966">
            <w:pPr>
              <w:jc w:val="right"/>
              <w:rPr>
                <w:rFonts w:eastAsia="Times New Roman"/>
                <w:sz w:val="20"/>
                <w:szCs w:val="20"/>
              </w:rPr>
            </w:pPr>
            <w:r>
              <w:rPr>
                <w:rFonts w:eastAsia="Times New Roman"/>
                <w:sz w:val="20"/>
                <w:szCs w:val="20"/>
              </w:rPr>
              <w:t>(612,426</w:t>
            </w:r>
          </w:p>
        </w:tc>
        <w:tc>
          <w:tcPr>
            <w:tcW w:w="0" w:type="auto"/>
            <w:shd w:val="clear" w:color="auto" w:fill="CCEEFF"/>
            <w:vAlign w:val="bottom"/>
            <w:hideMark/>
          </w:tcPr>
          <w:p w14:paraId="02803B78"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0C7612F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C2FD5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7E522E" w14:textId="77777777" w:rsidR="00000000" w:rsidRDefault="00087966">
            <w:pPr>
              <w:jc w:val="right"/>
              <w:rPr>
                <w:rFonts w:eastAsia="Times New Roman"/>
                <w:sz w:val="20"/>
                <w:szCs w:val="20"/>
              </w:rPr>
            </w:pPr>
            <w:r>
              <w:rPr>
                <w:rFonts w:eastAsia="Times New Roman"/>
                <w:sz w:val="20"/>
                <w:szCs w:val="20"/>
              </w:rPr>
              <w:t>(1,380,000</w:t>
            </w:r>
          </w:p>
        </w:tc>
        <w:tc>
          <w:tcPr>
            <w:tcW w:w="0" w:type="auto"/>
            <w:shd w:val="clear" w:color="auto" w:fill="CCEEFF"/>
            <w:vAlign w:val="bottom"/>
            <w:hideMark/>
          </w:tcPr>
          <w:p w14:paraId="1823A044"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29C821E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CA570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7A0195" w14:textId="77777777" w:rsidR="00000000" w:rsidRDefault="00087966">
            <w:pPr>
              <w:jc w:val="right"/>
              <w:rPr>
                <w:rFonts w:eastAsia="Times New Roman"/>
                <w:sz w:val="20"/>
                <w:szCs w:val="20"/>
              </w:rPr>
            </w:pPr>
            <w:r>
              <w:rPr>
                <w:rFonts w:eastAsia="Times New Roman"/>
                <w:sz w:val="20"/>
                <w:szCs w:val="20"/>
              </w:rPr>
              <w:t>(1,992,426</w:t>
            </w:r>
          </w:p>
        </w:tc>
        <w:tc>
          <w:tcPr>
            <w:tcW w:w="0" w:type="auto"/>
            <w:shd w:val="clear" w:color="auto" w:fill="CCEEFF"/>
            <w:vAlign w:val="bottom"/>
            <w:hideMark/>
          </w:tcPr>
          <w:p w14:paraId="219BA126" w14:textId="77777777" w:rsidR="00000000" w:rsidRDefault="00087966">
            <w:pPr>
              <w:rPr>
                <w:rFonts w:eastAsia="Times New Roman"/>
                <w:sz w:val="20"/>
                <w:szCs w:val="20"/>
              </w:rPr>
            </w:pPr>
            <w:r>
              <w:rPr>
                <w:rFonts w:eastAsia="Times New Roman"/>
                <w:sz w:val="20"/>
                <w:szCs w:val="20"/>
              </w:rPr>
              <w:t>)</w:t>
            </w:r>
          </w:p>
        </w:tc>
      </w:tr>
      <w:tr w:rsidR="00000000" w14:paraId="280DA935" w14:textId="77777777">
        <w:trPr>
          <w:divId w:val="1595479706"/>
        </w:trPr>
        <w:tc>
          <w:tcPr>
            <w:tcW w:w="0" w:type="auto"/>
            <w:tcMar>
              <w:top w:w="0" w:type="dxa"/>
              <w:left w:w="0" w:type="dxa"/>
              <w:bottom w:w="30" w:type="dxa"/>
              <w:right w:w="0" w:type="dxa"/>
            </w:tcMar>
            <w:vAlign w:val="bottom"/>
            <w:hideMark/>
          </w:tcPr>
          <w:p w14:paraId="1700313B" w14:textId="77777777" w:rsidR="00000000" w:rsidRDefault="00087966">
            <w:pPr>
              <w:rPr>
                <w:rFonts w:eastAsia="Times New Roman"/>
                <w:sz w:val="20"/>
                <w:szCs w:val="20"/>
              </w:rPr>
            </w:pPr>
            <w:r>
              <w:rPr>
                <w:rFonts w:eastAsia="Times New Roman"/>
                <w:sz w:val="20"/>
                <w:szCs w:val="20"/>
              </w:rPr>
              <w:t>Transfer to Level 1</w:t>
            </w:r>
          </w:p>
        </w:tc>
        <w:tc>
          <w:tcPr>
            <w:tcW w:w="0" w:type="auto"/>
            <w:tcMar>
              <w:top w:w="0" w:type="dxa"/>
              <w:left w:w="0" w:type="dxa"/>
              <w:bottom w:w="30" w:type="dxa"/>
              <w:right w:w="0" w:type="dxa"/>
            </w:tcMar>
            <w:vAlign w:val="bottom"/>
            <w:hideMark/>
          </w:tcPr>
          <w:p w14:paraId="7D6D6E76"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A339063"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73718FB" w14:textId="77777777" w:rsidR="00000000" w:rsidRDefault="00087966">
            <w:pPr>
              <w:jc w:val="right"/>
              <w:divId w:val="1033459974"/>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77C6280D"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7FB76E2"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50C6ED4"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90493BB" w14:textId="77777777" w:rsidR="00000000" w:rsidRDefault="00087966">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14:paraId="1FA4492C" w14:textId="77777777" w:rsidR="00000000" w:rsidRDefault="00087966">
            <w:pPr>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14:paraId="7C97E776"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A9788D5"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52695408" w14:textId="77777777" w:rsidR="00000000" w:rsidRDefault="00087966">
            <w:pPr>
              <w:jc w:val="right"/>
              <w:rPr>
                <w:rFonts w:eastAsia="Times New Roman"/>
                <w:sz w:val="20"/>
                <w:szCs w:val="20"/>
              </w:rPr>
            </w:pPr>
            <w:r>
              <w:rPr>
                <w:rFonts w:eastAsia="Times New Roman"/>
                <w:sz w:val="20"/>
                <w:szCs w:val="20"/>
              </w:rPr>
              <w:t>(4,830,000</w:t>
            </w:r>
          </w:p>
        </w:tc>
        <w:tc>
          <w:tcPr>
            <w:tcW w:w="0" w:type="auto"/>
            <w:tcMar>
              <w:top w:w="0" w:type="dxa"/>
              <w:left w:w="0" w:type="dxa"/>
              <w:bottom w:w="30" w:type="dxa"/>
              <w:right w:w="0" w:type="dxa"/>
            </w:tcMar>
            <w:vAlign w:val="bottom"/>
            <w:hideMark/>
          </w:tcPr>
          <w:p w14:paraId="2DC98C07" w14:textId="77777777" w:rsidR="00000000" w:rsidRDefault="00087966">
            <w:pPr>
              <w:rPr>
                <w:rFonts w:eastAsia="Times New Roman"/>
                <w:sz w:val="20"/>
                <w:szCs w:val="20"/>
              </w:rPr>
            </w:pPr>
            <w:r>
              <w:rPr>
                <w:rFonts w:eastAsia="Times New Roman"/>
                <w:sz w:val="20"/>
                <w:szCs w:val="20"/>
              </w:rPr>
              <w:t>)</w:t>
            </w:r>
          </w:p>
        </w:tc>
      </w:tr>
      <w:tr w:rsidR="00000000" w14:paraId="2F69C1AF" w14:textId="77777777">
        <w:trPr>
          <w:divId w:val="1595479706"/>
        </w:trPr>
        <w:tc>
          <w:tcPr>
            <w:tcW w:w="0" w:type="auto"/>
            <w:shd w:val="clear" w:color="auto" w:fill="CCEEFF"/>
            <w:tcMar>
              <w:top w:w="0" w:type="dxa"/>
              <w:left w:w="0" w:type="dxa"/>
              <w:bottom w:w="80" w:type="dxa"/>
              <w:right w:w="0" w:type="dxa"/>
            </w:tcMar>
            <w:vAlign w:val="bottom"/>
            <w:hideMark/>
          </w:tcPr>
          <w:p w14:paraId="2F2126BA" w14:textId="77777777" w:rsidR="00000000" w:rsidRDefault="00087966">
            <w:pPr>
              <w:rPr>
                <w:rFonts w:eastAsia="Times New Roman"/>
                <w:sz w:val="20"/>
                <w:szCs w:val="20"/>
              </w:rPr>
            </w:pPr>
            <w:r>
              <w:rPr>
                <w:rFonts w:eastAsia="Times New Roman"/>
                <w:sz w:val="20"/>
                <w:szCs w:val="20"/>
              </w:rPr>
              <w:t>Fair value as of December 31, 2021</w:t>
            </w:r>
          </w:p>
        </w:tc>
        <w:tc>
          <w:tcPr>
            <w:tcW w:w="0" w:type="auto"/>
            <w:shd w:val="clear" w:color="auto" w:fill="CCEEFF"/>
            <w:tcMar>
              <w:top w:w="0" w:type="dxa"/>
              <w:left w:w="0" w:type="dxa"/>
              <w:bottom w:w="80" w:type="dxa"/>
              <w:right w:w="0" w:type="dxa"/>
            </w:tcMar>
            <w:vAlign w:val="bottom"/>
            <w:hideMark/>
          </w:tcPr>
          <w:p w14:paraId="25D78A8F"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8EB5362"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6EAC2B9" w14:textId="77777777" w:rsidR="00000000" w:rsidRDefault="00087966">
            <w:pPr>
              <w:jc w:val="right"/>
              <w:rPr>
                <w:rFonts w:eastAsia="Times New Roman"/>
                <w:sz w:val="20"/>
                <w:szCs w:val="20"/>
              </w:rPr>
            </w:pPr>
            <w:r>
              <w:rPr>
                <w:rFonts w:eastAsia="Times New Roman"/>
                <w:sz w:val="20"/>
                <w:szCs w:val="20"/>
              </w:rPr>
              <w:t>3,131,574</w:t>
            </w:r>
          </w:p>
        </w:tc>
        <w:tc>
          <w:tcPr>
            <w:tcW w:w="0" w:type="auto"/>
            <w:shd w:val="clear" w:color="auto" w:fill="CCEEFF"/>
            <w:tcMar>
              <w:top w:w="0" w:type="dxa"/>
              <w:left w:w="0" w:type="dxa"/>
              <w:bottom w:w="80" w:type="dxa"/>
              <w:right w:w="0" w:type="dxa"/>
            </w:tcMar>
            <w:vAlign w:val="bottom"/>
            <w:hideMark/>
          </w:tcPr>
          <w:p w14:paraId="073D112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4CC86FEB"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07A6748"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32D917FD" w14:textId="77777777" w:rsidR="00000000" w:rsidRDefault="00087966">
            <w:pPr>
              <w:jc w:val="right"/>
              <w:divId w:val="1637638293"/>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14:paraId="4D7A0EC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14:paraId="5E9638F7"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441456EA"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5B571A29" w14:textId="77777777" w:rsidR="00000000" w:rsidRDefault="00087966">
            <w:pPr>
              <w:jc w:val="right"/>
              <w:rPr>
                <w:rFonts w:eastAsia="Times New Roman"/>
                <w:sz w:val="20"/>
                <w:szCs w:val="20"/>
              </w:rPr>
            </w:pPr>
            <w:r>
              <w:rPr>
                <w:rFonts w:eastAsia="Times New Roman"/>
                <w:sz w:val="20"/>
                <w:szCs w:val="20"/>
              </w:rPr>
              <w:t>3,131,574</w:t>
            </w:r>
          </w:p>
        </w:tc>
        <w:tc>
          <w:tcPr>
            <w:tcW w:w="0" w:type="auto"/>
            <w:shd w:val="clear" w:color="auto" w:fill="CCEEFF"/>
            <w:tcMar>
              <w:top w:w="0" w:type="dxa"/>
              <w:left w:w="0" w:type="dxa"/>
              <w:bottom w:w="80" w:type="dxa"/>
              <w:right w:w="0" w:type="dxa"/>
            </w:tcMar>
            <w:vAlign w:val="bottom"/>
            <w:hideMark/>
          </w:tcPr>
          <w:p w14:paraId="379377DA" w14:textId="77777777" w:rsidR="00000000" w:rsidRDefault="00087966">
            <w:pPr>
              <w:rPr>
                <w:rFonts w:eastAsia="Times New Roman"/>
                <w:sz w:val="20"/>
                <w:szCs w:val="20"/>
              </w:rPr>
            </w:pPr>
            <w:r>
              <w:rPr>
                <w:rFonts w:eastAsia="Times New Roman"/>
                <w:sz w:val="20"/>
                <w:szCs w:val="20"/>
              </w:rPr>
              <w:t> </w:t>
            </w:r>
          </w:p>
        </w:tc>
      </w:tr>
    </w:tbl>
    <w:p w14:paraId="0738281A" w14:textId="77777777" w:rsidR="00000000" w:rsidRDefault="00087966">
      <w:pPr>
        <w:pStyle w:val="a3"/>
        <w:spacing w:before="0" w:beforeAutospacing="0" w:after="0" w:afterAutospacing="0"/>
        <w:jc w:val="both"/>
        <w:divId w:val="1595479706"/>
        <w:rPr>
          <w:sz w:val="20"/>
          <w:szCs w:val="20"/>
        </w:rPr>
      </w:pPr>
      <w:r>
        <w:rPr>
          <w:sz w:val="20"/>
          <w:szCs w:val="20"/>
        </w:rPr>
        <w:t> </w:t>
      </w:r>
    </w:p>
    <w:p w14:paraId="1067128A" w14:textId="77777777" w:rsidR="00000000" w:rsidRDefault="00087966">
      <w:pPr>
        <w:pStyle w:val="a3"/>
        <w:spacing w:before="0" w:beforeAutospacing="0" w:after="0" w:afterAutospacing="0"/>
        <w:jc w:val="center"/>
        <w:divId w:val="2078893680"/>
        <w:rPr>
          <w:sz w:val="20"/>
          <w:szCs w:val="20"/>
        </w:rPr>
      </w:pPr>
      <w:r>
        <w:rPr>
          <w:sz w:val="20"/>
          <w:szCs w:val="20"/>
        </w:rPr>
        <w:t>F</w:t>
      </w:r>
      <w:r>
        <w:rPr>
          <w:sz w:val="20"/>
          <w:szCs w:val="20"/>
        </w:rPr>
        <w:t>-</w:t>
      </w:r>
      <w:r>
        <w:rPr>
          <w:sz w:val="20"/>
          <w:szCs w:val="20"/>
        </w:rPr>
        <w:t>2</w:t>
      </w:r>
      <w:r>
        <w:rPr>
          <w:sz w:val="20"/>
          <w:szCs w:val="20"/>
        </w:rPr>
        <w:t>3</w:t>
      </w:r>
    </w:p>
    <w:p w14:paraId="5D3EE83C" w14:textId="77777777" w:rsidR="00000000" w:rsidRDefault="00087966">
      <w:pPr>
        <w:pStyle w:val="a3"/>
        <w:spacing w:before="0" w:beforeAutospacing="0" w:after="0" w:afterAutospacing="0"/>
        <w:divId w:val="201675503"/>
        <w:rPr>
          <w:sz w:val="20"/>
          <w:szCs w:val="20"/>
        </w:rPr>
      </w:pPr>
      <w:r>
        <w:rPr>
          <w:sz w:val="20"/>
          <w:szCs w:val="20"/>
        </w:rPr>
        <w:t> </w:t>
      </w:r>
    </w:p>
    <w:p w14:paraId="5160372A" w14:textId="77777777" w:rsidR="00000000" w:rsidRDefault="00087966">
      <w:pPr>
        <w:pStyle w:val="a3"/>
        <w:spacing w:before="0" w:beforeAutospacing="0" w:after="0" w:afterAutospacing="0"/>
        <w:jc w:val="both"/>
        <w:divId w:val="1595479706"/>
        <w:rPr>
          <w:sz w:val="20"/>
          <w:szCs w:val="20"/>
        </w:rPr>
      </w:pPr>
      <w:r>
        <w:rPr>
          <w:sz w:val="20"/>
          <w:szCs w:val="20"/>
        </w:rPr>
        <w:t> </w:t>
      </w:r>
    </w:p>
    <w:p w14:paraId="73311947"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3DA39C86"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48B89187"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6BB3C181" w14:textId="77777777" w:rsidR="00000000" w:rsidRDefault="00087966">
      <w:pPr>
        <w:pStyle w:val="a3"/>
        <w:spacing w:before="0" w:beforeAutospacing="0" w:after="0" w:afterAutospacing="0"/>
        <w:jc w:val="both"/>
        <w:divId w:val="1595479706"/>
        <w:rPr>
          <w:sz w:val="20"/>
          <w:szCs w:val="20"/>
        </w:rPr>
      </w:pPr>
      <w:r>
        <w:rPr>
          <w:sz w:val="20"/>
          <w:szCs w:val="20"/>
        </w:rPr>
        <w:t> </w:t>
      </w:r>
    </w:p>
    <w:p w14:paraId="6A136D6B" w14:textId="77777777" w:rsidR="00000000" w:rsidRDefault="00087966">
      <w:pPr>
        <w:pStyle w:val="a3"/>
        <w:spacing w:before="0" w:beforeAutospacing="0" w:after="0" w:afterAutospacing="0"/>
        <w:jc w:val="both"/>
        <w:divId w:val="1595479706"/>
        <w:rPr>
          <w:sz w:val="20"/>
          <w:szCs w:val="20"/>
        </w:rPr>
      </w:pPr>
      <w:r>
        <w:rPr>
          <w:sz w:val="20"/>
          <w:szCs w:val="20"/>
        </w:rPr>
        <w:t>The following table presents the changes in the fair value of Level 3 warrant liabilities for the year ended December 31, 2022:</w:t>
      </w:r>
    </w:p>
    <w:p w14:paraId="06598FF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22"/>
        <w:gridCol w:w="50"/>
        <w:gridCol w:w="100"/>
        <w:gridCol w:w="867"/>
        <w:gridCol w:w="67"/>
      </w:tblGrid>
      <w:tr w:rsidR="00000000" w14:paraId="1C9BB53D" w14:textId="77777777">
        <w:trPr>
          <w:divId w:val="1595479706"/>
        </w:trPr>
        <w:tc>
          <w:tcPr>
            <w:tcW w:w="0" w:type="auto"/>
            <w:vAlign w:val="bottom"/>
            <w:hideMark/>
          </w:tcPr>
          <w:p w14:paraId="34F3E3DF" w14:textId="77777777" w:rsidR="00000000" w:rsidRDefault="00087966">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B79BB41" w14:textId="77777777" w:rsidR="00000000" w:rsidRDefault="00087966">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8116CE7" w14:textId="77777777" w:rsidR="00000000" w:rsidRDefault="00087966">
            <w:pPr>
              <w:jc w:val="center"/>
              <w:rPr>
                <w:rFonts w:eastAsia="Times New Roman"/>
                <w:sz w:val="20"/>
                <w:szCs w:val="20"/>
              </w:rPr>
            </w:pPr>
            <w:r>
              <w:rPr>
                <w:rFonts w:eastAsia="Times New Roman"/>
                <w:b/>
                <w:bCs/>
                <w:sz w:val="20"/>
                <w:szCs w:val="20"/>
              </w:rPr>
              <w:t>Private</w:t>
            </w:r>
            <w:r>
              <w:rPr>
                <w:rFonts w:eastAsia="Times New Roman"/>
                <w:b/>
                <w:bCs/>
                <w:sz w:val="20"/>
                <w:szCs w:val="20"/>
              </w:rPr>
              <w:br/>
              <w:t>Placement</w:t>
            </w:r>
          </w:p>
        </w:tc>
        <w:tc>
          <w:tcPr>
            <w:tcW w:w="0" w:type="auto"/>
            <w:tcMar>
              <w:top w:w="0" w:type="dxa"/>
              <w:left w:w="0" w:type="dxa"/>
              <w:bottom w:w="30" w:type="dxa"/>
              <w:right w:w="0" w:type="dxa"/>
            </w:tcMar>
            <w:vAlign w:val="bottom"/>
            <w:hideMark/>
          </w:tcPr>
          <w:p w14:paraId="2F8BADEA" w14:textId="77777777" w:rsidR="00000000" w:rsidRDefault="00087966">
            <w:pPr>
              <w:rPr>
                <w:rFonts w:eastAsia="Times New Roman"/>
                <w:sz w:val="20"/>
                <w:szCs w:val="20"/>
              </w:rPr>
            </w:pPr>
            <w:r>
              <w:rPr>
                <w:rFonts w:eastAsia="Times New Roman"/>
                <w:b/>
                <w:bCs/>
                <w:sz w:val="20"/>
                <w:szCs w:val="20"/>
              </w:rPr>
              <w:t> </w:t>
            </w:r>
          </w:p>
        </w:tc>
      </w:tr>
      <w:tr w:rsidR="00000000" w14:paraId="71181A51" w14:textId="77777777">
        <w:trPr>
          <w:divId w:val="1595479706"/>
        </w:trPr>
        <w:tc>
          <w:tcPr>
            <w:tcW w:w="4400" w:type="pct"/>
            <w:shd w:val="clear" w:color="auto" w:fill="CCEEFF"/>
            <w:vAlign w:val="bottom"/>
            <w:hideMark/>
          </w:tcPr>
          <w:p w14:paraId="1C84A6BA" w14:textId="77777777" w:rsidR="00000000" w:rsidRDefault="00087966">
            <w:pPr>
              <w:rPr>
                <w:rFonts w:eastAsia="Times New Roman"/>
                <w:sz w:val="20"/>
                <w:szCs w:val="20"/>
              </w:rPr>
            </w:pPr>
            <w:r>
              <w:rPr>
                <w:rFonts w:eastAsia="Times New Roman"/>
                <w:sz w:val="20"/>
                <w:szCs w:val="20"/>
              </w:rPr>
              <w:t>Fair value as of January 1, 2022</w:t>
            </w:r>
          </w:p>
        </w:tc>
        <w:tc>
          <w:tcPr>
            <w:tcW w:w="50" w:type="pct"/>
            <w:shd w:val="clear" w:color="auto" w:fill="CCEEFF"/>
            <w:vAlign w:val="bottom"/>
            <w:hideMark/>
          </w:tcPr>
          <w:p w14:paraId="27FCDE93"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2AF37F4D"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5A6774E7" w14:textId="77777777" w:rsidR="00000000" w:rsidRDefault="00087966">
            <w:pPr>
              <w:jc w:val="right"/>
              <w:rPr>
                <w:rFonts w:eastAsia="Times New Roman"/>
                <w:sz w:val="20"/>
                <w:szCs w:val="20"/>
              </w:rPr>
            </w:pPr>
            <w:r>
              <w:rPr>
                <w:rFonts w:eastAsia="Times New Roman"/>
                <w:sz w:val="20"/>
                <w:szCs w:val="20"/>
              </w:rPr>
              <w:t>3,131,574</w:t>
            </w:r>
          </w:p>
        </w:tc>
        <w:tc>
          <w:tcPr>
            <w:tcW w:w="50" w:type="pct"/>
            <w:shd w:val="clear" w:color="auto" w:fill="CCEEFF"/>
            <w:vAlign w:val="bottom"/>
            <w:hideMark/>
          </w:tcPr>
          <w:p w14:paraId="4DFCAA25" w14:textId="77777777" w:rsidR="00000000" w:rsidRDefault="00087966">
            <w:pPr>
              <w:rPr>
                <w:rFonts w:eastAsia="Times New Roman"/>
                <w:sz w:val="20"/>
                <w:szCs w:val="20"/>
              </w:rPr>
            </w:pPr>
            <w:r>
              <w:rPr>
                <w:rFonts w:eastAsia="Times New Roman"/>
                <w:sz w:val="20"/>
                <w:szCs w:val="20"/>
              </w:rPr>
              <w:t> </w:t>
            </w:r>
          </w:p>
        </w:tc>
      </w:tr>
      <w:tr w:rsidR="00000000" w14:paraId="791F3ADE" w14:textId="77777777">
        <w:trPr>
          <w:divId w:val="1595479706"/>
        </w:trPr>
        <w:tc>
          <w:tcPr>
            <w:tcW w:w="0" w:type="auto"/>
            <w:tcMar>
              <w:top w:w="0" w:type="dxa"/>
              <w:left w:w="0" w:type="dxa"/>
              <w:bottom w:w="30" w:type="dxa"/>
              <w:right w:w="0" w:type="dxa"/>
            </w:tcMar>
            <w:vAlign w:val="bottom"/>
            <w:hideMark/>
          </w:tcPr>
          <w:p w14:paraId="44B67D34" w14:textId="77777777" w:rsidR="00000000" w:rsidRDefault="00087966">
            <w:pPr>
              <w:rPr>
                <w:rFonts w:eastAsia="Times New Roman"/>
                <w:sz w:val="20"/>
                <w:szCs w:val="20"/>
              </w:rPr>
            </w:pPr>
            <w:r>
              <w:rPr>
                <w:rFonts w:eastAsia="Times New Roman"/>
                <w:sz w:val="20"/>
                <w:szCs w:val="20"/>
              </w:rPr>
              <w:t>Change in fair value</w:t>
            </w:r>
          </w:p>
        </w:tc>
        <w:tc>
          <w:tcPr>
            <w:tcW w:w="0" w:type="auto"/>
            <w:tcMar>
              <w:top w:w="0" w:type="dxa"/>
              <w:left w:w="0" w:type="dxa"/>
              <w:bottom w:w="30" w:type="dxa"/>
              <w:right w:w="0" w:type="dxa"/>
            </w:tcMar>
            <w:vAlign w:val="bottom"/>
            <w:hideMark/>
          </w:tcPr>
          <w:p w14:paraId="27EDFD66"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701EECCC"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6D6F3788" w14:textId="77777777" w:rsidR="00000000" w:rsidRDefault="00087966">
            <w:pPr>
              <w:jc w:val="right"/>
              <w:rPr>
                <w:rFonts w:eastAsia="Times New Roman"/>
                <w:sz w:val="20"/>
                <w:szCs w:val="20"/>
              </w:rPr>
            </w:pPr>
            <w:r>
              <w:rPr>
                <w:rFonts w:eastAsia="Times New Roman"/>
                <w:sz w:val="20"/>
                <w:szCs w:val="20"/>
              </w:rPr>
              <w:t>(2,715,574</w:t>
            </w:r>
          </w:p>
        </w:tc>
        <w:tc>
          <w:tcPr>
            <w:tcW w:w="0" w:type="auto"/>
            <w:tcMar>
              <w:top w:w="0" w:type="dxa"/>
              <w:left w:w="0" w:type="dxa"/>
              <w:bottom w:w="30" w:type="dxa"/>
              <w:right w:w="0" w:type="dxa"/>
            </w:tcMar>
            <w:vAlign w:val="bottom"/>
            <w:hideMark/>
          </w:tcPr>
          <w:p w14:paraId="5EB24C1F" w14:textId="77777777" w:rsidR="00000000" w:rsidRDefault="00087966">
            <w:pPr>
              <w:rPr>
                <w:rFonts w:eastAsia="Times New Roman"/>
                <w:sz w:val="20"/>
                <w:szCs w:val="20"/>
              </w:rPr>
            </w:pPr>
            <w:r>
              <w:rPr>
                <w:rFonts w:eastAsia="Times New Roman"/>
                <w:sz w:val="20"/>
                <w:szCs w:val="20"/>
              </w:rPr>
              <w:t>)</w:t>
            </w:r>
          </w:p>
        </w:tc>
      </w:tr>
      <w:tr w:rsidR="00000000" w14:paraId="7A03BE02" w14:textId="77777777">
        <w:trPr>
          <w:divId w:val="1595479706"/>
        </w:trPr>
        <w:tc>
          <w:tcPr>
            <w:tcW w:w="0" w:type="auto"/>
            <w:shd w:val="clear" w:color="auto" w:fill="CCEEFF"/>
            <w:tcMar>
              <w:top w:w="0" w:type="dxa"/>
              <w:left w:w="0" w:type="dxa"/>
              <w:bottom w:w="80" w:type="dxa"/>
              <w:right w:w="0" w:type="dxa"/>
            </w:tcMar>
            <w:vAlign w:val="bottom"/>
            <w:hideMark/>
          </w:tcPr>
          <w:p w14:paraId="3E224F49" w14:textId="77777777" w:rsidR="00000000" w:rsidRDefault="00087966">
            <w:pPr>
              <w:rPr>
                <w:rFonts w:eastAsia="Times New Roman"/>
                <w:sz w:val="20"/>
                <w:szCs w:val="20"/>
              </w:rPr>
            </w:pPr>
            <w:r>
              <w:rPr>
                <w:rFonts w:eastAsia="Times New Roman"/>
                <w:sz w:val="20"/>
                <w:szCs w:val="20"/>
              </w:rPr>
              <w:t>Fair value as of December 31, 2022</w:t>
            </w:r>
          </w:p>
        </w:tc>
        <w:tc>
          <w:tcPr>
            <w:tcW w:w="0" w:type="auto"/>
            <w:shd w:val="clear" w:color="auto" w:fill="CCEEFF"/>
            <w:tcMar>
              <w:top w:w="0" w:type="dxa"/>
              <w:left w:w="0" w:type="dxa"/>
              <w:bottom w:w="80" w:type="dxa"/>
              <w:right w:w="0" w:type="dxa"/>
            </w:tcMar>
            <w:vAlign w:val="bottom"/>
            <w:hideMark/>
          </w:tcPr>
          <w:p w14:paraId="45486814" w14:textId="77777777" w:rsidR="00000000" w:rsidRDefault="00087966">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14:paraId="05CDA8D3" w14:textId="77777777" w:rsidR="00000000" w:rsidRDefault="00087966">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14:paraId="3DD26D29" w14:textId="77777777" w:rsidR="00000000" w:rsidRDefault="00087966">
            <w:pPr>
              <w:jc w:val="right"/>
              <w:rPr>
                <w:rFonts w:eastAsia="Times New Roman"/>
                <w:sz w:val="20"/>
                <w:szCs w:val="20"/>
              </w:rPr>
            </w:pPr>
            <w:r>
              <w:rPr>
                <w:rFonts w:eastAsia="Times New Roman"/>
                <w:sz w:val="20"/>
                <w:szCs w:val="20"/>
              </w:rPr>
              <w:t>416,000</w:t>
            </w:r>
          </w:p>
        </w:tc>
        <w:tc>
          <w:tcPr>
            <w:tcW w:w="0" w:type="auto"/>
            <w:shd w:val="clear" w:color="auto" w:fill="CCEEFF"/>
            <w:tcMar>
              <w:top w:w="0" w:type="dxa"/>
              <w:left w:w="0" w:type="dxa"/>
              <w:bottom w:w="80" w:type="dxa"/>
              <w:right w:w="0" w:type="dxa"/>
            </w:tcMar>
            <w:vAlign w:val="bottom"/>
            <w:hideMark/>
          </w:tcPr>
          <w:p w14:paraId="4CB294D0" w14:textId="77777777" w:rsidR="00000000" w:rsidRDefault="00087966">
            <w:pPr>
              <w:rPr>
                <w:rFonts w:eastAsia="Times New Roman"/>
                <w:sz w:val="20"/>
                <w:szCs w:val="20"/>
              </w:rPr>
            </w:pPr>
            <w:r>
              <w:rPr>
                <w:rFonts w:eastAsia="Times New Roman"/>
                <w:sz w:val="20"/>
                <w:szCs w:val="20"/>
              </w:rPr>
              <w:t> </w:t>
            </w:r>
          </w:p>
        </w:tc>
      </w:tr>
    </w:tbl>
    <w:p w14:paraId="7C9D59BE" w14:textId="77777777" w:rsidR="00000000" w:rsidRDefault="00087966">
      <w:pPr>
        <w:pStyle w:val="a3"/>
        <w:spacing w:before="0" w:beforeAutospacing="0" w:after="0" w:afterAutospacing="0"/>
        <w:jc w:val="both"/>
        <w:divId w:val="1595479706"/>
        <w:rPr>
          <w:sz w:val="20"/>
          <w:szCs w:val="20"/>
        </w:rPr>
      </w:pPr>
      <w:r>
        <w:rPr>
          <w:sz w:val="20"/>
          <w:szCs w:val="20"/>
        </w:rPr>
        <w:t> </w:t>
      </w:r>
    </w:p>
    <w:p w14:paraId="3B88DA84" w14:textId="77777777" w:rsidR="00000000" w:rsidRDefault="00087966">
      <w:pPr>
        <w:pStyle w:val="a3"/>
        <w:spacing w:before="0" w:beforeAutospacing="0" w:after="0" w:afterAutospacing="0"/>
        <w:jc w:val="both"/>
        <w:divId w:val="1595479706"/>
        <w:rPr>
          <w:sz w:val="20"/>
          <w:szCs w:val="20"/>
        </w:rPr>
      </w:pPr>
      <w:r>
        <w:rPr>
          <w:sz w:val="20"/>
          <w:szCs w:val="20"/>
        </w:rPr>
        <w:t xml:space="preserve">Transfers to/from Levels 1, 2 and 3 are recognized </w:t>
      </w:r>
      <w:r>
        <w:rPr>
          <w:sz w:val="20"/>
          <w:szCs w:val="20"/>
        </w:rPr>
        <w:t>at the end of the reporting period in which a change in valuation technique or methodology occurs. The estimated fair value of the Public Warrants transferred from a Level 3 measurement to a Level 1 fair value measurement during the year ended December 31,</w:t>
      </w:r>
      <w:r>
        <w:rPr>
          <w:sz w:val="20"/>
          <w:szCs w:val="20"/>
        </w:rPr>
        <w:t xml:space="preserve"> 2021 was $4,830,000. There were no transfers from Level 3 to any other levels during the year ended December 31, 2022.</w:t>
      </w:r>
    </w:p>
    <w:p w14:paraId="0C33C39C" w14:textId="77777777" w:rsidR="00000000" w:rsidRDefault="00087966">
      <w:pPr>
        <w:pStyle w:val="a3"/>
        <w:spacing w:before="0" w:beforeAutospacing="0" w:after="0" w:afterAutospacing="0"/>
        <w:jc w:val="both"/>
        <w:divId w:val="1595479706"/>
        <w:rPr>
          <w:sz w:val="20"/>
          <w:szCs w:val="20"/>
        </w:rPr>
      </w:pPr>
      <w:r>
        <w:rPr>
          <w:sz w:val="20"/>
          <w:szCs w:val="20"/>
        </w:rPr>
        <w:t> </w:t>
      </w:r>
    </w:p>
    <w:p w14:paraId="38E4005A" w14:textId="77777777" w:rsidR="00000000" w:rsidRDefault="00087966">
      <w:pPr>
        <w:pStyle w:val="a3"/>
        <w:spacing w:before="0" w:beforeAutospacing="0" w:after="0" w:afterAutospacing="0"/>
        <w:jc w:val="both"/>
        <w:divId w:val="1595479706"/>
        <w:rPr>
          <w:sz w:val="20"/>
          <w:szCs w:val="20"/>
        </w:rPr>
      </w:pPr>
      <w:r>
        <w:rPr>
          <w:sz w:val="20"/>
          <w:szCs w:val="20"/>
        </w:rPr>
        <w:t>The Working Capital Loan was measured at fair value as of the date of the initial borrowing on January 31, 2022. The discounted cash f</w:t>
      </w:r>
      <w:r>
        <w:rPr>
          <w:sz w:val="20"/>
          <w:szCs w:val="20"/>
        </w:rPr>
        <w:t>low method was used to value the debt component of the Working Capital Loan and the Black Scholes Option Pricing Model was used to value the debt conversion option. There were no transfers out of Level 3 to other levels in the fair value hierarchy during t</w:t>
      </w:r>
      <w:r>
        <w:rPr>
          <w:sz w:val="20"/>
          <w:szCs w:val="20"/>
        </w:rPr>
        <w:t>he year ended December 31, 2022 for the Working Capital Loan.</w:t>
      </w:r>
    </w:p>
    <w:p w14:paraId="1DEE5DE1" w14:textId="77777777" w:rsidR="00000000" w:rsidRDefault="00087966">
      <w:pPr>
        <w:pStyle w:val="a3"/>
        <w:spacing w:before="0" w:beforeAutospacing="0" w:after="0" w:afterAutospacing="0"/>
        <w:jc w:val="both"/>
        <w:divId w:val="1595479706"/>
        <w:rPr>
          <w:sz w:val="20"/>
          <w:szCs w:val="20"/>
        </w:rPr>
      </w:pPr>
      <w:r>
        <w:rPr>
          <w:sz w:val="20"/>
          <w:szCs w:val="20"/>
        </w:rPr>
        <w:t> </w:t>
      </w:r>
    </w:p>
    <w:p w14:paraId="5C944AC4" w14:textId="77777777" w:rsidR="00000000" w:rsidRDefault="00087966">
      <w:pPr>
        <w:pStyle w:val="a3"/>
        <w:spacing w:before="0" w:beforeAutospacing="0" w:after="0" w:afterAutospacing="0"/>
        <w:jc w:val="both"/>
        <w:divId w:val="1595479706"/>
        <w:rPr>
          <w:sz w:val="20"/>
          <w:szCs w:val="20"/>
        </w:rPr>
      </w:pPr>
      <w:r>
        <w:rPr>
          <w:sz w:val="20"/>
          <w:szCs w:val="20"/>
        </w:rPr>
        <w:t>The following table provides quantitative information regarding Level 3 fair value measurements for each draw of the Working Capital Loan during the year ended December 31, 2022:</w:t>
      </w:r>
    </w:p>
    <w:p w14:paraId="40052CBA"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579"/>
        <w:gridCol w:w="50"/>
        <w:gridCol w:w="117"/>
        <w:gridCol w:w="1050"/>
        <w:gridCol w:w="167"/>
        <w:gridCol w:w="50"/>
        <w:gridCol w:w="123"/>
        <w:gridCol w:w="1099"/>
        <w:gridCol w:w="167"/>
        <w:gridCol w:w="50"/>
        <w:gridCol w:w="100"/>
        <w:gridCol w:w="450"/>
        <w:gridCol w:w="167"/>
        <w:gridCol w:w="50"/>
        <w:gridCol w:w="101"/>
        <w:gridCol w:w="590"/>
        <w:gridCol w:w="167"/>
        <w:gridCol w:w="50"/>
        <w:gridCol w:w="102"/>
        <w:gridCol w:w="910"/>
        <w:gridCol w:w="167"/>
      </w:tblGrid>
      <w:tr w:rsidR="00000000" w14:paraId="02220F25" w14:textId="77777777">
        <w:trPr>
          <w:divId w:val="1595479706"/>
        </w:trPr>
        <w:tc>
          <w:tcPr>
            <w:tcW w:w="0" w:type="auto"/>
            <w:vAlign w:val="bottom"/>
            <w:hideMark/>
          </w:tcPr>
          <w:p w14:paraId="2191A826" w14:textId="77777777" w:rsidR="00000000" w:rsidRDefault="00087966">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BEC85B4" w14:textId="77777777" w:rsidR="00000000" w:rsidRDefault="00087966">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D24AAA" w14:textId="77777777" w:rsidR="00000000" w:rsidRDefault="00087966">
            <w:pPr>
              <w:pStyle w:val="a3"/>
              <w:spacing w:before="0" w:beforeAutospacing="0" w:after="0" w:afterAutospacing="0"/>
              <w:jc w:val="center"/>
              <w:rPr>
                <w:sz w:val="20"/>
                <w:szCs w:val="20"/>
              </w:rPr>
            </w:pPr>
            <w:r>
              <w:rPr>
                <w:b/>
                <w:bCs/>
                <w:sz w:val="20"/>
                <w:szCs w:val="20"/>
              </w:rPr>
              <w:t>As of</w:t>
            </w:r>
            <w:r>
              <w:rPr>
                <w:b/>
                <w:bCs/>
                <w:sz w:val="20"/>
                <w:szCs w:val="20"/>
              </w:rPr>
              <w:br/>
              <w:t>D</w:t>
            </w:r>
            <w:r>
              <w:rPr>
                <w:b/>
                <w:bCs/>
                <w:sz w:val="20"/>
                <w:szCs w:val="20"/>
              </w:rPr>
              <w:t>ecember 31,</w:t>
            </w:r>
          </w:p>
          <w:p w14:paraId="7D875AC2" w14:textId="77777777" w:rsidR="00000000" w:rsidRDefault="00087966">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30" w:type="dxa"/>
              <w:right w:w="0" w:type="dxa"/>
            </w:tcMar>
            <w:vAlign w:val="bottom"/>
            <w:hideMark/>
          </w:tcPr>
          <w:p w14:paraId="4CB1C02F" w14:textId="77777777" w:rsidR="00000000" w:rsidRDefault="00087966">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A26A0B7" w14:textId="77777777" w:rsidR="00000000" w:rsidRDefault="00087966">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6F07DED" w14:textId="77777777" w:rsidR="00000000" w:rsidRDefault="00087966">
            <w:pPr>
              <w:jc w:val="center"/>
              <w:rPr>
                <w:rFonts w:eastAsia="Times New Roman"/>
                <w:sz w:val="20"/>
                <w:szCs w:val="20"/>
              </w:rPr>
            </w:pPr>
            <w:r>
              <w:rPr>
                <w:rFonts w:eastAsia="Times New Roman"/>
                <w:b/>
                <w:bCs/>
                <w:sz w:val="20"/>
                <w:szCs w:val="20"/>
              </w:rPr>
              <w:t>As of</w:t>
            </w:r>
            <w:r>
              <w:rPr>
                <w:rFonts w:eastAsia="Times New Roman"/>
                <w:b/>
                <w:bCs/>
                <w:sz w:val="20"/>
                <w:szCs w:val="20"/>
              </w:rPr>
              <w:br/>
              <w:t>September 30,</w:t>
            </w:r>
            <w:r>
              <w:rPr>
                <w:rFonts w:eastAsia="Times New Roman"/>
                <w:b/>
                <w:bCs/>
                <w:sz w:val="20"/>
                <w:szCs w:val="20"/>
              </w:rPr>
              <w:br/>
              <w:t>2022</w:t>
            </w:r>
          </w:p>
        </w:tc>
        <w:tc>
          <w:tcPr>
            <w:tcW w:w="0" w:type="auto"/>
            <w:tcMar>
              <w:top w:w="0" w:type="dxa"/>
              <w:left w:w="0" w:type="dxa"/>
              <w:bottom w:w="30" w:type="dxa"/>
              <w:right w:w="0" w:type="dxa"/>
            </w:tcMar>
            <w:vAlign w:val="bottom"/>
            <w:hideMark/>
          </w:tcPr>
          <w:p w14:paraId="231BA0BA" w14:textId="77777777" w:rsidR="00000000" w:rsidRDefault="00087966">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5F1B8D0" w14:textId="77777777" w:rsidR="00000000" w:rsidRDefault="00087966">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54BFB12" w14:textId="77777777" w:rsidR="00000000" w:rsidRDefault="00087966">
            <w:pPr>
              <w:jc w:val="center"/>
              <w:rPr>
                <w:rFonts w:eastAsia="Times New Roman"/>
                <w:sz w:val="20"/>
                <w:szCs w:val="20"/>
              </w:rPr>
            </w:pPr>
            <w:r>
              <w:rPr>
                <w:rFonts w:eastAsia="Times New Roman"/>
                <w:b/>
                <w:bCs/>
                <w:sz w:val="20"/>
                <w:szCs w:val="20"/>
              </w:rPr>
              <w:t>As of</w:t>
            </w:r>
            <w:r>
              <w:rPr>
                <w:rFonts w:eastAsia="Times New Roman"/>
                <w:b/>
                <w:bCs/>
                <w:sz w:val="20"/>
                <w:szCs w:val="20"/>
              </w:rPr>
              <w:br/>
              <w:t>June 30,</w:t>
            </w:r>
            <w:r>
              <w:rPr>
                <w:rFonts w:eastAsia="Times New Roman"/>
                <w:b/>
                <w:bCs/>
                <w:sz w:val="20"/>
                <w:szCs w:val="20"/>
              </w:rPr>
              <w:br/>
              <w:t>2022</w:t>
            </w:r>
          </w:p>
        </w:tc>
        <w:tc>
          <w:tcPr>
            <w:tcW w:w="0" w:type="auto"/>
            <w:tcMar>
              <w:top w:w="0" w:type="dxa"/>
              <w:left w:w="0" w:type="dxa"/>
              <w:bottom w:w="30" w:type="dxa"/>
              <w:right w:w="0" w:type="dxa"/>
            </w:tcMar>
            <w:vAlign w:val="bottom"/>
            <w:hideMark/>
          </w:tcPr>
          <w:p w14:paraId="5EEBD6F3" w14:textId="77777777" w:rsidR="00000000" w:rsidRDefault="00087966">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8A21A52" w14:textId="77777777" w:rsidR="00000000" w:rsidRDefault="00087966">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DD880CD" w14:textId="77777777" w:rsidR="00000000" w:rsidRDefault="00087966">
            <w:pPr>
              <w:jc w:val="center"/>
              <w:rPr>
                <w:rFonts w:eastAsia="Times New Roman"/>
                <w:sz w:val="20"/>
                <w:szCs w:val="20"/>
              </w:rPr>
            </w:pPr>
            <w:r>
              <w:rPr>
                <w:rFonts w:eastAsia="Times New Roman"/>
                <w:b/>
                <w:bCs/>
                <w:sz w:val="20"/>
                <w:szCs w:val="20"/>
              </w:rPr>
              <w:t>As of</w:t>
            </w:r>
            <w:r>
              <w:rPr>
                <w:rFonts w:eastAsia="Times New Roman"/>
                <w:b/>
                <w:bCs/>
                <w:sz w:val="20"/>
                <w:szCs w:val="20"/>
              </w:rPr>
              <w:br/>
              <w:t>April 1,</w:t>
            </w:r>
            <w:r>
              <w:rPr>
                <w:rFonts w:eastAsia="Times New Roman"/>
                <w:b/>
                <w:bCs/>
                <w:sz w:val="20"/>
                <w:szCs w:val="20"/>
              </w:rPr>
              <w:br/>
              <w:t>2022</w:t>
            </w:r>
          </w:p>
        </w:tc>
        <w:tc>
          <w:tcPr>
            <w:tcW w:w="0" w:type="auto"/>
            <w:tcMar>
              <w:top w:w="0" w:type="dxa"/>
              <w:left w:w="0" w:type="dxa"/>
              <w:bottom w:w="30" w:type="dxa"/>
              <w:right w:w="0" w:type="dxa"/>
            </w:tcMar>
            <w:vAlign w:val="bottom"/>
            <w:hideMark/>
          </w:tcPr>
          <w:p w14:paraId="15D1F71E" w14:textId="77777777" w:rsidR="00000000" w:rsidRDefault="00087966">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301E7AE" w14:textId="77777777" w:rsidR="00000000" w:rsidRDefault="00087966">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21D760" w14:textId="77777777" w:rsidR="00000000" w:rsidRDefault="00087966">
            <w:pPr>
              <w:jc w:val="center"/>
              <w:rPr>
                <w:rFonts w:eastAsia="Times New Roman"/>
                <w:sz w:val="20"/>
                <w:szCs w:val="20"/>
              </w:rPr>
            </w:pPr>
            <w:r>
              <w:rPr>
                <w:rFonts w:eastAsia="Times New Roman"/>
                <w:b/>
                <w:bCs/>
                <w:sz w:val="20"/>
                <w:szCs w:val="20"/>
              </w:rPr>
              <w:t>As of</w:t>
            </w:r>
            <w:r>
              <w:rPr>
                <w:rFonts w:eastAsia="Times New Roman"/>
                <w:b/>
                <w:bCs/>
                <w:sz w:val="20"/>
                <w:szCs w:val="20"/>
              </w:rPr>
              <w:br/>
              <w:t>January 31,</w:t>
            </w:r>
            <w:r>
              <w:rPr>
                <w:rFonts w:eastAsia="Times New Roman"/>
                <w:b/>
                <w:bCs/>
                <w:sz w:val="20"/>
                <w:szCs w:val="20"/>
              </w:rPr>
              <w:br/>
              <w:t>2022</w:t>
            </w:r>
          </w:p>
        </w:tc>
        <w:tc>
          <w:tcPr>
            <w:tcW w:w="0" w:type="auto"/>
            <w:tcMar>
              <w:top w:w="0" w:type="dxa"/>
              <w:left w:w="0" w:type="dxa"/>
              <w:bottom w:w="30" w:type="dxa"/>
              <w:right w:w="0" w:type="dxa"/>
            </w:tcMar>
            <w:vAlign w:val="bottom"/>
            <w:hideMark/>
          </w:tcPr>
          <w:p w14:paraId="0C505D90" w14:textId="77777777" w:rsidR="00000000" w:rsidRDefault="00087966">
            <w:pPr>
              <w:rPr>
                <w:rFonts w:eastAsia="Times New Roman"/>
                <w:sz w:val="20"/>
                <w:szCs w:val="20"/>
              </w:rPr>
            </w:pPr>
            <w:r>
              <w:rPr>
                <w:rFonts w:eastAsia="Times New Roman"/>
                <w:b/>
                <w:bCs/>
                <w:sz w:val="20"/>
                <w:szCs w:val="20"/>
              </w:rPr>
              <w:t> </w:t>
            </w:r>
          </w:p>
        </w:tc>
      </w:tr>
      <w:tr w:rsidR="00000000" w14:paraId="3EE80102" w14:textId="77777777">
        <w:trPr>
          <w:divId w:val="1595479706"/>
        </w:trPr>
        <w:tc>
          <w:tcPr>
            <w:tcW w:w="2000" w:type="pct"/>
            <w:shd w:val="clear" w:color="auto" w:fill="CCEEFF"/>
            <w:vAlign w:val="bottom"/>
            <w:hideMark/>
          </w:tcPr>
          <w:p w14:paraId="6FABA9E6" w14:textId="77777777" w:rsidR="00000000" w:rsidRDefault="00087966">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14:paraId="27A1C3E3"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E49217"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72C53FCA" w14:textId="77777777" w:rsidR="00000000" w:rsidRDefault="00087966">
            <w:pPr>
              <w:jc w:val="right"/>
              <w:rPr>
                <w:rFonts w:eastAsia="Times New Roman"/>
                <w:sz w:val="20"/>
                <w:szCs w:val="20"/>
              </w:rPr>
            </w:pPr>
            <w:r>
              <w:rPr>
                <w:rFonts w:eastAsia="Times New Roman"/>
                <w:sz w:val="20"/>
                <w:szCs w:val="20"/>
              </w:rPr>
              <w:t>10.24</w:t>
            </w:r>
          </w:p>
        </w:tc>
        <w:tc>
          <w:tcPr>
            <w:tcW w:w="50" w:type="pct"/>
            <w:shd w:val="clear" w:color="auto" w:fill="CCEEFF"/>
            <w:vAlign w:val="bottom"/>
            <w:hideMark/>
          </w:tcPr>
          <w:p w14:paraId="142D1482"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207876E7"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762DD2"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78C8AA13" w14:textId="77777777" w:rsidR="00000000" w:rsidRDefault="00087966">
            <w:pPr>
              <w:jc w:val="right"/>
              <w:rPr>
                <w:rFonts w:eastAsia="Times New Roman"/>
                <w:sz w:val="20"/>
                <w:szCs w:val="20"/>
              </w:rPr>
            </w:pPr>
            <w:r>
              <w:rPr>
                <w:rFonts w:eastAsia="Times New Roman"/>
                <w:sz w:val="20"/>
                <w:szCs w:val="20"/>
              </w:rPr>
              <w:t>10.05</w:t>
            </w:r>
          </w:p>
        </w:tc>
        <w:tc>
          <w:tcPr>
            <w:tcW w:w="50" w:type="pct"/>
            <w:shd w:val="clear" w:color="auto" w:fill="CCEEFF"/>
            <w:vAlign w:val="bottom"/>
            <w:hideMark/>
          </w:tcPr>
          <w:p w14:paraId="4531A478"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7F7C51"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D0F867"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28D6847A" w14:textId="77777777" w:rsidR="00000000" w:rsidRDefault="00087966">
            <w:pPr>
              <w:jc w:val="right"/>
              <w:rPr>
                <w:rFonts w:eastAsia="Times New Roman"/>
                <w:sz w:val="20"/>
                <w:szCs w:val="20"/>
              </w:rPr>
            </w:pPr>
            <w:r>
              <w:rPr>
                <w:rFonts w:eastAsia="Times New Roman"/>
                <w:sz w:val="20"/>
                <w:szCs w:val="20"/>
              </w:rPr>
              <w:t>9.99</w:t>
            </w:r>
          </w:p>
        </w:tc>
        <w:tc>
          <w:tcPr>
            <w:tcW w:w="50" w:type="pct"/>
            <w:shd w:val="clear" w:color="auto" w:fill="CCEEFF"/>
            <w:vAlign w:val="bottom"/>
            <w:hideMark/>
          </w:tcPr>
          <w:p w14:paraId="48A4F5DD"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790C4D"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D9F130"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5D06AB28" w14:textId="77777777" w:rsidR="00000000" w:rsidRDefault="00087966">
            <w:pPr>
              <w:jc w:val="right"/>
              <w:rPr>
                <w:rFonts w:eastAsia="Times New Roman"/>
                <w:sz w:val="20"/>
                <w:szCs w:val="20"/>
              </w:rPr>
            </w:pPr>
            <w:r>
              <w:rPr>
                <w:rFonts w:eastAsia="Times New Roman"/>
                <w:sz w:val="20"/>
                <w:szCs w:val="20"/>
              </w:rPr>
              <w:t>9.94</w:t>
            </w:r>
          </w:p>
        </w:tc>
        <w:tc>
          <w:tcPr>
            <w:tcW w:w="50" w:type="pct"/>
            <w:shd w:val="clear" w:color="auto" w:fill="CCEEFF"/>
            <w:vAlign w:val="bottom"/>
            <w:hideMark/>
          </w:tcPr>
          <w:p w14:paraId="63E10CF3"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BAA3F0" w14:textId="77777777" w:rsidR="00000000" w:rsidRDefault="00087966">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3009F9" w14:textId="77777777" w:rsidR="00000000" w:rsidRDefault="00087966">
            <w:pPr>
              <w:rPr>
                <w:rFonts w:eastAsia="Times New Roman"/>
                <w:sz w:val="20"/>
                <w:szCs w:val="20"/>
              </w:rPr>
            </w:pPr>
            <w:r>
              <w:rPr>
                <w:rFonts w:eastAsia="Times New Roman"/>
                <w:sz w:val="20"/>
                <w:szCs w:val="20"/>
              </w:rPr>
              <w:t>$</w:t>
            </w:r>
          </w:p>
        </w:tc>
        <w:tc>
          <w:tcPr>
            <w:tcW w:w="450" w:type="pct"/>
            <w:shd w:val="clear" w:color="auto" w:fill="CCEEFF"/>
            <w:vAlign w:val="bottom"/>
            <w:hideMark/>
          </w:tcPr>
          <w:p w14:paraId="17FB82DB" w14:textId="77777777" w:rsidR="00000000" w:rsidRDefault="00087966">
            <w:pPr>
              <w:jc w:val="right"/>
              <w:rPr>
                <w:rFonts w:eastAsia="Times New Roman"/>
                <w:sz w:val="20"/>
                <w:szCs w:val="20"/>
              </w:rPr>
            </w:pPr>
            <w:r>
              <w:rPr>
                <w:rFonts w:eastAsia="Times New Roman"/>
                <w:sz w:val="20"/>
                <w:szCs w:val="20"/>
              </w:rPr>
              <w:t>9.87</w:t>
            </w:r>
          </w:p>
        </w:tc>
        <w:tc>
          <w:tcPr>
            <w:tcW w:w="50" w:type="pct"/>
            <w:shd w:val="clear" w:color="auto" w:fill="CCEEFF"/>
            <w:vAlign w:val="bottom"/>
            <w:hideMark/>
          </w:tcPr>
          <w:p w14:paraId="26D7C687" w14:textId="77777777" w:rsidR="00000000" w:rsidRDefault="00087966">
            <w:pPr>
              <w:rPr>
                <w:rFonts w:eastAsia="Times New Roman"/>
                <w:sz w:val="20"/>
                <w:szCs w:val="20"/>
              </w:rPr>
            </w:pPr>
            <w:r>
              <w:rPr>
                <w:rFonts w:eastAsia="Times New Roman"/>
                <w:sz w:val="20"/>
                <w:szCs w:val="20"/>
              </w:rPr>
              <w:t> </w:t>
            </w:r>
          </w:p>
        </w:tc>
      </w:tr>
      <w:tr w:rsidR="00000000" w14:paraId="4FB69289" w14:textId="77777777">
        <w:trPr>
          <w:divId w:val="1595479706"/>
        </w:trPr>
        <w:tc>
          <w:tcPr>
            <w:tcW w:w="0" w:type="auto"/>
            <w:vAlign w:val="bottom"/>
            <w:hideMark/>
          </w:tcPr>
          <w:p w14:paraId="657B8D01" w14:textId="77777777" w:rsidR="00000000" w:rsidRDefault="00087966">
            <w:pPr>
              <w:rPr>
                <w:rFonts w:eastAsia="Times New Roman"/>
                <w:sz w:val="20"/>
                <w:szCs w:val="20"/>
              </w:rPr>
            </w:pPr>
            <w:r>
              <w:rPr>
                <w:rFonts w:eastAsia="Times New Roman"/>
                <w:sz w:val="20"/>
                <w:szCs w:val="20"/>
              </w:rPr>
              <w:t>Strike price</w:t>
            </w:r>
          </w:p>
        </w:tc>
        <w:tc>
          <w:tcPr>
            <w:tcW w:w="0" w:type="auto"/>
            <w:vAlign w:val="bottom"/>
            <w:hideMark/>
          </w:tcPr>
          <w:p w14:paraId="4FDD530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8C804F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C728EFB" w14:textId="77777777" w:rsidR="00000000" w:rsidRDefault="00087966">
            <w:pPr>
              <w:jc w:val="right"/>
              <w:rPr>
                <w:rFonts w:eastAsia="Times New Roman"/>
                <w:sz w:val="20"/>
                <w:szCs w:val="20"/>
              </w:rPr>
            </w:pPr>
            <w:r>
              <w:rPr>
                <w:rFonts w:eastAsia="Times New Roman"/>
                <w:sz w:val="20"/>
                <w:szCs w:val="20"/>
              </w:rPr>
              <w:t>11.50</w:t>
            </w:r>
          </w:p>
        </w:tc>
        <w:tc>
          <w:tcPr>
            <w:tcW w:w="0" w:type="auto"/>
            <w:vAlign w:val="bottom"/>
            <w:hideMark/>
          </w:tcPr>
          <w:p w14:paraId="41E40FB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53BEC32"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6E118A6"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447B7404" w14:textId="77777777" w:rsidR="00000000" w:rsidRDefault="00087966">
            <w:pPr>
              <w:jc w:val="right"/>
              <w:rPr>
                <w:rFonts w:eastAsia="Times New Roman"/>
                <w:sz w:val="20"/>
                <w:szCs w:val="20"/>
              </w:rPr>
            </w:pPr>
            <w:r>
              <w:rPr>
                <w:rFonts w:eastAsia="Times New Roman"/>
                <w:sz w:val="20"/>
                <w:szCs w:val="20"/>
              </w:rPr>
              <w:t>11.50</w:t>
            </w:r>
          </w:p>
        </w:tc>
        <w:tc>
          <w:tcPr>
            <w:tcW w:w="0" w:type="auto"/>
            <w:vAlign w:val="bottom"/>
            <w:hideMark/>
          </w:tcPr>
          <w:p w14:paraId="4F1EA3E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581D430"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0B63364"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28DE6A22" w14:textId="77777777" w:rsidR="00000000" w:rsidRDefault="00087966">
            <w:pPr>
              <w:jc w:val="right"/>
              <w:rPr>
                <w:rFonts w:eastAsia="Times New Roman"/>
                <w:sz w:val="20"/>
                <w:szCs w:val="20"/>
              </w:rPr>
            </w:pPr>
            <w:r>
              <w:rPr>
                <w:rFonts w:eastAsia="Times New Roman"/>
                <w:sz w:val="20"/>
                <w:szCs w:val="20"/>
              </w:rPr>
              <w:t>11.50</w:t>
            </w:r>
          </w:p>
        </w:tc>
        <w:tc>
          <w:tcPr>
            <w:tcW w:w="0" w:type="auto"/>
            <w:vAlign w:val="bottom"/>
            <w:hideMark/>
          </w:tcPr>
          <w:p w14:paraId="779A55EB"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6DF01B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451D8AB"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32F1F675" w14:textId="77777777" w:rsidR="00000000" w:rsidRDefault="00087966">
            <w:pPr>
              <w:jc w:val="right"/>
              <w:rPr>
                <w:rFonts w:eastAsia="Times New Roman"/>
                <w:sz w:val="20"/>
                <w:szCs w:val="20"/>
              </w:rPr>
            </w:pPr>
            <w:r>
              <w:rPr>
                <w:rFonts w:eastAsia="Times New Roman"/>
                <w:sz w:val="20"/>
                <w:szCs w:val="20"/>
              </w:rPr>
              <w:t>11.50</w:t>
            </w:r>
          </w:p>
        </w:tc>
        <w:tc>
          <w:tcPr>
            <w:tcW w:w="0" w:type="auto"/>
            <w:vAlign w:val="bottom"/>
            <w:hideMark/>
          </w:tcPr>
          <w:p w14:paraId="0788B44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278F67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593F193"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67A74CAC" w14:textId="77777777" w:rsidR="00000000" w:rsidRDefault="00087966">
            <w:pPr>
              <w:jc w:val="right"/>
              <w:rPr>
                <w:rFonts w:eastAsia="Times New Roman"/>
                <w:sz w:val="20"/>
                <w:szCs w:val="20"/>
              </w:rPr>
            </w:pPr>
            <w:r>
              <w:rPr>
                <w:rFonts w:eastAsia="Times New Roman"/>
                <w:sz w:val="20"/>
                <w:szCs w:val="20"/>
              </w:rPr>
              <w:t>11.50</w:t>
            </w:r>
          </w:p>
        </w:tc>
        <w:tc>
          <w:tcPr>
            <w:tcW w:w="0" w:type="auto"/>
            <w:vAlign w:val="bottom"/>
            <w:hideMark/>
          </w:tcPr>
          <w:p w14:paraId="18354C23" w14:textId="77777777" w:rsidR="00000000" w:rsidRDefault="00087966">
            <w:pPr>
              <w:rPr>
                <w:rFonts w:eastAsia="Times New Roman"/>
                <w:sz w:val="20"/>
                <w:szCs w:val="20"/>
              </w:rPr>
            </w:pPr>
            <w:r>
              <w:rPr>
                <w:rFonts w:eastAsia="Times New Roman"/>
                <w:sz w:val="20"/>
                <w:szCs w:val="20"/>
              </w:rPr>
              <w:t> </w:t>
            </w:r>
          </w:p>
        </w:tc>
      </w:tr>
      <w:tr w:rsidR="00000000" w14:paraId="67A5C99C" w14:textId="77777777">
        <w:trPr>
          <w:divId w:val="1595479706"/>
        </w:trPr>
        <w:tc>
          <w:tcPr>
            <w:tcW w:w="0" w:type="auto"/>
            <w:shd w:val="clear" w:color="auto" w:fill="CCEEFF"/>
            <w:vAlign w:val="bottom"/>
            <w:hideMark/>
          </w:tcPr>
          <w:p w14:paraId="2A2077F9" w14:textId="77777777" w:rsidR="00000000" w:rsidRDefault="00087966">
            <w:pPr>
              <w:rPr>
                <w:rFonts w:eastAsia="Times New Roman"/>
                <w:sz w:val="20"/>
                <w:szCs w:val="20"/>
              </w:rPr>
            </w:pPr>
            <w:r>
              <w:rPr>
                <w:rFonts w:eastAsia="Times New Roman"/>
                <w:sz w:val="20"/>
                <w:szCs w:val="20"/>
              </w:rPr>
              <w:t>Volatility</w:t>
            </w:r>
          </w:p>
        </w:tc>
        <w:tc>
          <w:tcPr>
            <w:tcW w:w="0" w:type="auto"/>
            <w:shd w:val="clear" w:color="auto" w:fill="CCEEFF"/>
            <w:vAlign w:val="bottom"/>
            <w:hideMark/>
          </w:tcPr>
          <w:p w14:paraId="3AA75C0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817651"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A4E71B" w14:textId="77777777" w:rsidR="00000000" w:rsidRDefault="00087966">
            <w:pPr>
              <w:jc w:val="right"/>
              <w:rPr>
                <w:rFonts w:eastAsia="Times New Roman"/>
                <w:sz w:val="20"/>
                <w:szCs w:val="20"/>
              </w:rPr>
            </w:pPr>
            <w:r>
              <w:rPr>
                <w:rFonts w:eastAsia="Times New Roman"/>
                <w:sz w:val="20"/>
                <w:szCs w:val="20"/>
              </w:rPr>
              <w:t>3.8</w:t>
            </w:r>
          </w:p>
        </w:tc>
        <w:tc>
          <w:tcPr>
            <w:tcW w:w="0" w:type="auto"/>
            <w:shd w:val="clear" w:color="auto" w:fill="CCEEFF"/>
            <w:vAlign w:val="bottom"/>
            <w:hideMark/>
          </w:tcPr>
          <w:p w14:paraId="3742BCF1"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165743F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823F8"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E89983" w14:textId="77777777" w:rsidR="00000000" w:rsidRDefault="00087966">
            <w:pPr>
              <w:jc w:val="right"/>
              <w:rPr>
                <w:rFonts w:eastAsia="Times New Roman"/>
                <w:sz w:val="20"/>
                <w:szCs w:val="20"/>
              </w:rPr>
            </w:pPr>
            <w:r>
              <w:rPr>
                <w:rFonts w:eastAsia="Times New Roman"/>
                <w:sz w:val="20"/>
                <w:szCs w:val="20"/>
              </w:rPr>
              <w:t>0.0</w:t>
            </w:r>
          </w:p>
        </w:tc>
        <w:tc>
          <w:tcPr>
            <w:tcW w:w="0" w:type="auto"/>
            <w:shd w:val="clear" w:color="auto" w:fill="CCEEFF"/>
            <w:vAlign w:val="bottom"/>
            <w:hideMark/>
          </w:tcPr>
          <w:p w14:paraId="48562E2D"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2D364A4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CCDFD6"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B3DE3F" w14:textId="77777777" w:rsidR="00000000" w:rsidRDefault="00087966">
            <w:pPr>
              <w:jc w:val="right"/>
              <w:rPr>
                <w:rFonts w:eastAsia="Times New Roman"/>
                <w:sz w:val="20"/>
                <w:szCs w:val="20"/>
              </w:rPr>
            </w:pPr>
            <w:r>
              <w:rPr>
                <w:rFonts w:eastAsia="Times New Roman"/>
                <w:sz w:val="20"/>
                <w:szCs w:val="20"/>
              </w:rPr>
              <w:t>10.1</w:t>
            </w:r>
          </w:p>
        </w:tc>
        <w:tc>
          <w:tcPr>
            <w:tcW w:w="0" w:type="auto"/>
            <w:shd w:val="clear" w:color="auto" w:fill="CCEEFF"/>
            <w:vAlign w:val="bottom"/>
            <w:hideMark/>
          </w:tcPr>
          <w:p w14:paraId="2B61F7FF"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6873B4B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E8004F"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0A2E7" w14:textId="77777777" w:rsidR="00000000" w:rsidRDefault="00087966">
            <w:pPr>
              <w:jc w:val="right"/>
              <w:rPr>
                <w:rFonts w:eastAsia="Times New Roman"/>
                <w:sz w:val="20"/>
                <w:szCs w:val="20"/>
              </w:rPr>
            </w:pPr>
            <w:r>
              <w:rPr>
                <w:rFonts w:eastAsia="Times New Roman"/>
                <w:sz w:val="20"/>
                <w:szCs w:val="20"/>
              </w:rPr>
              <w:t>3.8</w:t>
            </w:r>
          </w:p>
        </w:tc>
        <w:tc>
          <w:tcPr>
            <w:tcW w:w="0" w:type="auto"/>
            <w:shd w:val="clear" w:color="auto" w:fill="CCEEFF"/>
            <w:vAlign w:val="bottom"/>
            <w:hideMark/>
          </w:tcPr>
          <w:p w14:paraId="5A564757"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3AFBC32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797964"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32D835" w14:textId="77777777" w:rsidR="00000000" w:rsidRDefault="00087966">
            <w:pPr>
              <w:jc w:val="right"/>
              <w:rPr>
                <w:rFonts w:eastAsia="Times New Roman"/>
                <w:sz w:val="20"/>
                <w:szCs w:val="20"/>
              </w:rPr>
            </w:pPr>
            <w:r>
              <w:rPr>
                <w:rFonts w:eastAsia="Times New Roman"/>
                <w:sz w:val="20"/>
                <w:szCs w:val="20"/>
              </w:rPr>
              <w:t>9.1</w:t>
            </w:r>
          </w:p>
        </w:tc>
        <w:tc>
          <w:tcPr>
            <w:tcW w:w="0" w:type="auto"/>
            <w:shd w:val="clear" w:color="auto" w:fill="CCEEFF"/>
            <w:vAlign w:val="bottom"/>
            <w:hideMark/>
          </w:tcPr>
          <w:p w14:paraId="4B9D2BCA" w14:textId="77777777" w:rsidR="00000000" w:rsidRDefault="00087966">
            <w:pPr>
              <w:rPr>
                <w:rFonts w:eastAsia="Times New Roman"/>
                <w:sz w:val="20"/>
                <w:szCs w:val="20"/>
              </w:rPr>
            </w:pPr>
            <w:r>
              <w:rPr>
                <w:rFonts w:eastAsia="Times New Roman"/>
                <w:sz w:val="20"/>
                <w:szCs w:val="20"/>
              </w:rPr>
              <w:t>%</w:t>
            </w:r>
          </w:p>
        </w:tc>
      </w:tr>
      <w:tr w:rsidR="00000000" w14:paraId="1C56D1E1" w14:textId="77777777">
        <w:trPr>
          <w:divId w:val="1595479706"/>
        </w:trPr>
        <w:tc>
          <w:tcPr>
            <w:tcW w:w="0" w:type="auto"/>
            <w:vAlign w:val="bottom"/>
            <w:hideMark/>
          </w:tcPr>
          <w:p w14:paraId="5E344EB8" w14:textId="77777777" w:rsidR="00000000" w:rsidRDefault="00087966">
            <w:pPr>
              <w:rPr>
                <w:rFonts w:eastAsia="Times New Roman"/>
                <w:sz w:val="20"/>
                <w:szCs w:val="20"/>
              </w:rPr>
            </w:pPr>
            <w:r>
              <w:rPr>
                <w:rFonts w:eastAsia="Times New Roman"/>
                <w:sz w:val="20"/>
                <w:szCs w:val="20"/>
              </w:rPr>
              <w:t>Risk-free rate</w:t>
            </w:r>
          </w:p>
        </w:tc>
        <w:tc>
          <w:tcPr>
            <w:tcW w:w="0" w:type="auto"/>
            <w:vAlign w:val="bottom"/>
            <w:hideMark/>
          </w:tcPr>
          <w:p w14:paraId="17BCDC0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351198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94D6A53" w14:textId="77777777" w:rsidR="00000000" w:rsidRDefault="00087966">
            <w:pPr>
              <w:jc w:val="right"/>
              <w:rPr>
                <w:rFonts w:eastAsia="Times New Roman"/>
                <w:sz w:val="20"/>
                <w:szCs w:val="20"/>
              </w:rPr>
            </w:pPr>
            <w:r>
              <w:rPr>
                <w:rFonts w:eastAsia="Times New Roman"/>
                <w:sz w:val="20"/>
                <w:szCs w:val="20"/>
              </w:rPr>
              <w:t>4.41</w:t>
            </w:r>
          </w:p>
        </w:tc>
        <w:tc>
          <w:tcPr>
            <w:tcW w:w="0" w:type="auto"/>
            <w:vAlign w:val="bottom"/>
            <w:hideMark/>
          </w:tcPr>
          <w:p w14:paraId="49F4A58E"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4980034A"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F0B0B6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5C0EF8A" w14:textId="77777777" w:rsidR="00000000" w:rsidRDefault="00087966">
            <w:pPr>
              <w:jc w:val="right"/>
              <w:rPr>
                <w:rFonts w:eastAsia="Times New Roman"/>
                <w:sz w:val="20"/>
                <w:szCs w:val="20"/>
              </w:rPr>
            </w:pPr>
            <w:r>
              <w:rPr>
                <w:rFonts w:eastAsia="Times New Roman"/>
                <w:sz w:val="20"/>
                <w:szCs w:val="20"/>
              </w:rPr>
              <w:t>4.01</w:t>
            </w:r>
          </w:p>
        </w:tc>
        <w:tc>
          <w:tcPr>
            <w:tcW w:w="0" w:type="auto"/>
            <w:vAlign w:val="bottom"/>
            <w:hideMark/>
          </w:tcPr>
          <w:p w14:paraId="05B276C6"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2A83444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8E0048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51B9979" w14:textId="77777777" w:rsidR="00000000" w:rsidRDefault="00087966">
            <w:pPr>
              <w:jc w:val="right"/>
              <w:rPr>
                <w:rFonts w:eastAsia="Times New Roman"/>
                <w:sz w:val="20"/>
                <w:szCs w:val="20"/>
              </w:rPr>
            </w:pPr>
            <w:r>
              <w:rPr>
                <w:rFonts w:eastAsia="Times New Roman"/>
                <w:sz w:val="20"/>
                <w:szCs w:val="20"/>
              </w:rPr>
              <w:t>2.98</w:t>
            </w:r>
          </w:p>
        </w:tc>
        <w:tc>
          <w:tcPr>
            <w:tcW w:w="0" w:type="auto"/>
            <w:vAlign w:val="bottom"/>
            <w:hideMark/>
          </w:tcPr>
          <w:p w14:paraId="5EDB8149"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25FBAE8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36439A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705959C" w14:textId="77777777" w:rsidR="00000000" w:rsidRDefault="00087966">
            <w:pPr>
              <w:jc w:val="right"/>
              <w:rPr>
                <w:rFonts w:eastAsia="Times New Roman"/>
                <w:sz w:val="20"/>
                <w:szCs w:val="20"/>
              </w:rPr>
            </w:pPr>
            <w:r>
              <w:rPr>
                <w:rFonts w:eastAsia="Times New Roman"/>
                <w:sz w:val="20"/>
                <w:szCs w:val="20"/>
              </w:rPr>
              <w:t>2.40</w:t>
            </w:r>
          </w:p>
        </w:tc>
        <w:tc>
          <w:tcPr>
            <w:tcW w:w="0" w:type="auto"/>
            <w:vAlign w:val="bottom"/>
            <w:hideMark/>
          </w:tcPr>
          <w:p w14:paraId="2C4973DD"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18EEB83C"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91E8C33"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3F52F0F" w14:textId="77777777" w:rsidR="00000000" w:rsidRDefault="00087966">
            <w:pPr>
              <w:jc w:val="right"/>
              <w:rPr>
                <w:rFonts w:eastAsia="Times New Roman"/>
                <w:sz w:val="20"/>
                <w:szCs w:val="20"/>
              </w:rPr>
            </w:pPr>
            <w:r>
              <w:rPr>
                <w:rFonts w:eastAsia="Times New Roman"/>
                <w:sz w:val="20"/>
                <w:szCs w:val="20"/>
              </w:rPr>
              <w:t>2.40</w:t>
            </w:r>
          </w:p>
        </w:tc>
        <w:tc>
          <w:tcPr>
            <w:tcW w:w="0" w:type="auto"/>
            <w:vAlign w:val="bottom"/>
            <w:hideMark/>
          </w:tcPr>
          <w:p w14:paraId="301B2492" w14:textId="77777777" w:rsidR="00000000" w:rsidRDefault="00087966">
            <w:pPr>
              <w:rPr>
                <w:rFonts w:eastAsia="Times New Roman"/>
                <w:sz w:val="20"/>
                <w:szCs w:val="20"/>
              </w:rPr>
            </w:pPr>
            <w:r>
              <w:rPr>
                <w:rFonts w:eastAsia="Times New Roman"/>
                <w:sz w:val="20"/>
                <w:szCs w:val="20"/>
              </w:rPr>
              <w:t>%</w:t>
            </w:r>
          </w:p>
        </w:tc>
      </w:tr>
      <w:tr w:rsidR="00000000" w14:paraId="601F0450" w14:textId="77777777">
        <w:trPr>
          <w:divId w:val="1595479706"/>
        </w:trPr>
        <w:tc>
          <w:tcPr>
            <w:tcW w:w="0" w:type="auto"/>
            <w:shd w:val="clear" w:color="auto" w:fill="CCEEFF"/>
            <w:vAlign w:val="bottom"/>
            <w:hideMark/>
          </w:tcPr>
          <w:p w14:paraId="49BE5A3D" w14:textId="77777777" w:rsidR="00000000" w:rsidRDefault="00087966">
            <w:pPr>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14:paraId="2698A42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DE961B"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316227" w14:textId="77777777" w:rsidR="00000000" w:rsidRDefault="00087966">
            <w:pPr>
              <w:jc w:val="right"/>
              <w:rPr>
                <w:rFonts w:eastAsia="Times New Roman"/>
                <w:sz w:val="20"/>
                <w:szCs w:val="20"/>
              </w:rPr>
            </w:pPr>
            <w:r>
              <w:rPr>
                <w:rFonts w:eastAsia="Times New Roman"/>
                <w:sz w:val="20"/>
                <w:szCs w:val="20"/>
              </w:rPr>
              <w:t>35</w:t>
            </w:r>
          </w:p>
        </w:tc>
        <w:tc>
          <w:tcPr>
            <w:tcW w:w="0" w:type="auto"/>
            <w:shd w:val="clear" w:color="auto" w:fill="CCEEFF"/>
            <w:vAlign w:val="bottom"/>
            <w:hideMark/>
          </w:tcPr>
          <w:p w14:paraId="678F2B90"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7A87126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D999CA"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ED9FD7" w14:textId="77777777" w:rsidR="00000000" w:rsidRDefault="00087966">
            <w:pPr>
              <w:jc w:val="right"/>
              <w:rPr>
                <w:rFonts w:eastAsia="Times New Roman"/>
                <w:sz w:val="20"/>
                <w:szCs w:val="20"/>
              </w:rPr>
            </w:pPr>
            <w:r>
              <w:rPr>
                <w:rFonts w:eastAsia="Times New Roman"/>
                <w:sz w:val="20"/>
                <w:szCs w:val="20"/>
              </w:rPr>
              <w:t>50</w:t>
            </w:r>
          </w:p>
        </w:tc>
        <w:tc>
          <w:tcPr>
            <w:tcW w:w="0" w:type="auto"/>
            <w:shd w:val="clear" w:color="auto" w:fill="CCEEFF"/>
            <w:vAlign w:val="bottom"/>
            <w:hideMark/>
          </w:tcPr>
          <w:p w14:paraId="4F19E38E"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2F3BA085"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9D14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2F5FA6" w14:textId="77777777" w:rsidR="00000000" w:rsidRDefault="00087966">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737533A0"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724A7689"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B257E3"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E26B85" w14:textId="77777777" w:rsidR="00000000" w:rsidRDefault="00087966">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62438ECD"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54CA453C"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CEE4D0"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2CED7C" w14:textId="77777777" w:rsidR="00000000" w:rsidRDefault="00087966">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14:paraId="609F7381" w14:textId="77777777" w:rsidR="00000000" w:rsidRDefault="00087966">
            <w:pPr>
              <w:rPr>
                <w:rFonts w:eastAsia="Times New Roman"/>
                <w:sz w:val="20"/>
                <w:szCs w:val="20"/>
              </w:rPr>
            </w:pPr>
            <w:r>
              <w:rPr>
                <w:rFonts w:eastAsia="Times New Roman"/>
                <w:sz w:val="20"/>
                <w:szCs w:val="20"/>
              </w:rPr>
              <w:t>%</w:t>
            </w:r>
          </w:p>
        </w:tc>
      </w:tr>
      <w:tr w:rsidR="00000000" w14:paraId="2CA8CE4F" w14:textId="77777777">
        <w:trPr>
          <w:divId w:val="1595479706"/>
        </w:trPr>
        <w:tc>
          <w:tcPr>
            <w:tcW w:w="0" w:type="auto"/>
            <w:vAlign w:val="bottom"/>
            <w:hideMark/>
          </w:tcPr>
          <w:p w14:paraId="20F552D9" w14:textId="77777777" w:rsidR="00000000" w:rsidRDefault="00087966">
            <w:pPr>
              <w:rPr>
                <w:rFonts w:eastAsia="Times New Roman"/>
                <w:sz w:val="20"/>
                <w:szCs w:val="20"/>
              </w:rPr>
            </w:pPr>
            <w:r>
              <w:rPr>
                <w:rFonts w:eastAsia="Times New Roman"/>
                <w:sz w:val="20"/>
                <w:szCs w:val="20"/>
              </w:rPr>
              <w:t>Dividend yield</w:t>
            </w:r>
          </w:p>
        </w:tc>
        <w:tc>
          <w:tcPr>
            <w:tcW w:w="0" w:type="auto"/>
            <w:vAlign w:val="bottom"/>
            <w:hideMark/>
          </w:tcPr>
          <w:p w14:paraId="7E7803E1"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D39BFA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0B7A5FAF" w14:textId="77777777" w:rsidR="00000000" w:rsidRDefault="00087966">
            <w:pPr>
              <w:jc w:val="right"/>
              <w:rPr>
                <w:rFonts w:eastAsia="Times New Roman"/>
                <w:sz w:val="20"/>
                <w:szCs w:val="20"/>
              </w:rPr>
            </w:pPr>
            <w:r>
              <w:rPr>
                <w:rFonts w:eastAsia="Times New Roman"/>
                <w:sz w:val="20"/>
                <w:szCs w:val="20"/>
              </w:rPr>
              <w:t>0.0</w:t>
            </w:r>
          </w:p>
        </w:tc>
        <w:tc>
          <w:tcPr>
            <w:tcW w:w="0" w:type="auto"/>
            <w:vAlign w:val="bottom"/>
            <w:hideMark/>
          </w:tcPr>
          <w:p w14:paraId="70B57345"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7C140ED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889E975"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DCDEC85" w14:textId="77777777" w:rsidR="00000000" w:rsidRDefault="00087966">
            <w:pPr>
              <w:jc w:val="right"/>
              <w:rPr>
                <w:rFonts w:eastAsia="Times New Roman"/>
                <w:sz w:val="20"/>
                <w:szCs w:val="20"/>
              </w:rPr>
            </w:pPr>
            <w:r>
              <w:rPr>
                <w:rFonts w:eastAsia="Times New Roman"/>
                <w:sz w:val="20"/>
                <w:szCs w:val="20"/>
              </w:rPr>
              <w:t>0.0</w:t>
            </w:r>
          </w:p>
        </w:tc>
        <w:tc>
          <w:tcPr>
            <w:tcW w:w="0" w:type="auto"/>
            <w:vAlign w:val="bottom"/>
            <w:hideMark/>
          </w:tcPr>
          <w:p w14:paraId="6FF77AF0"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0434341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61BFF7C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C926750" w14:textId="77777777" w:rsidR="00000000" w:rsidRDefault="00087966">
            <w:pPr>
              <w:jc w:val="right"/>
              <w:rPr>
                <w:rFonts w:eastAsia="Times New Roman"/>
                <w:sz w:val="20"/>
                <w:szCs w:val="20"/>
              </w:rPr>
            </w:pPr>
            <w:r>
              <w:rPr>
                <w:rFonts w:eastAsia="Times New Roman"/>
                <w:sz w:val="20"/>
                <w:szCs w:val="20"/>
              </w:rPr>
              <w:t>0.0</w:t>
            </w:r>
          </w:p>
        </w:tc>
        <w:tc>
          <w:tcPr>
            <w:tcW w:w="0" w:type="auto"/>
            <w:vAlign w:val="bottom"/>
            <w:hideMark/>
          </w:tcPr>
          <w:p w14:paraId="37923ADC"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7FE8D8B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2CFF486"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EE48A21" w14:textId="77777777" w:rsidR="00000000" w:rsidRDefault="00087966">
            <w:pPr>
              <w:jc w:val="right"/>
              <w:rPr>
                <w:rFonts w:eastAsia="Times New Roman"/>
                <w:sz w:val="20"/>
                <w:szCs w:val="20"/>
              </w:rPr>
            </w:pPr>
            <w:r>
              <w:rPr>
                <w:rFonts w:eastAsia="Times New Roman"/>
                <w:sz w:val="20"/>
                <w:szCs w:val="20"/>
              </w:rPr>
              <w:t>0.0</w:t>
            </w:r>
          </w:p>
        </w:tc>
        <w:tc>
          <w:tcPr>
            <w:tcW w:w="0" w:type="auto"/>
            <w:vAlign w:val="bottom"/>
            <w:hideMark/>
          </w:tcPr>
          <w:p w14:paraId="4093D879" w14:textId="77777777" w:rsidR="00000000" w:rsidRDefault="00087966">
            <w:pPr>
              <w:rPr>
                <w:rFonts w:eastAsia="Times New Roman"/>
                <w:sz w:val="20"/>
                <w:szCs w:val="20"/>
              </w:rPr>
            </w:pPr>
            <w:r>
              <w:rPr>
                <w:rFonts w:eastAsia="Times New Roman"/>
                <w:sz w:val="20"/>
                <w:szCs w:val="20"/>
              </w:rPr>
              <w:t>%</w:t>
            </w:r>
          </w:p>
        </w:tc>
        <w:tc>
          <w:tcPr>
            <w:tcW w:w="0" w:type="auto"/>
            <w:vAlign w:val="bottom"/>
            <w:hideMark/>
          </w:tcPr>
          <w:p w14:paraId="02E4748D"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1157E97E"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74A536F4" w14:textId="77777777" w:rsidR="00000000" w:rsidRDefault="00087966">
            <w:pPr>
              <w:jc w:val="right"/>
              <w:rPr>
                <w:rFonts w:eastAsia="Times New Roman"/>
                <w:sz w:val="20"/>
                <w:szCs w:val="20"/>
              </w:rPr>
            </w:pPr>
            <w:r>
              <w:rPr>
                <w:rFonts w:eastAsia="Times New Roman"/>
                <w:sz w:val="20"/>
                <w:szCs w:val="20"/>
              </w:rPr>
              <w:t>0.0</w:t>
            </w:r>
          </w:p>
        </w:tc>
        <w:tc>
          <w:tcPr>
            <w:tcW w:w="0" w:type="auto"/>
            <w:vAlign w:val="bottom"/>
            <w:hideMark/>
          </w:tcPr>
          <w:p w14:paraId="013A179F" w14:textId="77777777" w:rsidR="00000000" w:rsidRDefault="00087966">
            <w:pPr>
              <w:rPr>
                <w:rFonts w:eastAsia="Times New Roman"/>
                <w:sz w:val="20"/>
                <w:szCs w:val="20"/>
              </w:rPr>
            </w:pPr>
            <w:r>
              <w:rPr>
                <w:rFonts w:eastAsia="Times New Roman"/>
                <w:sz w:val="20"/>
                <w:szCs w:val="20"/>
              </w:rPr>
              <w:t>%</w:t>
            </w:r>
          </w:p>
        </w:tc>
      </w:tr>
    </w:tbl>
    <w:p w14:paraId="62FF723B" w14:textId="77777777" w:rsidR="00000000" w:rsidRDefault="00087966">
      <w:pPr>
        <w:pStyle w:val="a3"/>
        <w:spacing w:before="0" w:beforeAutospacing="0" w:after="0" w:afterAutospacing="0"/>
        <w:jc w:val="both"/>
        <w:divId w:val="1595479706"/>
        <w:rPr>
          <w:sz w:val="20"/>
          <w:szCs w:val="20"/>
        </w:rPr>
      </w:pPr>
      <w:r>
        <w:rPr>
          <w:sz w:val="20"/>
          <w:szCs w:val="20"/>
        </w:rPr>
        <w:t> </w:t>
      </w:r>
    </w:p>
    <w:p w14:paraId="7CCE3C5A" w14:textId="77777777" w:rsidR="00000000" w:rsidRDefault="00087966">
      <w:pPr>
        <w:pStyle w:val="a3"/>
        <w:spacing w:before="0" w:beforeAutospacing="0" w:after="0" w:afterAutospacing="0"/>
        <w:divId w:val="1595479706"/>
        <w:rPr>
          <w:sz w:val="20"/>
          <w:szCs w:val="20"/>
        </w:rPr>
      </w:pPr>
      <w:r>
        <w:rPr>
          <w:sz w:val="20"/>
          <w:szCs w:val="20"/>
        </w:rPr>
        <w:t>The following contains additional information regarding the inputs used in the pricing models:</w:t>
      </w:r>
    </w:p>
    <w:p w14:paraId="0EEE350C"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7A0C0C17" w14:textId="77777777">
        <w:trPr>
          <w:divId w:val="1595479706"/>
        </w:trPr>
        <w:tc>
          <w:tcPr>
            <w:tcW w:w="360" w:type="dxa"/>
            <w:hideMark/>
          </w:tcPr>
          <w:p w14:paraId="6375B3A5"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3579BA2D" w14:textId="77777777" w:rsidR="00000000" w:rsidRDefault="00087966">
            <w:pPr>
              <w:rPr>
                <w:rFonts w:eastAsia="Times New Roman"/>
                <w:sz w:val="20"/>
                <w:szCs w:val="20"/>
              </w:rPr>
            </w:pPr>
            <w:r>
              <w:rPr>
                <w:rFonts w:eastAsia="Times New Roman"/>
                <w:sz w:val="20"/>
                <w:szCs w:val="20"/>
              </w:rPr>
              <w:t>●</w:t>
            </w:r>
          </w:p>
        </w:tc>
        <w:tc>
          <w:tcPr>
            <w:tcW w:w="0" w:type="auto"/>
            <w:hideMark/>
          </w:tcPr>
          <w:p w14:paraId="19E82625" w14:textId="77777777" w:rsidR="00000000" w:rsidRDefault="00087966">
            <w:pPr>
              <w:jc w:val="both"/>
              <w:rPr>
                <w:rFonts w:eastAsia="Times New Roman"/>
                <w:sz w:val="20"/>
                <w:szCs w:val="20"/>
              </w:rPr>
            </w:pPr>
            <w:r>
              <w:rPr>
                <w:rFonts w:eastAsia="Times New Roman"/>
                <w:sz w:val="20"/>
                <w:szCs w:val="20"/>
              </w:rPr>
              <w:t xml:space="preserve">Term – </w:t>
            </w:r>
            <w:r>
              <w:rPr>
                <w:rFonts w:eastAsia="Times New Roman"/>
                <w:sz w:val="20"/>
                <w:szCs w:val="20"/>
              </w:rPr>
              <w:t>the expected life of the warrants was assumed to be equivalent to their remaining contractual term.</w:t>
            </w:r>
          </w:p>
        </w:tc>
      </w:tr>
    </w:tbl>
    <w:p w14:paraId="3B38C677"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0DA1EECC" w14:textId="77777777">
        <w:trPr>
          <w:divId w:val="1595479706"/>
        </w:trPr>
        <w:tc>
          <w:tcPr>
            <w:tcW w:w="360" w:type="dxa"/>
            <w:hideMark/>
          </w:tcPr>
          <w:p w14:paraId="0C22A3AB"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27ED81D5" w14:textId="77777777" w:rsidR="00000000" w:rsidRDefault="00087966">
            <w:pPr>
              <w:rPr>
                <w:rFonts w:eastAsia="Times New Roman"/>
                <w:sz w:val="20"/>
                <w:szCs w:val="20"/>
              </w:rPr>
            </w:pPr>
            <w:r>
              <w:rPr>
                <w:rFonts w:eastAsia="Times New Roman"/>
                <w:sz w:val="20"/>
                <w:szCs w:val="20"/>
              </w:rPr>
              <w:t>●</w:t>
            </w:r>
          </w:p>
        </w:tc>
        <w:tc>
          <w:tcPr>
            <w:tcW w:w="0" w:type="auto"/>
            <w:hideMark/>
          </w:tcPr>
          <w:p w14:paraId="5D9A9062" w14:textId="77777777" w:rsidR="00000000" w:rsidRDefault="00087966">
            <w:pPr>
              <w:jc w:val="both"/>
              <w:rPr>
                <w:rFonts w:eastAsia="Times New Roman"/>
                <w:sz w:val="20"/>
                <w:szCs w:val="20"/>
              </w:rPr>
            </w:pPr>
            <w:r>
              <w:rPr>
                <w:rFonts w:eastAsia="Times New Roman"/>
                <w:sz w:val="20"/>
                <w:szCs w:val="20"/>
              </w:rPr>
              <w:t xml:space="preserve">Risk-free rate – </w:t>
            </w:r>
            <w:r>
              <w:rPr>
                <w:rFonts w:eastAsia="Times New Roman"/>
                <w:sz w:val="20"/>
                <w:szCs w:val="20"/>
              </w:rPr>
              <w:t>the risk-free interest rate is based on the U.S. treasury yield curve in effect on the date of valuation equal to the remaining expected life of the Warrants.</w:t>
            </w:r>
          </w:p>
        </w:tc>
      </w:tr>
    </w:tbl>
    <w:p w14:paraId="1852D0DE"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D87BAF3" w14:textId="77777777">
        <w:trPr>
          <w:divId w:val="1595479706"/>
        </w:trPr>
        <w:tc>
          <w:tcPr>
            <w:tcW w:w="360" w:type="dxa"/>
            <w:hideMark/>
          </w:tcPr>
          <w:p w14:paraId="3C239670"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3C4F0C99" w14:textId="77777777" w:rsidR="00000000" w:rsidRDefault="00087966">
            <w:pPr>
              <w:rPr>
                <w:rFonts w:eastAsia="Times New Roman"/>
                <w:sz w:val="20"/>
                <w:szCs w:val="20"/>
              </w:rPr>
            </w:pPr>
            <w:r>
              <w:rPr>
                <w:rFonts w:eastAsia="Times New Roman"/>
                <w:sz w:val="20"/>
                <w:szCs w:val="20"/>
              </w:rPr>
              <w:t>●</w:t>
            </w:r>
          </w:p>
        </w:tc>
        <w:tc>
          <w:tcPr>
            <w:tcW w:w="0" w:type="auto"/>
            <w:hideMark/>
          </w:tcPr>
          <w:p w14:paraId="3FA30F1E" w14:textId="77777777" w:rsidR="00000000" w:rsidRDefault="00087966">
            <w:pPr>
              <w:jc w:val="both"/>
              <w:rPr>
                <w:rFonts w:eastAsia="Times New Roman"/>
                <w:sz w:val="20"/>
                <w:szCs w:val="20"/>
              </w:rPr>
            </w:pPr>
            <w:r>
              <w:rPr>
                <w:rFonts w:eastAsia="Times New Roman"/>
                <w:sz w:val="20"/>
                <w:szCs w:val="20"/>
              </w:rPr>
              <w:t>Volatility – the Company estimated the volatility of its common stock warrants based on im</w:t>
            </w:r>
            <w:r>
              <w:rPr>
                <w:rFonts w:eastAsia="Times New Roman"/>
                <w:sz w:val="20"/>
                <w:szCs w:val="20"/>
              </w:rPr>
              <w:t>plied volatility and actual historical volatility of a group of comparable publicly traded companies observed over a historical period equal to the expected remaining life of the Warrants.</w:t>
            </w:r>
          </w:p>
        </w:tc>
      </w:tr>
    </w:tbl>
    <w:p w14:paraId="0B1C004E"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2246746B" w14:textId="77777777">
        <w:trPr>
          <w:divId w:val="1595479706"/>
        </w:trPr>
        <w:tc>
          <w:tcPr>
            <w:tcW w:w="360" w:type="dxa"/>
            <w:hideMark/>
          </w:tcPr>
          <w:p w14:paraId="4C4465E9" w14:textId="77777777" w:rsidR="00000000" w:rsidRDefault="00087966">
            <w:pPr>
              <w:jc w:val="both"/>
              <w:rPr>
                <w:rFonts w:eastAsia="Times New Roman"/>
                <w:sz w:val="20"/>
                <w:szCs w:val="20"/>
              </w:rPr>
            </w:pPr>
            <w:r>
              <w:rPr>
                <w:rFonts w:eastAsia="Times New Roman"/>
                <w:sz w:val="20"/>
                <w:szCs w:val="20"/>
              </w:rPr>
              <w:t> </w:t>
            </w:r>
          </w:p>
        </w:tc>
        <w:tc>
          <w:tcPr>
            <w:tcW w:w="360" w:type="dxa"/>
            <w:hideMark/>
          </w:tcPr>
          <w:p w14:paraId="7706709C" w14:textId="77777777" w:rsidR="00000000" w:rsidRDefault="00087966">
            <w:pPr>
              <w:rPr>
                <w:rFonts w:eastAsia="Times New Roman"/>
                <w:sz w:val="20"/>
                <w:szCs w:val="20"/>
              </w:rPr>
            </w:pPr>
            <w:r>
              <w:rPr>
                <w:rFonts w:eastAsia="Times New Roman"/>
                <w:sz w:val="20"/>
                <w:szCs w:val="20"/>
              </w:rPr>
              <w:t>●</w:t>
            </w:r>
          </w:p>
        </w:tc>
        <w:tc>
          <w:tcPr>
            <w:tcW w:w="0" w:type="auto"/>
            <w:hideMark/>
          </w:tcPr>
          <w:p w14:paraId="4D1B1020" w14:textId="77777777" w:rsidR="00000000" w:rsidRDefault="00087966">
            <w:pPr>
              <w:jc w:val="both"/>
              <w:rPr>
                <w:rFonts w:eastAsia="Times New Roman"/>
                <w:sz w:val="20"/>
                <w:szCs w:val="20"/>
              </w:rPr>
            </w:pPr>
            <w:r>
              <w:rPr>
                <w:rFonts w:eastAsia="Times New Roman"/>
                <w:sz w:val="20"/>
                <w:szCs w:val="20"/>
              </w:rPr>
              <w:t>Dividend yield – the dividend yield percentage is zero becau</w:t>
            </w:r>
            <w:r>
              <w:rPr>
                <w:rFonts w:eastAsia="Times New Roman"/>
                <w:sz w:val="20"/>
                <w:szCs w:val="20"/>
              </w:rPr>
              <w:t>se the Company does not currently pay dividends, nor does it intend to do so during the expected term of the Private Placement Warrants.</w:t>
            </w:r>
          </w:p>
        </w:tc>
      </w:tr>
    </w:tbl>
    <w:p w14:paraId="03ECE9B8" w14:textId="77777777" w:rsidR="00000000" w:rsidRDefault="00087966">
      <w:pPr>
        <w:pStyle w:val="a3"/>
        <w:spacing w:before="0" w:beforeAutospacing="0" w:after="0" w:afterAutospacing="0"/>
        <w:jc w:val="both"/>
        <w:divId w:val="1595479706"/>
        <w:rPr>
          <w:sz w:val="20"/>
          <w:szCs w:val="20"/>
        </w:rPr>
      </w:pPr>
      <w:r>
        <w:rPr>
          <w:sz w:val="20"/>
          <w:szCs w:val="20"/>
        </w:rPr>
        <w:t> </w:t>
      </w:r>
    </w:p>
    <w:p w14:paraId="32CED7D7" w14:textId="77777777" w:rsidR="00000000" w:rsidRDefault="00087966">
      <w:pPr>
        <w:pStyle w:val="a3"/>
        <w:spacing w:before="0" w:beforeAutospacing="0" w:after="0" w:afterAutospacing="0"/>
        <w:jc w:val="center"/>
        <w:divId w:val="393158869"/>
        <w:rPr>
          <w:sz w:val="20"/>
          <w:szCs w:val="20"/>
        </w:rPr>
      </w:pPr>
      <w:r>
        <w:rPr>
          <w:sz w:val="20"/>
          <w:szCs w:val="20"/>
        </w:rPr>
        <w:t>F</w:t>
      </w:r>
      <w:r>
        <w:rPr>
          <w:sz w:val="20"/>
          <w:szCs w:val="20"/>
        </w:rPr>
        <w:t>-</w:t>
      </w:r>
      <w:r>
        <w:rPr>
          <w:sz w:val="20"/>
          <w:szCs w:val="20"/>
        </w:rPr>
        <w:t>2</w:t>
      </w:r>
      <w:r>
        <w:rPr>
          <w:sz w:val="20"/>
          <w:szCs w:val="20"/>
        </w:rPr>
        <w:t>4</w:t>
      </w:r>
    </w:p>
    <w:p w14:paraId="443B1C16" w14:textId="77777777" w:rsidR="00000000" w:rsidRDefault="00087966">
      <w:pPr>
        <w:pStyle w:val="a3"/>
        <w:spacing w:before="0" w:beforeAutospacing="0" w:after="0" w:afterAutospacing="0"/>
        <w:divId w:val="612127802"/>
        <w:rPr>
          <w:sz w:val="20"/>
          <w:szCs w:val="20"/>
        </w:rPr>
      </w:pPr>
      <w:r>
        <w:rPr>
          <w:sz w:val="20"/>
          <w:szCs w:val="20"/>
        </w:rPr>
        <w:t> </w:t>
      </w:r>
    </w:p>
    <w:p w14:paraId="2AB14EB0" w14:textId="77777777" w:rsidR="00000000" w:rsidRDefault="00087966">
      <w:pPr>
        <w:pStyle w:val="a3"/>
        <w:spacing w:before="0" w:beforeAutospacing="0" w:after="0" w:afterAutospacing="0"/>
        <w:jc w:val="both"/>
        <w:divId w:val="1595479706"/>
        <w:rPr>
          <w:sz w:val="20"/>
          <w:szCs w:val="20"/>
        </w:rPr>
      </w:pPr>
      <w:r>
        <w:rPr>
          <w:sz w:val="20"/>
          <w:szCs w:val="20"/>
        </w:rPr>
        <w:t> </w:t>
      </w:r>
    </w:p>
    <w:p w14:paraId="6F246F7B" w14:textId="77777777" w:rsidR="00000000" w:rsidRDefault="00087966">
      <w:pPr>
        <w:pStyle w:val="a3"/>
        <w:spacing w:before="0" w:beforeAutospacing="0" w:after="0" w:afterAutospacing="0"/>
        <w:jc w:val="center"/>
        <w:divId w:val="1595479706"/>
        <w:rPr>
          <w:sz w:val="20"/>
          <w:szCs w:val="20"/>
        </w:rPr>
      </w:pPr>
      <w:r>
        <w:rPr>
          <w:b/>
          <w:bCs/>
          <w:sz w:val="20"/>
          <w:szCs w:val="20"/>
        </w:rPr>
        <w:t>KLUDEIN I ACQUISITION CORP.</w:t>
      </w:r>
    </w:p>
    <w:p w14:paraId="63D5AEB4" w14:textId="77777777" w:rsidR="00000000" w:rsidRDefault="00087966">
      <w:pPr>
        <w:pStyle w:val="a3"/>
        <w:spacing w:before="0" w:beforeAutospacing="0" w:after="0" w:afterAutospacing="0"/>
        <w:jc w:val="center"/>
        <w:divId w:val="1595479706"/>
        <w:rPr>
          <w:sz w:val="20"/>
          <w:szCs w:val="20"/>
        </w:rPr>
      </w:pPr>
      <w:r>
        <w:rPr>
          <w:b/>
          <w:bCs/>
          <w:sz w:val="20"/>
          <w:szCs w:val="20"/>
        </w:rPr>
        <w:t>NOTES TO THE CONSOLIDATED FINANCIAL STATEMENTS</w:t>
      </w:r>
    </w:p>
    <w:p w14:paraId="179C1452" w14:textId="77777777" w:rsidR="00000000" w:rsidRDefault="00087966">
      <w:pPr>
        <w:pStyle w:val="a3"/>
        <w:spacing w:before="0" w:beforeAutospacing="0" w:after="0" w:afterAutospacing="0"/>
        <w:jc w:val="center"/>
        <w:divId w:val="1595479706"/>
        <w:rPr>
          <w:sz w:val="20"/>
          <w:szCs w:val="20"/>
        </w:rPr>
      </w:pPr>
      <w:r>
        <w:rPr>
          <w:b/>
          <w:bCs/>
          <w:sz w:val="20"/>
          <w:szCs w:val="20"/>
        </w:rPr>
        <w:t>DECEMBER 31, 2022</w:t>
      </w:r>
    </w:p>
    <w:p w14:paraId="59C45AF7" w14:textId="77777777" w:rsidR="00000000" w:rsidRDefault="00087966">
      <w:pPr>
        <w:pStyle w:val="a3"/>
        <w:spacing w:before="0" w:beforeAutospacing="0" w:after="0" w:afterAutospacing="0"/>
        <w:jc w:val="both"/>
        <w:divId w:val="1595479706"/>
        <w:rPr>
          <w:sz w:val="20"/>
          <w:szCs w:val="20"/>
        </w:rPr>
      </w:pPr>
      <w:r>
        <w:rPr>
          <w:sz w:val="20"/>
          <w:szCs w:val="20"/>
        </w:rPr>
        <w:t> </w:t>
      </w:r>
    </w:p>
    <w:p w14:paraId="5CE29304" w14:textId="77777777" w:rsidR="00000000" w:rsidRDefault="00087966">
      <w:pPr>
        <w:pStyle w:val="a3"/>
        <w:spacing w:before="0" w:beforeAutospacing="0" w:after="0" w:afterAutospacing="0"/>
        <w:jc w:val="both"/>
        <w:divId w:val="1595479706"/>
        <w:rPr>
          <w:sz w:val="20"/>
          <w:szCs w:val="20"/>
        </w:rPr>
      </w:pPr>
      <w:r>
        <w:rPr>
          <w:sz w:val="20"/>
          <w:szCs w:val="20"/>
        </w:rPr>
        <w:t>The following table presents the changes in the fair value of the Level 3 Working Capital Loan for the year ended December 31, 2022:</w:t>
      </w:r>
    </w:p>
    <w:p w14:paraId="7B2EDFC2"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304"/>
        <w:gridCol w:w="79"/>
        <w:gridCol w:w="100"/>
        <w:gridCol w:w="744"/>
        <w:gridCol w:w="79"/>
      </w:tblGrid>
      <w:tr w:rsidR="00000000" w14:paraId="6280448D" w14:textId="77777777">
        <w:trPr>
          <w:divId w:val="1595479706"/>
        </w:trPr>
        <w:tc>
          <w:tcPr>
            <w:tcW w:w="0" w:type="auto"/>
            <w:vAlign w:val="bottom"/>
            <w:hideMark/>
          </w:tcPr>
          <w:p w14:paraId="504B177A" w14:textId="77777777" w:rsidR="00000000" w:rsidRDefault="00087966">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BD082DA" w14:textId="77777777" w:rsidR="00000000" w:rsidRDefault="00087966">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938D5BD" w14:textId="77777777" w:rsidR="00000000" w:rsidRDefault="00087966">
            <w:pPr>
              <w:jc w:val="center"/>
              <w:rPr>
                <w:rFonts w:eastAsia="Times New Roman"/>
                <w:b/>
                <w:bCs/>
                <w:sz w:val="20"/>
                <w:szCs w:val="20"/>
              </w:rPr>
            </w:pPr>
            <w:r>
              <w:rPr>
                <w:rFonts w:eastAsia="Times New Roman"/>
                <w:b/>
                <w:bCs/>
                <w:sz w:val="20"/>
                <w:szCs w:val="20"/>
              </w:rPr>
              <w:t>Working</w:t>
            </w:r>
            <w:r>
              <w:rPr>
                <w:rFonts w:eastAsia="Times New Roman"/>
                <w:b/>
                <w:bCs/>
                <w:sz w:val="20"/>
                <w:szCs w:val="20"/>
              </w:rPr>
              <w:br/>
              <w:t>Capital Loan</w:t>
            </w:r>
          </w:p>
        </w:tc>
        <w:tc>
          <w:tcPr>
            <w:tcW w:w="0" w:type="auto"/>
            <w:tcMar>
              <w:top w:w="0" w:type="dxa"/>
              <w:left w:w="0" w:type="dxa"/>
              <w:bottom w:w="30" w:type="dxa"/>
              <w:right w:w="0" w:type="dxa"/>
            </w:tcMar>
            <w:vAlign w:val="bottom"/>
            <w:hideMark/>
          </w:tcPr>
          <w:p w14:paraId="546C86E8" w14:textId="77777777" w:rsidR="00000000" w:rsidRDefault="00087966">
            <w:pPr>
              <w:rPr>
                <w:rFonts w:eastAsia="Times New Roman"/>
                <w:b/>
                <w:bCs/>
                <w:sz w:val="20"/>
                <w:szCs w:val="20"/>
              </w:rPr>
            </w:pPr>
            <w:r>
              <w:rPr>
                <w:rFonts w:eastAsia="Times New Roman"/>
                <w:b/>
                <w:bCs/>
                <w:sz w:val="20"/>
                <w:szCs w:val="20"/>
              </w:rPr>
              <w:t> </w:t>
            </w:r>
          </w:p>
        </w:tc>
      </w:tr>
      <w:tr w:rsidR="00000000" w14:paraId="391ED7AC" w14:textId="77777777">
        <w:trPr>
          <w:divId w:val="1595479706"/>
        </w:trPr>
        <w:tc>
          <w:tcPr>
            <w:tcW w:w="0" w:type="auto"/>
            <w:shd w:val="clear" w:color="auto" w:fill="CCEEFF"/>
            <w:vAlign w:val="bottom"/>
            <w:hideMark/>
          </w:tcPr>
          <w:p w14:paraId="6DD2BFFE" w14:textId="77777777" w:rsidR="00000000" w:rsidRDefault="00087966">
            <w:pPr>
              <w:rPr>
                <w:rFonts w:eastAsia="Times New Roman"/>
                <w:sz w:val="20"/>
                <w:szCs w:val="20"/>
              </w:rPr>
            </w:pPr>
            <w:r>
              <w:rPr>
                <w:rFonts w:eastAsia="Times New Roman"/>
                <w:sz w:val="20"/>
                <w:szCs w:val="20"/>
              </w:rPr>
              <w:t>Fair value as of January 1, 2022</w:t>
            </w:r>
          </w:p>
        </w:tc>
        <w:tc>
          <w:tcPr>
            <w:tcW w:w="0" w:type="auto"/>
            <w:shd w:val="clear" w:color="auto" w:fill="CCEEFF"/>
            <w:vAlign w:val="bottom"/>
            <w:hideMark/>
          </w:tcPr>
          <w:p w14:paraId="491C6D4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984BB9" w14:textId="77777777" w:rsidR="00000000" w:rsidRDefault="00087966">
            <w:pPr>
              <w:rPr>
                <w:rFonts w:eastAsia="Times New Roman"/>
                <w:sz w:val="20"/>
                <w:szCs w:val="20"/>
              </w:rPr>
            </w:pPr>
            <w:r>
              <w:rPr>
                <w:rFonts w:eastAsia="Times New Roman"/>
                <w:sz w:val="20"/>
                <w:szCs w:val="20"/>
              </w:rPr>
              <w:t>$</w:t>
            </w:r>
          </w:p>
        </w:tc>
        <w:tc>
          <w:tcPr>
            <w:tcW w:w="0" w:type="auto"/>
            <w:shd w:val="clear" w:color="auto" w:fill="CCEEFF"/>
            <w:vAlign w:val="bottom"/>
            <w:hideMark/>
          </w:tcPr>
          <w:p w14:paraId="079DF4BE" w14:textId="77777777" w:rsidR="00000000" w:rsidRDefault="00087966">
            <w:pPr>
              <w:jc w:val="right"/>
              <w:divId w:val="1703167117"/>
              <w:rPr>
                <w:rFonts w:eastAsia="Times New Roman"/>
                <w:sz w:val="20"/>
                <w:szCs w:val="20"/>
              </w:rPr>
            </w:pPr>
            <w:r>
              <w:rPr>
                <w:rFonts w:eastAsia="Times New Roman"/>
                <w:sz w:val="20"/>
                <w:szCs w:val="20"/>
              </w:rPr>
              <w:t>—</w:t>
            </w:r>
          </w:p>
        </w:tc>
        <w:tc>
          <w:tcPr>
            <w:tcW w:w="0" w:type="auto"/>
            <w:shd w:val="clear" w:color="auto" w:fill="CCEEFF"/>
            <w:vAlign w:val="bottom"/>
            <w:hideMark/>
          </w:tcPr>
          <w:p w14:paraId="51C2CC27" w14:textId="77777777" w:rsidR="00000000" w:rsidRDefault="00087966">
            <w:pPr>
              <w:rPr>
                <w:rFonts w:eastAsia="Times New Roman"/>
                <w:sz w:val="20"/>
                <w:szCs w:val="20"/>
              </w:rPr>
            </w:pPr>
            <w:r>
              <w:rPr>
                <w:rFonts w:eastAsia="Times New Roman"/>
                <w:sz w:val="20"/>
                <w:szCs w:val="20"/>
              </w:rPr>
              <w:t> </w:t>
            </w:r>
          </w:p>
        </w:tc>
      </w:tr>
      <w:tr w:rsidR="00000000" w14:paraId="724E3AD8" w14:textId="77777777">
        <w:trPr>
          <w:divId w:val="1595479706"/>
        </w:trPr>
        <w:tc>
          <w:tcPr>
            <w:tcW w:w="4400" w:type="pct"/>
            <w:vAlign w:val="bottom"/>
            <w:hideMark/>
          </w:tcPr>
          <w:p w14:paraId="6F44C3B6" w14:textId="77777777" w:rsidR="00000000" w:rsidRDefault="00087966">
            <w:pPr>
              <w:rPr>
                <w:rFonts w:eastAsia="Times New Roman"/>
                <w:sz w:val="20"/>
                <w:szCs w:val="20"/>
              </w:rPr>
            </w:pPr>
            <w:r>
              <w:rPr>
                <w:rFonts w:eastAsia="Times New Roman"/>
                <w:sz w:val="20"/>
                <w:szCs w:val="20"/>
              </w:rPr>
              <w:t>Initial measurement at January 31, 2022 - $350,000 draw</w:t>
            </w:r>
          </w:p>
        </w:tc>
        <w:tc>
          <w:tcPr>
            <w:tcW w:w="50" w:type="pct"/>
            <w:vAlign w:val="bottom"/>
            <w:hideMark/>
          </w:tcPr>
          <w:p w14:paraId="3C152257" w14:textId="77777777" w:rsidR="00000000" w:rsidRDefault="00087966">
            <w:pPr>
              <w:rPr>
                <w:rFonts w:eastAsia="Times New Roman"/>
                <w:sz w:val="20"/>
                <w:szCs w:val="20"/>
              </w:rPr>
            </w:pPr>
            <w:r>
              <w:rPr>
                <w:rFonts w:eastAsia="Times New Roman"/>
                <w:sz w:val="20"/>
                <w:szCs w:val="20"/>
              </w:rPr>
              <w:t> </w:t>
            </w:r>
          </w:p>
        </w:tc>
        <w:tc>
          <w:tcPr>
            <w:tcW w:w="50" w:type="pct"/>
            <w:vAlign w:val="bottom"/>
            <w:hideMark/>
          </w:tcPr>
          <w:p w14:paraId="11D33BF3" w14:textId="77777777" w:rsidR="00000000" w:rsidRDefault="00087966">
            <w:pPr>
              <w:rPr>
                <w:rFonts w:eastAsia="Times New Roman"/>
                <w:sz w:val="20"/>
                <w:szCs w:val="20"/>
              </w:rPr>
            </w:pPr>
            <w:r>
              <w:rPr>
                <w:rFonts w:eastAsia="Times New Roman"/>
                <w:sz w:val="20"/>
                <w:szCs w:val="20"/>
              </w:rPr>
              <w:t> </w:t>
            </w:r>
          </w:p>
        </w:tc>
        <w:tc>
          <w:tcPr>
            <w:tcW w:w="450" w:type="pct"/>
            <w:vAlign w:val="bottom"/>
            <w:hideMark/>
          </w:tcPr>
          <w:p w14:paraId="6FAF92AB" w14:textId="77777777" w:rsidR="00000000" w:rsidRDefault="00087966">
            <w:pPr>
              <w:jc w:val="right"/>
              <w:rPr>
                <w:rFonts w:eastAsia="Times New Roman"/>
                <w:sz w:val="20"/>
                <w:szCs w:val="20"/>
              </w:rPr>
            </w:pPr>
            <w:r>
              <w:rPr>
                <w:rFonts w:eastAsia="Times New Roman"/>
                <w:sz w:val="20"/>
                <w:szCs w:val="20"/>
              </w:rPr>
              <w:t>264,900</w:t>
            </w:r>
          </w:p>
        </w:tc>
        <w:tc>
          <w:tcPr>
            <w:tcW w:w="50" w:type="pct"/>
            <w:vAlign w:val="bottom"/>
            <w:hideMark/>
          </w:tcPr>
          <w:p w14:paraId="3D9AAF92" w14:textId="77777777" w:rsidR="00000000" w:rsidRDefault="00087966">
            <w:pPr>
              <w:rPr>
                <w:rFonts w:eastAsia="Times New Roman"/>
                <w:sz w:val="20"/>
                <w:szCs w:val="20"/>
              </w:rPr>
            </w:pPr>
            <w:r>
              <w:rPr>
                <w:rFonts w:eastAsia="Times New Roman"/>
                <w:sz w:val="20"/>
                <w:szCs w:val="20"/>
              </w:rPr>
              <w:t> </w:t>
            </w:r>
          </w:p>
        </w:tc>
      </w:tr>
      <w:tr w:rsidR="00000000" w14:paraId="749A9FC4" w14:textId="77777777">
        <w:trPr>
          <w:divId w:val="1595479706"/>
        </w:trPr>
        <w:tc>
          <w:tcPr>
            <w:tcW w:w="0" w:type="auto"/>
            <w:shd w:val="clear" w:color="auto" w:fill="CCEEFF"/>
            <w:vAlign w:val="bottom"/>
            <w:hideMark/>
          </w:tcPr>
          <w:p w14:paraId="3E346342" w14:textId="77777777" w:rsidR="00000000" w:rsidRDefault="00087966">
            <w:pPr>
              <w:rPr>
                <w:rFonts w:eastAsia="Times New Roman"/>
                <w:sz w:val="20"/>
                <w:szCs w:val="20"/>
              </w:rPr>
            </w:pPr>
            <w:r>
              <w:rPr>
                <w:rFonts w:eastAsia="Times New Roman"/>
                <w:sz w:val="20"/>
                <w:szCs w:val="20"/>
              </w:rPr>
              <w:t>Initial measurement at April 1, 2022 - $112,500 draw</w:t>
            </w:r>
          </w:p>
        </w:tc>
        <w:tc>
          <w:tcPr>
            <w:tcW w:w="0" w:type="auto"/>
            <w:shd w:val="clear" w:color="auto" w:fill="CCEEFF"/>
            <w:vAlign w:val="bottom"/>
            <w:hideMark/>
          </w:tcPr>
          <w:p w14:paraId="7AD0BF4D"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47F57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A1BAD1" w14:textId="77777777" w:rsidR="00000000" w:rsidRDefault="00087966">
            <w:pPr>
              <w:jc w:val="right"/>
              <w:rPr>
                <w:rFonts w:eastAsia="Times New Roman"/>
                <w:sz w:val="20"/>
                <w:szCs w:val="20"/>
              </w:rPr>
            </w:pPr>
            <w:r>
              <w:rPr>
                <w:rFonts w:eastAsia="Times New Roman"/>
                <w:sz w:val="20"/>
                <w:szCs w:val="20"/>
              </w:rPr>
              <w:t>83,396</w:t>
            </w:r>
          </w:p>
        </w:tc>
        <w:tc>
          <w:tcPr>
            <w:tcW w:w="0" w:type="auto"/>
            <w:shd w:val="clear" w:color="auto" w:fill="CCEEFF"/>
            <w:vAlign w:val="bottom"/>
            <w:hideMark/>
          </w:tcPr>
          <w:p w14:paraId="6B88A7CF" w14:textId="77777777" w:rsidR="00000000" w:rsidRDefault="00087966">
            <w:pPr>
              <w:rPr>
                <w:rFonts w:eastAsia="Times New Roman"/>
                <w:sz w:val="20"/>
                <w:szCs w:val="20"/>
              </w:rPr>
            </w:pPr>
            <w:r>
              <w:rPr>
                <w:rFonts w:eastAsia="Times New Roman"/>
                <w:sz w:val="20"/>
                <w:szCs w:val="20"/>
              </w:rPr>
              <w:t> </w:t>
            </w:r>
          </w:p>
        </w:tc>
      </w:tr>
      <w:tr w:rsidR="00000000" w14:paraId="0E19BA7F" w14:textId="77777777">
        <w:trPr>
          <w:divId w:val="1595479706"/>
        </w:trPr>
        <w:tc>
          <w:tcPr>
            <w:tcW w:w="0" w:type="auto"/>
            <w:vAlign w:val="bottom"/>
            <w:hideMark/>
          </w:tcPr>
          <w:p w14:paraId="6AF00DDF" w14:textId="77777777" w:rsidR="00000000" w:rsidRDefault="00087966">
            <w:pPr>
              <w:rPr>
                <w:rFonts w:eastAsia="Times New Roman"/>
                <w:sz w:val="20"/>
                <w:szCs w:val="20"/>
              </w:rPr>
            </w:pPr>
            <w:r>
              <w:rPr>
                <w:rFonts w:eastAsia="Times New Roman"/>
                <w:sz w:val="20"/>
                <w:szCs w:val="20"/>
              </w:rPr>
              <w:t>Initial measurement at June 30, 2022 - $250,000 draw</w:t>
            </w:r>
          </w:p>
        </w:tc>
        <w:tc>
          <w:tcPr>
            <w:tcW w:w="0" w:type="auto"/>
            <w:vAlign w:val="bottom"/>
            <w:hideMark/>
          </w:tcPr>
          <w:p w14:paraId="165124F7"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4203E26F"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2A1299D6" w14:textId="77777777" w:rsidR="00000000" w:rsidRDefault="00087966">
            <w:pPr>
              <w:jc w:val="right"/>
              <w:rPr>
                <w:rFonts w:eastAsia="Times New Roman"/>
                <w:sz w:val="20"/>
                <w:szCs w:val="20"/>
              </w:rPr>
            </w:pPr>
            <w:r>
              <w:rPr>
                <w:rFonts w:eastAsia="Times New Roman"/>
                <w:sz w:val="20"/>
                <w:szCs w:val="20"/>
              </w:rPr>
              <w:t>184,807</w:t>
            </w:r>
          </w:p>
        </w:tc>
        <w:tc>
          <w:tcPr>
            <w:tcW w:w="0" w:type="auto"/>
            <w:vAlign w:val="bottom"/>
            <w:hideMark/>
          </w:tcPr>
          <w:p w14:paraId="26A47498" w14:textId="77777777" w:rsidR="00000000" w:rsidRDefault="00087966">
            <w:pPr>
              <w:rPr>
                <w:rFonts w:eastAsia="Times New Roman"/>
                <w:sz w:val="20"/>
                <w:szCs w:val="20"/>
              </w:rPr>
            </w:pPr>
            <w:r>
              <w:rPr>
                <w:rFonts w:eastAsia="Times New Roman"/>
                <w:sz w:val="20"/>
                <w:szCs w:val="20"/>
              </w:rPr>
              <w:t> </w:t>
            </w:r>
          </w:p>
        </w:tc>
      </w:tr>
      <w:tr w:rsidR="00000000" w14:paraId="0A42BD5F" w14:textId="77777777">
        <w:trPr>
          <w:divId w:val="1595479706"/>
        </w:trPr>
        <w:tc>
          <w:tcPr>
            <w:tcW w:w="0" w:type="auto"/>
            <w:shd w:val="clear" w:color="auto" w:fill="CCEEFF"/>
            <w:vAlign w:val="bottom"/>
            <w:hideMark/>
          </w:tcPr>
          <w:p w14:paraId="0C14545C" w14:textId="77777777" w:rsidR="00000000" w:rsidRDefault="00087966">
            <w:pPr>
              <w:rPr>
                <w:rFonts w:eastAsia="Times New Roman"/>
                <w:sz w:val="20"/>
                <w:szCs w:val="20"/>
              </w:rPr>
            </w:pPr>
            <w:r>
              <w:rPr>
                <w:rFonts w:eastAsia="Times New Roman"/>
                <w:sz w:val="20"/>
                <w:szCs w:val="20"/>
              </w:rPr>
              <w:t>Initial measurement at September 30, 2022 - $360,0</w:t>
            </w:r>
            <w:r>
              <w:rPr>
                <w:rFonts w:eastAsia="Times New Roman"/>
                <w:sz w:val="20"/>
                <w:szCs w:val="20"/>
              </w:rPr>
              <w:t>00 draw</w:t>
            </w:r>
          </w:p>
        </w:tc>
        <w:tc>
          <w:tcPr>
            <w:tcW w:w="0" w:type="auto"/>
            <w:shd w:val="clear" w:color="auto" w:fill="CCEEFF"/>
            <w:vAlign w:val="bottom"/>
            <w:hideMark/>
          </w:tcPr>
          <w:p w14:paraId="02F50612"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F6A04E" w14:textId="77777777" w:rsidR="00000000" w:rsidRDefault="00087966">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7099EA" w14:textId="77777777" w:rsidR="00000000" w:rsidRDefault="00087966">
            <w:pPr>
              <w:jc w:val="right"/>
              <w:rPr>
                <w:rFonts w:eastAsia="Times New Roman"/>
                <w:sz w:val="20"/>
                <w:szCs w:val="20"/>
              </w:rPr>
            </w:pPr>
            <w:r>
              <w:rPr>
                <w:rFonts w:eastAsia="Times New Roman"/>
                <w:sz w:val="20"/>
                <w:szCs w:val="20"/>
              </w:rPr>
              <w:t>177,331</w:t>
            </w:r>
          </w:p>
        </w:tc>
        <w:tc>
          <w:tcPr>
            <w:tcW w:w="0" w:type="auto"/>
            <w:shd w:val="clear" w:color="auto" w:fill="CCEEFF"/>
            <w:vAlign w:val="bottom"/>
            <w:hideMark/>
          </w:tcPr>
          <w:p w14:paraId="36CDA514" w14:textId="77777777" w:rsidR="00000000" w:rsidRDefault="00087966">
            <w:pPr>
              <w:rPr>
                <w:rFonts w:eastAsia="Times New Roman"/>
                <w:sz w:val="20"/>
                <w:szCs w:val="20"/>
              </w:rPr>
            </w:pPr>
            <w:r>
              <w:rPr>
                <w:rFonts w:eastAsia="Times New Roman"/>
                <w:sz w:val="20"/>
                <w:szCs w:val="20"/>
              </w:rPr>
              <w:t> </w:t>
            </w:r>
          </w:p>
        </w:tc>
      </w:tr>
      <w:tr w:rsidR="00000000" w14:paraId="38CE1AA0" w14:textId="77777777">
        <w:trPr>
          <w:divId w:val="1595479706"/>
        </w:trPr>
        <w:tc>
          <w:tcPr>
            <w:tcW w:w="0" w:type="auto"/>
            <w:vAlign w:val="bottom"/>
            <w:hideMark/>
          </w:tcPr>
          <w:p w14:paraId="3D679577" w14:textId="77777777" w:rsidR="00000000" w:rsidRDefault="00087966">
            <w:pPr>
              <w:rPr>
                <w:rFonts w:eastAsia="Times New Roman"/>
                <w:sz w:val="20"/>
                <w:szCs w:val="20"/>
              </w:rPr>
            </w:pPr>
            <w:r>
              <w:rPr>
                <w:rFonts w:eastAsia="Times New Roman"/>
                <w:sz w:val="20"/>
                <w:szCs w:val="20"/>
              </w:rPr>
              <w:t>Initial measurement at December 31, 2022 - $152,500 draw</w:t>
            </w:r>
          </w:p>
        </w:tc>
        <w:tc>
          <w:tcPr>
            <w:tcW w:w="0" w:type="auto"/>
            <w:vAlign w:val="bottom"/>
            <w:hideMark/>
          </w:tcPr>
          <w:p w14:paraId="49DDD9A9"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EF403A8" w14:textId="77777777" w:rsidR="00000000" w:rsidRDefault="00087966">
            <w:pPr>
              <w:rPr>
                <w:rFonts w:eastAsia="Times New Roman"/>
                <w:sz w:val="20"/>
                <w:szCs w:val="20"/>
              </w:rPr>
            </w:pPr>
            <w:r>
              <w:rPr>
                <w:rFonts w:eastAsia="Times New Roman"/>
                <w:sz w:val="20"/>
                <w:szCs w:val="20"/>
              </w:rPr>
              <w:t> </w:t>
            </w:r>
          </w:p>
        </w:tc>
        <w:tc>
          <w:tcPr>
            <w:tcW w:w="0" w:type="auto"/>
            <w:vAlign w:val="bottom"/>
            <w:hideMark/>
          </w:tcPr>
          <w:p w14:paraId="523D2703" w14:textId="77777777" w:rsidR="00000000" w:rsidRDefault="00087966">
            <w:pPr>
              <w:jc w:val="right"/>
              <w:rPr>
                <w:rFonts w:eastAsia="Times New Roman"/>
                <w:sz w:val="20"/>
                <w:szCs w:val="20"/>
              </w:rPr>
            </w:pPr>
            <w:r>
              <w:rPr>
                <w:rFonts w:eastAsia="Times New Roman"/>
                <w:sz w:val="20"/>
                <w:szCs w:val="20"/>
              </w:rPr>
              <w:t>52,522</w:t>
            </w:r>
          </w:p>
        </w:tc>
        <w:tc>
          <w:tcPr>
            <w:tcW w:w="0" w:type="auto"/>
            <w:vAlign w:val="bottom"/>
            <w:hideMark/>
          </w:tcPr>
          <w:p w14:paraId="0F0E75E9" w14:textId="77777777" w:rsidR="00000000" w:rsidRDefault="00087966">
            <w:pPr>
              <w:rPr>
                <w:rFonts w:eastAsia="Times New Roman"/>
                <w:sz w:val="20"/>
                <w:szCs w:val="20"/>
              </w:rPr>
            </w:pPr>
            <w:r>
              <w:rPr>
                <w:rFonts w:eastAsia="Times New Roman"/>
                <w:sz w:val="20"/>
                <w:szCs w:val="20"/>
              </w:rPr>
              <w:t> </w:t>
            </w:r>
          </w:p>
        </w:tc>
      </w:tr>
      <w:tr w:rsidR="00000000" w14:paraId="377B3902" w14:textId="77777777">
        <w:trPr>
          <w:divId w:val="1595479706"/>
        </w:trPr>
        <w:tc>
          <w:tcPr>
            <w:tcW w:w="0" w:type="auto"/>
            <w:shd w:val="clear" w:color="auto" w:fill="CCEEFF"/>
            <w:tcMar>
              <w:top w:w="0" w:type="dxa"/>
              <w:left w:w="0" w:type="dxa"/>
              <w:bottom w:w="30" w:type="dxa"/>
              <w:right w:w="0" w:type="dxa"/>
            </w:tcMar>
            <w:vAlign w:val="bottom"/>
            <w:hideMark/>
          </w:tcPr>
          <w:p w14:paraId="55E041B1" w14:textId="77777777" w:rsidR="00000000" w:rsidRDefault="00087966">
            <w:pPr>
              <w:rPr>
                <w:rFonts w:eastAsia="Times New Roman"/>
                <w:sz w:val="20"/>
                <w:szCs w:val="20"/>
              </w:rPr>
            </w:pPr>
            <w:r>
              <w:rPr>
                <w:rFonts w:eastAsia="Times New Roman"/>
                <w:sz w:val="20"/>
                <w:szCs w:val="20"/>
              </w:rPr>
              <w:t>Change in fair value</w:t>
            </w:r>
          </w:p>
        </w:tc>
        <w:tc>
          <w:tcPr>
            <w:tcW w:w="0" w:type="auto"/>
            <w:shd w:val="clear" w:color="auto" w:fill="CCEEFF"/>
            <w:tcMar>
              <w:top w:w="0" w:type="dxa"/>
              <w:left w:w="0" w:type="dxa"/>
              <w:bottom w:w="30" w:type="dxa"/>
              <w:right w:w="0" w:type="dxa"/>
            </w:tcMar>
            <w:vAlign w:val="bottom"/>
            <w:hideMark/>
          </w:tcPr>
          <w:p w14:paraId="17450DC7"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2E430A" w14:textId="77777777" w:rsidR="00000000" w:rsidRDefault="00087966">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CEB5DE" w14:textId="77777777" w:rsidR="00000000" w:rsidRDefault="00087966">
            <w:pPr>
              <w:jc w:val="right"/>
              <w:rPr>
                <w:rFonts w:eastAsia="Times New Roman"/>
                <w:sz w:val="20"/>
                <w:szCs w:val="20"/>
              </w:rPr>
            </w:pPr>
            <w:r>
              <w:rPr>
                <w:rFonts w:eastAsia="Times New Roman"/>
                <w:sz w:val="20"/>
                <w:szCs w:val="20"/>
              </w:rPr>
              <w:t>(341,057</w:t>
            </w:r>
          </w:p>
        </w:tc>
        <w:tc>
          <w:tcPr>
            <w:tcW w:w="0" w:type="auto"/>
            <w:shd w:val="clear" w:color="auto" w:fill="CCEEFF"/>
            <w:tcMar>
              <w:top w:w="0" w:type="dxa"/>
              <w:left w:w="0" w:type="dxa"/>
              <w:bottom w:w="30" w:type="dxa"/>
              <w:right w:w="0" w:type="dxa"/>
            </w:tcMar>
            <w:vAlign w:val="bottom"/>
            <w:hideMark/>
          </w:tcPr>
          <w:p w14:paraId="6123DA51" w14:textId="77777777" w:rsidR="00000000" w:rsidRDefault="00087966">
            <w:pPr>
              <w:rPr>
                <w:rFonts w:eastAsia="Times New Roman"/>
                <w:sz w:val="20"/>
                <w:szCs w:val="20"/>
              </w:rPr>
            </w:pPr>
            <w:r>
              <w:rPr>
                <w:rFonts w:eastAsia="Times New Roman"/>
                <w:sz w:val="20"/>
                <w:szCs w:val="20"/>
              </w:rPr>
              <w:t>)</w:t>
            </w:r>
          </w:p>
        </w:tc>
      </w:tr>
      <w:tr w:rsidR="00000000" w14:paraId="48AF2D9E" w14:textId="77777777">
        <w:trPr>
          <w:divId w:val="1595479706"/>
        </w:trPr>
        <w:tc>
          <w:tcPr>
            <w:tcW w:w="0" w:type="auto"/>
            <w:tcMar>
              <w:top w:w="0" w:type="dxa"/>
              <w:left w:w="0" w:type="dxa"/>
              <w:bottom w:w="80" w:type="dxa"/>
              <w:right w:w="0" w:type="dxa"/>
            </w:tcMar>
            <w:vAlign w:val="bottom"/>
            <w:hideMark/>
          </w:tcPr>
          <w:p w14:paraId="0D46C491" w14:textId="77777777" w:rsidR="00000000" w:rsidRDefault="00087966">
            <w:pPr>
              <w:rPr>
                <w:rFonts w:eastAsia="Times New Roman"/>
                <w:b/>
                <w:bCs/>
                <w:sz w:val="20"/>
                <w:szCs w:val="20"/>
              </w:rPr>
            </w:pPr>
            <w:r>
              <w:rPr>
                <w:rFonts w:eastAsia="Times New Roman"/>
                <w:b/>
                <w:bCs/>
                <w:sz w:val="20"/>
                <w:szCs w:val="20"/>
              </w:rPr>
              <w:t>Fair value as of December 31, 2022</w:t>
            </w:r>
          </w:p>
        </w:tc>
        <w:tc>
          <w:tcPr>
            <w:tcW w:w="0" w:type="auto"/>
            <w:tcMar>
              <w:top w:w="0" w:type="dxa"/>
              <w:left w:w="0" w:type="dxa"/>
              <w:bottom w:w="80" w:type="dxa"/>
              <w:right w:w="0" w:type="dxa"/>
            </w:tcMar>
            <w:vAlign w:val="bottom"/>
            <w:hideMark/>
          </w:tcPr>
          <w:p w14:paraId="6EEFA30C" w14:textId="77777777" w:rsidR="00000000" w:rsidRDefault="00087966">
            <w:pPr>
              <w:rPr>
                <w:rFonts w:eastAsia="Times New Roman"/>
                <w:b/>
                <w:bCs/>
                <w:sz w:val="20"/>
                <w:szCs w:val="20"/>
              </w:rPr>
            </w:pPr>
            <w:r>
              <w:rPr>
                <w:rFonts w:eastAsia="Times New Roman"/>
                <w:b/>
                <w:bCs/>
                <w:sz w:val="20"/>
                <w:szCs w:val="20"/>
              </w:rPr>
              <w:t> </w:t>
            </w:r>
          </w:p>
        </w:tc>
        <w:tc>
          <w:tcPr>
            <w:tcW w:w="0" w:type="auto"/>
            <w:tcBorders>
              <w:bottom w:val="double" w:sz="12" w:space="0" w:color="000000"/>
            </w:tcBorders>
            <w:vAlign w:val="bottom"/>
            <w:hideMark/>
          </w:tcPr>
          <w:p w14:paraId="7A4F0249" w14:textId="77777777" w:rsidR="00000000" w:rsidRDefault="00087966">
            <w:pPr>
              <w:rPr>
                <w:rFonts w:eastAsia="Times New Roman"/>
                <w:b/>
                <w:bCs/>
                <w:sz w:val="20"/>
                <w:szCs w:val="20"/>
              </w:rPr>
            </w:pPr>
            <w:r>
              <w:rPr>
                <w:rFonts w:eastAsia="Times New Roman"/>
                <w:b/>
                <w:bCs/>
                <w:sz w:val="20"/>
                <w:szCs w:val="20"/>
              </w:rPr>
              <w:t>$</w:t>
            </w:r>
          </w:p>
        </w:tc>
        <w:tc>
          <w:tcPr>
            <w:tcW w:w="0" w:type="auto"/>
            <w:tcBorders>
              <w:bottom w:val="double" w:sz="12" w:space="0" w:color="000000"/>
            </w:tcBorders>
            <w:vAlign w:val="bottom"/>
            <w:hideMark/>
          </w:tcPr>
          <w:p w14:paraId="44179F55" w14:textId="77777777" w:rsidR="00000000" w:rsidRDefault="00087966">
            <w:pPr>
              <w:jc w:val="right"/>
              <w:rPr>
                <w:rFonts w:eastAsia="Times New Roman"/>
                <w:b/>
                <w:bCs/>
                <w:sz w:val="20"/>
                <w:szCs w:val="20"/>
              </w:rPr>
            </w:pPr>
            <w:r>
              <w:rPr>
                <w:rFonts w:eastAsia="Times New Roman"/>
                <w:b/>
                <w:bCs/>
                <w:sz w:val="20"/>
                <w:szCs w:val="20"/>
              </w:rPr>
              <w:t>421,900</w:t>
            </w:r>
          </w:p>
        </w:tc>
        <w:tc>
          <w:tcPr>
            <w:tcW w:w="0" w:type="auto"/>
            <w:tcMar>
              <w:top w:w="0" w:type="dxa"/>
              <w:left w:w="0" w:type="dxa"/>
              <w:bottom w:w="80" w:type="dxa"/>
              <w:right w:w="0" w:type="dxa"/>
            </w:tcMar>
            <w:vAlign w:val="bottom"/>
            <w:hideMark/>
          </w:tcPr>
          <w:p w14:paraId="5948609C" w14:textId="77777777" w:rsidR="00000000" w:rsidRDefault="00087966">
            <w:pPr>
              <w:rPr>
                <w:rFonts w:eastAsia="Times New Roman"/>
                <w:b/>
                <w:bCs/>
                <w:sz w:val="20"/>
                <w:szCs w:val="20"/>
              </w:rPr>
            </w:pPr>
            <w:r>
              <w:rPr>
                <w:rFonts w:eastAsia="Times New Roman"/>
                <w:b/>
                <w:bCs/>
                <w:sz w:val="20"/>
                <w:szCs w:val="20"/>
              </w:rPr>
              <w:t> </w:t>
            </w:r>
          </w:p>
        </w:tc>
      </w:tr>
    </w:tbl>
    <w:p w14:paraId="0375E44A" w14:textId="77777777" w:rsidR="00000000" w:rsidRDefault="00087966">
      <w:pPr>
        <w:pStyle w:val="a3"/>
        <w:spacing w:before="0" w:beforeAutospacing="0" w:after="0" w:afterAutospacing="0"/>
        <w:jc w:val="both"/>
        <w:divId w:val="1595479706"/>
        <w:rPr>
          <w:sz w:val="20"/>
          <w:szCs w:val="20"/>
        </w:rPr>
      </w:pPr>
      <w:r>
        <w:rPr>
          <w:sz w:val="20"/>
          <w:szCs w:val="20"/>
        </w:rPr>
        <w:t> </w:t>
      </w:r>
    </w:p>
    <w:p w14:paraId="5CC38ED9" w14:textId="77777777" w:rsidR="00000000" w:rsidRDefault="00087966">
      <w:pPr>
        <w:pStyle w:val="a3"/>
        <w:spacing w:before="0" w:beforeAutospacing="0" w:after="0" w:afterAutospacing="0"/>
        <w:jc w:val="both"/>
        <w:divId w:val="1595479706"/>
        <w:rPr>
          <w:sz w:val="20"/>
          <w:szCs w:val="20"/>
        </w:rPr>
      </w:pPr>
      <w:r>
        <w:rPr>
          <w:sz w:val="20"/>
          <w:szCs w:val="20"/>
        </w:rPr>
        <w:t>Transfers to/from Levels 1, 2 and 3 are recognized at the end of the reporting period.</w:t>
      </w:r>
    </w:p>
    <w:p w14:paraId="554BFBDD" w14:textId="77777777" w:rsidR="00000000" w:rsidRDefault="00087966">
      <w:pPr>
        <w:pStyle w:val="a3"/>
        <w:spacing w:before="0" w:beforeAutospacing="0" w:after="0" w:afterAutospacing="0"/>
        <w:jc w:val="both"/>
        <w:divId w:val="1595479706"/>
        <w:rPr>
          <w:sz w:val="20"/>
          <w:szCs w:val="20"/>
        </w:rPr>
      </w:pPr>
      <w:r>
        <w:rPr>
          <w:sz w:val="20"/>
          <w:szCs w:val="20"/>
        </w:rPr>
        <w:t> </w:t>
      </w:r>
    </w:p>
    <w:p w14:paraId="5F0A2FBD" w14:textId="77777777" w:rsidR="00000000" w:rsidRDefault="00087966">
      <w:pPr>
        <w:pStyle w:val="a3"/>
        <w:spacing w:before="0" w:beforeAutospacing="0" w:after="0" w:afterAutospacing="0"/>
        <w:jc w:val="both"/>
        <w:divId w:val="1595479706"/>
        <w:rPr>
          <w:sz w:val="20"/>
          <w:szCs w:val="20"/>
        </w:rPr>
      </w:pPr>
      <w:r>
        <w:rPr>
          <w:b/>
          <w:bCs/>
          <w:sz w:val="20"/>
          <w:szCs w:val="20"/>
        </w:rPr>
        <w:t>NOTE 11</w:t>
      </w:r>
      <w:r>
        <w:rPr>
          <w:b/>
          <w:bCs/>
          <w:sz w:val="20"/>
          <w:szCs w:val="20"/>
        </w:rPr>
        <w:t> </w:t>
      </w:r>
      <w:r>
        <w:rPr>
          <w:b/>
          <w:bCs/>
          <w:sz w:val="20"/>
          <w:szCs w:val="20"/>
        </w:rPr>
        <w:t>—</w:t>
      </w:r>
      <w:r>
        <w:rPr>
          <w:b/>
          <w:bCs/>
          <w:sz w:val="20"/>
          <w:szCs w:val="20"/>
        </w:rPr>
        <w:t> </w:t>
      </w:r>
      <w:r>
        <w:rPr>
          <w:b/>
          <w:bCs/>
          <w:sz w:val="20"/>
          <w:szCs w:val="20"/>
        </w:rPr>
        <w:t>SUBSEQUENT EVENTS</w:t>
      </w:r>
    </w:p>
    <w:p w14:paraId="24D6596D" w14:textId="77777777" w:rsidR="00000000" w:rsidRDefault="00087966">
      <w:pPr>
        <w:pStyle w:val="a3"/>
        <w:spacing w:before="0" w:beforeAutospacing="0" w:after="0" w:afterAutospacing="0"/>
        <w:jc w:val="both"/>
        <w:divId w:val="1595479706"/>
        <w:rPr>
          <w:sz w:val="20"/>
          <w:szCs w:val="20"/>
        </w:rPr>
      </w:pPr>
      <w:r>
        <w:rPr>
          <w:sz w:val="20"/>
          <w:szCs w:val="20"/>
        </w:rPr>
        <w:t> </w:t>
      </w:r>
    </w:p>
    <w:p w14:paraId="4E31766D" w14:textId="77777777" w:rsidR="00000000" w:rsidRDefault="00087966">
      <w:pPr>
        <w:pStyle w:val="a3"/>
        <w:spacing w:before="0" w:beforeAutospacing="0" w:after="0" w:afterAutospacing="0"/>
        <w:jc w:val="both"/>
        <w:divId w:val="1595479706"/>
        <w:rPr>
          <w:sz w:val="20"/>
          <w:szCs w:val="20"/>
        </w:rPr>
      </w:pPr>
      <w:r>
        <w:rPr>
          <w:sz w:val="20"/>
          <w:szCs w:val="20"/>
        </w:rPr>
        <w:t xml:space="preserve">The Company evaluated subsequent events and transactions that occurred after the balance sheet date up to the date that the consolidated </w:t>
      </w:r>
      <w:r>
        <w:rPr>
          <w:sz w:val="20"/>
          <w:szCs w:val="20"/>
        </w:rPr>
        <w:t>financial statements were issued. Based upon this review, except as identified below, the Company did not identify any subsequent events that would have required adjustment or disclosure in the financial statements.</w:t>
      </w:r>
    </w:p>
    <w:p w14:paraId="5A99068B" w14:textId="77777777" w:rsidR="00000000" w:rsidRDefault="00087966">
      <w:pPr>
        <w:pStyle w:val="a3"/>
        <w:spacing w:before="0" w:beforeAutospacing="0" w:after="0" w:afterAutospacing="0"/>
        <w:jc w:val="both"/>
        <w:divId w:val="1595479706"/>
        <w:rPr>
          <w:sz w:val="20"/>
          <w:szCs w:val="20"/>
        </w:rPr>
      </w:pPr>
      <w:r>
        <w:rPr>
          <w:sz w:val="20"/>
          <w:szCs w:val="20"/>
        </w:rPr>
        <w:t> </w:t>
      </w:r>
    </w:p>
    <w:p w14:paraId="3B9CDF42" w14:textId="77777777" w:rsidR="00000000" w:rsidRDefault="00087966">
      <w:pPr>
        <w:pStyle w:val="a3"/>
        <w:spacing w:before="0" w:beforeAutospacing="0" w:after="0" w:afterAutospacing="0"/>
        <w:jc w:val="both"/>
        <w:divId w:val="1595479706"/>
        <w:rPr>
          <w:sz w:val="20"/>
          <w:szCs w:val="20"/>
        </w:rPr>
      </w:pPr>
      <w:r>
        <w:rPr>
          <w:sz w:val="20"/>
          <w:szCs w:val="20"/>
        </w:rPr>
        <w:t>At the special meeting of stockholders</w:t>
      </w:r>
      <w:r>
        <w:rPr>
          <w:sz w:val="20"/>
          <w:szCs w:val="20"/>
        </w:rPr>
        <w:t xml:space="preserve"> on January 6, 2023, stockholders approved an amendment to the Company’s Amended and Restated Certificate of Incorporation (the “Charter Amendment”) to extend the date by which the Company must consummate its initial business combination from January 11, 2</w:t>
      </w:r>
      <w:r>
        <w:rPr>
          <w:sz w:val="20"/>
          <w:szCs w:val="20"/>
        </w:rPr>
        <w:t>023 to April 11, 2023 (or such earlier date as determined by the board of directors of the Company). In connection with the Second Extension, stockholders holding 9,786,530 Public Shares exercised their right to redeem such shares for a pro rata portion of</w:t>
      </w:r>
      <w:r>
        <w:rPr>
          <w:sz w:val="20"/>
          <w:szCs w:val="20"/>
        </w:rPr>
        <w:t xml:space="preserve"> the funds in the Trust Account. As a result, approximately $101 million (approximately $10.32 per share), which included $1,190,676 of interest earned on the Trust Account which was not previously used to pay the Company’s tax obligations, was removed fro</w:t>
      </w:r>
      <w:r>
        <w:rPr>
          <w:sz w:val="20"/>
          <w:szCs w:val="20"/>
        </w:rPr>
        <w:t>m the Trust Account to pay such holders. As described in Note 2, due to the Inflation Reduction Act, the 9,786,530 shares that were redeemed for an aggregate of $100,993,709 may be subject to the excise tax. Following these redemptions, the Company has 617</w:t>
      </w:r>
      <w:r>
        <w:rPr>
          <w:sz w:val="20"/>
          <w:szCs w:val="20"/>
        </w:rPr>
        <w:t>,864 Public Shares outstanding.</w:t>
      </w:r>
    </w:p>
    <w:p w14:paraId="0C2DBBE0" w14:textId="77777777" w:rsidR="00000000" w:rsidRDefault="00087966">
      <w:pPr>
        <w:pStyle w:val="a3"/>
        <w:spacing w:before="0" w:beforeAutospacing="0" w:after="0" w:afterAutospacing="0"/>
        <w:jc w:val="both"/>
        <w:divId w:val="1595479706"/>
        <w:rPr>
          <w:sz w:val="20"/>
          <w:szCs w:val="20"/>
        </w:rPr>
      </w:pPr>
      <w:r>
        <w:rPr>
          <w:sz w:val="20"/>
          <w:szCs w:val="20"/>
        </w:rPr>
        <w:t> </w:t>
      </w:r>
    </w:p>
    <w:p w14:paraId="518D2C22" w14:textId="77777777" w:rsidR="00000000" w:rsidRDefault="00087966">
      <w:pPr>
        <w:pStyle w:val="a3"/>
        <w:spacing w:before="0" w:beforeAutospacing="0" w:after="0" w:afterAutospacing="0"/>
        <w:divId w:val="1595479706"/>
        <w:rPr>
          <w:sz w:val="20"/>
          <w:szCs w:val="20"/>
        </w:rPr>
      </w:pPr>
      <w:r>
        <w:rPr>
          <w:sz w:val="20"/>
          <w:szCs w:val="20"/>
        </w:rPr>
        <w:t>On January 11, 2023, the Company liquidated the investments held in the trust account and instead hold the funds in the trust account in an interest bearing demand deposit account until the earlier of the consummation of o</w:t>
      </w:r>
      <w:r>
        <w:rPr>
          <w:sz w:val="20"/>
          <w:szCs w:val="20"/>
        </w:rPr>
        <w:t>ur initial business combination or our liquidation.</w:t>
      </w:r>
    </w:p>
    <w:p w14:paraId="2FE2F130" w14:textId="77777777" w:rsidR="00000000" w:rsidRDefault="00087966">
      <w:pPr>
        <w:pStyle w:val="a3"/>
        <w:spacing w:before="0" w:beforeAutospacing="0" w:after="0" w:afterAutospacing="0"/>
        <w:jc w:val="both"/>
        <w:divId w:val="1595479706"/>
        <w:rPr>
          <w:sz w:val="20"/>
          <w:szCs w:val="20"/>
        </w:rPr>
      </w:pPr>
      <w:r>
        <w:rPr>
          <w:sz w:val="20"/>
          <w:szCs w:val="20"/>
        </w:rPr>
        <w:t> </w:t>
      </w:r>
    </w:p>
    <w:p w14:paraId="304B9A4D" w14:textId="77777777" w:rsidR="00000000" w:rsidRDefault="00087966">
      <w:pPr>
        <w:pStyle w:val="a3"/>
        <w:spacing w:before="0" w:beforeAutospacing="0" w:after="0" w:afterAutospacing="0"/>
        <w:jc w:val="both"/>
        <w:divId w:val="1595479706"/>
        <w:rPr>
          <w:sz w:val="20"/>
          <w:szCs w:val="20"/>
        </w:rPr>
      </w:pPr>
      <w:r>
        <w:rPr>
          <w:sz w:val="20"/>
          <w:szCs w:val="20"/>
        </w:rPr>
        <w:t>On January 17, 2023, the Company entered into Amendment No. 3 to the Agreement and Plan of Merger, pursuant to which the minimum cash condition to Closing was revised such that, upon the Closing, the Co</w:t>
      </w:r>
      <w:r>
        <w:rPr>
          <w:sz w:val="20"/>
          <w:szCs w:val="20"/>
        </w:rPr>
        <w:t>mpany is required to have cash and cash equivalents, including funds remaining in the Trust Account (after giving effect to the payment of Public Stockholder redemptions) and the proceeds of any funded Transaction Financing, prior to the payment of the Com</w:t>
      </w:r>
      <w:r>
        <w:rPr>
          <w:sz w:val="20"/>
          <w:szCs w:val="20"/>
        </w:rPr>
        <w:t>pany’s unpaid expenses and before repayment of any loans owed by the Company to its sponsor, at least equal to $95,000,000 less the aggregate amount of proceeds of any Permitted Equity Financing and any Permitted Debt of Near or any other Target Company th</w:t>
      </w:r>
      <w:r>
        <w:rPr>
          <w:sz w:val="20"/>
          <w:szCs w:val="20"/>
        </w:rPr>
        <w:t>at is available to any of them following the Closing or that previously has been drawn down by any of them prior to the Closing, including amounts in escrow that would be eligible to be requested following the Closing and amounts that may be requested foll</w:t>
      </w:r>
      <w:r>
        <w:rPr>
          <w:sz w:val="20"/>
          <w:szCs w:val="20"/>
        </w:rPr>
        <w:t>owing the Closing that are contingent upon the occurrence of specified events or the satisfaction of certain conditions precedent, whether or not such events actually occur or such conditions ultimately are satisfied.</w:t>
      </w:r>
    </w:p>
    <w:p w14:paraId="5F6B49F9" w14:textId="77777777" w:rsidR="00000000" w:rsidRDefault="00087966">
      <w:pPr>
        <w:pStyle w:val="a3"/>
        <w:spacing w:before="0" w:beforeAutospacing="0" w:after="0" w:afterAutospacing="0"/>
        <w:jc w:val="both"/>
        <w:divId w:val="1595479706"/>
        <w:rPr>
          <w:sz w:val="20"/>
          <w:szCs w:val="20"/>
        </w:rPr>
      </w:pPr>
      <w:r>
        <w:rPr>
          <w:sz w:val="20"/>
          <w:szCs w:val="20"/>
        </w:rPr>
        <w:t> </w:t>
      </w:r>
    </w:p>
    <w:p w14:paraId="3201B2AB" w14:textId="77777777" w:rsidR="00000000" w:rsidRDefault="00087966">
      <w:pPr>
        <w:pStyle w:val="a3"/>
        <w:spacing w:before="0" w:beforeAutospacing="0" w:after="0" w:afterAutospacing="0"/>
        <w:jc w:val="both"/>
        <w:divId w:val="1595479706"/>
        <w:rPr>
          <w:sz w:val="20"/>
          <w:szCs w:val="20"/>
        </w:rPr>
      </w:pPr>
      <w:r>
        <w:rPr>
          <w:sz w:val="20"/>
          <w:szCs w:val="20"/>
        </w:rPr>
        <w:t>On January 17, 2023, January 26, 202</w:t>
      </w:r>
      <w:r>
        <w:rPr>
          <w:sz w:val="20"/>
          <w:szCs w:val="20"/>
        </w:rPr>
        <w:t>3 and February 3, 2023, the Company filed amendments to its Registration Statement on Form S-4. The Registration Statement was declared effective by the SEC on February 13, 2023.</w:t>
      </w:r>
    </w:p>
    <w:p w14:paraId="06302277" w14:textId="77777777" w:rsidR="00000000" w:rsidRDefault="00087966">
      <w:pPr>
        <w:pStyle w:val="a3"/>
        <w:spacing w:before="0" w:beforeAutospacing="0" w:after="0" w:afterAutospacing="0"/>
        <w:jc w:val="both"/>
        <w:divId w:val="1595479706"/>
        <w:rPr>
          <w:sz w:val="20"/>
          <w:szCs w:val="20"/>
        </w:rPr>
      </w:pPr>
      <w:r>
        <w:rPr>
          <w:sz w:val="20"/>
          <w:szCs w:val="20"/>
        </w:rPr>
        <w:t> </w:t>
      </w:r>
    </w:p>
    <w:p w14:paraId="7FA6E89F" w14:textId="77777777" w:rsidR="00000000" w:rsidRDefault="00087966">
      <w:pPr>
        <w:pStyle w:val="a3"/>
        <w:spacing w:before="0" w:beforeAutospacing="0" w:after="0" w:afterAutospacing="0"/>
        <w:divId w:val="1595479706"/>
        <w:rPr>
          <w:sz w:val="20"/>
          <w:szCs w:val="20"/>
        </w:rPr>
      </w:pPr>
      <w:r>
        <w:rPr>
          <w:sz w:val="20"/>
          <w:szCs w:val="20"/>
        </w:rPr>
        <w:t>Subsequent to December 31, 2022, the Sponsor advanced the Company $275,000.</w:t>
      </w:r>
    </w:p>
    <w:p w14:paraId="41372136" w14:textId="77777777" w:rsidR="00000000" w:rsidRDefault="00087966">
      <w:pPr>
        <w:pStyle w:val="a3"/>
        <w:spacing w:before="0" w:beforeAutospacing="0" w:after="0" w:afterAutospacing="0"/>
        <w:jc w:val="both"/>
        <w:divId w:val="1595479706"/>
        <w:rPr>
          <w:sz w:val="20"/>
          <w:szCs w:val="20"/>
        </w:rPr>
      </w:pPr>
      <w:r>
        <w:rPr>
          <w:sz w:val="20"/>
          <w:szCs w:val="20"/>
        </w:rPr>
        <w:t> </w:t>
      </w:r>
    </w:p>
    <w:p w14:paraId="7B01DB6C" w14:textId="77777777" w:rsidR="00000000" w:rsidRDefault="00087966">
      <w:pPr>
        <w:pStyle w:val="a3"/>
        <w:spacing w:before="0" w:beforeAutospacing="0" w:after="0" w:afterAutospacing="0"/>
        <w:jc w:val="center"/>
        <w:divId w:val="1153133869"/>
        <w:rPr>
          <w:sz w:val="20"/>
          <w:szCs w:val="20"/>
        </w:rPr>
      </w:pPr>
      <w:r>
        <w:rPr>
          <w:sz w:val="20"/>
          <w:szCs w:val="20"/>
        </w:rPr>
        <w:t>F</w:t>
      </w:r>
      <w:r>
        <w:rPr>
          <w:sz w:val="20"/>
          <w:szCs w:val="20"/>
        </w:rPr>
        <w:t>-</w:t>
      </w:r>
      <w:r>
        <w:rPr>
          <w:sz w:val="20"/>
          <w:szCs w:val="20"/>
        </w:rPr>
        <w:t>2</w:t>
      </w:r>
      <w:r>
        <w:rPr>
          <w:sz w:val="20"/>
          <w:szCs w:val="20"/>
        </w:rPr>
        <w:t>5</w:t>
      </w:r>
    </w:p>
    <w:p w14:paraId="114BB107" w14:textId="77777777" w:rsidR="00000000" w:rsidRDefault="00087966">
      <w:pPr>
        <w:pStyle w:val="a3"/>
        <w:spacing w:before="0" w:beforeAutospacing="0" w:after="0" w:afterAutospacing="0"/>
        <w:divId w:val="48461699"/>
        <w:rPr>
          <w:sz w:val="20"/>
          <w:szCs w:val="20"/>
        </w:rPr>
      </w:pPr>
      <w:r>
        <w:rPr>
          <w:sz w:val="20"/>
          <w:szCs w:val="20"/>
        </w:rPr>
        <w:t> </w:t>
      </w:r>
    </w:p>
    <w:p w14:paraId="1FD31783"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0039B863" w14:textId="77777777" w:rsidR="00000000" w:rsidRDefault="00087966">
      <w:pPr>
        <w:pStyle w:val="a3"/>
        <w:spacing w:before="0" w:beforeAutospacing="0" w:after="0" w:afterAutospacing="0"/>
        <w:jc w:val="center"/>
        <w:divId w:val="1595479706"/>
        <w:rPr>
          <w:sz w:val="20"/>
          <w:szCs w:val="20"/>
        </w:rPr>
      </w:pPr>
      <w:r>
        <w:rPr>
          <w:b/>
          <w:bCs/>
          <w:sz w:val="20"/>
          <w:szCs w:val="20"/>
        </w:rPr>
        <w:t>EXHIBIT INDEX</w:t>
      </w:r>
    </w:p>
    <w:p w14:paraId="41635F7E" w14:textId="77777777" w:rsidR="00000000" w:rsidRDefault="00087966">
      <w:pPr>
        <w:pStyle w:val="a3"/>
        <w:spacing w:before="0" w:beforeAutospacing="0" w:after="0" w:afterAutospacing="0"/>
        <w:jc w:val="both"/>
        <w:divId w:val="1595479706"/>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48"/>
        <w:gridCol w:w="83"/>
        <w:gridCol w:w="7475"/>
      </w:tblGrid>
      <w:tr w:rsidR="00000000" w14:paraId="05C4DE5E" w14:textId="77777777">
        <w:trPr>
          <w:divId w:val="1595479706"/>
        </w:trPr>
        <w:tc>
          <w:tcPr>
            <w:tcW w:w="450" w:type="pct"/>
            <w:tcBorders>
              <w:bottom w:val="single" w:sz="12" w:space="0" w:color="000000"/>
            </w:tcBorders>
            <w:hideMark/>
          </w:tcPr>
          <w:p w14:paraId="1C534117" w14:textId="77777777" w:rsidR="00000000" w:rsidRDefault="00087966">
            <w:pPr>
              <w:jc w:val="both"/>
              <w:rPr>
                <w:rFonts w:eastAsia="Times New Roman"/>
                <w:sz w:val="20"/>
                <w:szCs w:val="20"/>
              </w:rPr>
            </w:pPr>
            <w:r>
              <w:rPr>
                <w:rFonts w:eastAsia="Times New Roman"/>
                <w:b/>
                <w:bCs/>
                <w:sz w:val="20"/>
                <w:szCs w:val="20"/>
              </w:rPr>
              <w:t>Exhibit No.</w:t>
            </w:r>
          </w:p>
        </w:tc>
        <w:tc>
          <w:tcPr>
            <w:tcW w:w="50" w:type="pct"/>
            <w:hideMark/>
          </w:tcPr>
          <w:p w14:paraId="40F4C8D3" w14:textId="77777777" w:rsidR="00000000" w:rsidRDefault="00087966">
            <w:pPr>
              <w:jc w:val="both"/>
              <w:rPr>
                <w:rFonts w:eastAsia="Times New Roman"/>
                <w:sz w:val="20"/>
                <w:szCs w:val="20"/>
              </w:rPr>
            </w:pPr>
            <w:r>
              <w:rPr>
                <w:rFonts w:eastAsia="Times New Roman"/>
                <w:sz w:val="20"/>
                <w:szCs w:val="20"/>
              </w:rPr>
              <w:t> </w:t>
            </w:r>
          </w:p>
        </w:tc>
        <w:tc>
          <w:tcPr>
            <w:tcW w:w="4500" w:type="pct"/>
            <w:tcBorders>
              <w:bottom w:val="single" w:sz="12" w:space="0" w:color="000000"/>
            </w:tcBorders>
            <w:hideMark/>
          </w:tcPr>
          <w:p w14:paraId="09C92CB5" w14:textId="77777777" w:rsidR="00000000" w:rsidRDefault="00087966">
            <w:pPr>
              <w:jc w:val="both"/>
              <w:rPr>
                <w:rFonts w:eastAsia="Times New Roman"/>
                <w:sz w:val="20"/>
                <w:szCs w:val="20"/>
              </w:rPr>
            </w:pPr>
            <w:r>
              <w:rPr>
                <w:rFonts w:eastAsia="Times New Roman"/>
                <w:b/>
                <w:bCs/>
                <w:sz w:val="20"/>
                <w:szCs w:val="20"/>
              </w:rPr>
              <w:t>Description</w:t>
            </w:r>
          </w:p>
        </w:tc>
      </w:tr>
      <w:tr w:rsidR="00000000" w14:paraId="4D2F0B59" w14:textId="77777777">
        <w:trPr>
          <w:divId w:val="1595479706"/>
        </w:trPr>
        <w:tc>
          <w:tcPr>
            <w:tcW w:w="0" w:type="auto"/>
            <w:hideMark/>
          </w:tcPr>
          <w:p w14:paraId="6C9381FB"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71EE5F1C"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60C3A8C9" w14:textId="77777777" w:rsidR="00000000" w:rsidRDefault="00087966">
            <w:pPr>
              <w:jc w:val="both"/>
              <w:rPr>
                <w:rFonts w:eastAsia="Times New Roman"/>
                <w:sz w:val="20"/>
                <w:szCs w:val="20"/>
              </w:rPr>
            </w:pPr>
            <w:r>
              <w:rPr>
                <w:rFonts w:eastAsia="Times New Roman"/>
                <w:sz w:val="20"/>
                <w:szCs w:val="20"/>
              </w:rPr>
              <w:t> </w:t>
            </w:r>
          </w:p>
        </w:tc>
      </w:tr>
      <w:tr w:rsidR="00000000" w14:paraId="56824DF7" w14:textId="77777777">
        <w:trPr>
          <w:divId w:val="1595479706"/>
        </w:trPr>
        <w:tc>
          <w:tcPr>
            <w:tcW w:w="0" w:type="auto"/>
            <w:shd w:val="clear" w:color="auto" w:fill="CCEEFF"/>
            <w:hideMark/>
          </w:tcPr>
          <w:p w14:paraId="20D3377E" w14:textId="77777777" w:rsidR="00000000" w:rsidRDefault="00087966">
            <w:pPr>
              <w:jc w:val="both"/>
              <w:rPr>
                <w:rFonts w:eastAsia="Times New Roman"/>
                <w:sz w:val="20"/>
                <w:szCs w:val="20"/>
              </w:rPr>
            </w:pPr>
            <w:r>
              <w:rPr>
                <w:rFonts w:eastAsia="Times New Roman"/>
                <w:sz w:val="20"/>
                <w:szCs w:val="20"/>
              </w:rPr>
              <w:t>1.1</w:t>
            </w:r>
          </w:p>
        </w:tc>
        <w:tc>
          <w:tcPr>
            <w:tcW w:w="0" w:type="auto"/>
            <w:shd w:val="clear" w:color="auto" w:fill="CCEEFF"/>
            <w:hideMark/>
          </w:tcPr>
          <w:p w14:paraId="62048E4D"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63D3FC48" w14:textId="77777777" w:rsidR="00000000" w:rsidRDefault="00087966">
            <w:pPr>
              <w:jc w:val="both"/>
              <w:rPr>
                <w:rFonts w:eastAsia="Times New Roman"/>
                <w:sz w:val="20"/>
                <w:szCs w:val="20"/>
              </w:rPr>
            </w:pPr>
            <w:hyperlink r:id="rId4" w:history="1">
              <w:r>
                <w:rPr>
                  <w:rStyle w:val="a4"/>
                  <w:rFonts w:eastAsia="Times New Roman"/>
                  <w:sz w:val="20"/>
                  <w:szCs w:val="20"/>
                </w:rPr>
                <w:t>Underwriting Agreement. (3)</w:t>
              </w:r>
            </w:hyperlink>
          </w:p>
        </w:tc>
      </w:tr>
      <w:tr w:rsidR="00000000" w14:paraId="649D9A7A" w14:textId="77777777">
        <w:trPr>
          <w:divId w:val="1595479706"/>
        </w:trPr>
        <w:tc>
          <w:tcPr>
            <w:tcW w:w="0" w:type="auto"/>
            <w:hideMark/>
          </w:tcPr>
          <w:p w14:paraId="5FF5E794" w14:textId="77777777" w:rsidR="00000000" w:rsidRDefault="00087966">
            <w:pPr>
              <w:jc w:val="both"/>
              <w:rPr>
                <w:rFonts w:eastAsia="Times New Roman"/>
                <w:sz w:val="20"/>
                <w:szCs w:val="20"/>
              </w:rPr>
            </w:pPr>
            <w:r>
              <w:rPr>
                <w:rFonts w:eastAsia="Times New Roman"/>
                <w:sz w:val="20"/>
                <w:szCs w:val="20"/>
              </w:rPr>
              <w:t>2.1</w:t>
            </w:r>
          </w:p>
        </w:tc>
        <w:tc>
          <w:tcPr>
            <w:tcW w:w="0" w:type="auto"/>
            <w:hideMark/>
          </w:tcPr>
          <w:p w14:paraId="77C1F35A"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66A1B4AF" w14:textId="77777777" w:rsidR="00000000" w:rsidRDefault="00087966">
            <w:pPr>
              <w:jc w:val="both"/>
              <w:rPr>
                <w:rFonts w:eastAsia="Times New Roman"/>
                <w:sz w:val="20"/>
                <w:szCs w:val="20"/>
              </w:rPr>
            </w:pPr>
            <w:hyperlink r:id="rId5" w:history="1">
              <w:r>
                <w:rPr>
                  <w:rStyle w:val="a4"/>
                  <w:rFonts w:eastAsia="Times New Roman"/>
                  <w:sz w:val="20"/>
                  <w:szCs w:val="20"/>
                </w:rPr>
                <w:t>Agreement and Plan of Merger, dated as of May 18, 2022, by and among the Company, Near, Merger Sub 1 and Merger Sub 2. (6)</w:t>
              </w:r>
            </w:hyperlink>
          </w:p>
        </w:tc>
      </w:tr>
      <w:tr w:rsidR="00000000" w14:paraId="50382AED" w14:textId="77777777">
        <w:trPr>
          <w:divId w:val="1595479706"/>
        </w:trPr>
        <w:tc>
          <w:tcPr>
            <w:tcW w:w="0" w:type="auto"/>
            <w:shd w:val="clear" w:color="auto" w:fill="CCEEFF"/>
            <w:hideMark/>
          </w:tcPr>
          <w:p w14:paraId="0D3C32A9" w14:textId="77777777" w:rsidR="00000000" w:rsidRDefault="00087966">
            <w:pPr>
              <w:jc w:val="both"/>
              <w:rPr>
                <w:rFonts w:eastAsia="Times New Roman"/>
                <w:sz w:val="20"/>
                <w:szCs w:val="20"/>
              </w:rPr>
            </w:pPr>
            <w:r>
              <w:rPr>
                <w:rFonts w:eastAsia="Times New Roman"/>
                <w:sz w:val="20"/>
                <w:szCs w:val="20"/>
              </w:rPr>
              <w:t>2.2</w:t>
            </w:r>
          </w:p>
        </w:tc>
        <w:tc>
          <w:tcPr>
            <w:tcW w:w="0" w:type="auto"/>
            <w:shd w:val="clear" w:color="auto" w:fill="CCEEFF"/>
            <w:hideMark/>
          </w:tcPr>
          <w:p w14:paraId="597025EE"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3E6BFF91" w14:textId="77777777" w:rsidR="00000000" w:rsidRDefault="00087966">
            <w:pPr>
              <w:jc w:val="both"/>
              <w:rPr>
                <w:rFonts w:eastAsia="Times New Roman"/>
                <w:sz w:val="20"/>
                <w:szCs w:val="20"/>
              </w:rPr>
            </w:pPr>
            <w:hyperlink r:id="rId6" w:history="1">
              <w:r>
                <w:rPr>
                  <w:rStyle w:val="a4"/>
                  <w:rFonts w:eastAsia="Times New Roman"/>
                  <w:sz w:val="20"/>
                  <w:szCs w:val="20"/>
                </w:rPr>
                <w:t>Amendment No. 1 to the Near Merger Agreement, dated November 3, 2022, by and among the Company, Near, Merger Sub 1 and Merger Sub 2. (8)</w:t>
              </w:r>
            </w:hyperlink>
          </w:p>
        </w:tc>
      </w:tr>
      <w:tr w:rsidR="00000000" w14:paraId="75826778" w14:textId="77777777">
        <w:trPr>
          <w:divId w:val="1595479706"/>
        </w:trPr>
        <w:tc>
          <w:tcPr>
            <w:tcW w:w="0" w:type="auto"/>
            <w:hideMark/>
          </w:tcPr>
          <w:p w14:paraId="15D3AA5B" w14:textId="77777777" w:rsidR="00000000" w:rsidRDefault="00087966">
            <w:pPr>
              <w:jc w:val="both"/>
              <w:rPr>
                <w:rFonts w:eastAsia="Times New Roman"/>
                <w:sz w:val="20"/>
                <w:szCs w:val="20"/>
              </w:rPr>
            </w:pPr>
            <w:r>
              <w:rPr>
                <w:rFonts w:eastAsia="Times New Roman"/>
                <w:sz w:val="20"/>
                <w:szCs w:val="20"/>
              </w:rPr>
              <w:t>2.3</w:t>
            </w:r>
          </w:p>
        </w:tc>
        <w:tc>
          <w:tcPr>
            <w:tcW w:w="0" w:type="auto"/>
            <w:hideMark/>
          </w:tcPr>
          <w:p w14:paraId="743B19E1"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A5CCF1E" w14:textId="77777777" w:rsidR="00000000" w:rsidRDefault="00087966">
            <w:pPr>
              <w:jc w:val="both"/>
              <w:rPr>
                <w:rFonts w:eastAsia="Times New Roman"/>
                <w:sz w:val="20"/>
                <w:szCs w:val="20"/>
              </w:rPr>
            </w:pPr>
            <w:hyperlink r:id="rId7" w:history="1">
              <w:r>
                <w:rPr>
                  <w:rStyle w:val="a4"/>
                  <w:rFonts w:eastAsia="Times New Roman"/>
                  <w:sz w:val="20"/>
                  <w:szCs w:val="20"/>
                </w:rPr>
                <w:t>Amendment No. 2 to the Near Merger Agreement, dated December 23, 2022, by and among the Company, Near, Merger Sub 1 and Merger Sub 2. (10)</w:t>
              </w:r>
            </w:hyperlink>
          </w:p>
        </w:tc>
      </w:tr>
      <w:tr w:rsidR="00000000" w14:paraId="78B71455" w14:textId="77777777">
        <w:trPr>
          <w:divId w:val="1595479706"/>
        </w:trPr>
        <w:tc>
          <w:tcPr>
            <w:tcW w:w="0" w:type="auto"/>
            <w:shd w:val="clear" w:color="auto" w:fill="CCEEFF"/>
            <w:hideMark/>
          </w:tcPr>
          <w:p w14:paraId="26C861ED" w14:textId="77777777" w:rsidR="00000000" w:rsidRDefault="00087966">
            <w:pPr>
              <w:jc w:val="both"/>
              <w:rPr>
                <w:rFonts w:eastAsia="Times New Roman"/>
                <w:sz w:val="20"/>
                <w:szCs w:val="20"/>
              </w:rPr>
            </w:pPr>
            <w:r>
              <w:rPr>
                <w:rFonts w:eastAsia="Times New Roman"/>
                <w:sz w:val="20"/>
                <w:szCs w:val="20"/>
              </w:rPr>
              <w:t>2.4</w:t>
            </w:r>
          </w:p>
        </w:tc>
        <w:tc>
          <w:tcPr>
            <w:tcW w:w="0" w:type="auto"/>
            <w:shd w:val="clear" w:color="auto" w:fill="CCEEFF"/>
            <w:hideMark/>
          </w:tcPr>
          <w:p w14:paraId="70619A56"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6B6ABBE4" w14:textId="77777777" w:rsidR="00000000" w:rsidRDefault="00087966">
            <w:pPr>
              <w:jc w:val="both"/>
              <w:rPr>
                <w:rFonts w:eastAsia="Times New Roman"/>
                <w:sz w:val="20"/>
                <w:szCs w:val="20"/>
              </w:rPr>
            </w:pPr>
            <w:hyperlink r:id="rId8" w:history="1">
              <w:r>
                <w:rPr>
                  <w:rStyle w:val="a4"/>
                  <w:rFonts w:eastAsia="Times New Roman"/>
                  <w:sz w:val="20"/>
                  <w:szCs w:val="20"/>
                </w:rPr>
                <w:t>Amendment No. 3 to the Near Merger Agreement, dated January 17, 2023, by and among the Company, Near, Merger Sub 1 and Merger Sub 2. (12)</w:t>
              </w:r>
            </w:hyperlink>
          </w:p>
        </w:tc>
      </w:tr>
      <w:tr w:rsidR="00000000" w14:paraId="581C9147" w14:textId="77777777">
        <w:trPr>
          <w:divId w:val="1595479706"/>
        </w:trPr>
        <w:tc>
          <w:tcPr>
            <w:tcW w:w="0" w:type="auto"/>
            <w:hideMark/>
          </w:tcPr>
          <w:p w14:paraId="2294007C" w14:textId="77777777" w:rsidR="00000000" w:rsidRDefault="00087966">
            <w:pPr>
              <w:jc w:val="both"/>
              <w:rPr>
                <w:rFonts w:eastAsia="Times New Roman"/>
                <w:sz w:val="20"/>
                <w:szCs w:val="20"/>
              </w:rPr>
            </w:pPr>
            <w:r>
              <w:rPr>
                <w:rFonts w:eastAsia="Times New Roman"/>
                <w:sz w:val="20"/>
                <w:szCs w:val="20"/>
              </w:rPr>
              <w:t>3.1</w:t>
            </w:r>
          </w:p>
        </w:tc>
        <w:tc>
          <w:tcPr>
            <w:tcW w:w="0" w:type="auto"/>
            <w:hideMark/>
          </w:tcPr>
          <w:p w14:paraId="22E3556A"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0650781C" w14:textId="77777777" w:rsidR="00000000" w:rsidRDefault="00087966">
            <w:pPr>
              <w:jc w:val="both"/>
              <w:rPr>
                <w:rFonts w:eastAsia="Times New Roman"/>
                <w:sz w:val="20"/>
                <w:szCs w:val="20"/>
              </w:rPr>
            </w:pPr>
            <w:hyperlink r:id="rId9" w:history="1">
              <w:r>
                <w:rPr>
                  <w:rStyle w:val="a4"/>
                  <w:rFonts w:eastAsia="Times New Roman"/>
                  <w:sz w:val="20"/>
                  <w:szCs w:val="20"/>
                </w:rPr>
                <w:t>Amended and Restated Certificate of Incorporation. (3)</w:t>
              </w:r>
            </w:hyperlink>
          </w:p>
        </w:tc>
      </w:tr>
      <w:tr w:rsidR="00000000" w14:paraId="668117E5" w14:textId="77777777">
        <w:trPr>
          <w:divId w:val="1595479706"/>
        </w:trPr>
        <w:tc>
          <w:tcPr>
            <w:tcW w:w="0" w:type="auto"/>
            <w:shd w:val="clear" w:color="auto" w:fill="CCEEFF"/>
            <w:hideMark/>
          </w:tcPr>
          <w:p w14:paraId="5AFE3918" w14:textId="77777777" w:rsidR="00000000" w:rsidRDefault="00087966">
            <w:pPr>
              <w:jc w:val="both"/>
              <w:rPr>
                <w:rFonts w:eastAsia="Times New Roman"/>
                <w:sz w:val="20"/>
                <w:szCs w:val="20"/>
              </w:rPr>
            </w:pPr>
            <w:r>
              <w:rPr>
                <w:rFonts w:eastAsia="Times New Roman"/>
                <w:sz w:val="20"/>
                <w:szCs w:val="20"/>
              </w:rPr>
              <w:t>3.2</w:t>
            </w:r>
          </w:p>
        </w:tc>
        <w:tc>
          <w:tcPr>
            <w:tcW w:w="0" w:type="auto"/>
            <w:shd w:val="clear" w:color="auto" w:fill="CCEEFF"/>
            <w:hideMark/>
          </w:tcPr>
          <w:p w14:paraId="65E12190"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08D174F9" w14:textId="77777777" w:rsidR="00000000" w:rsidRDefault="00087966">
            <w:pPr>
              <w:jc w:val="both"/>
              <w:rPr>
                <w:rFonts w:eastAsia="Times New Roman"/>
                <w:sz w:val="20"/>
                <w:szCs w:val="20"/>
              </w:rPr>
            </w:pPr>
            <w:hyperlink r:id="rId10" w:history="1">
              <w:r>
                <w:rPr>
                  <w:rStyle w:val="a4"/>
                  <w:rFonts w:eastAsia="Times New Roman"/>
                  <w:sz w:val="20"/>
                  <w:szCs w:val="20"/>
                </w:rPr>
                <w:t>Amendment to Amended and Restated Certificate of Incorporation, dated July 7, 2022. (7)</w:t>
              </w:r>
            </w:hyperlink>
          </w:p>
        </w:tc>
      </w:tr>
      <w:tr w:rsidR="00000000" w14:paraId="19C31465" w14:textId="77777777">
        <w:trPr>
          <w:divId w:val="1595479706"/>
        </w:trPr>
        <w:tc>
          <w:tcPr>
            <w:tcW w:w="0" w:type="auto"/>
            <w:hideMark/>
          </w:tcPr>
          <w:p w14:paraId="017EA92D" w14:textId="77777777" w:rsidR="00000000" w:rsidRDefault="00087966">
            <w:pPr>
              <w:jc w:val="both"/>
              <w:rPr>
                <w:rFonts w:eastAsia="Times New Roman"/>
                <w:sz w:val="20"/>
                <w:szCs w:val="20"/>
              </w:rPr>
            </w:pPr>
            <w:r>
              <w:rPr>
                <w:rFonts w:eastAsia="Times New Roman"/>
                <w:sz w:val="20"/>
                <w:szCs w:val="20"/>
              </w:rPr>
              <w:t>3.3</w:t>
            </w:r>
          </w:p>
        </w:tc>
        <w:tc>
          <w:tcPr>
            <w:tcW w:w="0" w:type="auto"/>
            <w:hideMark/>
          </w:tcPr>
          <w:p w14:paraId="732CD5EC"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A17AFE1" w14:textId="77777777" w:rsidR="00000000" w:rsidRDefault="00087966">
            <w:pPr>
              <w:jc w:val="both"/>
              <w:rPr>
                <w:rFonts w:eastAsia="Times New Roman"/>
                <w:sz w:val="20"/>
                <w:szCs w:val="20"/>
              </w:rPr>
            </w:pPr>
            <w:hyperlink r:id="rId11" w:history="1">
              <w:r>
                <w:rPr>
                  <w:rStyle w:val="a4"/>
                  <w:rFonts w:eastAsia="Times New Roman"/>
                  <w:sz w:val="20"/>
                  <w:szCs w:val="20"/>
                </w:rPr>
                <w:t>Amendment to Amended and Restated Certificate of Incorporation, dated January 6, 2023. (11)</w:t>
              </w:r>
            </w:hyperlink>
          </w:p>
        </w:tc>
      </w:tr>
      <w:tr w:rsidR="00000000" w14:paraId="5129DFB1" w14:textId="77777777">
        <w:trPr>
          <w:divId w:val="1595479706"/>
        </w:trPr>
        <w:tc>
          <w:tcPr>
            <w:tcW w:w="0" w:type="auto"/>
            <w:shd w:val="clear" w:color="auto" w:fill="CCEEFF"/>
            <w:hideMark/>
          </w:tcPr>
          <w:p w14:paraId="6BF22F5F" w14:textId="77777777" w:rsidR="00000000" w:rsidRDefault="00087966">
            <w:pPr>
              <w:jc w:val="both"/>
              <w:rPr>
                <w:rFonts w:eastAsia="Times New Roman"/>
                <w:sz w:val="20"/>
                <w:szCs w:val="20"/>
              </w:rPr>
            </w:pPr>
            <w:r>
              <w:rPr>
                <w:rFonts w:eastAsia="Times New Roman"/>
                <w:sz w:val="20"/>
                <w:szCs w:val="20"/>
              </w:rPr>
              <w:t>3.4</w:t>
            </w:r>
          </w:p>
        </w:tc>
        <w:tc>
          <w:tcPr>
            <w:tcW w:w="0" w:type="auto"/>
            <w:shd w:val="clear" w:color="auto" w:fill="CCEEFF"/>
            <w:hideMark/>
          </w:tcPr>
          <w:p w14:paraId="451030B2"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1928E6C5" w14:textId="77777777" w:rsidR="00000000" w:rsidRDefault="00087966">
            <w:pPr>
              <w:jc w:val="both"/>
              <w:rPr>
                <w:rFonts w:eastAsia="Times New Roman"/>
                <w:sz w:val="20"/>
                <w:szCs w:val="20"/>
              </w:rPr>
            </w:pPr>
            <w:hyperlink r:id="rId12" w:history="1">
              <w:r>
                <w:rPr>
                  <w:rStyle w:val="a4"/>
                  <w:rFonts w:eastAsia="Times New Roman"/>
                  <w:sz w:val="20"/>
                  <w:szCs w:val="20"/>
                </w:rPr>
                <w:t>Bylaws. (1)</w:t>
              </w:r>
            </w:hyperlink>
          </w:p>
        </w:tc>
      </w:tr>
      <w:tr w:rsidR="00000000" w14:paraId="261A0414" w14:textId="77777777">
        <w:trPr>
          <w:divId w:val="1595479706"/>
        </w:trPr>
        <w:tc>
          <w:tcPr>
            <w:tcW w:w="0" w:type="auto"/>
            <w:hideMark/>
          </w:tcPr>
          <w:p w14:paraId="4E77781F" w14:textId="77777777" w:rsidR="00000000" w:rsidRDefault="00087966">
            <w:pPr>
              <w:jc w:val="both"/>
              <w:rPr>
                <w:rFonts w:eastAsia="Times New Roman"/>
                <w:sz w:val="20"/>
                <w:szCs w:val="20"/>
              </w:rPr>
            </w:pPr>
            <w:r>
              <w:rPr>
                <w:rFonts w:eastAsia="Times New Roman"/>
                <w:sz w:val="20"/>
                <w:szCs w:val="20"/>
              </w:rPr>
              <w:t>4.1</w:t>
            </w:r>
          </w:p>
        </w:tc>
        <w:tc>
          <w:tcPr>
            <w:tcW w:w="0" w:type="auto"/>
            <w:hideMark/>
          </w:tcPr>
          <w:p w14:paraId="5848098A"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5EA2C986" w14:textId="77777777" w:rsidR="00000000" w:rsidRDefault="00087966">
            <w:pPr>
              <w:jc w:val="both"/>
              <w:rPr>
                <w:rFonts w:eastAsia="Times New Roman"/>
                <w:sz w:val="20"/>
                <w:szCs w:val="20"/>
              </w:rPr>
            </w:pPr>
            <w:hyperlink r:id="rId13" w:history="1">
              <w:r>
                <w:rPr>
                  <w:rStyle w:val="a4"/>
                  <w:rFonts w:eastAsia="Times New Roman"/>
                  <w:sz w:val="20"/>
                  <w:szCs w:val="20"/>
                </w:rPr>
                <w:t>Specimen Unit Certificate. (2)</w:t>
              </w:r>
            </w:hyperlink>
          </w:p>
        </w:tc>
      </w:tr>
      <w:tr w:rsidR="00000000" w14:paraId="10788DD5" w14:textId="77777777">
        <w:trPr>
          <w:divId w:val="1595479706"/>
        </w:trPr>
        <w:tc>
          <w:tcPr>
            <w:tcW w:w="0" w:type="auto"/>
            <w:shd w:val="clear" w:color="auto" w:fill="CCEEFF"/>
            <w:hideMark/>
          </w:tcPr>
          <w:p w14:paraId="4F1B4A68" w14:textId="77777777" w:rsidR="00000000" w:rsidRDefault="00087966">
            <w:pPr>
              <w:jc w:val="both"/>
              <w:rPr>
                <w:rFonts w:eastAsia="Times New Roman"/>
                <w:sz w:val="20"/>
                <w:szCs w:val="20"/>
              </w:rPr>
            </w:pPr>
            <w:r>
              <w:rPr>
                <w:rFonts w:eastAsia="Times New Roman"/>
                <w:sz w:val="20"/>
                <w:szCs w:val="20"/>
              </w:rPr>
              <w:t>4.2</w:t>
            </w:r>
          </w:p>
        </w:tc>
        <w:tc>
          <w:tcPr>
            <w:tcW w:w="0" w:type="auto"/>
            <w:shd w:val="clear" w:color="auto" w:fill="CCEEFF"/>
            <w:hideMark/>
          </w:tcPr>
          <w:p w14:paraId="65025B22"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266F2203" w14:textId="77777777" w:rsidR="00000000" w:rsidRDefault="00087966">
            <w:pPr>
              <w:jc w:val="both"/>
              <w:rPr>
                <w:rFonts w:eastAsia="Times New Roman"/>
                <w:sz w:val="20"/>
                <w:szCs w:val="20"/>
              </w:rPr>
            </w:pPr>
            <w:hyperlink r:id="rId14" w:history="1">
              <w:r>
                <w:rPr>
                  <w:rStyle w:val="a4"/>
                  <w:rFonts w:eastAsia="Times New Roman"/>
                  <w:sz w:val="20"/>
                  <w:szCs w:val="20"/>
                </w:rPr>
                <w:t>Specimen Class A Common Stock Certificate. (2)</w:t>
              </w:r>
            </w:hyperlink>
          </w:p>
        </w:tc>
      </w:tr>
      <w:tr w:rsidR="00000000" w14:paraId="164A4422" w14:textId="77777777">
        <w:trPr>
          <w:divId w:val="1595479706"/>
        </w:trPr>
        <w:tc>
          <w:tcPr>
            <w:tcW w:w="0" w:type="auto"/>
            <w:hideMark/>
          </w:tcPr>
          <w:p w14:paraId="7BE5D574" w14:textId="77777777" w:rsidR="00000000" w:rsidRDefault="00087966">
            <w:pPr>
              <w:jc w:val="both"/>
              <w:rPr>
                <w:rFonts w:eastAsia="Times New Roman"/>
                <w:sz w:val="20"/>
                <w:szCs w:val="20"/>
              </w:rPr>
            </w:pPr>
            <w:r>
              <w:rPr>
                <w:rFonts w:eastAsia="Times New Roman"/>
                <w:sz w:val="20"/>
                <w:szCs w:val="20"/>
              </w:rPr>
              <w:t>4.3</w:t>
            </w:r>
          </w:p>
        </w:tc>
        <w:tc>
          <w:tcPr>
            <w:tcW w:w="0" w:type="auto"/>
            <w:hideMark/>
          </w:tcPr>
          <w:p w14:paraId="3B3AC25F"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583F7A78" w14:textId="77777777" w:rsidR="00000000" w:rsidRDefault="00087966">
            <w:pPr>
              <w:jc w:val="both"/>
              <w:rPr>
                <w:rFonts w:eastAsia="Times New Roman"/>
                <w:sz w:val="20"/>
                <w:szCs w:val="20"/>
              </w:rPr>
            </w:pPr>
            <w:hyperlink r:id="rId15" w:history="1">
              <w:r>
                <w:rPr>
                  <w:rStyle w:val="a4"/>
                  <w:rFonts w:eastAsia="Times New Roman"/>
                  <w:sz w:val="20"/>
                  <w:szCs w:val="20"/>
                </w:rPr>
                <w:t>Specimen Wa</w:t>
              </w:r>
              <w:r>
                <w:rPr>
                  <w:rStyle w:val="a4"/>
                  <w:rFonts w:eastAsia="Times New Roman"/>
                  <w:sz w:val="20"/>
                  <w:szCs w:val="20"/>
                </w:rPr>
                <w:t>rrant Certificate. (2)</w:t>
              </w:r>
            </w:hyperlink>
          </w:p>
        </w:tc>
      </w:tr>
      <w:tr w:rsidR="00000000" w14:paraId="20BE5FA6" w14:textId="77777777">
        <w:trPr>
          <w:divId w:val="1595479706"/>
        </w:trPr>
        <w:tc>
          <w:tcPr>
            <w:tcW w:w="0" w:type="auto"/>
            <w:shd w:val="clear" w:color="auto" w:fill="CCEEFF"/>
            <w:hideMark/>
          </w:tcPr>
          <w:p w14:paraId="3A248D77" w14:textId="77777777" w:rsidR="00000000" w:rsidRDefault="00087966">
            <w:pPr>
              <w:jc w:val="both"/>
              <w:rPr>
                <w:rFonts w:eastAsia="Times New Roman"/>
                <w:sz w:val="20"/>
                <w:szCs w:val="20"/>
              </w:rPr>
            </w:pPr>
            <w:r>
              <w:rPr>
                <w:rFonts w:eastAsia="Times New Roman"/>
                <w:sz w:val="20"/>
                <w:szCs w:val="20"/>
              </w:rPr>
              <w:t>4.4</w:t>
            </w:r>
          </w:p>
        </w:tc>
        <w:tc>
          <w:tcPr>
            <w:tcW w:w="0" w:type="auto"/>
            <w:shd w:val="clear" w:color="auto" w:fill="CCEEFF"/>
            <w:hideMark/>
          </w:tcPr>
          <w:p w14:paraId="2753E227"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5817B66D" w14:textId="77777777" w:rsidR="00000000" w:rsidRDefault="00087966">
            <w:pPr>
              <w:jc w:val="both"/>
              <w:rPr>
                <w:rFonts w:eastAsia="Times New Roman"/>
                <w:sz w:val="20"/>
                <w:szCs w:val="20"/>
              </w:rPr>
            </w:pPr>
            <w:hyperlink r:id="rId16" w:history="1">
              <w:r>
                <w:rPr>
                  <w:rStyle w:val="a4"/>
                  <w:rFonts w:eastAsia="Times New Roman"/>
                  <w:sz w:val="20"/>
                  <w:szCs w:val="20"/>
                </w:rPr>
                <w:t xml:space="preserve">Warrant Agreement, dated January 6, 2021, by and between the Company and Continental Stock Transfer &amp; Trust Company, </w:t>
              </w:r>
              <w:r>
                <w:rPr>
                  <w:rStyle w:val="a4"/>
                  <w:rFonts w:eastAsia="Times New Roman"/>
                  <w:sz w:val="20"/>
                  <w:szCs w:val="20"/>
                </w:rPr>
                <w:t>as warrant agent. (3)</w:t>
              </w:r>
            </w:hyperlink>
          </w:p>
        </w:tc>
      </w:tr>
      <w:tr w:rsidR="00000000" w14:paraId="1D8605CE" w14:textId="77777777">
        <w:trPr>
          <w:divId w:val="1595479706"/>
        </w:trPr>
        <w:tc>
          <w:tcPr>
            <w:tcW w:w="0" w:type="auto"/>
            <w:hideMark/>
          </w:tcPr>
          <w:p w14:paraId="426813EF" w14:textId="77777777" w:rsidR="00000000" w:rsidRDefault="00087966">
            <w:pPr>
              <w:jc w:val="both"/>
              <w:rPr>
                <w:rFonts w:eastAsia="Times New Roman"/>
                <w:sz w:val="20"/>
                <w:szCs w:val="20"/>
              </w:rPr>
            </w:pPr>
            <w:r>
              <w:rPr>
                <w:rFonts w:eastAsia="Times New Roman"/>
                <w:sz w:val="20"/>
                <w:szCs w:val="20"/>
              </w:rPr>
              <w:t>4.5</w:t>
            </w:r>
          </w:p>
        </w:tc>
        <w:tc>
          <w:tcPr>
            <w:tcW w:w="0" w:type="auto"/>
            <w:hideMark/>
          </w:tcPr>
          <w:p w14:paraId="2DD18D3E"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5B24600F" w14:textId="77777777" w:rsidR="00000000" w:rsidRDefault="00087966">
            <w:pPr>
              <w:jc w:val="both"/>
              <w:rPr>
                <w:rFonts w:eastAsia="Times New Roman"/>
                <w:sz w:val="20"/>
                <w:szCs w:val="20"/>
              </w:rPr>
            </w:pPr>
            <w:hyperlink r:id="rId17" w:history="1">
              <w:r>
                <w:rPr>
                  <w:rStyle w:val="a4"/>
                  <w:rFonts w:eastAsia="Times New Roman"/>
                  <w:sz w:val="20"/>
                  <w:szCs w:val="20"/>
                </w:rPr>
                <w:t>Description of Registered Securities. (4)</w:t>
              </w:r>
            </w:hyperlink>
          </w:p>
        </w:tc>
      </w:tr>
      <w:tr w:rsidR="00000000" w14:paraId="332E18BC" w14:textId="77777777">
        <w:trPr>
          <w:divId w:val="1595479706"/>
        </w:trPr>
        <w:tc>
          <w:tcPr>
            <w:tcW w:w="0" w:type="auto"/>
            <w:shd w:val="clear" w:color="auto" w:fill="CCEEFF"/>
            <w:hideMark/>
          </w:tcPr>
          <w:p w14:paraId="399967F5" w14:textId="77777777" w:rsidR="00000000" w:rsidRDefault="00087966">
            <w:pPr>
              <w:jc w:val="both"/>
              <w:rPr>
                <w:rFonts w:eastAsia="Times New Roman"/>
                <w:sz w:val="20"/>
                <w:szCs w:val="20"/>
              </w:rPr>
            </w:pPr>
            <w:r>
              <w:rPr>
                <w:rFonts w:eastAsia="Times New Roman"/>
                <w:sz w:val="20"/>
                <w:szCs w:val="20"/>
              </w:rPr>
              <w:t>4.6</w:t>
            </w:r>
          </w:p>
        </w:tc>
        <w:tc>
          <w:tcPr>
            <w:tcW w:w="0" w:type="auto"/>
            <w:shd w:val="clear" w:color="auto" w:fill="CCEEFF"/>
            <w:hideMark/>
          </w:tcPr>
          <w:p w14:paraId="4D35FDB7"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2B533BE9" w14:textId="77777777" w:rsidR="00000000" w:rsidRDefault="00087966">
            <w:pPr>
              <w:jc w:val="both"/>
              <w:rPr>
                <w:rFonts w:eastAsia="Times New Roman"/>
                <w:sz w:val="20"/>
                <w:szCs w:val="20"/>
              </w:rPr>
            </w:pPr>
            <w:hyperlink r:id="rId18" w:history="1">
              <w:r>
                <w:rPr>
                  <w:rStyle w:val="a4"/>
                  <w:rFonts w:eastAsia="Times New Roman"/>
                  <w:sz w:val="20"/>
                  <w:szCs w:val="20"/>
                </w:rPr>
                <w:t>Form of Warrant Certificate of Near. (8)</w:t>
              </w:r>
            </w:hyperlink>
          </w:p>
        </w:tc>
      </w:tr>
      <w:tr w:rsidR="00000000" w14:paraId="0EF6E434" w14:textId="77777777">
        <w:trPr>
          <w:divId w:val="1595479706"/>
        </w:trPr>
        <w:tc>
          <w:tcPr>
            <w:tcW w:w="0" w:type="auto"/>
            <w:hideMark/>
          </w:tcPr>
          <w:p w14:paraId="0A77BBE4" w14:textId="77777777" w:rsidR="00000000" w:rsidRDefault="00087966">
            <w:pPr>
              <w:jc w:val="both"/>
              <w:rPr>
                <w:rFonts w:eastAsia="Times New Roman"/>
                <w:sz w:val="20"/>
                <w:szCs w:val="20"/>
              </w:rPr>
            </w:pPr>
            <w:r>
              <w:rPr>
                <w:rFonts w:eastAsia="Times New Roman"/>
                <w:sz w:val="20"/>
                <w:szCs w:val="20"/>
              </w:rPr>
              <w:t>10.1</w:t>
            </w:r>
          </w:p>
        </w:tc>
        <w:tc>
          <w:tcPr>
            <w:tcW w:w="0" w:type="auto"/>
            <w:hideMark/>
          </w:tcPr>
          <w:p w14:paraId="2E6FDA45"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41544A3" w14:textId="77777777" w:rsidR="00000000" w:rsidRDefault="00087966">
            <w:pPr>
              <w:jc w:val="both"/>
              <w:rPr>
                <w:rFonts w:eastAsia="Times New Roman"/>
                <w:sz w:val="20"/>
                <w:szCs w:val="20"/>
              </w:rPr>
            </w:pPr>
            <w:hyperlink r:id="rId19" w:history="1">
              <w:r>
                <w:rPr>
                  <w:rStyle w:val="a4"/>
                  <w:rFonts w:eastAsia="Times New Roman"/>
                  <w:sz w:val="20"/>
                  <w:szCs w:val="20"/>
                </w:rPr>
                <w:t>Letter Agreement, dated January 6, 2021, by and among the Company, its officers and directors and the Sponsor. (3)</w:t>
              </w:r>
            </w:hyperlink>
          </w:p>
        </w:tc>
      </w:tr>
      <w:tr w:rsidR="00000000" w14:paraId="0A194F96" w14:textId="77777777">
        <w:trPr>
          <w:divId w:val="1595479706"/>
        </w:trPr>
        <w:tc>
          <w:tcPr>
            <w:tcW w:w="0" w:type="auto"/>
            <w:shd w:val="clear" w:color="auto" w:fill="CCEEFF"/>
            <w:hideMark/>
          </w:tcPr>
          <w:p w14:paraId="309D6134" w14:textId="77777777" w:rsidR="00000000" w:rsidRDefault="00087966">
            <w:pPr>
              <w:jc w:val="both"/>
              <w:rPr>
                <w:rFonts w:eastAsia="Times New Roman"/>
                <w:sz w:val="20"/>
                <w:szCs w:val="20"/>
              </w:rPr>
            </w:pPr>
            <w:r>
              <w:rPr>
                <w:rFonts w:eastAsia="Times New Roman"/>
                <w:sz w:val="20"/>
                <w:szCs w:val="20"/>
              </w:rPr>
              <w:t>10.2</w:t>
            </w:r>
          </w:p>
        </w:tc>
        <w:tc>
          <w:tcPr>
            <w:tcW w:w="0" w:type="auto"/>
            <w:shd w:val="clear" w:color="auto" w:fill="CCEEFF"/>
            <w:hideMark/>
          </w:tcPr>
          <w:p w14:paraId="20A6D837"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3BC18508" w14:textId="77777777" w:rsidR="00000000" w:rsidRDefault="00087966">
            <w:pPr>
              <w:jc w:val="both"/>
              <w:rPr>
                <w:rFonts w:eastAsia="Times New Roman"/>
                <w:sz w:val="20"/>
                <w:szCs w:val="20"/>
              </w:rPr>
            </w:pPr>
            <w:hyperlink r:id="rId20" w:history="1">
              <w:r>
                <w:rPr>
                  <w:rStyle w:val="a4"/>
                  <w:rFonts w:eastAsia="Times New Roman"/>
                  <w:sz w:val="20"/>
                  <w:szCs w:val="20"/>
                </w:rPr>
                <w:t>Promisso</w:t>
              </w:r>
              <w:r>
                <w:rPr>
                  <w:rStyle w:val="a4"/>
                  <w:rFonts w:eastAsia="Times New Roman"/>
                  <w:sz w:val="20"/>
                  <w:szCs w:val="20"/>
                </w:rPr>
                <w:t>ry Note, dated as of September 24, 2020, issued to the Sponsor. (1)</w:t>
              </w:r>
            </w:hyperlink>
          </w:p>
        </w:tc>
      </w:tr>
      <w:tr w:rsidR="00000000" w14:paraId="2E62AFE5" w14:textId="77777777">
        <w:trPr>
          <w:divId w:val="1595479706"/>
        </w:trPr>
        <w:tc>
          <w:tcPr>
            <w:tcW w:w="0" w:type="auto"/>
            <w:hideMark/>
          </w:tcPr>
          <w:p w14:paraId="080EF281" w14:textId="77777777" w:rsidR="00000000" w:rsidRDefault="00087966">
            <w:pPr>
              <w:jc w:val="both"/>
              <w:rPr>
                <w:rFonts w:eastAsia="Times New Roman"/>
                <w:sz w:val="20"/>
                <w:szCs w:val="20"/>
              </w:rPr>
            </w:pPr>
            <w:r>
              <w:rPr>
                <w:rFonts w:eastAsia="Times New Roman"/>
                <w:sz w:val="20"/>
                <w:szCs w:val="20"/>
              </w:rPr>
              <w:t>10.3</w:t>
            </w:r>
          </w:p>
        </w:tc>
        <w:tc>
          <w:tcPr>
            <w:tcW w:w="0" w:type="auto"/>
            <w:hideMark/>
          </w:tcPr>
          <w:p w14:paraId="4079FD81"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22FF1203" w14:textId="77777777" w:rsidR="00000000" w:rsidRDefault="00087966">
            <w:pPr>
              <w:jc w:val="both"/>
              <w:rPr>
                <w:rFonts w:eastAsia="Times New Roman"/>
                <w:sz w:val="20"/>
                <w:szCs w:val="20"/>
              </w:rPr>
            </w:pPr>
            <w:hyperlink r:id="rId21" w:history="1">
              <w:r>
                <w:rPr>
                  <w:rStyle w:val="a4"/>
                  <w:rFonts w:eastAsia="Times New Roman"/>
                  <w:sz w:val="20"/>
                  <w:szCs w:val="20"/>
                </w:rPr>
                <w:t>Investment Management Trust Agreement, dated January 6, 2021, by and b</w:t>
              </w:r>
              <w:r>
                <w:rPr>
                  <w:rStyle w:val="a4"/>
                  <w:rFonts w:eastAsia="Times New Roman"/>
                  <w:sz w:val="20"/>
                  <w:szCs w:val="20"/>
                </w:rPr>
                <w:t>etween the Company and Continental Stock Transfer &amp; Trust Company, as trustee. (3)</w:t>
              </w:r>
            </w:hyperlink>
          </w:p>
        </w:tc>
      </w:tr>
      <w:tr w:rsidR="00000000" w14:paraId="6AE939C1" w14:textId="77777777">
        <w:trPr>
          <w:divId w:val="1595479706"/>
        </w:trPr>
        <w:tc>
          <w:tcPr>
            <w:tcW w:w="0" w:type="auto"/>
            <w:shd w:val="clear" w:color="auto" w:fill="CCEEFF"/>
            <w:hideMark/>
          </w:tcPr>
          <w:p w14:paraId="1B029D84" w14:textId="77777777" w:rsidR="00000000" w:rsidRDefault="00087966">
            <w:pPr>
              <w:jc w:val="both"/>
              <w:rPr>
                <w:rFonts w:eastAsia="Times New Roman"/>
                <w:sz w:val="20"/>
                <w:szCs w:val="20"/>
              </w:rPr>
            </w:pPr>
            <w:r>
              <w:rPr>
                <w:rFonts w:eastAsia="Times New Roman"/>
                <w:sz w:val="20"/>
                <w:szCs w:val="20"/>
              </w:rPr>
              <w:t>10.4</w:t>
            </w:r>
          </w:p>
        </w:tc>
        <w:tc>
          <w:tcPr>
            <w:tcW w:w="0" w:type="auto"/>
            <w:shd w:val="clear" w:color="auto" w:fill="CCEEFF"/>
            <w:hideMark/>
          </w:tcPr>
          <w:p w14:paraId="4E6182B4"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0DE0249C" w14:textId="77777777" w:rsidR="00000000" w:rsidRDefault="00087966">
            <w:pPr>
              <w:jc w:val="both"/>
              <w:rPr>
                <w:rFonts w:eastAsia="Times New Roman"/>
                <w:sz w:val="20"/>
                <w:szCs w:val="20"/>
              </w:rPr>
            </w:pPr>
            <w:hyperlink r:id="rId22" w:history="1">
              <w:r>
                <w:rPr>
                  <w:rStyle w:val="a4"/>
                  <w:rFonts w:eastAsia="Times New Roman"/>
                  <w:sz w:val="20"/>
                  <w:szCs w:val="20"/>
                </w:rPr>
                <w:t>Registration Rights Agreement, dated January 6, 2021, by and among the Company and certain security holders. (3)</w:t>
              </w:r>
            </w:hyperlink>
          </w:p>
        </w:tc>
      </w:tr>
      <w:tr w:rsidR="00000000" w14:paraId="63817D53" w14:textId="77777777">
        <w:trPr>
          <w:divId w:val="1595479706"/>
        </w:trPr>
        <w:tc>
          <w:tcPr>
            <w:tcW w:w="0" w:type="auto"/>
            <w:hideMark/>
          </w:tcPr>
          <w:p w14:paraId="10598D17" w14:textId="77777777" w:rsidR="00000000" w:rsidRDefault="00087966">
            <w:pPr>
              <w:jc w:val="both"/>
              <w:rPr>
                <w:rFonts w:eastAsia="Times New Roman"/>
                <w:sz w:val="20"/>
                <w:szCs w:val="20"/>
              </w:rPr>
            </w:pPr>
            <w:r>
              <w:rPr>
                <w:rFonts w:eastAsia="Times New Roman"/>
                <w:sz w:val="20"/>
                <w:szCs w:val="20"/>
              </w:rPr>
              <w:t>10.5</w:t>
            </w:r>
          </w:p>
        </w:tc>
        <w:tc>
          <w:tcPr>
            <w:tcW w:w="0" w:type="auto"/>
            <w:hideMark/>
          </w:tcPr>
          <w:p w14:paraId="56865517"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7A7B33DC" w14:textId="77777777" w:rsidR="00000000" w:rsidRDefault="00087966">
            <w:pPr>
              <w:jc w:val="both"/>
              <w:rPr>
                <w:rFonts w:eastAsia="Times New Roman"/>
                <w:sz w:val="20"/>
                <w:szCs w:val="20"/>
              </w:rPr>
            </w:pPr>
            <w:hyperlink r:id="rId23" w:history="1">
              <w:r>
                <w:rPr>
                  <w:rStyle w:val="a4"/>
                  <w:rFonts w:eastAsia="Times New Roman"/>
                  <w:sz w:val="20"/>
                  <w:szCs w:val="20"/>
                </w:rPr>
                <w:t>Securities Subscription Agreement, dated September 24, 2020, between the Company and the Sponsor. (1)</w:t>
              </w:r>
            </w:hyperlink>
          </w:p>
        </w:tc>
      </w:tr>
      <w:tr w:rsidR="00000000" w14:paraId="4F70D6E9" w14:textId="77777777">
        <w:trPr>
          <w:divId w:val="1595479706"/>
        </w:trPr>
        <w:tc>
          <w:tcPr>
            <w:tcW w:w="0" w:type="auto"/>
            <w:shd w:val="clear" w:color="auto" w:fill="CCEEFF"/>
            <w:hideMark/>
          </w:tcPr>
          <w:p w14:paraId="79B1C379" w14:textId="77777777" w:rsidR="00000000" w:rsidRDefault="00087966">
            <w:pPr>
              <w:jc w:val="both"/>
              <w:rPr>
                <w:rFonts w:eastAsia="Times New Roman"/>
                <w:sz w:val="20"/>
                <w:szCs w:val="20"/>
              </w:rPr>
            </w:pPr>
            <w:r>
              <w:rPr>
                <w:rFonts w:eastAsia="Times New Roman"/>
                <w:sz w:val="20"/>
                <w:szCs w:val="20"/>
              </w:rPr>
              <w:t>10.6</w:t>
            </w:r>
          </w:p>
        </w:tc>
        <w:tc>
          <w:tcPr>
            <w:tcW w:w="0" w:type="auto"/>
            <w:shd w:val="clear" w:color="auto" w:fill="CCEEFF"/>
            <w:hideMark/>
          </w:tcPr>
          <w:p w14:paraId="33A4EF7F"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59849C66" w14:textId="77777777" w:rsidR="00000000" w:rsidRDefault="00087966">
            <w:pPr>
              <w:jc w:val="both"/>
              <w:rPr>
                <w:rFonts w:eastAsia="Times New Roman"/>
                <w:sz w:val="20"/>
                <w:szCs w:val="20"/>
              </w:rPr>
            </w:pPr>
            <w:hyperlink r:id="rId24" w:history="1">
              <w:r>
                <w:rPr>
                  <w:rStyle w:val="a4"/>
                  <w:rFonts w:eastAsia="Times New Roman"/>
                  <w:sz w:val="20"/>
                  <w:szCs w:val="20"/>
                </w:rPr>
                <w:t>Private Placement Warrants Purchase Agreement, dated January 6, 2021, by and between the Company and the Sponsor. (3)</w:t>
              </w:r>
            </w:hyperlink>
          </w:p>
        </w:tc>
      </w:tr>
      <w:tr w:rsidR="00000000" w14:paraId="6B055F36" w14:textId="77777777">
        <w:trPr>
          <w:divId w:val="1595479706"/>
        </w:trPr>
        <w:tc>
          <w:tcPr>
            <w:tcW w:w="0" w:type="auto"/>
            <w:hideMark/>
          </w:tcPr>
          <w:p w14:paraId="36F18B07" w14:textId="77777777" w:rsidR="00000000" w:rsidRDefault="00087966">
            <w:pPr>
              <w:jc w:val="both"/>
              <w:rPr>
                <w:rFonts w:eastAsia="Times New Roman"/>
                <w:sz w:val="20"/>
                <w:szCs w:val="20"/>
              </w:rPr>
            </w:pPr>
            <w:r>
              <w:rPr>
                <w:rFonts w:eastAsia="Times New Roman"/>
                <w:sz w:val="20"/>
                <w:szCs w:val="20"/>
              </w:rPr>
              <w:t>10.7</w:t>
            </w:r>
          </w:p>
        </w:tc>
        <w:tc>
          <w:tcPr>
            <w:tcW w:w="0" w:type="auto"/>
            <w:hideMark/>
          </w:tcPr>
          <w:p w14:paraId="6B6F51F9"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28A8B3C5" w14:textId="77777777" w:rsidR="00000000" w:rsidRDefault="00087966">
            <w:pPr>
              <w:jc w:val="both"/>
              <w:rPr>
                <w:rFonts w:eastAsia="Times New Roman"/>
                <w:sz w:val="20"/>
                <w:szCs w:val="20"/>
              </w:rPr>
            </w:pPr>
            <w:hyperlink r:id="rId25" w:history="1">
              <w:r>
                <w:rPr>
                  <w:rStyle w:val="a4"/>
                  <w:rFonts w:eastAsia="Times New Roman"/>
                  <w:sz w:val="20"/>
                  <w:szCs w:val="20"/>
                </w:rPr>
                <w:t>Form of Indemnity Agreement. (2)</w:t>
              </w:r>
            </w:hyperlink>
          </w:p>
        </w:tc>
      </w:tr>
      <w:tr w:rsidR="00000000" w14:paraId="4D2CD21C" w14:textId="77777777">
        <w:trPr>
          <w:divId w:val="1595479706"/>
        </w:trPr>
        <w:tc>
          <w:tcPr>
            <w:tcW w:w="0" w:type="auto"/>
            <w:shd w:val="clear" w:color="auto" w:fill="CCEEFF"/>
            <w:hideMark/>
          </w:tcPr>
          <w:p w14:paraId="482281DE" w14:textId="77777777" w:rsidR="00000000" w:rsidRDefault="00087966">
            <w:pPr>
              <w:jc w:val="both"/>
              <w:rPr>
                <w:rFonts w:eastAsia="Times New Roman"/>
                <w:sz w:val="20"/>
                <w:szCs w:val="20"/>
              </w:rPr>
            </w:pPr>
            <w:r>
              <w:rPr>
                <w:rFonts w:eastAsia="Times New Roman"/>
                <w:sz w:val="20"/>
                <w:szCs w:val="20"/>
              </w:rPr>
              <w:t>10.8</w:t>
            </w:r>
          </w:p>
        </w:tc>
        <w:tc>
          <w:tcPr>
            <w:tcW w:w="0" w:type="auto"/>
            <w:shd w:val="clear" w:color="auto" w:fill="CCEEFF"/>
            <w:hideMark/>
          </w:tcPr>
          <w:p w14:paraId="6EDD072C"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306927E9" w14:textId="77777777" w:rsidR="00000000" w:rsidRDefault="00087966">
            <w:pPr>
              <w:jc w:val="both"/>
              <w:rPr>
                <w:rFonts w:eastAsia="Times New Roman"/>
                <w:sz w:val="20"/>
                <w:szCs w:val="20"/>
              </w:rPr>
            </w:pPr>
            <w:hyperlink r:id="rId26" w:history="1">
              <w:r>
                <w:rPr>
                  <w:rStyle w:val="a4"/>
                  <w:rFonts w:eastAsia="Times New Roman"/>
                  <w:sz w:val="20"/>
                  <w:szCs w:val="20"/>
                </w:rPr>
                <w:t>Promissory Note of the Company, dated as of Janua</w:t>
              </w:r>
              <w:r>
                <w:rPr>
                  <w:rStyle w:val="a4"/>
                  <w:rFonts w:eastAsia="Times New Roman"/>
                  <w:sz w:val="20"/>
                  <w:szCs w:val="20"/>
                </w:rPr>
                <w:t>ry 21, 2022, issued to the Sponsor. (5)</w:t>
              </w:r>
            </w:hyperlink>
          </w:p>
        </w:tc>
      </w:tr>
      <w:tr w:rsidR="00000000" w14:paraId="5D94EE49" w14:textId="77777777">
        <w:trPr>
          <w:divId w:val="1595479706"/>
        </w:trPr>
        <w:tc>
          <w:tcPr>
            <w:tcW w:w="0" w:type="auto"/>
            <w:hideMark/>
          </w:tcPr>
          <w:p w14:paraId="4B856C6A" w14:textId="77777777" w:rsidR="00000000" w:rsidRDefault="00087966">
            <w:pPr>
              <w:jc w:val="both"/>
              <w:rPr>
                <w:rFonts w:eastAsia="Times New Roman"/>
                <w:sz w:val="20"/>
                <w:szCs w:val="20"/>
              </w:rPr>
            </w:pPr>
            <w:r>
              <w:rPr>
                <w:rFonts w:eastAsia="Times New Roman"/>
                <w:sz w:val="20"/>
                <w:szCs w:val="20"/>
              </w:rPr>
              <w:t>10.9</w:t>
            </w:r>
          </w:p>
        </w:tc>
        <w:tc>
          <w:tcPr>
            <w:tcW w:w="0" w:type="auto"/>
            <w:hideMark/>
          </w:tcPr>
          <w:p w14:paraId="589CFC18"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97FF98A" w14:textId="77777777" w:rsidR="00000000" w:rsidRDefault="00087966">
            <w:pPr>
              <w:jc w:val="both"/>
              <w:rPr>
                <w:rFonts w:eastAsia="Times New Roman"/>
                <w:sz w:val="20"/>
                <w:szCs w:val="20"/>
              </w:rPr>
            </w:pPr>
            <w:hyperlink r:id="rId27" w:history="1">
              <w:r>
                <w:rPr>
                  <w:rStyle w:val="a4"/>
                  <w:rFonts w:eastAsia="Times New Roman"/>
                  <w:sz w:val="20"/>
                  <w:szCs w:val="20"/>
                </w:rPr>
                <w:t>Form of Company Stockholder Support Agreement, dated as of May 18, 2022, by and among the Compa</w:t>
              </w:r>
              <w:r>
                <w:rPr>
                  <w:rStyle w:val="a4"/>
                  <w:rFonts w:eastAsia="Times New Roman"/>
                  <w:sz w:val="20"/>
                  <w:szCs w:val="20"/>
                </w:rPr>
                <w:t>ny, Near and each of Near Pte. Ltd. and certain shareholders of Near Pte. Ltd. (6)</w:t>
              </w:r>
            </w:hyperlink>
          </w:p>
        </w:tc>
      </w:tr>
      <w:tr w:rsidR="00000000" w14:paraId="593A20A9" w14:textId="77777777">
        <w:trPr>
          <w:divId w:val="1595479706"/>
        </w:trPr>
        <w:tc>
          <w:tcPr>
            <w:tcW w:w="0" w:type="auto"/>
            <w:shd w:val="clear" w:color="auto" w:fill="CCEEFF"/>
            <w:hideMark/>
          </w:tcPr>
          <w:p w14:paraId="3586477A" w14:textId="77777777" w:rsidR="00000000" w:rsidRDefault="00087966">
            <w:pPr>
              <w:jc w:val="both"/>
              <w:rPr>
                <w:rFonts w:eastAsia="Times New Roman"/>
                <w:sz w:val="20"/>
                <w:szCs w:val="20"/>
              </w:rPr>
            </w:pPr>
            <w:r>
              <w:rPr>
                <w:rFonts w:eastAsia="Times New Roman"/>
                <w:sz w:val="20"/>
                <w:szCs w:val="20"/>
              </w:rPr>
              <w:t>10.10</w:t>
            </w:r>
          </w:p>
        </w:tc>
        <w:tc>
          <w:tcPr>
            <w:tcW w:w="0" w:type="auto"/>
            <w:shd w:val="clear" w:color="auto" w:fill="CCEEFF"/>
            <w:hideMark/>
          </w:tcPr>
          <w:p w14:paraId="7B70EECE"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36864CB9" w14:textId="77777777" w:rsidR="00000000" w:rsidRDefault="00087966">
            <w:pPr>
              <w:jc w:val="both"/>
              <w:rPr>
                <w:rFonts w:eastAsia="Times New Roman"/>
                <w:sz w:val="20"/>
                <w:szCs w:val="20"/>
              </w:rPr>
            </w:pPr>
            <w:hyperlink r:id="rId28" w:history="1">
              <w:r>
                <w:rPr>
                  <w:rStyle w:val="a4"/>
                  <w:rFonts w:eastAsia="Times New Roman"/>
                  <w:sz w:val="20"/>
                  <w:szCs w:val="20"/>
                </w:rPr>
                <w:t xml:space="preserve">Form of Sponsor Support Agreement, dated as of May </w:t>
              </w:r>
              <w:r>
                <w:rPr>
                  <w:rStyle w:val="a4"/>
                  <w:rFonts w:eastAsia="Times New Roman"/>
                  <w:sz w:val="20"/>
                  <w:szCs w:val="20"/>
                </w:rPr>
                <w:t>18, 2022, by and among the Company, Near and the Sponsor. (6)</w:t>
              </w:r>
            </w:hyperlink>
          </w:p>
        </w:tc>
      </w:tr>
      <w:tr w:rsidR="00000000" w14:paraId="70A104A5" w14:textId="77777777">
        <w:trPr>
          <w:divId w:val="1595479706"/>
        </w:trPr>
        <w:tc>
          <w:tcPr>
            <w:tcW w:w="0" w:type="auto"/>
            <w:hideMark/>
          </w:tcPr>
          <w:p w14:paraId="2603C9DD" w14:textId="77777777" w:rsidR="00000000" w:rsidRDefault="00087966">
            <w:pPr>
              <w:jc w:val="both"/>
              <w:rPr>
                <w:rFonts w:eastAsia="Times New Roman"/>
                <w:sz w:val="20"/>
                <w:szCs w:val="20"/>
              </w:rPr>
            </w:pPr>
            <w:r>
              <w:rPr>
                <w:rFonts w:eastAsia="Times New Roman"/>
                <w:sz w:val="20"/>
                <w:szCs w:val="20"/>
              </w:rPr>
              <w:t>10.11</w:t>
            </w:r>
          </w:p>
        </w:tc>
        <w:tc>
          <w:tcPr>
            <w:tcW w:w="0" w:type="auto"/>
            <w:hideMark/>
          </w:tcPr>
          <w:p w14:paraId="7A63EE49"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66B95FE7" w14:textId="77777777" w:rsidR="00000000" w:rsidRDefault="00087966">
            <w:pPr>
              <w:jc w:val="both"/>
              <w:rPr>
                <w:rFonts w:eastAsia="Times New Roman"/>
                <w:sz w:val="20"/>
                <w:szCs w:val="20"/>
              </w:rPr>
            </w:pPr>
            <w:hyperlink r:id="rId29" w:history="1">
              <w:r>
                <w:rPr>
                  <w:rStyle w:val="a4"/>
                  <w:rFonts w:eastAsia="Times New Roman"/>
                  <w:sz w:val="20"/>
                  <w:szCs w:val="20"/>
                </w:rPr>
                <w:t>Form of Lock-Up Agreement, effective as of May 18, 2022, by and among the Company and each of shareholders of Near Pte. Ltd. (who will become s</w:t>
              </w:r>
              <w:r>
                <w:rPr>
                  <w:rStyle w:val="a4"/>
                  <w:rFonts w:eastAsia="Times New Roman"/>
                  <w:sz w:val="20"/>
                  <w:szCs w:val="20"/>
                </w:rPr>
                <w:t>tockholders of Near after the Reorganization) and certain senior officers of Near. (6)</w:t>
              </w:r>
            </w:hyperlink>
          </w:p>
        </w:tc>
      </w:tr>
      <w:tr w:rsidR="00000000" w14:paraId="0963D572" w14:textId="77777777">
        <w:trPr>
          <w:divId w:val="1595479706"/>
        </w:trPr>
        <w:tc>
          <w:tcPr>
            <w:tcW w:w="0" w:type="auto"/>
            <w:shd w:val="clear" w:color="auto" w:fill="CCEEFF"/>
            <w:hideMark/>
          </w:tcPr>
          <w:p w14:paraId="6C3C2513" w14:textId="77777777" w:rsidR="00000000" w:rsidRDefault="00087966">
            <w:pPr>
              <w:jc w:val="both"/>
              <w:rPr>
                <w:rFonts w:eastAsia="Times New Roman"/>
                <w:sz w:val="20"/>
                <w:szCs w:val="20"/>
              </w:rPr>
            </w:pPr>
            <w:r>
              <w:rPr>
                <w:rFonts w:eastAsia="Times New Roman"/>
                <w:sz w:val="20"/>
                <w:szCs w:val="20"/>
              </w:rPr>
              <w:t>10.12</w:t>
            </w:r>
          </w:p>
        </w:tc>
        <w:tc>
          <w:tcPr>
            <w:tcW w:w="0" w:type="auto"/>
            <w:shd w:val="clear" w:color="auto" w:fill="CCEEFF"/>
            <w:hideMark/>
          </w:tcPr>
          <w:p w14:paraId="5A6742E9"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467ECBF8" w14:textId="77777777" w:rsidR="00000000" w:rsidRDefault="00087966">
            <w:pPr>
              <w:jc w:val="both"/>
              <w:rPr>
                <w:rFonts w:eastAsia="Times New Roman"/>
                <w:sz w:val="20"/>
                <w:szCs w:val="20"/>
              </w:rPr>
            </w:pPr>
            <w:hyperlink r:id="rId30" w:history="1">
              <w:r>
                <w:rPr>
                  <w:rStyle w:val="a4"/>
                  <w:rFonts w:eastAsia="Times New Roman"/>
                  <w:sz w:val="20"/>
                  <w:szCs w:val="20"/>
                </w:rPr>
                <w:t>Form of Non-Competition and Non-Solicitation Ag</w:t>
              </w:r>
              <w:r>
                <w:rPr>
                  <w:rStyle w:val="a4"/>
                  <w:rFonts w:eastAsia="Times New Roman"/>
                  <w:sz w:val="20"/>
                  <w:szCs w:val="20"/>
                </w:rPr>
                <w:t>reement, effective as of May 18, 2022, by and among the Company, Near and certain individuals party thereto. (6)</w:t>
              </w:r>
            </w:hyperlink>
          </w:p>
        </w:tc>
      </w:tr>
      <w:tr w:rsidR="00000000" w14:paraId="10C468F7" w14:textId="77777777">
        <w:trPr>
          <w:divId w:val="1595479706"/>
        </w:trPr>
        <w:tc>
          <w:tcPr>
            <w:tcW w:w="0" w:type="auto"/>
            <w:hideMark/>
          </w:tcPr>
          <w:p w14:paraId="56001C8D" w14:textId="77777777" w:rsidR="00000000" w:rsidRDefault="00087966">
            <w:pPr>
              <w:jc w:val="both"/>
              <w:rPr>
                <w:rFonts w:eastAsia="Times New Roman"/>
                <w:sz w:val="20"/>
                <w:szCs w:val="20"/>
              </w:rPr>
            </w:pPr>
            <w:r>
              <w:rPr>
                <w:rFonts w:eastAsia="Times New Roman"/>
                <w:sz w:val="20"/>
                <w:szCs w:val="20"/>
              </w:rPr>
              <w:t>10.13</w:t>
            </w:r>
          </w:p>
        </w:tc>
        <w:tc>
          <w:tcPr>
            <w:tcW w:w="0" w:type="auto"/>
            <w:hideMark/>
          </w:tcPr>
          <w:p w14:paraId="5D543885"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0309245B" w14:textId="77777777" w:rsidR="00000000" w:rsidRDefault="00087966">
            <w:pPr>
              <w:jc w:val="both"/>
              <w:rPr>
                <w:rFonts w:eastAsia="Times New Roman"/>
                <w:sz w:val="20"/>
                <w:szCs w:val="20"/>
              </w:rPr>
            </w:pPr>
            <w:hyperlink r:id="rId31" w:history="1">
              <w:r>
                <w:rPr>
                  <w:rStyle w:val="a4"/>
                  <w:rFonts w:eastAsia="Times New Roman"/>
                  <w:sz w:val="20"/>
                  <w:szCs w:val="20"/>
                </w:rPr>
                <w:t>Form of Amended and R</w:t>
              </w:r>
              <w:r>
                <w:rPr>
                  <w:rStyle w:val="a4"/>
                  <w:rFonts w:eastAsia="Times New Roman"/>
                  <w:sz w:val="20"/>
                  <w:szCs w:val="20"/>
                </w:rPr>
                <w:t>estated Registration Rights Agreement by and between the Company and the other parties thereto. (6)</w:t>
              </w:r>
            </w:hyperlink>
          </w:p>
        </w:tc>
      </w:tr>
    </w:tbl>
    <w:p w14:paraId="59FB7E29" w14:textId="77777777" w:rsidR="00000000" w:rsidRDefault="00087966">
      <w:pPr>
        <w:pStyle w:val="a3"/>
        <w:spacing w:before="0" w:beforeAutospacing="0" w:after="0" w:afterAutospacing="0"/>
        <w:divId w:val="1595479706"/>
        <w:rPr>
          <w:sz w:val="20"/>
          <w:szCs w:val="20"/>
        </w:rPr>
      </w:pPr>
      <w:r>
        <w:rPr>
          <w:sz w:val="20"/>
          <w:szCs w:val="20"/>
        </w:rPr>
        <w:t> </w:t>
      </w:r>
    </w:p>
    <w:p w14:paraId="2023BEBE" w14:textId="77777777" w:rsidR="00000000" w:rsidRDefault="00087966">
      <w:pPr>
        <w:pStyle w:val="a3"/>
        <w:spacing w:before="0" w:beforeAutospacing="0" w:after="0" w:afterAutospacing="0"/>
        <w:jc w:val="center"/>
        <w:divId w:val="1627660971"/>
        <w:rPr>
          <w:sz w:val="20"/>
          <w:szCs w:val="20"/>
        </w:rPr>
      </w:pPr>
      <w:r>
        <w:rPr>
          <w:sz w:val="20"/>
          <w:szCs w:val="20"/>
        </w:rPr>
        <w:t>5</w:t>
      </w:r>
      <w:r>
        <w:rPr>
          <w:sz w:val="20"/>
          <w:szCs w:val="20"/>
        </w:rPr>
        <w:t>3</w:t>
      </w:r>
    </w:p>
    <w:p w14:paraId="16593C51" w14:textId="77777777" w:rsidR="00000000" w:rsidRDefault="00087966">
      <w:pPr>
        <w:pStyle w:val="a3"/>
        <w:spacing w:before="0" w:beforeAutospacing="0" w:after="0" w:afterAutospacing="0"/>
        <w:divId w:val="253367655"/>
        <w:rPr>
          <w:sz w:val="20"/>
          <w:szCs w:val="20"/>
        </w:rPr>
      </w:pPr>
      <w:r>
        <w:rPr>
          <w:sz w:val="20"/>
          <w:szCs w:val="20"/>
        </w:rPr>
        <w:t> </w:t>
      </w:r>
    </w:p>
    <w:p w14:paraId="786BB93A" w14:textId="77777777" w:rsidR="00000000" w:rsidRDefault="00087966">
      <w:pPr>
        <w:pStyle w:val="a3"/>
        <w:spacing w:before="0" w:beforeAutospacing="0" w:after="0" w:afterAutospacing="0"/>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82"/>
        <w:gridCol w:w="7474"/>
      </w:tblGrid>
      <w:tr w:rsidR="00000000" w14:paraId="6E59F23F" w14:textId="77777777">
        <w:trPr>
          <w:divId w:val="1595479706"/>
        </w:trPr>
        <w:tc>
          <w:tcPr>
            <w:tcW w:w="450" w:type="pct"/>
            <w:shd w:val="clear" w:color="auto" w:fill="CCEEFF"/>
            <w:hideMark/>
          </w:tcPr>
          <w:p w14:paraId="57ADE30D" w14:textId="77777777" w:rsidR="00000000" w:rsidRDefault="00087966">
            <w:pPr>
              <w:jc w:val="both"/>
              <w:rPr>
                <w:rFonts w:eastAsia="Times New Roman"/>
                <w:sz w:val="20"/>
                <w:szCs w:val="20"/>
              </w:rPr>
            </w:pPr>
            <w:r>
              <w:rPr>
                <w:rFonts w:eastAsia="Times New Roman"/>
                <w:sz w:val="20"/>
                <w:szCs w:val="20"/>
              </w:rPr>
              <w:t>10.14</w:t>
            </w:r>
          </w:p>
        </w:tc>
        <w:tc>
          <w:tcPr>
            <w:tcW w:w="50" w:type="pct"/>
            <w:shd w:val="clear" w:color="auto" w:fill="CCEEFF"/>
            <w:hideMark/>
          </w:tcPr>
          <w:p w14:paraId="44EC42AA" w14:textId="77777777" w:rsidR="00000000" w:rsidRDefault="00087966">
            <w:pPr>
              <w:jc w:val="both"/>
              <w:rPr>
                <w:rFonts w:eastAsia="Times New Roman"/>
                <w:sz w:val="20"/>
                <w:szCs w:val="20"/>
              </w:rPr>
            </w:pPr>
            <w:r>
              <w:rPr>
                <w:rFonts w:eastAsia="Times New Roman"/>
                <w:sz w:val="20"/>
                <w:szCs w:val="20"/>
              </w:rPr>
              <w:t> </w:t>
            </w:r>
          </w:p>
        </w:tc>
        <w:tc>
          <w:tcPr>
            <w:tcW w:w="4500" w:type="pct"/>
            <w:shd w:val="clear" w:color="auto" w:fill="CCEEFF"/>
            <w:hideMark/>
          </w:tcPr>
          <w:p w14:paraId="36C63E8A" w14:textId="77777777" w:rsidR="00000000" w:rsidRDefault="00087966">
            <w:pPr>
              <w:jc w:val="both"/>
              <w:rPr>
                <w:rFonts w:eastAsia="Times New Roman"/>
                <w:sz w:val="20"/>
                <w:szCs w:val="20"/>
              </w:rPr>
            </w:pPr>
            <w:hyperlink r:id="rId32" w:history="1">
              <w:r>
                <w:rPr>
                  <w:rStyle w:val="a4"/>
                  <w:rFonts w:eastAsia="Times New Roman"/>
                  <w:sz w:val="20"/>
                  <w:szCs w:val="20"/>
                </w:rPr>
                <w:t>Common Stock Purchase Agr</w:t>
              </w:r>
              <w:r>
                <w:rPr>
                  <w:rStyle w:val="a4"/>
                  <w:rFonts w:eastAsia="Times New Roman"/>
                  <w:sz w:val="20"/>
                  <w:szCs w:val="20"/>
                </w:rPr>
                <w:t>eement, dated as of May 18, 2022, by and between the Company and CF Principal Investments LLC. (6)</w:t>
              </w:r>
            </w:hyperlink>
          </w:p>
        </w:tc>
      </w:tr>
      <w:tr w:rsidR="00000000" w14:paraId="72A19F74" w14:textId="77777777">
        <w:trPr>
          <w:divId w:val="1595479706"/>
        </w:trPr>
        <w:tc>
          <w:tcPr>
            <w:tcW w:w="0" w:type="auto"/>
            <w:hideMark/>
          </w:tcPr>
          <w:p w14:paraId="0BAF4AFC" w14:textId="77777777" w:rsidR="00000000" w:rsidRDefault="00087966">
            <w:pPr>
              <w:jc w:val="both"/>
              <w:rPr>
                <w:rFonts w:eastAsia="Times New Roman"/>
                <w:sz w:val="20"/>
                <w:szCs w:val="20"/>
              </w:rPr>
            </w:pPr>
            <w:r>
              <w:rPr>
                <w:rFonts w:eastAsia="Times New Roman"/>
                <w:sz w:val="20"/>
                <w:szCs w:val="20"/>
              </w:rPr>
              <w:t>10.15</w:t>
            </w:r>
          </w:p>
        </w:tc>
        <w:tc>
          <w:tcPr>
            <w:tcW w:w="0" w:type="auto"/>
            <w:hideMark/>
          </w:tcPr>
          <w:p w14:paraId="5EDC4ED5"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44C91E71" w14:textId="77777777" w:rsidR="00000000" w:rsidRDefault="00087966">
            <w:pPr>
              <w:jc w:val="both"/>
              <w:rPr>
                <w:rFonts w:eastAsia="Times New Roman"/>
                <w:sz w:val="20"/>
                <w:szCs w:val="20"/>
              </w:rPr>
            </w:pPr>
            <w:hyperlink r:id="rId33" w:history="1">
              <w:r>
                <w:rPr>
                  <w:rStyle w:val="a4"/>
                  <w:rFonts w:eastAsia="Times New Roman"/>
                  <w:sz w:val="20"/>
                  <w:szCs w:val="20"/>
                </w:rPr>
                <w:t>Registration Rights Agreement, dated as of May 18, 2022, by and between the Company and CF Principal Investments LLC. (6)</w:t>
              </w:r>
            </w:hyperlink>
          </w:p>
        </w:tc>
      </w:tr>
      <w:tr w:rsidR="00000000" w14:paraId="1CC484D4" w14:textId="77777777">
        <w:trPr>
          <w:divId w:val="1595479706"/>
        </w:trPr>
        <w:tc>
          <w:tcPr>
            <w:tcW w:w="0" w:type="auto"/>
            <w:shd w:val="clear" w:color="auto" w:fill="CCEEFF"/>
            <w:hideMark/>
          </w:tcPr>
          <w:p w14:paraId="3D6F0D24" w14:textId="77777777" w:rsidR="00000000" w:rsidRDefault="00087966">
            <w:pPr>
              <w:jc w:val="both"/>
              <w:rPr>
                <w:rFonts w:eastAsia="Times New Roman"/>
                <w:sz w:val="20"/>
                <w:szCs w:val="20"/>
              </w:rPr>
            </w:pPr>
            <w:r>
              <w:rPr>
                <w:rFonts w:eastAsia="Times New Roman"/>
                <w:sz w:val="20"/>
                <w:szCs w:val="20"/>
              </w:rPr>
              <w:t>10.16</w:t>
            </w:r>
          </w:p>
        </w:tc>
        <w:tc>
          <w:tcPr>
            <w:tcW w:w="0" w:type="auto"/>
            <w:shd w:val="clear" w:color="auto" w:fill="CCEEFF"/>
            <w:hideMark/>
          </w:tcPr>
          <w:p w14:paraId="6857FC69"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127B3C49" w14:textId="77777777" w:rsidR="00000000" w:rsidRDefault="00087966">
            <w:pPr>
              <w:jc w:val="both"/>
              <w:rPr>
                <w:rFonts w:eastAsia="Times New Roman"/>
                <w:sz w:val="20"/>
                <w:szCs w:val="20"/>
              </w:rPr>
            </w:pPr>
            <w:hyperlink r:id="rId34" w:history="1">
              <w:r>
                <w:rPr>
                  <w:rStyle w:val="a4"/>
                  <w:rFonts w:eastAsia="Times New Roman"/>
                  <w:sz w:val="20"/>
                  <w:szCs w:val="20"/>
                </w:rPr>
                <w:t>Promissory Note issued to the Sponsor. (7)</w:t>
              </w:r>
            </w:hyperlink>
          </w:p>
        </w:tc>
      </w:tr>
      <w:tr w:rsidR="00000000" w14:paraId="3FCD3776" w14:textId="77777777">
        <w:trPr>
          <w:divId w:val="1595479706"/>
        </w:trPr>
        <w:tc>
          <w:tcPr>
            <w:tcW w:w="0" w:type="auto"/>
            <w:hideMark/>
          </w:tcPr>
          <w:p w14:paraId="3A28775B" w14:textId="77777777" w:rsidR="00000000" w:rsidRDefault="00087966">
            <w:pPr>
              <w:jc w:val="both"/>
              <w:rPr>
                <w:rFonts w:eastAsia="Times New Roman"/>
                <w:sz w:val="20"/>
                <w:szCs w:val="20"/>
              </w:rPr>
            </w:pPr>
            <w:r>
              <w:rPr>
                <w:rFonts w:eastAsia="Times New Roman"/>
                <w:sz w:val="20"/>
                <w:szCs w:val="20"/>
              </w:rPr>
              <w:t>10.17</w:t>
            </w:r>
          </w:p>
        </w:tc>
        <w:tc>
          <w:tcPr>
            <w:tcW w:w="0" w:type="auto"/>
            <w:hideMark/>
          </w:tcPr>
          <w:p w14:paraId="3D77BCB2"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58EBBF3" w14:textId="77777777" w:rsidR="00000000" w:rsidRDefault="00087966">
            <w:pPr>
              <w:jc w:val="both"/>
              <w:rPr>
                <w:rFonts w:eastAsia="Times New Roman"/>
                <w:sz w:val="20"/>
                <w:szCs w:val="20"/>
              </w:rPr>
            </w:pPr>
            <w:hyperlink r:id="rId35" w:history="1">
              <w:r>
                <w:rPr>
                  <w:rStyle w:val="a4"/>
                  <w:rFonts w:eastAsia="Times New Roman"/>
                  <w:sz w:val="20"/>
                  <w:szCs w:val="20"/>
                </w:rPr>
                <w:t>Promissory Note issued to Near. (9)</w:t>
              </w:r>
            </w:hyperlink>
          </w:p>
        </w:tc>
      </w:tr>
      <w:tr w:rsidR="00000000" w14:paraId="099CE798" w14:textId="77777777">
        <w:trPr>
          <w:divId w:val="1595479706"/>
        </w:trPr>
        <w:tc>
          <w:tcPr>
            <w:tcW w:w="0" w:type="auto"/>
            <w:shd w:val="clear" w:color="auto" w:fill="CCEEFF"/>
            <w:hideMark/>
          </w:tcPr>
          <w:p w14:paraId="3ED59012" w14:textId="77777777" w:rsidR="00000000" w:rsidRDefault="00087966">
            <w:pPr>
              <w:jc w:val="both"/>
              <w:rPr>
                <w:rFonts w:eastAsia="Times New Roman"/>
                <w:sz w:val="20"/>
                <w:szCs w:val="20"/>
              </w:rPr>
            </w:pPr>
            <w:r>
              <w:rPr>
                <w:rFonts w:eastAsia="Times New Roman"/>
                <w:sz w:val="20"/>
                <w:szCs w:val="20"/>
              </w:rPr>
              <w:t>10.18</w:t>
            </w:r>
          </w:p>
        </w:tc>
        <w:tc>
          <w:tcPr>
            <w:tcW w:w="0" w:type="auto"/>
            <w:shd w:val="clear" w:color="auto" w:fill="CCEEFF"/>
            <w:hideMark/>
          </w:tcPr>
          <w:p w14:paraId="2204D317"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2E22D6F3" w14:textId="77777777" w:rsidR="00000000" w:rsidRDefault="00087966">
            <w:pPr>
              <w:jc w:val="both"/>
              <w:rPr>
                <w:rFonts w:eastAsia="Times New Roman"/>
                <w:sz w:val="20"/>
                <w:szCs w:val="20"/>
              </w:rPr>
            </w:pPr>
            <w:hyperlink r:id="rId36" w:history="1">
              <w:r>
                <w:rPr>
                  <w:rStyle w:val="a4"/>
                  <w:rFonts w:eastAsia="Times New Roman"/>
                  <w:sz w:val="20"/>
                  <w:szCs w:val="20"/>
                </w:rPr>
                <w:t>Amendment No. 1 to Sponsor Support Agreement, dated as of December 23, 2022, by and among the Com</w:t>
              </w:r>
              <w:r>
                <w:rPr>
                  <w:rStyle w:val="a4"/>
                  <w:rFonts w:eastAsia="Times New Roman"/>
                  <w:sz w:val="20"/>
                  <w:szCs w:val="20"/>
                </w:rPr>
                <w:t>pany, Near and the Sponsor. (10)</w:t>
              </w:r>
            </w:hyperlink>
          </w:p>
        </w:tc>
      </w:tr>
      <w:tr w:rsidR="00000000" w14:paraId="1DB34AB8" w14:textId="77777777">
        <w:trPr>
          <w:divId w:val="1595479706"/>
        </w:trPr>
        <w:tc>
          <w:tcPr>
            <w:tcW w:w="0" w:type="auto"/>
            <w:hideMark/>
          </w:tcPr>
          <w:p w14:paraId="636D785A" w14:textId="77777777" w:rsidR="00000000" w:rsidRDefault="00087966">
            <w:pPr>
              <w:jc w:val="both"/>
              <w:rPr>
                <w:rFonts w:eastAsia="Times New Roman"/>
                <w:sz w:val="20"/>
                <w:szCs w:val="20"/>
              </w:rPr>
            </w:pPr>
            <w:r>
              <w:rPr>
                <w:rFonts w:eastAsia="Times New Roman"/>
                <w:sz w:val="20"/>
                <w:szCs w:val="20"/>
              </w:rPr>
              <w:t>14</w:t>
            </w:r>
          </w:p>
        </w:tc>
        <w:tc>
          <w:tcPr>
            <w:tcW w:w="0" w:type="auto"/>
            <w:hideMark/>
          </w:tcPr>
          <w:p w14:paraId="79AEEF21"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4718CE68" w14:textId="77777777" w:rsidR="00000000" w:rsidRDefault="00087966">
            <w:pPr>
              <w:jc w:val="both"/>
              <w:rPr>
                <w:rFonts w:eastAsia="Times New Roman"/>
                <w:sz w:val="20"/>
                <w:szCs w:val="20"/>
              </w:rPr>
            </w:pPr>
            <w:hyperlink r:id="rId37" w:history="1">
              <w:r>
                <w:rPr>
                  <w:rStyle w:val="a4"/>
                  <w:rFonts w:eastAsia="Times New Roman"/>
                  <w:sz w:val="20"/>
                  <w:szCs w:val="20"/>
                </w:rPr>
                <w:t>Code of Ethics. (2)</w:t>
              </w:r>
            </w:hyperlink>
          </w:p>
        </w:tc>
      </w:tr>
      <w:tr w:rsidR="00000000" w14:paraId="2ECC6A9A" w14:textId="77777777">
        <w:trPr>
          <w:divId w:val="1595479706"/>
        </w:trPr>
        <w:tc>
          <w:tcPr>
            <w:tcW w:w="0" w:type="auto"/>
            <w:shd w:val="clear" w:color="auto" w:fill="CCEEFF"/>
            <w:hideMark/>
          </w:tcPr>
          <w:p w14:paraId="02462DA5" w14:textId="77777777" w:rsidR="00000000" w:rsidRDefault="00087966">
            <w:pPr>
              <w:jc w:val="both"/>
              <w:rPr>
                <w:rFonts w:eastAsia="Times New Roman"/>
                <w:sz w:val="20"/>
                <w:szCs w:val="20"/>
              </w:rPr>
            </w:pPr>
            <w:r>
              <w:rPr>
                <w:rFonts w:eastAsia="Times New Roman"/>
                <w:sz w:val="20"/>
                <w:szCs w:val="20"/>
              </w:rPr>
              <w:t>21</w:t>
            </w:r>
          </w:p>
        </w:tc>
        <w:tc>
          <w:tcPr>
            <w:tcW w:w="0" w:type="auto"/>
            <w:shd w:val="clear" w:color="auto" w:fill="CCEEFF"/>
            <w:hideMark/>
          </w:tcPr>
          <w:p w14:paraId="5951BA47"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2F641D7F" w14:textId="77777777" w:rsidR="00000000" w:rsidRDefault="00087966">
            <w:pPr>
              <w:jc w:val="both"/>
              <w:rPr>
                <w:rFonts w:eastAsia="Times New Roman"/>
                <w:sz w:val="20"/>
                <w:szCs w:val="20"/>
              </w:rPr>
            </w:pPr>
            <w:hyperlink r:id="rId38" w:history="1">
              <w:r>
                <w:rPr>
                  <w:rStyle w:val="a4"/>
                  <w:rFonts w:eastAsia="Times New Roman"/>
                  <w:sz w:val="20"/>
                  <w:szCs w:val="20"/>
                </w:rPr>
                <w:t>List of Subsidiaries*</w:t>
              </w:r>
            </w:hyperlink>
          </w:p>
        </w:tc>
      </w:tr>
      <w:tr w:rsidR="00000000" w14:paraId="3F5E05F4" w14:textId="77777777">
        <w:trPr>
          <w:divId w:val="1595479706"/>
        </w:trPr>
        <w:tc>
          <w:tcPr>
            <w:tcW w:w="0" w:type="auto"/>
            <w:hideMark/>
          </w:tcPr>
          <w:p w14:paraId="73226B23" w14:textId="77777777" w:rsidR="00000000" w:rsidRDefault="00087966">
            <w:pPr>
              <w:jc w:val="both"/>
              <w:rPr>
                <w:rFonts w:eastAsia="Times New Roman"/>
                <w:sz w:val="20"/>
                <w:szCs w:val="20"/>
              </w:rPr>
            </w:pPr>
            <w:r>
              <w:rPr>
                <w:rFonts w:eastAsia="Times New Roman"/>
                <w:sz w:val="20"/>
                <w:szCs w:val="20"/>
              </w:rPr>
              <w:t>31.1</w:t>
            </w:r>
          </w:p>
        </w:tc>
        <w:tc>
          <w:tcPr>
            <w:tcW w:w="0" w:type="auto"/>
            <w:hideMark/>
          </w:tcPr>
          <w:p w14:paraId="0A750BB7"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474F1178" w14:textId="77777777" w:rsidR="00000000" w:rsidRDefault="00087966">
            <w:pPr>
              <w:jc w:val="both"/>
              <w:rPr>
                <w:rFonts w:eastAsia="Times New Roman"/>
                <w:sz w:val="20"/>
                <w:szCs w:val="20"/>
              </w:rPr>
            </w:pPr>
            <w:hyperlink r:id="rId39" w:history="1">
              <w:r>
                <w:rPr>
                  <w:rStyle w:val="a4"/>
                  <w:rFonts w:eastAsia="Times New Roman"/>
                  <w:sz w:val="20"/>
                  <w:szCs w:val="20"/>
                </w:rPr>
                <w:t xml:space="preserve">Certification of the Principal </w:t>
              </w:r>
              <w:r>
                <w:rPr>
                  <w:rStyle w:val="a4"/>
                  <w:rFonts w:eastAsia="Times New Roman"/>
                  <w:sz w:val="20"/>
                  <w:szCs w:val="20"/>
                </w:rPr>
                <w:t>Executive Officer pursuant to Rule 13a-14(a) and Rule 15d-14(a) under the Securities Exchange Act of 1934, as adopted pursuant to Section 302 of the Sarbanes-Oxley Act of 2002.*</w:t>
              </w:r>
            </w:hyperlink>
          </w:p>
        </w:tc>
      </w:tr>
      <w:tr w:rsidR="00000000" w14:paraId="53F67EA9" w14:textId="77777777">
        <w:trPr>
          <w:divId w:val="1595479706"/>
        </w:trPr>
        <w:tc>
          <w:tcPr>
            <w:tcW w:w="0" w:type="auto"/>
            <w:shd w:val="clear" w:color="auto" w:fill="CCEEFF"/>
            <w:hideMark/>
          </w:tcPr>
          <w:p w14:paraId="151747EC" w14:textId="77777777" w:rsidR="00000000" w:rsidRDefault="00087966">
            <w:pPr>
              <w:jc w:val="both"/>
              <w:rPr>
                <w:rFonts w:eastAsia="Times New Roman"/>
                <w:sz w:val="20"/>
                <w:szCs w:val="20"/>
              </w:rPr>
            </w:pPr>
            <w:r>
              <w:rPr>
                <w:rFonts w:eastAsia="Times New Roman"/>
                <w:sz w:val="20"/>
                <w:szCs w:val="20"/>
              </w:rPr>
              <w:t>31.2</w:t>
            </w:r>
          </w:p>
        </w:tc>
        <w:tc>
          <w:tcPr>
            <w:tcW w:w="0" w:type="auto"/>
            <w:shd w:val="clear" w:color="auto" w:fill="CCEEFF"/>
            <w:hideMark/>
          </w:tcPr>
          <w:p w14:paraId="392ED9E3"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5569B94C" w14:textId="77777777" w:rsidR="00000000" w:rsidRDefault="00087966">
            <w:pPr>
              <w:jc w:val="both"/>
              <w:rPr>
                <w:rFonts w:eastAsia="Times New Roman"/>
                <w:sz w:val="20"/>
                <w:szCs w:val="20"/>
              </w:rPr>
            </w:pPr>
            <w:hyperlink r:id="rId40" w:history="1">
              <w:r>
                <w:rPr>
                  <w:rStyle w:val="a4"/>
                  <w:rFonts w:eastAsia="Times New Roman"/>
                  <w:sz w:val="20"/>
                  <w:szCs w:val="20"/>
                </w:rPr>
                <w:t>Certification of the Pr</w:t>
              </w:r>
              <w:r>
                <w:rPr>
                  <w:rStyle w:val="a4"/>
                  <w:rFonts w:eastAsia="Times New Roman"/>
                  <w:sz w:val="20"/>
                  <w:szCs w:val="20"/>
                </w:rPr>
                <w:t>incipal Financial Officer pursuant to Rule 13a-14(a) and Rule 15d-14(a) under the Securities Exchange Act of 1934, as adopted pursuant to Section 302 of the Sarbanes-Oxley Act of 2002.*</w:t>
              </w:r>
            </w:hyperlink>
          </w:p>
        </w:tc>
      </w:tr>
      <w:tr w:rsidR="00000000" w14:paraId="5CDD24BB" w14:textId="77777777">
        <w:trPr>
          <w:divId w:val="1595479706"/>
        </w:trPr>
        <w:tc>
          <w:tcPr>
            <w:tcW w:w="0" w:type="auto"/>
            <w:hideMark/>
          </w:tcPr>
          <w:p w14:paraId="3266025F" w14:textId="77777777" w:rsidR="00000000" w:rsidRDefault="00087966">
            <w:pPr>
              <w:jc w:val="both"/>
              <w:rPr>
                <w:rFonts w:eastAsia="Times New Roman"/>
                <w:sz w:val="20"/>
                <w:szCs w:val="20"/>
              </w:rPr>
            </w:pPr>
            <w:r>
              <w:rPr>
                <w:rFonts w:eastAsia="Times New Roman"/>
                <w:sz w:val="20"/>
                <w:szCs w:val="20"/>
              </w:rPr>
              <w:t>32.1</w:t>
            </w:r>
          </w:p>
        </w:tc>
        <w:tc>
          <w:tcPr>
            <w:tcW w:w="0" w:type="auto"/>
            <w:hideMark/>
          </w:tcPr>
          <w:p w14:paraId="0E75BC59"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55C760E5" w14:textId="77777777" w:rsidR="00000000" w:rsidRDefault="00087966">
            <w:pPr>
              <w:jc w:val="both"/>
              <w:rPr>
                <w:rFonts w:eastAsia="Times New Roman"/>
                <w:sz w:val="20"/>
                <w:szCs w:val="20"/>
              </w:rPr>
            </w:pPr>
            <w:hyperlink r:id="rId41" w:history="1">
              <w:r>
                <w:rPr>
                  <w:rStyle w:val="a4"/>
                  <w:rFonts w:eastAsia="Times New Roman"/>
                  <w:sz w:val="20"/>
                  <w:szCs w:val="20"/>
                </w:rPr>
                <w:t>Certification o</w:t>
              </w:r>
              <w:r>
                <w:rPr>
                  <w:rStyle w:val="a4"/>
                  <w:rFonts w:eastAsia="Times New Roman"/>
                  <w:sz w:val="20"/>
                  <w:szCs w:val="20"/>
                </w:rPr>
                <w:t>f the Principal Executive Officer pursuant to 18 U.S.C. 1350, as adopted pursuant to Section 906 of the Sarbanes-Oxley Act of 2002.**</w:t>
              </w:r>
            </w:hyperlink>
          </w:p>
        </w:tc>
      </w:tr>
      <w:tr w:rsidR="00000000" w14:paraId="66BB17CB" w14:textId="77777777">
        <w:trPr>
          <w:divId w:val="1595479706"/>
        </w:trPr>
        <w:tc>
          <w:tcPr>
            <w:tcW w:w="0" w:type="auto"/>
            <w:shd w:val="clear" w:color="auto" w:fill="CCEEFF"/>
            <w:hideMark/>
          </w:tcPr>
          <w:p w14:paraId="2AD6F739" w14:textId="77777777" w:rsidR="00000000" w:rsidRDefault="00087966">
            <w:pPr>
              <w:jc w:val="both"/>
              <w:rPr>
                <w:rFonts w:eastAsia="Times New Roman"/>
                <w:sz w:val="20"/>
                <w:szCs w:val="20"/>
              </w:rPr>
            </w:pPr>
            <w:r>
              <w:rPr>
                <w:rFonts w:eastAsia="Times New Roman"/>
                <w:sz w:val="20"/>
                <w:szCs w:val="20"/>
              </w:rPr>
              <w:t>32.2</w:t>
            </w:r>
          </w:p>
        </w:tc>
        <w:tc>
          <w:tcPr>
            <w:tcW w:w="0" w:type="auto"/>
            <w:shd w:val="clear" w:color="auto" w:fill="CCEEFF"/>
            <w:hideMark/>
          </w:tcPr>
          <w:p w14:paraId="13D6FEA8"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39F4284E" w14:textId="77777777" w:rsidR="00000000" w:rsidRDefault="00087966">
            <w:pPr>
              <w:jc w:val="both"/>
              <w:rPr>
                <w:rFonts w:eastAsia="Times New Roman"/>
                <w:sz w:val="20"/>
                <w:szCs w:val="20"/>
              </w:rPr>
            </w:pPr>
            <w:hyperlink r:id="rId42" w:history="1">
              <w:r>
                <w:rPr>
                  <w:rStyle w:val="a4"/>
                  <w:rFonts w:eastAsia="Times New Roman"/>
                  <w:sz w:val="20"/>
                  <w:szCs w:val="20"/>
                </w:rPr>
                <w:t>Certification of the Principal Financial Officer pursuant to 18 U.S</w:t>
              </w:r>
              <w:r>
                <w:rPr>
                  <w:rStyle w:val="a4"/>
                  <w:rFonts w:eastAsia="Times New Roman"/>
                  <w:sz w:val="20"/>
                  <w:szCs w:val="20"/>
                </w:rPr>
                <w:t>.C. 1350, as adopted pursuant to Section 906 of the Sarbanes-Oxley Act of 2002.**</w:t>
              </w:r>
            </w:hyperlink>
          </w:p>
        </w:tc>
      </w:tr>
      <w:tr w:rsidR="00000000" w14:paraId="489D591C" w14:textId="77777777">
        <w:trPr>
          <w:divId w:val="1595479706"/>
        </w:trPr>
        <w:tc>
          <w:tcPr>
            <w:tcW w:w="0" w:type="auto"/>
            <w:hideMark/>
          </w:tcPr>
          <w:p w14:paraId="328CB052" w14:textId="77777777" w:rsidR="00000000" w:rsidRDefault="00087966">
            <w:pPr>
              <w:jc w:val="both"/>
              <w:rPr>
                <w:rFonts w:eastAsia="Times New Roman"/>
                <w:sz w:val="20"/>
                <w:szCs w:val="20"/>
              </w:rPr>
            </w:pPr>
            <w:r>
              <w:rPr>
                <w:rFonts w:eastAsia="Times New Roman"/>
                <w:sz w:val="20"/>
                <w:szCs w:val="20"/>
              </w:rPr>
              <w:t>99.1</w:t>
            </w:r>
          </w:p>
        </w:tc>
        <w:tc>
          <w:tcPr>
            <w:tcW w:w="0" w:type="auto"/>
            <w:hideMark/>
          </w:tcPr>
          <w:p w14:paraId="5A551101"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0C7A3DB1" w14:textId="77777777" w:rsidR="00000000" w:rsidRDefault="00087966">
            <w:pPr>
              <w:jc w:val="both"/>
              <w:rPr>
                <w:rFonts w:eastAsia="Times New Roman"/>
                <w:sz w:val="20"/>
                <w:szCs w:val="20"/>
              </w:rPr>
            </w:pPr>
            <w:hyperlink r:id="rId43" w:history="1">
              <w:r>
                <w:rPr>
                  <w:rStyle w:val="a4"/>
                  <w:rFonts w:eastAsia="Times New Roman"/>
                  <w:sz w:val="20"/>
                  <w:szCs w:val="20"/>
                </w:rPr>
                <w:t>Audit Committee Charter. (2)</w:t>
              </w:r>
            </w:hyperlink>
          </w:p>
        </w:tc>
      </w:tr>
      <w:tr w:rsidR="00000000" w14:paraId="48E37D90" w14:textId="77777777">
        <w:trPr>
          <w:divId w:val="1595479706"/>
        </w:trPr>
        <w:tc>
          <w:tcPr>
            <w:tcW w:w="0" w:type="auto"/>
            <w:shd w:val="clear" w:color="auto" w:fill="CCEEFF"/>
            <w:hideMark/>
          </w:tcPr>
          <w:p w14:paraId="57706EA6" w14:textId="77777777" w:rsidR="00000000" w:rsidRDefault="00087966">
            <w:pPr>
              <w:jc w:val="both"/>
              <w:rPr>
                <w:rFonts w:eastAsia="Times New Roman"/>
                <w:sz w:val="20"/>
                <w:szCs w:val="20"/>
              </w:rPr>
            </w:pPr>
            <w:r>
              <w:rPr>
                <w:rFonts w:eastAsia="Times New Roman"/>
                <w:sz w:val="20"/>
                <w:szCs w:val="20"/>
              </w:rPr>
              <w:t>99.2</w:t>
            </w:r>
          </w:p>
        </w:tc>
        <w:tc>
          <w:tcPr>
            <w:tcW w:w="0" w:type="auto"/>
            <w:shd w:val="clear" w:color="auto" w:fill="CCEEFF"/>
            <w:hideMark/>
          </w:tcPr>
          <w:p w14:paraId="0F51AA3A"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4AFC3754" w14:textId="77777777" w:rsidR="00000000" w:rsidRDefault="00087966">
            <w:pPr>
              <w:jc w:val="both"/>
              <w:rPr>
                <w:rFonts w:eastAsia="Times New Roman"/>
                <w:sz w:val="20"/>
                <w:szCs w:val="20"/>
              </w:rPr>
            </w:pPr>
            <w:hyperlink r:id="rId44" w:history="1">
              <w:r>
                <w:rPr>
                  <w:rStyle w:val="a4"/>
                  <w:rFonts w:eastAsia="Times New Roman"/>
                  <w:sz w:val="20"/>
                  <w:szCs w:val="20"/>
                </w:rPr>
                <w:t>Compensation Committee Charter. (2)</w:t>
              </w:r>
            </w:hyperlink>
          </w:p>
        </w:tc>
      </w:tr>
      <w:tr w:rsidR="00000000" w14:paraId="0DBCFFA9" w14:textId="77777777">
        <w:trPr>
          <w:divId w:val="1595479706"/>
        </w:trPr>
        <w:tc>
          <w:tcPr>
            <w:tcW w:w="0" w:type="auto"/>
            <w:hideMark/>
          </w:tcPr>
          <w:p w14:paraId="5A54D44E" w14:textId="77777777" w:rsidR="00000000" w:rsidRDefault="00087966">
            <w:pPr>
              <w:jc w:val="both"/>
              <w:rPr>
                <w:rFonts w:eastAsia="Times New Roman"/>
                <w:sz w:val="20"/>
                <w:szCs w:val="20"/>
              </w:rPr>
            </w:pPr>
            <w:r>
              <w:rPr>
                <w:rFonts w:eastAsia="Times New Roman"/>
                <w:sz w:val="20"/>
                <w:szCs w:val="20"/>
              </w:rPr>
              <w:t>101.INS</w:t>
            </w:r>
          </w:p>
        </w:tc>
        <w:tc>
          <w:tcPr>
            <w:tcW w:w="0" w:type="auto"/>
            <w:hideMark/>
          </w:tcPr>
          <w:p w14:paraId="036189C2"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4FEE8DA6" w14:textId="77777777" w:rsidR="00000000" w:rsidRDefault="00087966">
            <w:pPr>
              <w:jc w:val="both"/>
              <w:rPr>
                <w:rFonts w:eastAsia="Times New Roman"/>
                <w:sz w:val="20"/>
                <w:szCs w:val="20"/>
              </w:rPr>
            </w:pPr>
            <w:r>
              <w:rPr>
                <w:rFonts w:eastAsia="Times New Roman"/>
                <w:sz w:val="20"/>
                <w:szCs w:val="20"/>
              </w:rPr>
              <w:t>Inline XBRL Instance Document.*</w:t>
            </w:r>
          </w:p>
        </w:tc>
      </w:tr>
      <w:tr w:rsidR="00000000" w14:paraId="1F773188" w14:textId="77777777">
        <w:trPr>
          <w:divId w:val="1595479706"/>
        </w:trPr>
        <w:tc>
          <w:tcPr>
            <w:tcW w:w="0" w:type="auto"/>
            <w:shd w:val="clear" w:color="auto" w:fill="CCEEFF"/>
            <w:hideMark/>
          </w:tcPr>
          <w:p w14:paraId="26A8AE85" w14:textId="77777777" w:rsidR="00000000" w:rsidRDefault="00087966">
            <w:pPr>
              <w:jc w:val="both"/>
              <w:rPr>
                <w:rFonts w:eastAsia="Times New Roman"/>
                <w:sz w:val="20"/>
                <w:szCs w:val="20"/>
              </w:rPr>
            </w:pPr>
            <w:r>
              <w:rPr>
                <w:rFonts w:eastAsia="Times New Roman"/>
                <w:sz w:val="20"/>
                <w:szCs w:val="20"/>
              </w:rPr>
              <w:t>101.SCH</w:t>
            </w:r>
          </w:p>
        </w:tc>
        <w:tc>
          <w:tcPr>
            <w:tcW w:w="0" w:type="auto"/>
            <w:shd w:val="clear" w:color="auto" w:fill="CCEEFF"/>
            <w:hideMark/>
          </w:tcPr>
          <w:p w14:paraId="303BD9AB"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031A3530" w14:textId="77777777" w:rsidR="00000000" w:rsidRDefault="00087966">
            <w:pPr>
              <w:jc w:val="both"/>
              <w:rPr>
                <w:rFonts w:eastAsia="Times New Roman"/>
                <w:sz w:val="20"/>
                <w:szCs w:val="20"/>
              </w:rPr>
            </w:pPr>
            <w:r>
              <w:rPr>
                <w:rFonts w:eastAsia="Times New Roman"/>
                <w:sz w:val="20"/>
                <w:szCs w:val="20"/>
              </w:rPr>
              <w:t>Inline XBRL Taxonomy Extension Schema Document.*</w:t>
            </w:r>
          </w:p>
        </w:tc>
      </w:tr>
      <w:tr w:rsidR="00000000" w14:paraId="24EECB5E" w14:textId="77777777">
        <w:trPr>
          <w:divId w:val="1595479706"/>
        </w:trPr>
        <w:tc>
          <w:tcPr>
            <w:tcW w:w="0" w:type="auto"/>
            <w:hideMark/>
          </w:tcPr>
          <w:p w14:paraId="3AB3DFA3" w14:textId="77777777" w:rsidR="00000000" w:rsidRDefault="00087966">
            <w:pPr>
              <w:jc w:val="both"/>
              <w:rPr>
                <w:rFonts w:eastAsia="Times New Roman"/>
                <w:sz w:val="20"/>
                <w:szCs w:val="20"/>
              </w:rPr>
            </w:pPr>
            <w:r>
              <w:rPr>
                <w:rFonts w:eastAsia="Times New Roman"/>
                <w:sz w:val="20"/>
                <w:szCs w:val="20"/>
              </w:rPr>
              <w:t>101.CA</w:t>
            </w:r>
            <w:r>
              <w:rPr>
                <w:rFonts w:eastAsia="Times New Roman"/>
                <w:sz w:val="20"/>
                <w:szCs w:val="20"/>
              </w:rPr>
              <w:t>L</w:t>
            </w:r>
          </w:p>
        </w:tc>
        <w:tc>
          <w:tcPr>
            <w:tcW w:w="0" w:type="auto"/>
            <w:hideMark/>
          </w:tcPr>
          <w:p w14:paraId="219747A9"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43A4D0E5" w14:textId="77777777" w:rsidR="00000000" w:rsidRDefault="00087966">
            <w:pPr>
              <w:jc w:val="both"/>
              <w:rPr>
                <w:rFonts w:eastAsia="Times New Roman"/>
                <w:sz w:val="20"/>
                <w:szCs w:val="20"/>
              </w:rPr>
            </w:pPr>
            <w:r>
              <w:rPr>
                <w:rFonts w:eastAsia="Times New Roman"/>
                <w:sz w:val="20"/>
                <w:szCs w:val="20"/>
              </w:rPr>
              <w:t>Inline XBRL Taxonomy Extension Calculation Linkbase Document.*</w:t>
            </w:r>
          </w:p>
        </w:tc>
      </w:tr>
      <w:tr w:rsidR="00000000" w14:paraId="1E757E8B" w14:textId="77777777">
        <w:trPr>
          <w:divId w:val="1595479706"/>
        </w:trPr>
        <w:tc>
          <w:tcPr>
            <w:tcW w:w="0" w:type="auto"/>
            <w:shd w:val="clear" w:color="auto" w:fill="CCEEFF"/>
            <w:hideMark/>
          </w:tcPr>
          <w:p w14:paraId="77FC9762" w14:textId="77777777" w:rsidR="00000000" w:rsidRDefault="00087966">
            <w:pPr>
              <w:jc w:val="both"/>
              <w:rPr>
                <w:rFonts w:eastAsia="Times New Roman"/>
                <w:sz w:val="20"/>
                <w:szCs w:val="20"/>
              </w:rPr>
            </w:pPr>
            <w:r>
              <w:rPr>
                <w:rFonts w:eastAsia="Times New Roman"/>
                <w:sz w:val="20"/>
                <w:szCs w:val="20"/>
              </w:rPr>
              <w:t>101.DEF</w:t>
            </w:r>
          </w:p>
        </w:tc>
        <w:tc>
          <w:tcPr>
            <w:tcW w:w="0" w:type="auto"/>
            <w:shd w:val="clear" w:color="auto" w:fill="CCEEFF"/>
            <w:hideMark/>
          </w:tcPr>
          <w:p w14:paraId="30487A52"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67896F08" w14:textId="77777777" w:rsidR="00000000" w:rsidRDefault="00087966">
            <w:pPr>
              <w:jc w:val="both"/>
              <w:rPr>
                <w:rFonts w:eastAsia="Times New Roman"/>
                <w:sz w:val="20"/>
                <w:szCs w:val="20"/>
              </w:rPr>
            </w:pPr>
            <w:r>
              <w:rPr>
                <w:rFonts w:eastAsia="Times New Roman"/>
                <w:sz w:val="20"/>
                <w:szCs w:val="20"/>
              </w:rPr>
              <w:t>Inline XBRL Taxonomy Extension Definition Linkbase Document.*</w:t>
            </w:r>
          </w:p>
        </w:tc>
      </w:tr>
      <w:tr w:rsidR="00000000" w14:paraId="1B47174B" w14:textId="77777777">
        <w:trPr>
          <w:divId w:val="1595479706"/>
        </w:trPr>
        <w:tc>
          <w:tcPr>
            <w:tcW w:w="0" w:type="auto"/>
            <w:hideMark/>
          </w:tcPr>
          <w:p w14:paraId="1C845EE8" w14:textId="77777777" w:rsidR="00000000" w:rsidRDefault="00087966">
            <w:pPr>
              <w:jc w:val="both"/>
              <w:rPr>
                <w:rFonts w:eastAsia="Times New Roman"/>
                <w:sz w:val="20"/>
                <w:szCs w:val="20"/>
              </w:rPr>
            </w:pPr>
            <w:r>
              <w:rPr>
                <w:rFonts w:eastAsia="Times New Roman"/>
                <w:sz w:val="20"/>
                <w:szCs w:val="20"/>
              </w:rPr>
              <w:t>101.LAB</w:t>
            </w:r>
          </w:p>
        </w:tc>
        <w:tc>
          <w:tcPr>
            <w:tcW w:w="0" w:type="auto"/>
            <w:hideMark/>
          </w:tcPr>
          <w:p w14:paraId="1D39BDE7"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4B3715AB" w14:textId="77777777" w:rsidR="00000000" w:rsidRDefault="00087966">
            <w:pPr>
              <w:jc w:val="both"/>
              <w:rPr>
                <w:rFonts w:eastAsia="Times New Roman"/>
                <w:sz w:val="20"/>
                <w:szCs w:val="20"/>
              </w:rPr>
            </w:pPr>
            <w:r>
              <w:rPr>
                <w:rFonts w:eastAsia="Times New Roman"/>
                <w:sz w:val="20"/>
                <w:szCs w:val="20"/>
              </w:rPr>
              <w:t>Inline XBRL Taxonomy Extension Label Linkbase Document.*</w:t>
            </w:r>
          </w:p>
        </w:tc>
      </w:tr>
      <w:tr w:rsidR="00000000" w14:paraId="26311274" w14:textId="77777777">
        <w:trPr>
          <w:divId w:val="1595479706"/>
        </w:trPr>
        <w:tc>
          <w:tcPr>
            <w:tcW w:w="0" w:type="auto"/>
            <w:shd w:val="clear" w:color="auto" w:fill="CCEEFF"/>
            <w:hideMark/>
          </w:tcPr>
          <w:p w14:paraId="11554761" w14:textId="77777777" w:rsidR="00000000" w:rsidRDefault="00087966">
            <w:pPr>
              <w:jc w:val="both"/>
              <w:rPr>
                <w:rFonts w:eastAsia="Times New Roman"/>
                <w:sz w:val="20"/>
                <w:szCs w:val="20"/>
              </w:rPr>
            </w:pPr>
            <w:r>
              <w:rPr>
                <w:rFonts w:eastAsia="Times New Roman"/>
                <w:sz w:val="20"/>
                <w:szCs w:val="20"/>
              </w:rPr>
              <w:t>101.PRE</w:t>
            </w:r>
          </w:p>
        </w:tc>
        <w:tc>
          <w:tcPr>
            <w:tcW w:w="0" w:type="auto"/>
            <w:shd w:val="clear" w:color="auto" w:fill="CCEEFF"/>
            <w:hideMark/>
          </w:tcPr>
          <w:p w14:paraId="0FA01162" w14:textId="77777777" w:rsidR="00000000" w:rsidRDefault="00087966">
            <w:pPr>
              <w:jc w:val="both"/>
              <w:rPr>
                <w:rFonts w:eastAsia="Times New Roman"/>
                <w:sz w:val="20"/>
                <w:szCs w:val="20"/>
              </w:rPr>
            </w:pPr>
            <w:r>
              <w:rPr>
                <w:rFonts w:eastAsia="Times New Roman"/>
                <w:sz w:val="20"/>
                <w:szCs w:val="20"/>
              </w:rPr>
              <w:t> </w:t>
            </w:r>
          </w:p>
        </w:tc>
        <w:tc>
          <w:tcPr>
            <w:tcW w:w="0" w:type="auto"/>
            <w:shd w:val="clear" w:color="auto" w:fill="CCEEFF"/>
            <w:hideMark/>
          </w:tcPr>
          <w:p w14:paraId="0AC79879" w14:textId="77777777" w:rsidR="00000000" w:rsidRDefault="00087966">
            <w:pPr>
              <w:jc w:val="both"/>
              <w:rPr>
                <w:rFonts w:eastAsia="Times New Roman"/>
                <w:sz w:val="20"/>
                <w:szCs w:val="20"/>
              </w:rPr>
            </w:pPr>
            <w:r>
              <w:rPr>
                <w:rFonts w:eastAsia="Times New Roman"/>
                <w:sz w:val="20"/>
                <w:szCs w:val="20"/>
              </w:rPr>
              <w:t>Inline XBRL Taxonomy Extension Presentation Linkbase Document.*</w:t>
            </w:r>
          </w:p>
        </w:tc>
      </w:tr>
      <w:tr w:rsidR="00000000" w14:paraId="14404D0B" w14:textId="77777777">
        <w:trPr>
          <w:divId w:val="1595479706"/>
        </w:trPr>
        <w:tc>
          <w:tcPr>
            <w:tcW w:w="0" w:type="auto"/>
            <w:hideMark/>
          </w:tcPr>
          <w:p w14:paraId="439DC455" w14:textId="77777777" w:rsidR="00000000" w:rsidRDefault="00087966">
            <w:pPr>
              <w:jc w:val="both"/>
              <w:rPr>
                <w:rFonts w:eastAsia="Times New Roman"/>
                <w:sz w:val="20"/>
                <w:szCs w:val="20"/>
              </w:rPr>
            </w:pPr>
            <w:r>
              <w:rPr>
                <w:rFonts w:eastAsia="Times New Roman"/>
                <w:sz w:val="20"/>
                <w:szCs w:val="20"/>
              </w:rPr>
              <w:t>104</w:t>
            </w:r>
          </w:p>
        </w:tc>
        <w:tc>
          <w:tcPr>
            <w:tcW w:w="0" w:type="auto"/>
            <w:hideMark/>
          </w:tcPr>
          <w:p w14:paraId="1681C2B4"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0B17345B" w14:textId="77777777" w:rsidR="00000000" w:rsidRDefault="00087966">
            <w:pPr>
              <w:jc w:val="both"/>
              <w:rPr>
                <w:rFonts w:eastAsia="Times New Roman"/>
                <w:sz w:val="20"/>
                <w:szCs w:val="20"/>
              </w:rPr>
            </w:pPr>
            <w:r>
              <w:rPr>
                <w:rFonts w:eastAsia="Times New Roman"/>
                <w:sz w:val="20"/>
                <w:szCs w:val="20"/>
              </w:rPr>
              <w:t>Cover Page Interactive Data File (Embedded as Inline XBRL document and contained in Exhibit 101).*</w:t>
            </w:r>
          </w:p>
        </w:tc>
      </w:tr>
    </w:tbl>
    <w:p w14:paraId="01D86B81"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53211AB1" w14:textId="77777777">
        <w:trPr>
          <w:divId w:val="1595479706"/>
          <w:tblCellSpacing w:w="0" w:type="dxa"/>
        </w:trPr>
        <w:tc>
          <w:tcPr>
            <w:tcW w:w="360" w:type="dxa"/>
            <w:hideMark/>
          </w:tcPr>
          <w:p w14:paraId="66A0D26F" w14:textId="77777777" w:rsidR="00000000" w:rsidRDefault="00087966">
            <w:pPr>
              <w:rPr>
                <w:rFonts w:eastAsia="Times New Roman"/>
                <w:sz w:val="20"/>
                <w:szCs w:val="20"/>
              </w:rPr>
            </w:pPr>
            <w:r>
              <w:rPr>
                <w:rFonts w:eastAsia="Times New Roman"/>
                <w:sz w:val="20"/>
                <w:szCs w:val="20"/>
              </w:rPr>
              <w:t>*</w:t>
            </w:r>
          </w:p>
        </w:tc>
        <w:tc>
          <w:tcPr>
            <w:tcW w:w="0" w:type="auto"/>
            <w:hideMark/>
          </w:tcPr>
          <w:p w14:paraId="42B5CA5D" w14:textId="77777777" w:rsidR="00000000" w:rsidRDefault="00087966">
            <w:pPr>
              <w:jc w:val="both"/>
              <w:rPr>
                <w:rFonts w:eastAsia="Times New Roman"/>
                <w:sz w:val="20"/>
                <w:szCs w:val="20"/>
              </w:rPr>
            </w:pPr>
            <w:r>
              <w:rPr>
                <w:rFonts w:eastAsia="Times New Roman"/>
                <w:sz w:val="20"/>
                <w:szCs w:val="20"/>
              </w:rPr>
              <w:t>Filed herewith.</w:t>
            </w:r>
          </w:p>
        </w:tc>
      </w:tr>
    </w:tbl>
    <w:p w14:paraId="3809C806" w14:textId="77777777" w:rsidR="00000000" w:rsidRDefault="00087966">
      <w:pPr>
        <w:divId w:val="1595479706"/>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40F82AEE" w14:textId="77777777">
        <w:trPr>
          <w:divId w:val="1595479706"/>
          <w:tblCellSpacing w:w="0" w:type="dxa"/>
        </w:trPr>
        <w:tc>
          <w:tcPr>
            <w:tcW w:w="360" w:type="dxa"/>
            <w:hideMark/>
          </w:tcPr>
          <w:p w14:paraId="6A4B7235" w14:textId="77777777" w:rsidR="00000000" w:rsidRDefault="00087966">
            <w:pPr>
              <w:rPr>
                <w:rFonts w:eastAsia="Times New Roman"/>
                <w:sz w:val="20"/>
                <w:szCs w:val="20"/>
              </w:rPr>
            </w:pPr>
            <w:r>
              <w:rPr>
                <w:rFonts w:eastAsia="Times New Roman"/>
                <w:sz w:val="20"/>
                <w:szCs w:val="20"/>
              </w:rPr>
              <w:t>**</w:t>
            </w:r>
          </w:p>
        </w:tc>
        <w:tc>
          <w:tcPr>
            <w:tcW w:w="0" w:type="auto"/>
            <w:hideMark/>
          </w:tcPr>
          <w:p w14:paraId="6B6947E6" w14:textId="77777777" w:rsidR="00000000" w:rsidRDefault="00087966">
            <w:pPr>
              <w:jc w:val="both"/>
              <w:rPr>
                <w:rFonts w:eastAsia="Times New Roman"/>
                <w:sz w:val="20"/>
                <w:szCs w:val="20"/>
              </w:rPr>
            </w:pPr>
            <w:r>
              <w:rPr>
                <w:rFonts w:eastAsia="Times New Roman"/>
                <w:sz w:val="20"/>
                <w:szCs w:val="20"/>
              </w:rPr>
              <w:t>Furnished herewith</w:t>
            </w:r>
          </w:p>
        </w:tc>
      </w:tr>
    </w:tbl>
    <w:p w14:paraId="0B93C75A" w14:textId="77777777" w:rsidR="00000000" w:rsidRDefault="00087966">
      <w:pPr>
        <w:pStyle w:val="a3"/>
        <w:spacing w:before="0" w:beforeAutospacing="0" w:after="0" w:afterAutospacing="0"/>
        <w:jc w:val="both"/>
        <w:divId w:val="1595479706"/>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3E9FA5F1" w14:textId="77777777">
        <w:trPr>
          <w:divId w:val="1595479706"/>
          <w:tblCellSpacing w:w="0" w:type="dxa"/>
        </w:trPr>
        <w:tc>
          <w:tcPr>
            <w:tcW w:w="360" w:type="dxa"/>
            <w:hideMark/>
          </w:tcPr>
          <w:p w14:paraId="3F5387D6" w14:textId="77777777" w:rsidR="00000000" w:rsidRDefault="00087966">
            <w:pPr>
              <w:jc w:val="both"/>
              <w:rPr>
                <w:rFonts w:eastAsia="Times New Roman"/>
                <w:sz w:val="20"/>
                <w:szCs w:val="20"/>
              </w:rPr>
            </w:pPr>
            <w:r>
              <w:rPr>
                <w:rFonts w:eastAsia="Times New Roman"/>
                <w:sz w:val="20"/>
                <w:szCs w:val="20"/>
              </w:rPr>
              <w:t>(1)</w:t>
            </w:r>
          </w:p>
        </w:tc>
        <w:tc>
          <w:tcPr>
            <w:tcW w:w="0" w:type="auto"/>
            <w:hideMark/>
          </w:tcPr>
          <w:p w14:paraId="028EE2CE" w14:textId="77777777" w:rsidR="00000000" w:rsidRDefault="00087966">
            <w:pPr>
              <w:jc w:val="both"/>
              <w:rPr>
                <w:rFonts w:eastAsia="Times New Roman"/>
                <w:sz w:val="20"/>
                <w:szCs w:val="20"/>
              </w:rPr>
            </w:pPr>
            <w:r>
              <w:rPr>
                <w:rFonts w:eastAsia="Times New Roman"/>
                <w:sz w:val="20"/>
                <w:szCs w:val="20"/>
              </w:rPr>
              <w:t>Incorporated by reference to the C</w:t>
            </w:r>
            <w:r>
              <w:rPr>
                <w:rFonts w:eastAsia="Times New Roman"/>
                <w:sz w:val="20"/>
                <w:szCs w:val="20"/>
              </w:rPr>
              <w:t>ompany’s Registration Statement on Form S-1 (File No. 333-251337), filed with the SEC on December 15, 2020.</w:t>
            </w:r>
          </w:p>
        </w:tc>
      </w:tr>
      <w:tr w:rsidR="00000000" w14:paraId="7EF5F039" w14:textId="77777777">
        <w:trPr>
          <w:divId w:val="1595479706"/>
          <w:tblCellSpacing w:w="0" w:type="dxa"/>
        </w:trPr>
        <w:tc>
          <w:tcPr>
            <w:tcW w:w="0" w:type="auto"/>
            <w:hideMark/>
          </w:tcPr>
          <w:p w14:paraId="0DADF5BC" w14:textId="77777777" w:rsidR="00000000" w:rsidRDefault="00087966">
            <w:pPr>
              <w:jc w:val="both"/>
              <w:rPr>
                <w:rFonts w:eastAsia="Times New Roman"/>
                <w:sz w:val="20"/>
                <w:szCs w:val="20"/>
              </w:rPr>
            </w:pPr>
            <w:r>
              <w:rPr>
                <w:rFonts w:eastAsia="Times New Roman"/>
                <w:sz w:val="20"/>
                <w:szCs w:val="20"/>
              </w:rPr>
              <w:t>(2)</w:t>
            </w:r>
          </w:p>
        </w:tc>
        <w:tc>
          <w:tcPr>
            <w:tcW w:w="0" w:type="auto"/>
            <w:hideMark/>
          </w:tcPr>
          <w:p w14:paraId="65B8D5FB" w14:textId="77777777" w:rsidR="00000000" w:rsidRDefault="00087966">
            <w:pPr>
              <w:jc w:val="both"/>
              <w:rPr>
                <w:rFonts w:eastAsia="Times New Roman"/>
                <w:sz w:val="20"/>
                <w:szCs w:val="20"/>
              </w:rPr>
            </w:pPr>
            <w:r>
              <w:rPr>
                <w:rFonts w:eastAsia="Times New Roman"/>
                <w:sz w:val="20"/>
                <w:szCs w:val="20"/>
              </w:rPr>
              <w:t>Incorporated by reference to Amendment No. 1 to the Company’</w:t>
            </w:r>
            <w:r>
              <w:rPr>
                <w:rFonts w:eastAsia="Times New Roman"/>
                <w:sz w:val="20"/>
                <w:szCs w:val="20"/>
              </w:rPr>
              <w:t>s Registration Statement on Form S-1/A (File No. 333-251337), filed with the SEC on December 28, 2020.</w:t>
            </w:r>
          </w:p>
        </w:tc>
      </w:tr>
      <w:tr w:rsidR="00000000" w14:paraId="5FFD3514" w14:textId="77777777">
        <w:trPr>
          <w:divId w:val="1595479706"/>
          <w:tblCellSpacing w:w="0" w:type="dxa"/>
        </w:trPr>
        <w:tc>
          <w:tcPr>
            <w:tcW w:w="0" w:type="auto"/>
            <w:hideMark/>
          </w:tcPr>
          <w:p w14:paraId="3C0DA614" w14:textId="77777777" w:rsidR="00000000" w:rsidRDefault="00087966">
            <w:pPr>
              <w:jc w:val="both"/>
              <w:rPr>
                <w:rFonts w:eastAsia="Times New Roman"/>
                <w:sz w:val="20"/>
                <w:szCs w:val="20"/>
              </w:rPr>
            </w:pPr>
            <w:r>
              <w:rPr>
                <w:rFonts w:eastAsia="Times New Roman"/>
                <w:sz w:val="20"/>
                <w:szCs w:val="20"/>
              </w:rPr>
              <w:t>(3)</w:t>
            </w:r>
          </w:p>
        </w:tc>
        <w:tc>
          <w:tcPr>
            <w:tcW w:w="0" w:type="auto"/>
            <w:hideMark/>
          </w:tcPr>
          <w:p w14:paraId="72A93257" w14:textId="77777777" w:rsidR="00000000" w:rsidRDefault="00087966">
            <w:pPr>
              <w:jc w:val="both"/>
              <w:rPr>
                <w:rFonts w:eastAsia="Times New Roman"/>
                <w:sz w:val="20"/>
                <w:szCs w:val="20"/>
              </w:rPr>
            </w:pPr>
            <w:r>
              <w:rPr>
                <w:rFonts w:eastAsia="Times New Roman"/>
                <w:sz w:val="20"/>
                <w:szCs w:val="20"/>
              </w:rPr>
              <w:t>Incorporated by reference to the Company’s Current Report on Form 8-K, filed with the SEC on January 12, 2021.</w:t>
            </w:r>
          </w:p>
        </w:tc>
      </w:tr>
      <w:tr w:rsidR="00000000" w14:paraId="26474A18" w14:textId="77777777">
        <w:trPr>
          <w:divId w:val="1595479706"/>
          <w:tblCellSpacing w:w="0" w:type="dxa"/>
        </w:trPr>
        <w:tc>
          <w:tcPr>
            <w:tcW w:w="0" w:type="auto"/>
            <w:hideMark/>
          </w:tcPr>
          <w:p w14:paraId="0FEA3BAD" w14:textId="77777777" w:rsidR="00000000" w:rsidRDefault="00087966">
            <w:pPr>
              <w:jc w:val="both"/>
              <w:rPr>
                <w:rFonts w:eastAsia="Times New Roman"/>
                <w:sz w:val="20"/>
                <w:szCs w:val="20"/>
              </w:rPr>
            </w:pPr>
            <w:r>
              <w:rPr>
                <w:rFonts w:eastAsia="Times New Roman"/>
                <w:sz w:val="20"/>
                <w:szCs w:val="20"/>
              </w:rPr>
              <w:t>(4)</w:t>
            </w:r>
          </w:p>
        </w:tc>
        <w:tc>
          <w:tcPr>
            <w:tcW w:w="0" w:type="auto"/>
            <w:hideMark/>
          </w:tcPr>
          <w:p w14:paraId="2800158B" w14:textId="77777777" w:rsidR="00000000" w:rsidRDefault="00087966">
            <w:pPr>
              <w:jc w:val="both"/>
              <w:rPr>
                <w:rFonts w:eastAsia="Times New Roman"/>
                <w:sz w:val="20"/>
                <w:szCs w:val="20"/>
              </w:rPr>
            </w:pPr>
            <w:r>
              <w:rPr>
                <w:rFonts w:eastAsia="Times New Roman"/>
                <w:sz w:val="20"/>
                <w:szCs w:val="20"/>
              </w:rPr>
              <w:t>Incorporated by reference to the</w:t>
            </w:r>
            <w:r>
              <w:rPr>
                <w:rFonts w:eastAsia="Times New Roman"/>
                <w:sz w:val="20"/>
                <w:szCs w:val="20"/>
              </w:rPr>
              <w:t xml:space="preserve"> Company’s Annual Report on Form 10-K for the fiscal year ended December 31, 2020, filed with the SEC on March 26, 2021.</w:t>
            </w:r>
          </w:p>
        </w:tc>
      </w:tr>
      <w:tr w:rsidR="00000000" w14:paraId="50910A16" w14:textId="77777777">
        <w:trPr>
          <w:divId w:val="1595479706"/>
          <w:tblCellSpacing w:w="0" w:type="dxa"/>
        </w:trPr>
        <w:tc>
          <w:tcPr>
            <w:tcW w:w="0" w:type="auto"/>
            <w:hideMark/>
          </w:tcPr>
          <w:p w14:paraId="17F230F8" w14:textId="77777777" w:rsidR="00000000" w:rsidRDefault="00087966">
            <w:pPr>
              <w:jc w:val="both"/>
              <w:rPr>
                <w:rFonts w:eastAsia="Times New Roman"/>
                <w:sz w:val="20"/>
                <w:szCs w:val="20"/>
              </w:rPr>
            </w:pPr>
            <w:r>
              <w:rPr>
                <w:rFonts w:eastAsia="Times New Roman"/>
                <w:sz w:val="20"/>
                <w:szCs w:val="20"/>
              </w:rPr>
              <w:t>(5)</w:t>
            </w:r>
          </w:p>
        </w:tc>
        <w:tc>
          <w:tcPr>
            <w:tcW w:w="0" w:type="auto"/>
            <w:hideMark/>
          </w:tcPr>
          <w:p w14:paraId="414D610D" w14:textId="77777777" w:rsidR="00000000" w:rsidRDefault="00087966">
            <w:pPr>
              <w:jc w:val="both"/>
              <w:rPr>
                <w:rFonts w:eastAsia="Times New Roman"/>
                <w:sz w:val="20"/>
                <w:szCs w:val="20"/>
              </w:rPr>
            </w:pPr>
            <w:r>
              <w:rPr>
                <w:rFonts w:eastAsia="Times New Roman"/>
                <w:sz w:val="20"/>
                <w:szCs w:val="20"/>
              </w:rPr>
              <w:t>Incorporated by reference to the Company’s Current Report on Form 8-K, filed with the SEC on January 24, 2022.</w:t>
            </w:r>
          </w:p>
        </w:tc>
      </w:tr>
      <w:tr w:rsidR="00000000" w14:paraId="71411CD4" w14:textId="77777777">
        <w:trPr>
          <w:divId w:val="1595479706"/>
          <w:tblCellSpacing w:w="0" w:type="dxa"/>
        </w:trPr>
        <w:tc>
          <w:tcPr>
            <w:tcW w:w="0" w:type="auto"/>
            <w:hideMark/>
          </w:tcPr>
          <w:p w14:paraId="673CCA14" w14:textId="77777777" w:rsidR="00000000" w:rsidRDefault="00087966">
            <w:pPr>
              <w:jc w:val="both"/>
              <w:rPr>
                <w:rFonts w:eastAsia="Times New Roman"/>
                <w:sz w:val="20"/>
                <w:szCs w:val="20"/>
              </w:rPr>
            </w:pPr>
            <w:r>
              <w:rPr>
                <w:rFonts w:eastAsia="Times New Roman"/>
                <w:sz w:val="20"/>
                <w:szCs w:val="20"/>
              </w:rPr>
              <w:t>(6)</w:t>
            </w:r>
          </w:p>
        </w:tc>
        <w:tc>
          <w:tcPr>
            <w:tcW w:w="0" w:type="auto"/>
            <w:hideMark/>
          </w:tcPr>
          <w:p w14:paraId="2221442C" w14:textId="77777777" w:rsidR="00000000" w:rsidRDefault="00087966">
            <w:pPr>
              <w:jc w:val="both"/>
              <w:rPr>
                <w:rFonts w:eastAsia="Times New Roman"/>
                <w:sz w:val="20"/>
                <w:szCs w:val="20"/>
              </w:rPr>
            </w:pPr>
            <w:r>
              <w:rPr>
                <w:rFonts w:eastAsia="Times New Roman"/>
                <w:sz w:val="20"/>
                <w:szCs w:val="20"/>
              </w:rPr>
              <w:t>Incorporated b</w:t>
            </w:r>
            <w:r>
              <w:rPr>
                <w:rFonts w:eastAsia="Times New Roman"/>
                <w:sz w:val="20"/>
                <w:szCs w:val="20"/>
              </w:rPr>
              <w:t>y reference to the Company’s Current Report on Form 8-K, filed with the SEC on May 19, 2022.</w:t>
            </w:r>
          </w:p>
        </w:tc>
      </w:tr>
      <w:tr w:rsidR="00000000" w14:paraId="7728F821" w14:textId="77777777">
        <w:trPr>
          <w:divId w:val="1595479706"/>
          <w:tblCellSpacing w:w="0" w:type="dxa"/>
        </w:trPr>
        <w:tc>
          <w:tcPr>
            <w:tcW w:w="0" w:type="auto"/>
            <w:hideMark/>
          </w:tcPr>
          <w:p w14:paraId="69FBF0D7" w14:textId="77777777" w:rsidR="00000000" w:rsidRDefault="00087966">
            <w:pPr>
              <w:jc w:val="both"/>
              <w:rPr>
                <w:rFonts w:eastAsia="Times New Roman"/>
                <w:sz w:val="20"/>
                <w:szCs w:val="20"/>
              </w:rPr>
            </w:pPr>
            <w:r>
              <w:rPr>
                <w:rFonts w:eastAsia="Times New Roman"/>
                <w:sz w:val="20"/>
                <w:szCs w:val="20"/>
              </w:rPr>
              <w:t>(7)</w:t>
            </w:r>
          </w:p>
        </w:tc>
        <w:tc>
          <w:tcPr>
            <w:tcW w:w="0" w:type="auto"/>
            <w:hideMark/>
          </w:tcPr>
          <w:p w14:paraId="015363D1" w14:textId="77777777" w:rsidR="00000000" w:rsidRDefault="00087966">
            <w:pPr>
              <w:jc w:val="both"/>
              <w:rPr>
                <w:rFonts w:eastAsia="Times New Roman"/>
                <w:sz w:val="20"/>
                <w:szCs w:val="20"/>
              </w:rPr>
            </w:pPr>
            <w:r>
              <w:rPr>
                <w:rFonts w:eastAsia="Times New Roman"/>
                <w:sz w:val="20"/>
                <w:szCs w:val="20"/>
              </w:rPr>
              <w:t>Incorporated by reference to the Company’s Current Report on Form 8-K, filed with the SEC on July 7, 2022.</w:t>
            </w:r>
          </w:p>
        </w:tc>
      </w:tr>
      <w:tr w:rsidR="00000000" w14:paraId="51CF5215" w14:textId="77777777">
        <w:trPr>
          <w:divId w:val="1595479706"/>
          <w:tblCellSpacing w:w="0" w:type="dxa"/>
        </w:trPr>
        <w:tc>
          <w:tcPr>
            <w:tcW w:w="0" w:type="auto"/>
            <w:hideMark/>
          </w:tcPr>
          <w:p w14:paraId="79C3F476" w14:textId="77777777" w:rsidR="00000000" w:rsidRDefault="00087966">
            <w:pPr>
              <w:jc w:val="both"/>
              <w:rPr>
                <w:rFonts w:eastAsia="Times New Roman"/>
                <w:sz w:val="20"/>
                <w:szCs w:val="20"/>
              </w:rPr>
            </w:pPr>
            <w:r>
              <w:rPr>
                <w:rFonts w:eastAsia="Times New Roman"/>
                <w:sz w:val="20"/>
                <w:szCs w:val="20"/>
              </w:rPr>
              <w:t>(8)</w:t>
            </w:r>
          </w:p>
        </w:tc>
        <w:tc>
          <w:tcPr>
            <w:tcW w:w="0" w:type="auto"/>
            <w:hideMark/>
          </w:tcPr>
          <w:p w14:paraId="6D863C97" w14:textId="77777777" w:rsidR="00000000" w:rsidRDefault="00087966">
            <w:pPr>
              <w:jc w:val="both"/>
              <w:rPr>
                <w:rFonts w:eastAsia="Times New Roman"/>
                <w:sz w:val="20"/>
                <w:szCs w:val="20"/>
              </w:rPr>
            </w:pPr>
            <w:r>
              <w:rPr>
                <w:rFonts w:eastAsia="Times New Roman"/>
                <w:sz w:val="20"/>
                <w:szCs w:val="20"/>
              </w:rPr>
              <w:t>Incorporated by reference to the Company’s Cur</w:t>
            </w:r>
            <w:r>
              <w:rPr>
                <w:rFonts w:eastAsia="Times New Roman"/>
                <w:sz w:val="20"/>
                <w:szCs w:val="20"/>
              </w:rPr>
              <w:t>rent Report on Form 8-K, filed with the SEC on November 9, 2022.</w:t>
            </w:r>
          </w:p>
        </w:tc>
      </w:tr>
      <w:tr w:rsidR="00000000" w14:paraId="5EC0B5C9" w14:textId="77777777">
        <w:trPr>
          <w:divId w:val="1595479706"/>
          <w:tblCellSpacing w:w="0" w:type="dxa"/>
        </w:trPr>
        <w:tc>
          <w:tcPr>
            <w:tcW w:w="0" w:type="auto"/>
            <w:hideMark/>
          </w:tcPr>
          <w:p w14:paraId="198CD8C2" w14:textId="77777777" w:rsidR="00000000" w:rsidRDefault="00087966">
            <w:pPr>
              <w:jc w:val="both"/>
              <w:rPr>
                <w:rFonts w:eastAsia="Times New Roman"/>
                <w:sz w:val="20"/>
                <w:szCs w:val="20"/>
              </w:rPr>
            </w:pPr>
            <w:r>
              <w:rPr>
                <w:rFonts w:eastAsia="Times New Roman"/>
                <w:sz w:val="20"/>
                <w:szCs w:val="20"/>
              </w:rPr>
              <w:t>(9)</w:t>
            </w:r>
          </w:p>
        </w:tc>
        <w:tc>
          <w:tcPr>
            <w:tcW w:w="0" w:type="auto"/>
            <w:hideMark/>
          </w:tcPr>
          <w:p w14:paraId="4B6437E2" w14:textId="77777777" w:rsidR="00000000" w:rsidRDefault="00087966">
            <w:pPr>
              <w:jc w:val="both"/>
              <w:rPr>
                <w:rFonts w:eastAsia="Times New Roman"/>
                <w:sz w:val="20"/>
                <w:szCs w:val="20"/>
              </w:rPr>
            </w:pPr>
            <w:r>
              <w:rPr>
                <w:rFonts w:eastAsia="Times New Roman"/>
                <w:sz w:val="20"/>
                <w:szCs w:val="20"/>
              </w:rPr>
              <w:t>Incorporated by reference to the Company’s Current Report on Form 8-K, filed with the SEC on November 25, 2022.</w:t>
            </w:r>
          </w:p>
        </w:tc>
      </w:tr>
      <w:tr w:rsidR="00000000" w14:paraId="01B3EA04" w14:textId="77777777">
        <w:trPr>
          <w:divId w:val="1595479706"/>
          <w:tblCellSpacing w:w="0" w:type="dxa"/>
        </w:trPr>
        <w:tc>
          <w:tcPr>
            <w:tcW w:w="0" w:type="auto"/>
            <w:hideMark/>
          </w:tcPr>
          <w:p w14:paraId="220AD44F" w14:textId="77777777" w:rsidR="00000000" w:rsidRDefault="00087966">
            <w:pPr>
              <w:jc w:val="both"/>
              <w:rPr>
                <w:rFonts w:eastAsia="Times New Roman"/>
                <w:sz w:val="20"/>
                <w:szCs w:val="20"/>
              </w:rPr>
            </w:pPr>
            <w:r>
              <w:rPr>
                <w:rFonts w:eastAsia="Times New Roman"/>
                <w:sz w:val="20"/>
                <w:szCs w:val="20"/>
              </w:rPr>
              <w:t>(10)</w:t>
            </w:r>
          </w:p>
        </w:tc>
        <w:tc>
          <w:tcPr>
            <w:tcW w:w="0" w:type="auto"/>
            <w:hideMark/>
          </w:tcPr>
          <w:p w14:paraId="147FB0F2" w14:textId="77777777" w:rsidR="00000000" w:rsidRDefault="00087966">
            <w:pPr>
              <w:jc w:val="both"/>
              <w:rPr>
                <w:rFonts w:eastAsia="Times New Roman"/>
                <w:sz w:val="20"/>
                <w:szCs w:val="20"/>
              </w:rPr>
            </w:pPr>
            <w:r>
              <w:rPr>
                <w:rFonts w:eastAsia="Times New Roman"/>
                <w:sz w:val="20"/>
                <w:szCs w:val="20"/>
              </w:rPr>
              <w:t>Incorporated by reference to the Company’s Current Report on Form 8-</w:t>
            </w:r>
            <w:r>
              <w:rPr>
                <w:rFonts w:eastAsia="Times New Roman"/>
                <w:sz w:val="20"/>
                <w:szCs w:val="20"/>
              </w:rPr>
              <w:t>K, filed with the SEC on December 27, 2022.</w:t>
            </w:r>
          </w:p>
        </w:tc>
      </w:tr>
      <w:tr w:rsidR="00000000" w14:paraId="4651EEBA" w14:textId="77777777">
        <w:trPr>
          <w:divId w:val="1595479706"/>
          <w:tblCellSpacing w:w="0" w:type="dxa"/>
        </w:trPr>
        <w:tc>
          <w:tcPr>
            <w:tcW w:w="0" w:type="auto"/>
            <w:hideMark/>
          </w:tcPr>
          <w:p w14:paraId="6E255479" w14:textId="77777777" w:rsidR="00000000" w:rsidRDefault="00087966">
            <w:pPr>
              <w:jc w:val="both"/>
              <w:rPr>
                <w:rFonts w:eastAsia="Times New Roman"/>
                <w:sz w:val="20"/>
                <w:szCs w:val="20"/>
              </w:rPr>
            </w:pPr>
            <w:r>
              <w:rPr>
                <w:rFonts w:eastAsia="Times New Roman"/>
                <w:sz w:val="20"/>
                <w:szCs w:val="20"/>
              </w:rPr>
              <w:t>(11)</w:t>
            </w:r>
          </w:p>
        </w:tc>
        <w:tc>
          <w:tcPr>
            <w:tcW w:w="0" w:type="auto"/>
            <w:hideMark/>
          </w:tcPr>
          <w:p w14:paraId="29268891" w14:textId="77777777" w:rsidR="00000000" w:rsidRDefault="00087966">
            <w:pPr>
              <w:jc w:val="both"/>
              <w:rPr>
                <w:rFonts w:eastAsia="Times New Roman"/>
                <w:sz w:val="20"/>
                <w:szCs w:val="20"/>
              </w:rPr>
            </w:pPr>
            <w:r>
              <w:rPr>
                <w:rFonts w:eastAsia="Times New Roman"/>
                <w:sz w:val="20"/>
                <w:szCs w:val="20"/>
              </w:rPr>
              <w:t>Incorporated by reference to the Company’s Current Report on Form 8-K, filed with the SEC on January 11, 2023.</w:t>
            </w:r>
          </w:p>
        </w:tc>
      </w:tr>
      <w:tr w:rsidR="00000000" w14:paraId="3500A4DF" w14:textId="77777777">
        <w:trPr>
          <w:divId w:val="1595479706"/>
          <w:tblCellSpacing w:w="0" w:type="dxa"/>
        </w:trPr>
        <w:tc>
          <w:tcPr>
            <w:tcW w:w="0" w:type="auto"/>
            <w:hideMark/>
          </w:tcPr>
          <w:p w14:paraId="50403D6C" w14:textId="77777777" w:rsidR="00000000" w:rsidRDefault="00087966">
            <w:pPr>
              <w:jc w:val="both"/>
              <w:rPr>
                <w:rFonts w:eastAsia="Times New Roman"/>
                <w:sz w:val="20"/>
                <w:szCs w:val="20"/>
              </w:rPr>
            </w:pPr>
            <w:r>
              <w:rPr>
                <w:rFonts w:eastAsia="Times New Roman"/>
                <w:sz w:val="20"/>
                <w:szCs w:val="20"/>
              </w:rPr>
              <w:t>(12)</w:t>
            </w:r>
          </w:p>
        </w:tc>
        <w:tc>
          <w:tcPr>
            <w:tcW w:w="0" w:type="auto"/>
            <w:hideMark/>
          </w:tcPr>
          <w:p w14:paraId="4B8128A2" w14:textId="77777777" w:rsidR="00000000" w:rsidRDefault="00087966">
            <w:pPr>
              <w:jc w:val="both"/>
              <w:rPr>
                <w:rFonts w:eastAsia="Times New Roman"/>
                <w:sz w:val="20"/>
                <w:szCs w:val="20"/>
              </w:rPr>
            </w:pPr>
            <w:r>
              <w:rPr>
                <w:rFonts w:eastAsia="Times New Roman"/>
                <w:sz w:val="20"/>
                <w:szCs w:val="20"/>
              </w:rPr>
              <w:t>Incorporated by reference to the Company’</w:t>
            </w:r>
            <w:r>
              <w:rPr>
                <w:rFonts w:eastAsia="Times New Roman"/>
                <w:sz w:val="20"/>
                <w:szCs w:val="20"/>
              </w:rPr>
              <w:t>s Current Report on Form 8-K, filed with the SEC on January 17, 2023.</w:t>
            </w:r>
          </w:p>
        </w:tc>
      </w:tr>
    </w:tbl>
    <w:p w14:paraId="74C1C691" w14:textId="77777777" w:rsidR="00000000" w:rsidRDefault="00087966">
      <w:pPr>
        <w:pStyle w:val="a3"/>
        <w:spacing w:before="0" w:beforeAutospacing="0" w:after="0" w:afterAutospacing="0"/>
        <w:divId w:val="1595479706"/>
        <w:rPr>
          <w:sz w:val="20"/>
          <w:szCs w:val="20"/>
        </w:rPr>
      </w:pPr>
      <w:r>
        <w:rPr>
          <w:sz w:val="20"/>
          <w:szCs w:val="20"/>
        </w:rPr>
        <w:t> </w:t>
      </w:r>
    </w:p>
    <w:p w14:paraId="48EB946C" w14:textId="77777777" w:rsidR="00000000" w:rsidRDefault="00087966">
      <w:pPr>
        <w:pStyle w:val="a3"/>
        <w:spacing w:before="0" w:beforeAutospacing="0" w:after="0" w:afterAutospacing="0"/>
        <w:jc w:val="center"/>
        <w:divId w:val="816452713"/>
        <w:rPr>
          <w:sz w:val="20"/>
          <w:szCs w:val="20"/>
        </w:rPr>
      </w:pPr>
      <w:r>
        <w:rPr>
          <w:sz w:val="20"/>
          <w:szCs w:val="20"/>
        </w:rPr>
        <w:t>5</w:t>
      </w:r>
      <w:r>
        <w:rPr>
          <w:sz w:val="20"/>
          <w:szCs w:val="20"/>
        </w:rPr>
        <w:t>4</w:t>
      </w:r>
    </w:p>
    <w:p w14:paraId="10A9D4DF" w14:textId="77777777" w:rsidR="00000000" w:rsidRDefault="00087966">
      <w:pPr>
        <w:pStyle w:val="a3"/>
        <w:spacing w:before="0" w:beforeAutospacing="0" w:after="0" w:afterAutospacing="0"/>
        <w:divId w:val="397824023"/>
        <w:rPr>
          <w:sz w:val="20"/>
          <w:szCs w:val="20"/>
        </w:rPr>
      </w:pPr>
      <w:r>
        <w:rPr>
          <w:sz w:val="20"/>
          <w:szCs w:val="20"/>
        </w:rPr>
        <w:t> </w:t>
      </w:r>
    </w:p>
    <w:p w14:paraId="5E58161F" w14:textId="77777777" w:rsidR="00000000" w:rsidRDefault="00087966">
      <w:pPr>
        <w:pStyle w:val="a3"/>
        <w:spacing w:before="0" w:beforeAutospacing="0" w:after="0" w:afterAutospacing="0"/>
        <w:jc w:val="center"/>
        <w:divId w:val="1595479706"/>
        <w:rPr>
          <w:sz w:val="20"/>
          <w:szCs w:val="20"/>
        </w:rPr>
      </w:pPr>
      <w:r>
        <w:rPr>
          <w:sz w:val="20"/>
          <w:szCs w:val="20"/>
        </w:rPr>
        <w:t> </w:t>
      </w:r>
    </w:p>
    <w:p w14:paraId="74559C6B" w14:textId="77777777" w:rsidR="00000000" w:rsidRDefault="00087966">
      <w:pPr>
        <w:pStyle w:val="a3"/>
        <w:spacing w:before="0" w:beforeAutospacing="0" w:after="0" w:afterAutospacing="0"/>
        <w:jc w:val="center"/>
        <w:divId w:val="1595479706"/>
        <w:rPr>
          <w:sz w:val="20"/>
          <w:szCs w:val="20"/>
        </w:rPr>
      </w:pPr>
      <w:r>
        <w:rPr>
          <w:b/>
          <w:bCs/>
          <w:sz w:val="20"/>
          <w:szCs w:val="20"/>
        </w:rPr>
        <w:t>SIGNATURES</w:t>
      </w:r>
    </w:p>
    <w:p w14:paraId="135EAA10" w14:textId="77777777" w:rsidR="00000000" w:rsidRDefault="00087966">
      <w:pPr>
        <w:pStyle w:val="a3"/>
        <w:spacing w:before="0" w:beforeAutospacing="0" w:after="0" w:afterAutospacing="0"/>
        <w:jc w:val="both"/>
        <w:divId w:val="1595479706"/>
        <w:rPr>
          <w:sz w:val="20"/>
          <w:szCs w:val="20"/>
        </w:rPr>
      </w:pPr>
      <w:r>
        <w:rPr>
          <w:b/>
          <w:bCs/>
          <w:sz w:val="20"/>
          <w:szCs w:val="20"/>
        </w:rPr>
        <w:t> </w:t>
      </w:r>
    </w:p>
    <w:p w14:paraId="31AEDE96" w14:textId="77777777" w:rsidR="00000000" w:rsidRDefault="00087966">
      <w:pPr>
        <w:pStyle w:val="a3"/>
        <w:spacing w:before="0" w:beforeAutospacing="0" w:after="0" w:afterAutospacing="0"/>
        <w:ind w:firstLine="720"/>
        <w:jc w:val="both"/>
        <w:divId w:val="1595479706"/>
        <w:rPr>
          <w:sz w:val="20"/>
          <w:szCs w:val="20"/>
        </w:rPr>
      </w:pPr>
      <w:r>
        <w:rPr>
          <w:sz w:val="20"/>
          <w:szCs w:val="20"/>
        </w:rPr>
        <w:t>Pursuant to the requirements of Section 13 or 15(d) of the Securities Exchange Act of 1934, the Registrant has duly caused this Report to be signed on its behalf b</w:t>
      </w:r>
      <w:r>
        <w:rPr>
          <w:sz w:val="20"/>
          <w:szCs w:val="20"/>
        </w:rPr>
        <w:t>y the undersigned, thereunto duly authorized.</w:t>
      </w:r>
    </w:p>
    <w:p w14:paraId="1C9DF1DE"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899"/>
        <w:gridCol w:w="584"/>
        <w:gridCol w:w="2823"/>
      </w:tblGrid>
      <w:tr w:rsidR="00000000" w14:paraId="2C352059" w14:textId="77777777">
        <w:trPr>
          <w:divId w:val="1595479706"/>
        </w:trPr>
        <w:tc>
          <w:tcPr>
            <w:tcW w:w="0" w:type="auto"/>
            <w:hideMark/>
          </w:tcPr>
          <w:p w14:paraId="72548F29" w14:textId="77777777" w:rsidR="00000000" w:rsidRDefault="00087966">
            <w:pPr>
              <w:jc w:val="both"/>
              <w:rPr>
                <w:rFonts w:eastAsia="Times New Roman"/>
                <w:sz w:val="20"/>
                <w:szCs w:val="20"/>
              </w:rPr>
            </w:pPr>
            <w:r>
              <w:rPr>
                <w:rFonts w:eastAsia="Times New Roman"/>
                <w:sz w:val="20"/>
                <w:szCs w:val="20"/>
              </w:rPr>
              <w:t>March 17, 2023</w:t>
            </w:r>
          </w:p>
        </w:tc>
        <w:tc>
          <w:tcPr>
            <w:tcW w:w="0" w:type="auto"/>
            <w:gridSpan w:val="2"/>
            <w:vAlign w:val="bottom"/>
            <w:hideMark/>
          </w:tcPr>
          <w:p w14:paraId="31051CF8" w14:textId="77777777" w:rsidR="00000000" w:rsidRDefault="00087966">
            <w:pPr>
              <w:jc w:val="both"/>
              <w:rPr>
                <w:rFonts w:eastAsia="Times New Roman"/>
                <w:sz w:val="20"/>
                <w:szCs w:val="20"/>
              </w:rPr>
            </w:pPr>
            <w:r>
              <w:rPr>
                <w:rFonts w:eastAsia="Times New Roman"/>
                <w:b/>
                <w:bCs/>
                <w:sz w:val="20"/>
                <w:szCs w:val="20"/>
              </w:rPr>
              <w:t>KludeIn I Acquisition Corp.</w:t>
            </w:r>
          </w:p>
        </w:tc>
      </w:tr>
      <w:tr w:rsidR="00000000" w14:paraId="18BA9D12" w14:textId="77777777">
        <w:trPr>
          <w:divId w:val="1595479706"/>
        </w:trPr>
        <w:tc>
          <w:tcPr>
            <w:tcW w:w="3000" w:type="pct"/>
            <w:vAlign w:val="center"/>
            <w:hideMark/>
          </w:tcPr>
          <w:p w14:paraId="0D26D066" w14:textId="77777777" w:rsidR="00000000" w:rsidRDefault="00087966">
            <w:pPr>
              <w:jc w:val="both"/>
              <w:rPr>
                <w:rFonts w:eastAsia="Times New Roman"/>
                <w:sz w:val="20"/>
                <w:szCs w:val="20"/>
              </w:rPr>
            </w:pPr>
            <w:r>
              <w:rPr>
                <w:rFonts w:eastAsia="Times New Roman"/>
                <w:sz w:val="20"/>
                <w:szCs w:val="20"/>
              </w:rPr>
              <w:t> </w:t>
            </w:r>
          </w:p>
        </w:tc>
        <w:tc>
          <w:tcPr>
            <w:tcW w:w="250" w:type="pct"/>
            <w:vAlign w:val="center"/>
            <w:hideMark/>
          </w:tcPr>
          <w:p w14:paraId="25159945" w14:textId="77777777" w:rsidR="00000000" w:rsidRDefault="00087966">
            <w:pPr>
              <w:jc w:val="both"/>
              <w:rPr>
                <w:rFonts w:eastAsia="Times New Roman"/>
                <w:sz w:val="20"/>
                <w:szCs w:val="20"/>
              </w:rPr>
            </w:pPr>
            <w:r>
              <w:rPr>
                <w:rFonts w:eastAsia="Times New Roman"/>
                <w:sz w:val="20"/>
                <w:szCs w:val="20"/>
              </w:rPr>
              <w:t> </w:t>
            </w:r>
          </w:p>
        </w:tc>
        <w:tc>
          <w:tcPr>
            <w:tcW w:w="1750" w:type="pct"/>
            <w:vAlign w:val="center"/>
            <w:hideMark/>
          </w:tcPr>
          <w:p w14:paraId="48A5B918" w14:textId="77777777" w:rsidR="00000000" w:rsidRDefault="00087966">
            <w:pPr>
              <w:jc w:val="both"/>
              <w:rPr>
                <w:rFonts w:eastAsia="Times New Roman"/>
                <w:sz w:val="20"/>
                <w:szCs w:val="20"/>
              </w:rPr>
            </w:pPr>
            <w:r>
              <w:rPr>
                <w:rFonts w:eastAsia="Times New Roman"/>
                <w:sz w:val="20"/>
                <w:szCs w:val="20"/>
              </w:rPr>
              <w:t> </w:t>
            </w:r>
          </w:p>
        </w:tc>
      </w:tr>
      <w:tr w:rsidR="00000000" w14:paraId="6B8BDBC8" w14:textId="77777777">
        <w:trPr>
          <w:divId w:val="1595479706"/>
        </w:trPr>
        <w:tc>
          <w:tcPr>
            <w:tcW w:w="0" w:type="auto"/>
            <w:hideMark/>
          </w:tcPr>
          <w:p w14:paraId="4A287CBA" w14:textId="77777777" w:rsidR="00000000" w:rsidRDefault="00087966">
            <w:pPr>
              <w:jc w:val="both"/>
              <w:rPr>
                <w:rFonts w:eastAsia="Times New Roman"/>
                <w:sz w:val="20"/>
                <w:szCs w:val="20"/>
              </w:rPr>
            </w:pPr>
            <w:r>
              <w:rPr>
                <w:rFonts w:eastAsia="Times New Roman"/>
                <w:sz w:val="20"/>
                <w:szCs w:val="20"/>
              </w:rPr>
              <w:t> </w:t>
            </w:r>
          </w:p>
        </w:tc>
        <w:tc>
          <w:tcPr>
            <w:tcW w:w="0" w:type="auto"/>
            <w:vAlign w:val="bottom"/>
            <w:hideMark/>
          </w:tcPr>
          <w:p w14:paraId="0E45C676" w14:textId="77777777" w:rsidR="00000000" w:rsidRDefault="00087966">
            <w:pPr>
              <w:jc w:val="both"/>
              <w:rPr>
                <w:rFonts w:eastAsia="Times New Roman"/>
                <w:sz w:val="20"/>
                <w:szCs w:val="20"/>
              </w:rPr>
            </w:pPr>
            <w:r>
              <w:rPr>
                <w:rFonts w:eastAsia="Times New Roman"/>
                <w:sz w:val="20"/>
                <w:szCs w:val="20"/>
              </w:rPr>
              <w:t>By:</w:t>
            </w:r>
          </w:p>
        </w:tc>
        <w:tc>
          <w:tcPr>
            <w:tcW w:w="0" w:type="auto"/>
            <w:tcBorders>
              <w:bottom w:val="single" w:sz="12" w:space="0" w:color="000000"/>
            </w:tcBorders>
            <w:vAlign w:val="bottom"/>
            <w:hideMark/>
          </w:tcPr>
          <w:p w14:paraId="25DB5D02" w14:textId="77777777" w:rsidR="00000000" w:rsidRDefault="00087966">
            <w:pPr>
              <w:rPr>
                <w:rFonts w:eastAsia="Times New Roman"/>
                <w:sz w:val="20"/>
                <w:szCs w:val="20"/>
              </w:rPr>
            </w:pPr>
            <w:r>
              <w:rPr>
                <w:rFonts w:eastAsia="Times New Roman"/>
                <w:sz w:val="20"/>
                <w:szCs w:val="20"/>
              </w:rPr>
              <w:t>/s/ Narayan Ramachandran</w:t>
            </w:r>
          </w:p>
        </w:tc>
      </w:tr>
      <w:tr w:rsidR="00000000" w14:paraId="1447D564" w14:textId="77777777">
        <w:trPr>
          <w:divId w:val="1595479706"/>
        </w:trPr>
        <w:tc>
          <w:tcPr>
            <w:tcW w:w="0" w:type="auto"/>
            <w:hideMark/>
          </w:tcPr>
          <w:p w14:paraId="6F7B817D" w14:textId="77777777" w:rsidR="00000000" w:rsidRDefault="00087966">
            <w:pPr>
              <w:jc w:val="both"/>
              <w:rPr>
                <w:rFonts w:eastAsia="Times New Roman"/>
                <w:sz w:val="20"/>
                <w:szCs w:val="20"/>
              </w:rPr>
            </w:pPr>
            <w:r>
              <w:rPr>
                <w:rFonts w:eastAsia="Times New Roman"/>
                <w:sz w:val="20"/>
                <w:szCs w:val="20"/>
              </w:rPr>
              <w:t> </w:t>
            </w:r>
          </w:p>
        </w:tc>
        <w:tc>
          <w:tcPr>
            <w:tcW w:w="0" w:type="auto"/>
            <w:vAlign w:val="bottom"/>
            <w:hideMark/>
          </w:tcPr>
          <w:p w14:paraId="70237FBC" w14:textId="77777777" w:rsidR="00000000" w:rsidRDefault="00087966">
            <w:pPr>
              <w:jc w:val="both"/>
              <w:rPr>
                <w:rFonts w:eastAsia="Times New Roman"/>
                <w:sz w:val="20"/>
                <w:szCs w:val="20"/>
              </w:rPr>
            </w:pPr>
            <w:r>
              <w:rPr>
                <w:rFonts w:eastAsia="Times New Roman"/>
                <w:sz w:val="20"/>
                <w:szCs w:val="20"/>
              </w:rPr>
              <w:t>Name: </w:t>
            </w:r>
          </w:p>
        </w:tc>
        <w:tc>
          <w:tcPr>
            <w:tcW w:w="0" w:type="auto"/>
            <w:vAlign w:val="bottom"/>
            <w:hideMark/>
          </w:tcPr>
          <w:p w14:paraId="1CE83BB8" w14:textId="77777777" w:rsidR="00000000" w:rsidRDefault="00087966">
            <w:pPr>
              <w:jc w:val="both"/>
              <w:rPr>
                <w:rFonts w:eastAsia="Times New Roman"/>
                <w:sz w:val="20"/>
                <w:szCs w:val="20"/>
              </w:rPr>
            </w:pPr>
            <w:r>
              <w:rPr>
                <w:rFonts w:eastAsia="Times New Roman"/>
                <w:sz w:val="20"/>
                <w:szCs w:val="20"/>
              </w:rPr>
              <w:t>Narayan Ramachandran</w:t>
            </w:r>
          </w:p>
        </w:tc>
      </w:tr>
      <w:tr w:rsidR="00000000" w14:paraId="20FB6693" w14:textId="77777777">
        <w:trPr>
          <w:divId w:val="1595479706"/>
        </w:trPr>
        <w:tc>
          <w:tcPr>
            <w:tcW w:w="0" w:type="auto"/>
            <w:hideMark/>
          </w:tcPr>
          <w:p w14:paraId="22D2251D"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72E67D75" w14:textId="77777777" w:rsidR="00000000" w:rsidRDefault="00087966">
            <w:pPr>
              <w:jc w:val="both"/>
              <w:rPr>
                <w:rFonts w:eastAsia="Times New Roman"/>
                <w:sz w:val="20"/>
                <w:szCs w:val="20"/>
              </w:rPr>
            </w:pPr>
            <w:r>
              <w:rPr>
                <w:rFonts w:eastAsia="Times New Roman"/>
                <w:sz w:val="20"/>
                <w:szCs w:val="20"/>
              </w:rPr>
              <w:t>Title:</w:t>
            </w:r>
          </w:p>
        </w:tc>
        <w:tc>
          <w:tcPr>
            <w:tcW w:w="0" w:type="auto"/>
            <w:vAlign w:val="bottom"/>
            <w:hideMark/>
          </w:tcPr>
          <w:p w14:paraId="0F67ECFD" w14:textId="77777777" w:rsidR="00000000" w:rsidRDefault="00087966">
            <w:pPr>
              <w:jc w:val="both"/>
              <w:rPr>
                <w:rFonts w:eastAsia="Times New Roman"/>
                <w:sz w:val="20"/>
                <w:szCs w:val="20"/>
              </w:rPr>
            </w:pPr>
            <w:r>
              <w:rPr>
                <w:rFonts w:eastAsia="Times New Roman"/>
                <w:sz w:val="20"/>
                <w:szCs w:val="20"/>
              </w:rPr>
              <w:t xml:space="preserve">Chief Executive Officer </w:t>
            </w:r>
            <w:r>
              <w:rPr>
                <w:rFonts w:eastAsia="Times New Roman"/>
                <w:sz w:val="20"/>
                <w:szCs w:val="20"/>
              </w:rPr>
              <w:br/>
            </w:r>
            <w:r>
              <w:rPr>
                <w:rFonts w:eastAsia="Times New Roman"/>
                <w:i/>
                <w:iCs/>
                <w:sz w:val="20"/>
                <w:szCs w:val="20"/>
              </w:rPr>
              <w:t>(Principal Executive Officer)</w:t>
            </w:r>
          </w:p>
        </w:tc>
      </w:tr>
    </w:tbl>
    <w:p w14:paraId="679AE5E0"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p w14:paraId="3C719F5D" w14:textId="77777777" w:rsidR="00000000" w:rsidRDefault="00087966">
      <w:pPr>
        <w:pStyle w:val="a3"/>
        <w:spacing w:before="0" w:beforeAutospacing="0" w:after="0" w:afterAutospacing="0"/>
        <w:ind w:firstLine="720"/>
        <w:jc w:val="both"/>
        <w:divId w:val="1595479706"/>
        <w:rPr>
          <w:sz w:val="20"/>
          <w:szCs w:val="20"/>
        </w:rPr>
      </w:pPr>
      <w:r>
        <w:rPr>
          <w:sz w:val="20"/>
          <w:szCs w:val="20"/>
        </w:rPr>
        <w:t>Pursuant to the requirements of the Securities Exchange Act of 1934, this Report has been signed below by the following persons on behalf of the Registrant and in the capacities and on the dates indicated.</w:t>
      </w:r>
    </w:p>
    <w:p w14:paraId="6DFB7638" w14:textId="77777777" w:rsidR="00000000" w:rsidRDefault="00087966">
      <w:pPr>
        <w:pStyle w:val="a3"/>
        <w:spacing w:before="0" w:beforeAutospacing="0" w:after="0" w:afterAutospacing="0"/>
        <w:ind w:firstLine="720"/>
        <w:jc w:val="both"/>
        <w:divId w:val="1595479706"/>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91"/>
        <w:gridCol w:w="83"/>
        <w:gridCol w:w="3322"/>
        <w:gridCol w:w="83"/>
        <w:gridCol w:w="1827"/>
      </w:tblGrid>
      <w:tr w:rsidR="00000000" w14:paraId="202A2D0F" w14:textId="77777777">
        <w:trPr>
          <w:divId w:val="1595479706"/>
        </w:trPr>
        <w:tc>
          <w:tcPr>
            <w:tcW w:w="1800" w:type="pct"/>
            <w:tcBorders>
              <w:bottom w:val="single" w:sz="12" w:space="0" w:color="000000"/>
            </w:tcBorders>
            <w:vAlign w:val="bottom"/>
            <w:hideMark/>
          </w:tcPr>
          <w:p w14:paraId="62F32E77" w14:textId="77777777" w:rsidR="00000000" w:rsidRDefault="00087966">
            <w:pPr>
              <w:jc w:val="both"/>
              <w:rPr>
                <w:rFonts w:eastAsia="Times New Roman"/>
                <w:sz w:val="20"/>
                <w:szCs w:val="20"/>
              </w:rPr>
            </w:pPr>
            <w:r>
              <w:rPr>
                <w:rFonts w:eastAsia="Times New Roman"/>
                <w:b/>
                <w:bCs/>
                <w:sz w:val="20"/>
                <w:szCs w:val="20"/>
              </w:rPr>
              <w:t>Name</w:t>
            </w:r>
          </w:p>
        </w:tc>
        <w:tc>
          <w:tcPr>
            <w:tcW w:w="50" w:type="pct"/>
            <w:vAlign w:val="bottom"/>
            <w:hideMark/>
          </w:tcPr>
          <w:p w14:paraId="264A6944" w14:textId="77777777" w:rsidR="00000000" w:rsidRDefault="00087966">
            <w:pPr>
              <w:jc w:val="both"/>
              <w:rPr>
                <w:rFonts w:eastAsia="Times New Roman"/>
                <w:sz w:val="20"/>
                <w:szCs w:val="20"/>
              </w:rPr>
            </w:pPr>
            <w:r>
              <w:rPr>
                <w:rFonts w:eastAsia="Times New Roman"/>
                <w:sz w:val="20"/>
                <w:szCs w:val="20"/>
              </w:rPr>
              <w:t> </w:t>
            </w:r>
          </w:p>
        </w:tc>
        <w:tc>
          <w:tcPr>
            <w:tcW w:w="2000" w:type="pct"/>
            <w:tcBorders>
              <w:bottom w:val="single" w:sz="12" w:space="0" w:color="000000"/>
            </w:tcBorders>
            <w:vAlign w:val="bottom"/>
            <w:hideMark/>
          </w:tcPr>
          <w:p w14:paraId="0FB52DF9" w14:textId="77777777" w:rsidR="00000000" w:rsidRDefault="00087966">
            <w:pPr>
              <w:jc w:val="both"/>
              <w:rPr>
                <w:rFonts w:eastAsia="Times New Roman"/>
                <w:sz w:val="20"/>
                <w:szCs w:val="20"/>
              </w:rPr>
            </w:pPr>
            <w:r>
              <w:rPr>
                <w:rFonts w:eastAsia="Times New Roman"/>
                <w:b/>
                <w:bCs/>
                <w:sz w:val="20"/>
                <w:szCs w:val="20"/>
              </w:rPr>
              <w:t>Position</w:t>
            </w:r>
          </w:p>
        </w:tc>
        <w:tc>
          <w:tcPr>
            <w:tcW w:w="50" w:type="pct"/>
            <w:vAlign w:val="bottom"/>
            <w:hideMark/>
          </w:tcPr>
          <w:p w14:paraId="34B15BE3" w14:textId="77777777" w:rsidR="00000000" w:rsidRDefault="00087966">
            <w:pPr>
              <w:jc w:val="both"/>
              <w:rPr>
                <w:rFonts w:eastAsia="Times New Roman"/>
                <w:sz w:val="20"/>
                <w:szCs w:val="20"/>
              </w:rPr>
            </w:pPr>
            <w:r>
              <w:rPr>
                <w:rFonts w:eastAsia="Times New Roman"/>
                <w:sz w:val="20"/>
                <w:szCs w:val="20"/>
              </w:rPr>
              <w:t> </w:t>
            </w:r>
          </w:p>
        </w:tc>
        <w:tc>
          <w:tcPr>
            <w:tcW w:w="1100" w:type="pct"/>
            <w:tcBorders>
              <w:bottom w:val="single" w:sz="12" w:space="0" w:color="000000"/>
            </w:tcBorders>
            <w:vAlign w:val="bottom"/>
            <w:hideMark/>
          </w:tcPr>
          <w:p w14:paraId="131ED04F" w14:textId="77777777" w:rsidR="00000000" w:rsidRDefault="00087966">
            <w:pPr>
              <w:jc w:val="both"/>
              <w:rPr>
                <w:rFonts w:eastAsia="Times New Roman"/>
                <w:sz w:val="20"/>
                <w:szCs w:val="20"/>
              </w:rPr>
            </w:pPr>
            <w:r>
              <w:rPr>
                <w:rFonts w:eastAsia="Times New Roman"/>
                <w:b/>
                <w:bCs/>
                <w:sz w:val="20"/>
                <w:szCs w:val="20"/>
              </w:rPr>
              <w:t>Date</w:t>
            </w:r>
          </w:p>
        </w:tc>
      </w:tr>
      <w:tr w:rsidR="00000000" w14:paraId="6DAFC96C" w14:textId="77777777">
        <w:trPr>
          <w:divId w:val="1595479706"/>
        </w:trPr>
        <w:tc>
          <w:tcPr>
            <w:tcW w:w="0" w:type="auto"/>
            <w:vAlign w:val="center"/>
            <w:hideMark/>
          </w:tcPr>
          <w:p w14:paraId="0D0F616F" w14:textId="77777777" w:rsidR="00000000" w:rsidRDefault="00087966">
            <w:pPr>
              <w:jc w:val="both"/>
              <w:rPr>
                <w:rFonts w:eastAsia="Times New Roman"/>
                <w:sz w:val="20"/>
                <w:szCs w:val="20"/>
              </w:rPr>
            </w:pPr>
            <w:r>
              <w:rPr>
                <w:rFonts w:eastAsia="Times New Roman"/>
                <w:sz w:val="20"/>
                <w:szCs w:val="20"/>
              </w:rPr>
              <w:t> </w:t>
            </w:r>
          </w:p>
        </w:tc>
        <w:tc>
          <w:tcPr>
            <w:tcW w:w="0" w:type="auto"/>
            <w:gridSpan w:val="2"/>
            <w:vAlign w:val="center"/>
            <w:hideMark/>
          </w:tcPr>
          <w:p w14:paraId="22198FA8" w14:textId="77777777" w:rsidR="00000000" w:rsidRDefault="00087966">
            <w:pPr>
              <w:jc w:val="both"/>
              <w:rPr>
                <w:rFonts w:eastAsia="Times New Roman"/>
                <w:sz w:val="20"/>
                <w:szCs w:val="20"/>
              </w:rPr>
            </w:pPr>
            <w:r>
              <w:rPr>
                <w:rFonts w:eastAsia="Times New Roman"/>
                <w:sz w:val="20"/>
                <w:szCs w:val="20"/>
              </w:rPr>
              <w:t> </w:t>
            </w:r>
          </w:p>
        </w:tc>
        <w:tc>
          <w:tcPr>
            <w:tcW w:w="0" w:type="auto"/>
            <w:gridSpan w:val="2"/>
            <w:vAlign w:val="center"/>
            <w:hideMark/>
          </w:tcPr>
          <w:p w14:paraId="49A8D993" w14:textId="77777777" w:rsidR="00000000" w:rsidRDefault="00087966">
            <w:pPr>
              <w:jc w:val="both"/>
              <w:rPr>
                <w:rFonts w:eastAsia="Times New Roman"/>
                <w:sz w:val="20"/>
                <w:szCs w:val="20"/>
              </w:rPr>
            </w:pPr>
            <w:r>
              <w:rPr>
                <w:rFonts w:eastAsia="Times New Roman"/>
                <w:sz w:val="20"/>
                <w:szCs w:val="20"/>
              </w:rPr>
              <w:t> </w:t>
            </w:r>
          </w:p>
        </w:tc>
      </w:tr>
      <w:tr w:rsidR="00000000" w14:paraId="5E460A94" w14:textId="77777777">
        <w:trPr>
          <w:divId w:val="1595479706"/>
        </w:trPr>
        <w:tc>
          <w:tcPr>
            <w:tcW w:w="0" w:type="auto"/>
            <w:hideMark/>
          </w:tcPr>
          <w:p w14:paraId="0BCF1917" w14:textId="77777777" w:rsidR="00000000" w:rsidRDefault="00087966">
            <w:pPr>
              <w:pStyle w:val="a3"/>
              <w:pBdr>
                <w:bottom w:val="single" w:sz="12" w:space="0" w:color="000000"/>
              </w:pBdr>
              <w:spacing w:before="0" w:beforeAutospacing="0" w:after="0" w:afterAutospacing="0"/>
              <w:jc w:val="both"/>
              <w:rPr>
                <w:sz w:val="20"/>
                <w:szCs w:val="20"/>
              </w:rPr>
            </w:pPr>
            <w:r>
              <w:rPr>
                <w:sz w:val="20"/>
                <w:szCs w:val="20"/>
              </w:rPr>
              <w:t xml:space="preserve">/s/ </w:t>
            </w:r>
            <w:r>
              <w:rPr>
                <w:sz w:val="20"/>
                <w:szCs w:val="20"/>
              </w:rPr>
              <w:t>Narayan Ramachandran</w:t>
            </w:r>
          </w:p>
        </w:tc>
        <w:tc>
          <w:tcPr>
            <w:tcW w:w="0" w:type="auto"/>
            <w:vAlign w:val="bottom"/>
            <w:hideMark/>
          </w:tcPr>
          <w:p w14:paraId="23024DB7"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2A6C2E76" w14:textId="77777777" w:rsidR="00000000" w:rsidRDefault="00087966">
            <w:pPr>
              <w:jc w:val="both"/>
              <w:rPr>
                <w:rFonts w:eastAsia="Times New Roman"/>
                <w:sz w:val="20"/>
                <w:szCs w:val="20"/>
              </w:rPr>
            </w:pPr>
            <w:r>
              <w:rPr>
                <w:rFonts w:eastAsia="Times New Roman"/>
                <w:sz w:val="20"/>
                <w:szCs w:val="20"/>
              </w:rPr>
              <w:t>Chief Executive Officer and Chairman</w:t>
            </w:r>
          </w:p>
        </w:tc>
        <w:tc>
          <w:tcPr>
            <w:tcW w:w="0" w:type="auto"/>
            <w:vAlign w:val="bottom"/>
            <w:hideMark/>
          </w:tcPr>
          <w:p w14:paraId="133F3B90"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7BDCBCDB" w14:textId="77777777" w:rsidR="00000000" w:rsidRDefault="00087966">
            <w:pPr>
              <w:jc w:val="both"/>
              <w:rPr>
                <w:rFonts w:eastAsia="Times New Roman"/>
                <w:sz w:val="20"/>
                <w:szCs w:val="20"/>
              </w:rPr>
            </w:pPr>
            <w:r>
              <w:rPr>
                <w:rFonts w:eastAsia="Times New Roman"/>
                <w:sz w:val="20"/>
                <w:szCs w:val="20"/>
              </w:rPr>
              <w:t>March 17, 2023</w:t>
            </w:r>
          </w:p>
        </w:tc>
      </w:tr>
      <w:tr w:rsidR="00000000" w14:paraId="66CF7BA7" w14:textId="77777777">
        <w:trPr>
          <w:divId w:val="1595479706"/>
        </w:trPr>
        <w:tc>
          <w:tcPr>
            <w:tcW w:w="0" w:type="auto"/>
            <w:hideMark/>
          </w:tcPr>
          <w:p w14:paraId="4010B4B2" w14:textId="77777777" w:rsidR="00000000" w:rsidRDefault="00087966">
            <w:pPr>
              <w:jc w:val="both"/>
              <w:rPr>
                <w:rFonts w:eastAsia="Times New Roman"/>
                <w:sz w:val="20"/>
                <w:szCs w:val="20"/>
              </w:rPr>
            </w:pPr>
            <w:r>
              <w:rPr>
                <w:rFonts w:eastAsia="Times New Roman"/>
                <w:sz w:val="20"/>
                <w:szCs w:val="20"/>
              </w:rPr>
              <w:t>Narayan Ramachandran</w:t>
            </w:r>
          </w:p>
        </w:tc>
        <w:tc>
          <w:tcPr>
            <w:tcW w:w="0" w:type="auto"/>
            <w:vAlign w:val="bottom"/>
            <w:hideMark/>
          </w:tcPr>
          <w:p w14:paraId="5BF0DDD7"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427B5E64" w14:textId="77777777" w:rsidR="00000000" w:rsidRDefault="00087966">
            <w:pPr>
              <w:jc w:val="both"/>
              <w:rPr>
                <w:rFonts w:eastAsia="Times New Roman"/>
                <w:sz w:val="20"/>
                <w:szCs w:val="20"/>
              </w:rPr>
            </w:pPr>
            <w:r>
              <w:rPr>
                <w:rFonts w:eastAsia="Times New Roman"/>
                <w:i/>
                <w:iCs/>
                <w:sz w:val="20"/>
                <w:szCs w:val="20"/>
              </w:rPr>
              <w:t>(Principal Executive Officer)</w:t>
            </w:r>
          </w:p>
        </w:tc>
        <w:tc>
          <w:tcPr>
            <w:tcW w:w="0" w:type="auto"/>
            <w:vAlign w:val="bottom"/>
            <w:hideMark/>
          </w:tcPr>
          <w:p w14:paraId="11E101A4"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0008A5DB" w14:textId="77777777" w:rsidR="00000000" w:rsidRDefault="00087966">
            <w:pPr>
              <w:jc w:val="both"/>
              <w:rPr>
                <w:rFonts w:eastAsia="Times New Roman"/>
                <w:sz w:val="20"/>
                <w:szCs w:val="20"/>
              </w:rPr>
            </w:pPr>
            <w:r>
              <w:rPr>
                <w:rFonts w:eastAsia="Times New Roman"/>
                <w:sz w:val="20"/>
                <w:szCs w:val="20"/>
              </w:rPr>
              <w:t> </w:t>
            </w:r>
          </w:p>
        </w:tc>
      </w:tr>
      <w:tr w:rsidR="00000000" w14:paraId="7CFFABD1" w14:textId="77777777">
        <w:trPr>
          <w:divId w:val="1595479706"/>
        </w:trPr>
        <w:tc>
          <w:tcPr>
            <w:tcW w:w="0" w:type="auto"/>
            <w:vAlign w:val="center"/>
            <w:hideMark/>
          </w:tcPr>
          <w:p w14:paraId="40C79F3E" w14:textId="77777777" w:rsidR="00000000" w:rsidRDefault="00087966">
            <w:pPr>
              <w:jc w:val="both"/>
              <w:rPr>
                <w:rFonts w:eastAsia="Times New Roman"/>
                <w:sz w:val="20"/>
                <w:szCs w:val="20"/>
              </w:rPr>
            </w:pPr>
            <w:r>
              <w:rPr>
                <w:rFonts w:eastAsia="Times New Roman"/>
                <w:sz w:val="20"/>
                <w:szCs w:val="20"/>
              </w:rPr>
              <w:t> </w:t>
            </w:r>
          </w:p>
        </w:tc>
        <w:tc>
          <w:tcPr>
            <w:tcW w:w="0" w:type="auto"/>
            <w:gridSpan w:val="2"/>
            <w:vAlign w:val="center"/>
            <w:hideMark/>
          </w:tcPr>
          <w:p w14:paraId="4534F260" w14:textId="77777777" w:rsidR="00000000" w:rsidRDefault="00087966">
            <w:pPr>
              <w:jc w:val="both"/>
              <w:rPr>
                <w:rFonts w:eastAsia="Times New Roman"/>
                <w:sz w:val="20"/>
                <w:szCs w:val="20"/>
              </w:rPr>
            </w:pPr>
            <w:r>
              <w:rPr>
                <w:rFonts w:eastAsia="Times New Roman"/>
                <w:sz w:val="20"/>
                <w:szCs w:val="20"/>
              </w:rPr>
              <w:t> </w:t>
            </w:r>
          </w:p>
        </w:tc>
        <w:tc>
          <w:tcPr>
            <w:tcW w:w="0" w:type="auto"/>
            <w:gridSpan w:val="2"/>
            <w:vAlign w:val="center"/>
            <w:hideMark/>
          </w:tcPr>
          <w:p w14:paraId="1B433973" w14:textId="77777777" w:rsidR="00000000" w:rsidRDefault="00087966">
            <w:pPr>
              <w:jc w:val="both"/>
              <w:rPr>
                <w:rFonts w:eastAsia="Times New Roman"/>
                <w:sz w:val="20"/>
                <w:szCs w:val="20"/>
              </w:rPr>
            </w:pPr>
            <w:r>
              <w:rPr>
                <w:rFonts w:eastAsia="Times New Roman"/>
                <w:sz w:val="20"/>
                <w:szCs w:val="20"/>
              </w:rPr>
              <w:t> </w:t>
            </w:r>
          </w:p>
        </w:tc>
      </w:tr>
      <w:tr w:rsidR="00000000" w14:paraId="5120D9C4" w14:textId="77777777">
        <w:trPr>
          <w:divId w:val="1595479706"/>
        </w:trPr>
        <w:tc>
          <w:tcPr>
            <w:tcW w:w="0" w:type="auto"/>
            <w:hideMark/>
          </w:tcPr>
          <w:p w14:paraId="776F7638" w14:textId="77777777" w:rsidR="00000000" w:rsidRDefault="00087966">
            <w:pPr>
              <w:pStyle w:val="a3"/>
              <w:pBdr>
                <w:bottom w:val="single" w:sz="12" w:space="0" w:color="000000"/>
              </w:pBdr>
              <w:spacing w:before="0" w:beforeAutospacing="0" w:after="0" w:afterAutospacing="0"/>
              <w:jc w:val="both"/>
              <w:rPr>
                <w:sz w:val="20"/>
                <w:szCs w:val="20"/>
              </w:rPr>
            </w:pPr>
            <w:r>
              <w:rPr>
                <w:sz w:val="20"/>
                <w:szCs w:val="20"/>
              </w:rPr>
              <w:t>/s/ Mini Krishnamoorthy</w:t>
            </w:r>
          </w:p>
        </w:tc>
        <w:tc>
          <w:tcPr>
            <w:tcW w:w="0" w:type="auto"/>
            <w:vAlign w:val="bottom"/>
            <w:hideMark/>
          </w:tcPr>
          <w:p w14:paraId="0A1747F2"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A2FBD4C" w14:textId="77777777" w:rsidR="00000000" w:rsidRDefault="00087966">
            <w:pPr>
              <w:jc w:val="both"/>
              <w:rPr>
                <w:rFonts w:eastAsia="Times New Roman"/>
                <w:sz w:val="20"/>
                <w:szCs w:val="20"/>
              </w:rPr>
            </w:pPr>
            <w:r>
              <w:rPr>
                <w:rFonts w:eastAsia="Times New Roman"/>
                <w:sz w:val="20"/>
                <w:szCs w:val="20"/>
              </w:rPr>
              <w:t>Chief Financial Officer and Director</w:t>
            </w:r>
          </w:p>
        </w:tc>
        <w:tc>
          <w:tcPr>
            <w:tcW w:w="0" w:type="auto"/>
            <w:vAlign w:val="bottom"/>
            <w:hideMark/>
          </w:tcPr>
          <w:p w14:paraId="547DD0CB"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79BFE0D2" w14:textId="77777777" w:rsidR="00000000" w:rsidRDefault="00087966">
            <w:pPr>
              <w:jc w:val="both"/>
              <w:rPr>
                <w:rFonts w:eastAsia="Times New Roman"/>
                <w:sz w:val="20"/>
                <w:szCs w:val="20"/>
              </w:rPr>
            </w:pPr>
            <w:r>
              <w:rPr>
                <w:rFonts w:eastAsia="Times New Roman"/>
                <w:sz w:val="20"/>
                <w:szCs w:val="20"/>
              </w:rPr>
              <w:t>March 17, 2023</w:t>
            </w:r>
          </w:p>
        </w:tc>
      </w:tr>
      <w:tr w:rsidR="00000000" w14:paraId="5C5DEF95" w14:textId="77777777">
        <w:trPr>
          <w:divId w:val="1595479706"/>
        </w:trPr>
        <w:tc>
          <w:tcPr>
            <w:tcW w:w="0" w:type="auto"/>
            <w:hideMark/>
          </w:tcPr>
          <w:p w14:paraId="744F093E" w14:textId="77777777" w:rsidR="00000000" w:rsidRDefault="00087966">
            <w:pPr>
              <w:jc w:val="both"/>
              <w:rPr>
                <w:rFonts w:eastAsia="Times New Roman"/>
                <w:sz w:val="20"/>
                <w:szCs w:val="20"/>
              </w:rPr>
            </w:pPr>
            <w:r>
              <w:rPr>
                <w:rFonts w:eastAsia="Times New Roman"/>
                <w:sz w:val="20"/>
                <w:szCs w:val="20"/>
              </w:rPr>
              <w:t xml:space="preserve">Mini </w:t>
            </w:r>
            <w:r>
              <w:rPr>
                <w:rFonts w:eastAsia="Times New Roman"/>
                <w:sz w:val="20"/>
                <w:szCs w:val="20"/>
              </w:rPr>
              <w:t>Krishnamoorthy</w:t>
            </w:r>
          </w:p>
        </w:tc>
        <w:tc>
          <w:tcPr>
            <w:tcW w:w="0" w:type="auto"/>
            <w:vAlign w:val="bottom"/>
            <w:hideMark/>
          </w:tcPr>
          <w:p w14:paraId="172295F3"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24DF39A9" w14:textId="77777777" w:rsidR="00000000" w:rsidRDefault="00087966">
            <w:pPr>
              <w:jc w:val="both"/>
              <w:rPr>
                <w:rFonts w:eastAsia="Times New Roman"/>
                <w:sz w:val="20"/>
                <w:szCs w:val="20"/>
              </w:rPr>
            </w:pPr>
            <w:r>
              <w:rPr>
                <w:rFonts w:eastAsia="Times New Roman"/>
                <w:i/>
                <w:iCs/>
                <w:sz w:val="20"/>
                <w:szCs w:val="20"/>
              </w:rPr>
              <w:t>(Principal Financial and Accounting Officer)</w:t>
            </w:r>
          </w:p>
        </w:tc>
        <w:tc>
          <w:tcPr>
            <w:tcW w:w="0" w:type="auto"/>
            <w:vAlign w:val="bottom"/>
            <w:hideMark/>
          </w:tcPr>
          <w:p w14:paraId="22B3CC95"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66BC2ED8" w14:textId="77777777" w:rsidR="00000000" w:rsidRDefault="00087966">
            <w:pPr>
              <w:jc w:val="both"/>
              <w:rPr>
                <w:rFonts w:eastAsia="Times New Roman"/>
                <w:sz w:val="20"/>
                <w:szCs w:val="20"/>
              </w:rPr>
            </w:pPr>
            <w:r>
              <w:rPr>
                <w:rFonts w:eastAsia="Times New Roman"/>
                <w:sz w:val="20"/>
                <w:szCs w:val="20"/>
              </w:rPr>
              <w:t> </w:t>
            </w:r>
          </w:p>
        </w:tc>
      </w:tr>
      <w:tr w:rsidR="00000000" w14:paraId="1DF3F378" w14:textId="77777777">
        <w:trPr>
          <w:divId w:val="1595479706"/>
        </w:trPr>
        <w:tc>
          <w:tcPr>
            <w:tcW w:w="0" w:type="auto"/>
            <w:vAlign w:val="center"/>
            <w:hideMark/>
          </w:tcPr>
          <w:p w14:paraId="1ABCFC2D" w14:textId="77777777" w:rsidR="00000000" w:rsidRDefault="00087966">
            <w:pPr>
              <w:jc w:val="both"/>
              <w:rPr>
                <w:rFonts w:eastAsia="Times New Roman"/>
                <w:sz w:val="20"/>
                <w:szCs w:val="20"/>
              </w:rPr>
            </w:pPr>
            <w:r>
              <w:rPr>
                <w:rFonts w:eastAsia="Times New Roman"/>
                <w:sz w:val="20"/>
                <w:szCs w:val="20"/>
              </w:rPr>
              <w:t> </w:t>
            </w:r>
          </w:p>
        </w:tc>
        <w:tc>
          <w:tcPr>
            <w:tcW w:w="0" w:type="auto"/>
            <w:gridSpan w:val="2"/>
            <w:vAlign w:val="center"/>
            <w:hideMark/>
          </w:tcPr>
          <w:p w14:paraId="5F23040A" w14:textId="77777777" w:rsidR="00000000" w:rsidRDefault="00087966">
            <w:pPr>
              <w:jc w:val="both"/>
              <w:rPr>
                <w:rFonts w:eastAsia="Times New Roman"/>
                <w:sz w:val="20"/>
                <w:szCs w:val="20"/>
              </w:rPr>
            </w:pPr>
            <w:r>
              <w:rPr>
                <w:rFonts w:eastAsia="Times New Roman"/>
                <w:sz w:val="20"/>
                <w:szCs w:val="20"/>
              </w:rPr>
              <w:t> </w:t>
            </w:r>
          </w:p>
        </w:tc>
        <w:tc>
          <w:tcPr>
            <w:tcW w:w="0" w:type="auto"/>
            <w:gridSpan w:val="2"/>
            <w:vAlign w:val="center"/>
            <w:hideMark/>
          </w:tcPr>
          <w:p w14:paraId="5D5EEE97" w14:textId="77777777" w:rsidR="00000000" w:rsidRDefault="00087966">
            <w:pPr>
              <w:jc w:val="both"/>
              <w:rPr>
                <w:rFonts w:eastAsia="Times New Roman"/>
                <w:sz w:val="20"/>
                <w:szCs w:val="20"/>
              </w:rPr>
            </w:pPr>
            <w:r>
              <w:rPr>
                <w:rFonts w:eastAsia="Times New Roman"/>
                <w:sz w:val="20"/>
                <w:szCs w:val="20"/>
              </w:rPr>
              <w:t> </w:t>
            </w:r>
          </w:p>
        </w:tc>
      </w:tr>
      <w:tr w:rsidR="00000000" w14:paraId="68F6593B" w14:textId="77777777">
        <w:trPr>
          <w:divId w:val="1595479706"/>
        </w:trPr>
        <w:tc>
          <w:tcPr>
            <w:tcW w:w="0" w:type="auto"/>
            <w:hideMark/>
          </w:tcPr>
          <w:p w14:paraId="32D0098D" w14:textId="77777777" w:rsidR="00000000" w:rsidRDefault="00087966">
            <w:pPr>
              <w:pStyle w:val="a3"/>
              <w:pBdr>
                <w:bottom w:val="single" w:sz="12" w:space="0" w:color="000000"/>
              </w:pBdr>
              <w:spacing w:before="0" w:beforeAutospacing="0" w:after="0" w:afterAutospacing="0"/>
              <w:jc w:val="both"/>
              <w:rPr>
                <w:sz w:val="20"/>
                <w:szCs w:val="20"/>
              </w:rPr>
            </w:pPr>
            <w:r>
              <w:rPr>
                <w:sz w:val="20"/>
                <w:szCs w:val="20"/>
              </w:rPr>
              <w:t>/s/ Krishnan Rajagopalan</w:t>
            </w:r>
          </w:p>
        </w:tc>
        <w:tc>
          <w:tcPr>
            <w:tcW w:w="0" w:type="auto"/>
            <w:vAlign w:val="bottom"/>
            <w:hideMark/>
          </w:tcPr>
          <w:p w14:paraId="720B4095"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4B99695" w14:textId="77777777" w:rsidR="00000000" w:rsidRDefault="00087966">
            <w:pPr>
              <w:jc w:val="both"/>
              <w:rPr>
                <w:rFonts w:eastAsia="Times New Roman"/>
                <w:sz w:val="20"/>
                <w:szCs w:val="20"/>
              </w:rPr>
            </w:pPr>
            <w:r>
              <w:rPr>
                <w:rFonts w:eastAsia="Times New Roman"/>
                <w:sz w:val="20"/>
                <w:szCs w:val="20"/>
              </w:rPr>
              <w:t>Director</w:t>
            </w:r>
          </w:p>
        </w:tc>
        <w:tc>
          <w:tcPr>
            <w:tcW w:w="0" w:type="auto"/>
            <w:vAlign w:val="bottom"/>
            <w:hideMark/>
          </w:tcPr>
          <w:p w14:paraId="4ED28EBF"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7EBB0D33" w14:textId="77777777" w:rsidR="00000000" w:rsidRDefault="00087966">
            <w:pPr>
              <w:jc w:val="both"/>
              <w:rPr>
                <w:rFonts w:eastAsia="Times New Roman"/>
                <w:sz w:val="20"/>
                <w:szCs w:val="20"/>
              </w:rPr>
            </w:pPr>
            <w:r>
              <w:rPr>
                <w:rFonts w:eastAsia="Times New Roman"/>
                <w:sz w:val="20"/>
                <w:szCs w:val="20"/>
              </w:rPr>
              <w:t>March 17, 2023</w:t>
            </w:r>
          </w:p>
        </w:tc>
      </w:tr>
      <w:tr w:rsidR="00000000" w14:paraId="3DBA5926" w14:textId="77777777">
        <w:trPr>
          <w:divId w:val="1595479706"/>
        </w:trPr>
        <w:tc>
          <w:tcPr>
            <w:tcW w:w="0" w:type="auto"/>
            <w:hideMark/>
          </w:tcPr>
          <w:p w14:paraId="4DCA2870" w14:textId="77777777" w:rsidR="00000000" w:rsidRDefault="00087966">
            <w:pPr>
              <w:jc w:val="both"/>
              <w:rPr>
                <w:rFonts w:eastAsia="Times New Roman"/>
                <w:sz w:val="20"/>
                <w:szCs w:val="20"/>
              </w:rPr>
            </w:pPr>
            <w:r>
              <w:rPr>
                <w:rFonts w:eastAsia="Times New Roman"/>
                <w:sz w:val="20"/>
                <w:szCs w:val="20"/>
              </w:rPr>
              <w:t>Krishnan Rajagopalan</w:t>
            </w:r>
          </w:p>
        </w:tc>
        <w:tc>
          <w:tcPr>
            <w:tcW w:w="0" w:type="auto"/>
            <w:vAlign w:val="bottom"/>
            <w:hideMark/>
          </w:tcPr>
          <w:p w14:paraId="5F7E4221"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09BBC5FB" w14:textId="77777777" w:rsidR="00000000" w:rsidRDefault="00087966">
            <w:pPr>
              <w:jc w:val="both"/>
              <w:rPr>
                <w:rFonts w:eastAsia="Times New Roman"/>
                <w:sz w:val="20"/>
                <w:szCs w:val="20"/>
              </w:rPr>
            </w:pPr>
            <w:r>
              <w:rPr>
                <w:rFonts w:eastAsia="Times New Roman"/>
                <w:sz w:val="20"/>
                <w:szCs w:val="20"/>
              </w:rPr>
              <w:t> </w:t>
            </w:r>
          </w:p>
        </w:tc>
        <w:tc>
          <w:tcPr>
            <w:tcW w:w="0" w:type="auto"/>
            <w:vAlign w:val="bottom"/>
            <w:hideMark/>
          </w:tcPr>
          <w:p w14:paraId="03A6E76F"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3509381C" w14:textId="77777777" w:rsidR="00000000" w:rsidRDefault="00087966">
            <w:pPr>
              <w:jc w:val="both"/>
              <w:rPr>
                <w:rFonts w:eastAsia="Times New Roman"/>
                <w:sz w:val="20"/>
                <w:szCs w:val="20"/>
              </w:rPr>
            </w:pPr>
            <w:r>
              <w:rPr>
                <w:rFonts w:eastAsia="Times New Roman"/>
                <w:sz w:val="20"/>
                <w:szCs w:val="20"/>
              </w:rPr>
              <w:t> </w:t>
            </w:r>
          </w:p>
        </w:tc>
      </w:tr>
      <w:tr w:rsidR="00000000" w14:paraId="0C832DA5" w14:textId="77777777">
        <w:trPr>
          <w:divId w:val="1595479706"/>
        </w:trPr>
        <w:tc>
          <w:tcPr>
            <w:tcW w:w="0" w:type="auto"/>
            <w:vAlign w:val="center"/>
            <w:hideMark/>
          </w:tcPr>
          <w:p w14:paraId="30FACB84" w14:textId="77777777" w:rsidR="00000000" w:rsidRDefault="00087966">
            <w:pPr>
              <w:jc w:val="both"/>
              <w:rPr>
                <w:rFonts w:eastAsia="Times New Roman"/>
                <w:sz w:val="20"/>
                <w:szCs w:val="20"/>
              </w:rPr>
            </w:pPr>
            <w:r>
              <w:rPr>
                <w:rFonts w:eastAsia="Times New Roman"/>
                <w:sz w:val="20"/>
                <w:szCs w:val="20"/>
              </w:rPr>
              <w:t> </w:t>
            </w:r>
          </w:p>
        </w:tc>
        <w:tc>
          <w:tcPr>
            <w:tcW w:w="0" w:type="auto"/>
            <w:gridSpan w:val="2"/>
            <w:vAlign w:val="center"/>
            <w:hideMark/>
          </w:tcPr>
          <w:p w14:paraId="205E5016" w14:textId="77777777" w:rsidR="00000000" w:rsidRDefault="00087966">
            <w:pPr>
              <w:jc w:val="both"/>
              <w:rPr>
                <w:rFonts w:eastAsia="Times New Roman"/>
                <w:sz w:val="20"/>
                <w:szCs w:val="20"/>
              </w:rPr>
            </w:pPr>
            <w:r>
              <w:rPr>
                <w:rFonts w:eastAsia="Times New Roman"/>
                <w:sz w:val="20"/>
                <w:szCs w:val="20"/>
              </w:rPr>
              <w:t> </w:t>
            </w:r>
          </w:p>
        </w:tc>
        <w:tc>
          <w:tcPr>
            <w:tcW w:w="0" w:type="auto"/>
            <w:gridSpan w:val="2"/>
            <w:vAlign w:val="center"/>
            <w:hideMark/>
          </w:tcPr>
          <w:p w14:paraId="5D331A42" w14:textId="77777777" w:rsidR="00000000" w:rsidRDefault="00087966">
            <w:pPr>
              <w:jc w:val="both"/>
              <w:rPr>
                <w:rFonts w:eastAsia="Times New Roman"/>
                <w:sz w:val="20"/>
                <w:szCs w:val="20"/>
              </w:rPr>
            </w:pPr>
            <w:r>
              <w:rPr>
                <w:rFonts w:eastAsia="Times New Roman"/>
                <w:sz w:val="20"/>
                <w:szCs w:val="20"/>
              </w:rPr>
              <w:t> </w:t>
            </w:r>
          </w:p>
        </w:tc>
      </w:tr>
      <w:tr w:rsidR="00000000" w14:paraId="6DB7BF2D" w14:textId="77777777">
        <w:trPr>
          <w:divId w:val="1595479706"/>
        </w:trPr>
        <w:tc>
          <w:tcPr>
            <w:tcW w:w="0" w:type="auto"/>
            <w:hideMark/>
          </w:tcPr>
          <w:p w14:paraId="1F7ADA5A" w14:textId="77777777" w:rsidR="00000000" w:rsidRDefault="00087966">
            <w:pPr>
              <w:pStyle w:val="a3"/>
              <w:pBdr>
                <w:bottom w:val="single" w:sz="12" w:space="0" w:color="000000"/>
              </w:pBdr>
              <w:spacing w:before="0" w:beforeAutospacing="0" w:after="0" w:afterAutospacing="0"/>
              <w:jc w:val="both"/>
              <w:rPr>
                <w:sz w:val="20"/>
                <w:szCs w:val="20"/>
              </w:rPr>
            </w:pPr>
            <w:r>
              <w:rPr>
                <w:sz w:val="20"/>
                <w:szCs w:val="20"/>
              </w:rPr>
              <w:t>/s/ Madhavan Rangaswami</w:t>
            </w:r>
          </w:p>
        </w:tc>
        <w:tc>
          <w:tcPr>
            <w:tcW w:w="0" w:type="auto"/>
            <w:vAlign w:val="bottom"/>
            <w:hideMark/>
          </w:tcPr>
          <w:p w14:paraId="47176624"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67B65CCD" w14:textId="77777777" w:rsidR="00000000" w:rsidRDefault="00087966">
            <w:pPr>
              <w:jc w:val="both"/>
              <w:rPr>
                <w:rFonts w:eastAsia="Times New Roman"/>
                <w:sz w:val="20"/>
                <w:szCs w:val="20"/>
              </w:rPr>
            </w:pPr>
            <w:r>
              <w:rPr>
                <w:rFonts w:eastAsia="Times New Roman"/>
                <w:sz w:val="20"/>
                <w:szCs w:val="20"/>
              </w:rPr>
              <w:t>Director</w:t>
            </w:r>
          </w:p>
        </w:tc>
        <w:tc>
          <w:tcPr>
            <w:tcW w:w="0" w:type="auto"/>
            <w:vAlign w:val="bottom"/>
            <w:hideMark/>
          </w:tcPr>
          <w:p w14:paraId="5A1309A0"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27652135" w14:textId="77777777" w:rsidR="00000000" w:rsidRDefault="00087966">
            <w:pPr>
              <w:jc w:val="both"/>
              <w:rPr>
                <w:rFonts w:eastAsia="Times New Roman"/>
                <w:sz w:val="20"/>
                <w:szCs w:val="20"/>
              </w:rPr>
            </w:pPr>
            <w:r>
              <w:rPr>
                <w:rFonts w:eastAsia="Times New Roman"/>
                <w:sz w:val="20"/>
                <w:szCs w:val="20"/>
              </w:rPr>
              <w:t>March 17, 2023</w:t>
            </w:r>
          </w:p>
        </w:tc>
      </w:tr>
      <w:tr w:rsidR="00000000" w14:paraId="19CC9795" w14:textId="77777777">
        <w:trPr>
          <w:divId w:val="1595479706"/>
        </w:trPr>
        <w:tc>
          <w:tcPr>
            <w:tcW w:w="0" w:type="auto"/>
            <w:hideMark/>
          </w:tcPr>
          <w:p w14:paraId="3D2E01C8" w14:textId="77777777" w:rsidR="00000000" w:rsidRDefault="00087966">
            <w:pPr>
              <w:jc w:val="both"/>
              <w:rPr>
                <w:rFonts w:eastAsia="Times New Roman"/>
                <w:sz w:val="20"/>
                <w:szCs w:val="20"/>
              </w:rPr>
            </w:pPr>
            <w:r>
              <w:rPr>
                <w:rFonts w:eastAsia="Times New Roman"/>
                <w:sz w:val="20"/>
                <w:szCs w:val="20"/>
              </w:rPr>
              <w:t>Madhavan Rangaswami</w:t>
            </w:r>
          </w:p>
        </w:tc>
        <w:tc>
          <w:tcPr>
            <w:tcW w:w="0" w:type="auto"/>
            <w:vAlign w:val="bottom"/>
            <w:hideMark/>
          </w:tcPr>
          <w:p w14:paraId="290726CE"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2687BD0" w14:textId="77777777" w:rsidR="00000000" w:rsidRDefault="00087966">
            <w:pPr>
              <w:jc w:val="both"/>
              <w:rPr>
                <w:rFonts w:eastAsia="Times New Roman"/>
                <w:sz w:val="20"/>
                <w:szCs w:val="20"/>
              </w:rPr>
            </w:pPr>
            <w:r>
              <w:rPr>
                <w:rFonts w:eastAsia="Times New Roman"/>
                <w:sz w:val="20"/>
                <w:szCs w:val="20"/>
              </w:rPr>
              <w:t> </w:t>
            </w:r>
          </w:p>
        </w:tc>
        <w:tc>
          <w:tcPr>
            <w:tcW w:w="0" w:type="auto"/>
            <w:vAlign w:val="bottom"/>
            <w:hideMark/>
          </w:tcPr>
          <w:p w14:paraId="4D629F45"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5B85098F" w14:textId="77777777" w:rsidR="00000000" w:rsidRDefault="00087966">
            <w:pPr>
              <w:jc w:val="both"/>
              <w:rPr>
                <w:rFonts w:eastAsia="Times New Roman"/>
                <w:sz w:val="20"/>
                <w:szCs w:val="20"/>
              </w:rPr>
            </w:pPr>
            <w:r>
              <w:rPr>
                <w:rFonts w:eastAsia="Times New Roman"/>
                <w:sz w:val="20"/>
                <w:szCs w:val="20"/>
              </w:rPr>
              <w:t> </w:t>
            </w:r>
          </w:p>
        </w:tc>
      </w:tr>
      <w:tr w:rsidR="00000000" w14:paraId="25B1AAC0" w14:textId="77777777">
        <w:trPr>
          <w:divId w:val="1595479706"/>
        </w:trPr>
        <w:tc>
          <w:tcPr>
            <w:tcW w:w="0" w:type="auto"/>
            <w:vAlign w:val="center"/>
            <w:hideMark/>
          </w:tcPr>
          <w:p w14:paraId="58DFE06E" w14:textId="77777777" w:rsidR="00000000" w:rsidRDefault="00087966">
            <w:pPr>
              <w:jc w:val="both"/>
              <w:rPr>
                <w:rFonts w:eastAsia="Times New Roman"/>
                <w:sz w:val="20"/>
                <w:szCs w:val="20"/>
              </w:rPr>
            </w:pPr>
            <w:r>
              <w:rPr>
                <w:rFonts w:eastAsia="Times New Roman"/>
                <w:sz w:val="20"/>
                <w:szCs w:val="20"/>
              </w:rPr>
              <w:t> </w:t>
            </w:r>
          </w:p>
        </w:tc>
        <w:tc>
          <w:tcPr>
            <w:tcW w:w="0" w:type="auto"/>
            <w:gridSpan w:val="2"/>
            <w:vAlign w:val="center"/>
            <w:hideMark/>
          </w:tcPr>
          <w:p w14:paraId="1FB1C9BC" w14:textId="77777777" w:rsidR="00000000" w:rsidRDefault="00087966">
            <w:pPr>
              <w:jc w:val="both"/>
              <w:rPr>
                <w:rFonts w:eastAsia="Times New Roman"/>
                <w:sz w:val="20"/>
                <w:szCs w:val="20"/>
              </w:rPr>
            </w:pPr>
            <w:r>
              <w:rPr>
                <w:rFonts w:eastAsia="Times New Roman"/>
                <w:sz w:val="20"/>
                <w:szCs w:val="20"/>
              </w:rPr>
              <w:t> </w:t>
            </w:r>
          </w:p>
        </w:tc>
        <w:tc>
          <w:tcPr>
            <w:tcW w:w="0" w:type="auto"/>
            <w:gridSpan w:val="2"/>
            <w:vAlign w:val="center"/>
            <w:hideMark/>
          </w:tcPr>
          <w:p w14:paraId="0294E8BF" w14:textId="77777777" w:rsidR="00000000" w:rsidRDefault="00087966">
            <w:pPr>
              <w:jc w:val="both"/>
              <w:rPr>
                <w:rFonts w:eastAsia="Times New Roman"/>
                <w:sz w:val="20"/>
                <w:szCs w:val="20"/>
              </w:rPr>
            </w:pPr>
            <w:r>
              <w:rPr>
                <w:rFonts w:eastAsia="Times New Roman"/>
                <w:sz w:val="20"/>
                <w:szCs w:val="20"/>
              </w:rPr>
              <w:t> </w:t>
            </w:r>
          </w:p>
        </w:tc>
      </w:tr>
      <w:tr w:rsidR="00000000" w14:paraId="18E11EDB" w14:textId="77777777">
        <w:trPr>
          <w:divId w:val="1595479706"/>
        </w:trPr>
        <w:tc>
          <w:tcPr>
            <w:tcW w:w="0" w:type="auto"/>
            <w:hideMark/>
          </w:tcPr>
          <w:p w14:paraId="2BF0468B" w14:textId="77777777" w:rsidR="00000000" w:rsidRDefault="00087966">
            <w:pPr>
              <w:pStyle w:val="a3"/>
              <w:pBdr>
                <w:bottom w:val="single" w:sz="12" w:space="0" w:color="000000"/>
              </w:pBdr>
              <w:spacing w:before="0" w:beforeAutospacing="0" w:after="0" w:afterAutospacing="0"/>
              <w:jc w:val="both"/>
              <w:rPr>
                <w:sz w:val="20"/>
                <w:szCs w:val="20"/>
              </w:rPr>
            </w:pPr>
            <w:r>
              <w:rPr>
                <w:sz w:val="20"/>
                <w:szCs w:val="20"/>
              </w:rPr>
              <w:t>/s/ Mark Bailey</w:t>
            </w:r>
          </w:p>
        </w:tc>
        <w:tc>
          <w:tcPr>
            <w:tcW w:w="0" w:type="auto"/>
            <w:vAlign w:val="bottom"/>
            <w:hideMark/>
          </w:tcPr>
          <w:p w14:paraId="3BCF1538"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126DCD34" w14:textId="77777777" w:rsidR="00000000" w:rsidRDefault="00087966">
            <w:pPr>
              <w:jc w:val="both"/>
              <w:rPr>
                <w:rFonts w:eastAsia="Times New Roman"/>
                <w:sz w:val="20"/>
                <w:szCs w:val="20"/>
              </w:rPr>
            </w:pPr>
            <w:r>
              <w:rPr>
                <w:rFonts w:eastAsia="Times New Roman"/>
                <w:sz w:val="20"/>
                <w:szCs w:val="20"/>
              </w:rPr>
              <w:t>Director</w:t>
            </w:r>
          </w:p>
        </w:tc>
        <w:tc>
          <w:tcPr>
            <w:tcW w:w="0" w:type="auto"/>
            <w:vAlign w:val="bottom"/>
            <w:hideMark/>
          </w:tcPr>
          <w:p w14:paraId="1965FEC9"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78EC3604" w14:textId="77777777" w:rsidR="00000000" w:rsidRDefault="00087966">
            <w:pPr>
              <w:jc w:val="both"/>
              <w:rPr>
                <w:rFonts w:eastAsia="Times New Roman"/>
                <w:sz w:val="20"/>
                <w:szCs w:val="20"/>
              </w:rPr>
            </w:pPr>
            <w:r>
              <w:rPr>
                <w:rFonts w:eastAsia="Times New Roman"/>
                <w:sz w:val="20"/>
                <w:szCs w:val="20"/>
              </w:rPr>
              <w:t>March 17, 2023</w:t>
            </w:r>
          </w:p>
        </w:tc>
      </w:tr>
      <w:tr w:rsidR="00000000" w14:paraId="3D7D8487" w14:textId="77777777">
        <w:trPr>
          <w:divId w:val="1595479706"/>
        </w:trPr>
        <w:tc>
          <w:tcPr>
            <w:tcW w:w="0" w:type="auto"/>
            <w:hideMark/>
          </w:tcPr>
          <w:p w14:paraId="0F698483" w14:textId="77777777" w:rsidR="00000000" w:rsidRDefault="00087966">
            <w:pPr>
              <w:jc w:val="both"/>
              <w:rPr>
                <w:rFonts w:eastAsia="Times New Roman"/>
                <w:sz w:val="20"/>
                <w:szCs w:val="20"/>
              </w:rPr>
            </w:pPr>
            <w:r>
              <w:rPr>
                <w:rFonts w:eastAsia="Times New Roman"/>
                <w:sz w:val="20"/>
                <w:szCs w:val="20"/>
              </w:rPr>
              <w:t>Mark Bailey</w:t>
            </w:r>
          </w:p>
        </w:tc>
        <w:tc>
          <w:tcPr>
            <w:tcW w:w="0" w:type="auto"/>
            <w:vAlign w:val="bottom"/>
            <w:hideMark/>
          </w:tcPr>
          <w:p w14:paraId="5E0D5DF8"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41DADEC4" w14:textId="77777777" w:rsidR="00000000" w:rsidRDefault="00087966">
            <w:pPr>
              <w:jc w:val="both"/>
              <w:rPr>
                <w:rFonts w:eastAsia="Times New Roman"/>
                <w:sz w:val="20"/>
                <w:szCs w:val="20"/>
              </w:rPr>
            </w:pPr>
            <w:r>
              <w:rPr>
                <w:rFonts w:eastAsia="Times New Roman"/>
                <w:sz w:val="20"/>
                <w:szCs w:val="20"/>
              </w:rPr>
              <w:t> </w:t>
            </w:r>
          </w:p>
        </w:tc>
        <w:tc>
          <w:tcPr>
            <w:tcW w:w="0" w:type="auto"/>
            <w:vAlign w:val="bottom"/>
            <w:hideMark/>
          </w:tcPr>
          <w:p w14:paraId="04A0DFB8" w14:textId="77777777" w:rsidR="00000000" w:rsidRDefault="00087966">
            <w:pPr>
              <w:jc w:val="both"/>
              <w:rPr>
                <w:rFonts w:eastAsia="Times New Roman"/>
                <w:sz w:val="20"/>
                <w:szCs w:val="20"/>
              </w:rPr>
            </w:pPr>
            <w:r>
              <w:rPr>
                <w:rFonts w:eastAsia="Times New Roman"/>
                <w:sz w:val="20"/>
                <w:szCs w:val="20"/>
              </w:rPr>
              <w:t> </w:t>
            </w:r>
          </w:p>
        </w:tc>
        <w:tc>
          <w:tcPr>
            <w:tcW w:w="0" w:type="auto"/>
            <w:hideMark/>
          </w:tcPr>
          <w:p w14:paraId="2AB35981" w14:textId="77777777" w:rsidR="00000000" w:rsidRDefault="00087966">
            <w:pPr>
              <w:jc w:val="both"/>
              <w:rPr>
                <w:rFonts w:eastAsia="Times New Roman"/>
                <w:sz w:val="20"/>
                <w:szCs w:val="20"/>
              </w:rPr>
            </w:pPr>
            <w:r>
              <w:rPr>
                <w:rFonts w:eastAsia="Times New Roman"/>
                <w:sz w:val="20"/>
                <w:szCs w:val="20"/>
              </w:rPr>
              <w:t> </w:t>
            </w:r>
          </w:p>
        </w:tc>
      </w:tr>
    </w:tbl>
    <w:p w14:paraId="135200A5" w14:textId="77777777" w:rsidR="00000000" w:rsidRDefault="00087966">
      <w:pPr>
        <w:pStyle w:val="a3"/>
        <w:spacing w:before="0" w:beforeAutospacing="0" w:after="0" w:afterAutospacing="0"/>
        <w:jc w:val="center"/>
        <w:divId w:val="1595479706"/>
        <w:rPr>
          <w:sz w:val="20"/>
          <w:szCs w:val="20"/>
        </w:rPr>
      </w:pPr>
      <w:r>
        <w:rPr>
          <w:sz w:val="20"/>
          <w:szCs w:val="20"/>
        </w:rPr>
        <w:t> </w:t>
      </w:r>
    </w:p>
    <w:p w14:paraId="4BEF6600" w14:textId="77777777" w:rsidR="00000000" w:rsidRDefault="00087966">
      <w:pPr>
        <w:pStyle w:val="a3"/>
        <w:spacing w:before="0" w:beforeAutospacing="0" w:after="0" w:afterAutospacing="0"/>
        <w:jc w:val="center"/>
        <w:divId w:val="1595479706"/>
        <w:rPr>
          <w:sz w:val="20"/>
          <w:szCs w:val="20"/>
        </w:rPr>
      </w:pPr>
      <w:r>
        <w:rPr>
          <w:sz w:val="20"/>
          <w:szCs w:val="20"/>
        </w:rPr>
        <w:t> </w:t>
      </w:r>
    </w:p>
    <w:p w14:paraId="3A28E059" w14:textId="77777777" w:rsidR="00000000" w:rsidRDefault="00087966">
      <w:pPr>
        <w:pStyle w:val="a3"/>
        <w:spacing w:before="0" w:beforeAutospacing="0" w:after="0" w:afterAutospacing="0"/>
        <w:jc w:val="center"/>
        <w:divId w:val="1595479706"/>
        <w:rPr>
          <w:sz w:val="20"/>
          <w:szCs w:val="20"/>
        </w:rPr>
      </w:pPr>
      <w:r>
        <w:rPr>
          <w:sz w:val="20"/>
          <w:szCs w:val="20"/>
        </w:rPr>
        <w:t>55</w:t>
      </w:r>
    </w:p>
    <w:p w14:paraId="4D3381B6" w14:textId="77777777" w:rsidR="00000000" w:rsidRDefault="00087966">
      <w:pPr>
        <w:divId w:val="192230471"/>
        <w:rPr>
          <w:rFonts w:eastAsia="Times New Roman"/>
          <w:sz w:val="2"/>
          <w:szCs w:val="2"/>
        </w:rPr>
      </w:pPr>
      <w:r>
        <w:rPr>
          <w:rFonts w:eastAsia="Times New Roman"/>
          <w:sz w:val="2"/>
          <w:szCs w:val="2"/>
        </w:rPr>
        <w:t> </w:t>
      </w:r>
    </w:p>
    <w:p w14:paraId="4C03F29E" w14:textId="77777777" w:rsidR="00087966" w:rsidRDefault="00087966">
      <w:pPr>
        <w:divId w:val="189101203"/>
        <w:rPr>
          <w:rFonts w:eastAsia="Times New Roman"/>
          <w:vanish/>
          <w:sz w:val="20"/>
          <w:szCs w:val="20"/>
        </w:rPr>
      </w:pPr>
      <w:r>
        <w:rPr>
          <w:rFonts w:eastAsia="Times New Roman"/>
          <w:vanish/>
          <w:sz w:val="20"/>
          <w:szCs w:val="20"/>
        </w:rPr>
        <w:t xml:space="preserve">13930350 16776099 0.02 0.28 4297047 4312500 0.02 0.28 13930350 16776099 4297047 4312500 0.02 0.02 0.28 0.28 false FY 0001826671 0001826671 2022-01-01 2022-12-31 </w:t>
      </w:r>
      <w:r>
        <w:rPr>
          <w:rFonts w:eastAsia="Times New Roman"/>
          <w:vanish/>
          <w:sz w:val="20"/>
          <w:szCs w:val="20"/>
        </w:rPr>
        <w:t>0001826671 2022-06-30 0001826671 us-gaap:CommonClassAMember 2023-03-17 0001826671 us-gaap:CommonClassBMember 2023-03-17 0001826671 2022-12-31 0001826671 2021-12-31 0001826671 us-gaap:CommonClassAMember 2022-12-31 0001826671 us-gaap:CommonClassAMember 2021-</w:t>
      </w:r>
      <w:r>
        <w:rPr>
          <w:rFonts w:eastAsia="Times New Roman"/>
          <w:vanish/>
          <w:sz w:val="20"/>
          <w:szCs w:val="20"/>
        </w:rPr>
        <w:t>12-31 0001826671 us-gaap:CommonClassBMember 2022-12-31 0001826671 us-gaap:CommonClassBMember 2021-12-31 0001826671 2021-01-01 2021-12-31 0001826671 us-gaap:CommonClassAMember 2022-01-01 2022-12-31 0001826671 us-gaap:CommonClassAMember 2021-01-01 2021-12-31</w:t>
      </w:r>
      <w:r>
        <w:rPr>
          <w:rFonts w:eastAsia="Times New Roman"/>
          <w:vanish/>
          <w:sz w:val="20"/>
          <w:szCs w:val="20"/>
        </w:rPr>
        <w:t xml:space="preserve"> 0001826671 us-gaap:CommonClassBMember 2022-01-01 2022-12-31 0001826671 us-gaap:CommonClassBMember 2021-01-01 2021-12-31 0001826671 us-gaap:CommonClassBMember us-gaap:CommonStockMember 2020-12-31 0001826671 us-gaap:AdditionalPaidInCapitalMember 2020-12-31 </w:t>
      </w:r>
      <w:r>
        <w:rPr>
          <w:rFonts w:eastAsia="Times New Roman"/>
          <w:vanish/>
          <w:sz w:val="20"/>
          <w:szCs w:val="20"/>
        </w:rPr>
        <w:t>0001826671 us-gaap:RetainedEarningsMember 2020-12-31 0001826671 2020-12-31 0001826671 us-gaap:CommonClassBMember us-gaap:CommonStockMember 2021-01-01 2021-12-31 0001826671 us-gaap:AdditionalPaidInCapitalMember 2021-01-01 2021-12-31 0001826671 us-gaap:Retai</w:t>
      </w:r>
      <w:r>
        <w:rPr>
          <w:rFonts w:eastAsia="Times New Roman"/>
          <w:vanish/>
          <w:sz w:val="20"/>
          <w:szCs w:val="20"/>
        </w:rPr>
        <w:t>nedEarningsMember 2021-01-01 2021-12-31 0001826671 us-gaap:CommonClassBMember us-gaap:CommonStockMember 2021-12-31 0001826671 us-gaap:AdditionalPaidInCapitalMember 2021-12-31 0001826671 us-gaap:RetainedEarningsMember 2021-12-31 0001826671 us-gaap:CommonCla</w:t>
      </w:r>
      <w:r>
        <w:rPr>
          <w:rFonts w:eastAsia="Times New Roman"/>
          <w:vanish/>
          <w:sz w:val="20"/>
          <w:szCs w:val="20"/>
        </w:rPr>
        <w:t>ssBMember us-gaap:CommonStockMember 2022-01-01 2022-12-31 0001826671 us-gaap:AdditionalPaidInCapitalMember 2022-01-01 2022-12-31 0001826671 us-gaap:RetainedEarningsMember 2022-01-01 2022-12-31 0001826671 us-gaap:CommonClassBMember us-gaap:CommonStockMember</w:t>
      </w:r>
      <w:r>
        <w:rPr>
          <w:rFonts w:eastAsia="Times New Roman"/>
          <w:vanish/>
          <w:sz w:val="20"/>
          <w:szCs w:val="20"/>
        </w:rPr>
        <w:t xml:space="preserve"> 2022-12-31 0001826671 us-gaap:AdditionalPaidInCapitalMember 2022-12-31 0001826671 us-gaap:RetainedEarningsMember 2022-12-31 0001826671 us-gaap:IPOMember 2021-01-11 2021-01-11 0001826671 us-gaap:OverAllotmentOptionMember 2021-01-11 2021-01-11 0001826671 us</w:t>
      </w:r>
      <w:r>
        <w:rPr>
          <w:rFonts w:eastAsia="Times New Roman"/>
          <w:vanish/>
          <w:sz w:val="20"/>
          <w:szCs w:val="20"/>
        </w:rPr>
        <w:t>-gaap:OverAllotmentOptionMember 2021-01-11 0001826671 2021-01-11 2021-01-11 0001826671 us-gaap:PrivatePlacementMember 2022-01-01 2022-12-31 0001826671 us-gaap:PrivatePlacementMember 2022-12-31 0001826671 us-gaap:WarrantMember 2022-12-31 0001826671 2021-01-</w:t>
      </w:r>
      <w:r>
        <w:rPr>
          <w:rFonts w:eastAsia="Times New Roman"/>
          <w:vanish/>
          <w:sz w:val="20"/>
          <w:szCs w:val="20"/>
        </w:rPr>
        <w:t>11 0001826671 us-gaap:SeriesOfIndividuallyImmaterialBusinessAcquisitionsMember 2022-12-31 0001826671 2022-07-07 2022-07-07 0001826671 2022-07-07 0001826671 inka:ExtensionFundsMember 2022-07-07 0001826671 us-gaap:IPOMember 2022-12-31 0001826671 2022-01-21 2</w:t>
      </w:r>
      <w:r>
        <w:rPr>
          <w:rFonts w:eastAsia="Times New Roman"/>
          <w:vanish/>
          <w:sz w:val="20"/>
          <w:szCs w:val="20"/>
        </w:rPr>
        <w:t>022-01-21 0001826671 inka:SecuritiesMember 2022-12-31 0001826671 us-gaap:DepositsMember 2022-12-31 0001826671 2022-08-16 2022-08-16 0001826671 inka:ClassAMember 2022-01-01 2022-12-31 0001826671 inka:ClassBMember 2022-01-01 2022-12-31 0001826671 inka:ClassA</w:t>
      </w:r>
      <w:r>
        <w:rPr>
          <w:rFonts w:eastAsia="Times New Roman"/>
          <w:vanish/>
          <w:sz w:val="20"/>
          <w:szCs w:val="20"/>
        </w:rPr>
        <w:t>Member 2021-01-01 2021-12-31 0001826671 inka:ClassBMember 2021-01-01 2021-12-31 0001826671 us-gaap:IPOMember 2022-01-01 2022-12-31 0001826671 us-gaap:OverAllotmentOptionMember 2022-01-01 2022-12-31 0001826671 us-gaap:OverAllotmentOptionMember 2022-12-31 00</w:t>
      </w:r>
      <w:r>
        <w:rPr>
          <w:rFonts w:eastAsia="Times New Roman"/>
          <w:vanish/>
          <w:sz w:val="20"/>
          <w:szCs w:val="20"/>
        </w:rPr>
        <w:t xml:space="preserve">01826671 inka:SponsorsMember us-gaap:PrivatePlacementMember 2022-01-01 2022-12-31 0001826671 us-gaap:InvestorMember us-gaap:PrivatePlacementMember 2022-01-01 2022-12-31 0001826671 us-gaap:InvestorMember us-gaap:PrivatePlacementMember 2022-12-31 0001826671 </w:t>
      </w:r>
      <w:r>
        <w:rPr>
          <w:rFonts w:eastAsia="Times New Roman"/>
          <w:vanish/>
          <w:sz w:val="20"/>
          <w:szCs w:val="20"/>
        </w:rPr>
        <w:t>us-gaap:InvestorMember</w:t>
      </w:r>
      <w:r>
        <w:rPr>
          <w:rFonts w:eastAsia="Times New Roman"/>
          <w:vanish/>
          <w:sz w:val="20"/>
          <w:szCs w:val="20"/>
        </w:rPr>
        <w:t xml:space="preserve"> </w:t>
      </w:r>
      <w:r>
        <w:rPr>
          <w:rFonts w:eastAsia="Times New Roman"/>
          <w:vanish/>
          <w:sz w:val="20"/>
          <w:szCs w:val="20"/>
        </w:rPr>
        <w:t>2022-01-01 2022-12-31 0001826671 inka:FounderSharesMember 2020-09-24 2020-09-24 0001826671 us-gaap:CommonClassBMember 2020-09-24 2020-09-24 0001826671 2021-01-06 2021-01-06 0001826671 us-gaap:OverAllotmentOptionMember 2021-01-06 2021</w:t>
      </w:r>
      <w:r>
        <w:rPr>
          <w:rFonts w:eastAsia="Times New Roman"/>
          <w:vanish/>
          <w:sz w:val="20"/>
          <w:szCs w:val="20"/>
        </w:rPr>
        <w:t>-01-06 0001826671 inka:FounderSharesMember 2021-01-06 2021-01-06 0001826671 inka:SponsorsMember 2022-01-01 2022-12-31 0001826671 us-gaap:IPOMember 2020-09-24 2020-09-24 0001826671 us-gaap:IPOMember 2021-01-11 0001826671 2022-01-21 0001826671 2022-01-01 202</w:t>
      </w:r>
      <w:r>
        <w:rPr>
          <w:rFonts w:eastAsia="Times New Roman"/>
          <w:vanish/>
          <w:sz w:val="20"/>
          <w:szCs w:val="20"/>
        </w:rPr>
        <w:t>2-01-21 0001826671 2022-01-31 0001826671 2022-04-01 0001826671 2022-09-30 0001826671 2022-01-31 2022-01-31 0001826671 2022-04-01 2022-04-01 0001826671 2022-01-01 2022-06-30 0001826671 2022-01-01 2022-09-30 0001826671 2021-09-01 2021-09-01 0001826671 2022-1</w:t>
      </w:r>
      <w:r>
        <w:rPr>
          <w:rFonts w:eastAsia="Times New Roman"/>
          <w:vanish/>
          <w:sz w:val="20"/>
          <w:szCs w:val="20"/>
        </w:rPr>
        <w:t>1-18 0001826671 2022-11-18 2022-11-18 0001826671 2021-09-16 2021-09-16 0001826671 srt:MaximumMember 2022-12-23 0001826671 srt:MinimumMember 2022-12-23 0001826671 inka:PublicWarrantsMember 2022-12-31 0001826671 inka:PublicWarrantsMember 2021-12-31 000182667</w:t>
      </w:r>
      <w:r>
        <w:rPr>
          <w:rFonts w:eastAsia="Times New Roman"/>
          <w:vanish/>
          <w:sz w:val="20"/>
          <w:szCs w:val="20"/>
        </w:rPr>
        <w:t>1 inka:PublicWarrantsMember 2022-01-01 2022-12-31 0001826671 us-gaap:SeriesOfIndividuallyImmaterialBusinessAcquisitionsMember us-gaap:CommonClassAMember 2022-12-31 0001826671 us-gaap:PrivatePlacementMember 2021-12-31 0001826671 us-gaap:FairValueInputsLevel</w:t>
      </w:r>
      <w:r>
        <w:rPr>
          <w:rFonts w:eastAsia="Times New Roman"/>
          <w:vanish/>
          <w:sz w:val="20"/>
          <w:szCs w:val="20"/>
        </w:rPr>
        <w:t>1Member 2022-12-31 0001826671 us-gaap:FairValueInputsLevel1Member 2021-12-31 0001826671 us-gaap:FairValueInputsLevel3Member 2022-12-31 0001826671 us-gaap:FairValueInputsLevel3Member 2021-12-31 0001826671 us-gaap:FairValueInputsLevel3Member us-gaap:PrivateP</w:t>
      </w:r>
      <w:r>
        <w:rPr>
          <w:rFonts w:eastAsia="Times New Roman"/>
          <w:vanish/>
          <w:sz w:val="20"/>
          <w:szCs w:val="20"/>
        </w:rPr>
        <w:t>lacementMember 2022-12-31 0001826671 us-gaap:FairValueInputsLevel3Member us-gaap:PrivatePlacementMember 2021-12-31 0001826671 inka:BusinessCombinationMember us-gaap:FairValueInputsLevel3Member us-gaap:PrivatePlacementMember 2022-01-01 2022-12-31 0001826671</w:t>
      </w:r>
      <w:r>
        <w:rPr>
          <w:rFonts w:eastAsia="Times New Roman"/>
          <w:vanish/>
          <w:sz w:val="20"/>
          <w:szCs w:val="20"/>
        </w:rPr>
        <w:t xml:space="preserve"> inka:BusinessCombinationMember us-gaap:FairValueInputsLevel3Member us-gaap:PrivatePlacementMember 2021-01-01 2021-12-31 0001826671 us-gaap:FairValueInputsLevel3Member inka:ConvertiblePromissoryNoteMember 2022-12-31 0001826671 us-gaap:FairValueInputsLevel3</w:t>
      </w:r>
      <w:r>
        <w:rPr>
          <w:rFonts w:eastAsia="Times New Roman"/>
          <w:vanish/>
          <w:sz w:val="20"/>
          <w:szCs w:val="20"/>
        </w:rPr>
        <w:t xml:space="preserve">Member inka:ConvertiblePromissoryNoteMember 2022-09-30 0001826671 us-gaap:FairValueInputsLevel3Member inka:ConvertiblePromissoryNoteMember 2022-06-30 0001826671 us-gaap:FairValueInputsLevel3Member inka:ConvertiblePromissoryNoteMember 2022-04-30 0001826671 </w:t>
      </w:r>
      <w:r>
        <w:rPr>
          <w:rFonts w:eastAsia="Times New Roman"/>
          <w:vanish/>
          <w:sz w:val="20"/>
          <w:szCs w:val="20"/>
        </w:rPr>
        <w:t>us-gaap:FairValueInputsLevel3Member inka:ConvertiblePromissoryNoteMember 2022-01-31 0001826671 inka:BusinessCombinationMember us-gaap:FairValueInputsLevel3Member inka:ConvertiblePromissoryNoteMember 2022-01-01 2022-12-31 0001826671 inka:BusinessCombination</w:t>
      </w:r>
      <w:r>
        <w:rPr>
          <w:rFonts w:eastAsia="Times New Roman"/>
          <w:vanish/>
          <w:sz w:val="20"/>
          <w:szCs w:val="20"/>
        </w:rPr>
        <w:t>Member us-gaap:FairValueInputsLevel3Member inka:ConvertiblePromissoryNoteMember 2022-01-01 2022-09-30 0001826671 inka:BusinessCombinationMember us-gaap:FairValueInputsLevel3Member inka:ConvertiblePromissoryNoteMember 2022-01-01 2022-06-30 0001826671 inka:B</w:t>
      </w:r>
      <w:r>
        <w:rPr>
          <w:rFonts w:eastAsia="Times New Roman"/>
          <w:vanish/>
          <w:sz w:val="20"/>
          <w:szCs w:val="20"/>
        </w:rPr>
        <w:t>usinessCombinationMember us-gaap:FairValueInputsLevel3Member inka:ConvertiblePromissoryNoteMember 2022-04-01 2022-04-30 0001826671 inka:BusinessCombinationMember us-gaap:FairValueInputsLevel3Member inka:ConvertiblePromissoryNoteMember 2022-01-01 2022-01-31</w:t>
      </w:r>
      <w:r>
        <w:rPr>
          <w:rFonts w:eastAsia="Times New Roman"/>
          <w:vanish/>
          <w:sz w:val="20"/>
          <w:szCs w:val="20"/>
        </w:rPr>
        <w:t xml:space="preserve"> 0001826671 us-gaap:PrivatePlacementMember 2020-12-31 0001826671 inka:PublicMember 2020-12-31 0001826671 inka:WarrantLiabilitiesMember 2020-12-31 0001826671 inka:PublicMember 2021-12-31 0001826671 inka:WarrantLiabilitiesMember 2021-12-31 0001826671 us-gaap</w:t>
      </w:r>
      <w:r>
        <w:rPr>
          <w:rFonts w:eastAsia="Times New Roman"/>
          <w:vanish/>
          <w:sz w:val="20"/>
          <w:szCs w:val="20"/>
        </w:rPr>
        <w:t>:PrivatePlacementMember 2021-01-01 2021-12-31 0001826671 inka:PublicMember 2021-01-01 2021-12-31 0001826671 inka:WarrantLiabilitiesMember 2021-01-01 2021-12-31 0001826671 inka:WorkingCapitalLoanMember 2021-12-31 0001826671 inka:WorkingCapitalLoanMember 202</w:t>
      </w:r>
      <w:r>
        <w:rPr>
          <w:rFonts w:eastAsia="Times New Roman"/>
          <w:vanish/>
          <w:sz w:val="20"/>
          <w:szCs w:val="20"/>
        </w:rPr>
        <w:t>2-01-31 0001826671 inka:WorkingCapitalLoanMember 2022-04-01 0001826671 inka:WorkingCapitalLoanMember 2022-06-30 0001826671 inka:WorkingCapitalLoanMember 2022-09-30 0001826671 inka:WorkingCapitalLoanMember 2022-12-31 0001826671 inka:WorkingCapitalLoanMember</w:t>
      </w:r>
      <w:r>
        <w:rPr>
          <w:rFonts w:eastAsia="Times New Roman"/>
          <w:vanish/>
          <w:sz w:val="20"/>
          <w:szCs w:val="20"/>
        </w:rPr>
        <w:t xml:space="preserve"> 2022-01-01 2022-12-31 0001826671 us-gaap:SubsequentEventMember inka:PublicSharesMember 2023-01-06 0001826671 us-gaap:SubsequentEventMember 2023-01-06 0001826671 us-gaap:SubsequentEventMember 2023-01-06 2023-01-06 0001826671 us-gaap:SubsequentEventMember 2</w:t>
      </w:r>
      <w:r>
        <w:rPr>
          <w:rFonts w:eastAsia="Times New Roman"/>
          <w:vanish/>
          <w:sz w:val="20"/>
          <w:szCs w:val="20"/>
        </w:rPr>
        <w:t xml:space="preserve">023-01-01 2023-01-17 iso4217:USD xbrli:shares iso4217:USD xbrli:shares xbrli:pure iso4217:USD compsci:item </w:t>
      </w:r>
    </w:p>
    <w:sectPr w:rsidR="0008796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87966"/>
    <w:rsid w:val="00087966"/>
  </w:rsids>
  <m:mathPr>
    <m:mathFont m:val="Cambria Math"/>
    <m:brkBin m:val="before"/>
    <m:brkBinSub m:val="--"/>
    <m:smallFrac m:val="0"/>
    <m:dispDef/>
    <m:lMargin m:val="0"/>
    <m:rMargin m:val="0"/>
    <m:defJc m:val="centerGroup"/>
    <m:wrapIndent m:val="1440"/>
    <m:intLim m:val="subSup"/>
    <m:naryLim m:val="undOvr"/>
  </m:mathPr>
  <w:attachedSchema w:val="http://www.xbrl.org/dtr/type/2020-01-21"/>
  <w:attachedSchema w:val="http://www.xbrl.org/inlineXBRL/transformation/2020-02-12"/>
  <w:attachedSchema w:val="http://www.sec.gov/inlineXBRL/transformation/2015-08-31"/>
  <w:attachedSchema w:val="http://www.xbrl.org/2003/linkbase"/>
  <w:attachedSchema w:val="http://xbrl.sec.gov/dei/2022"/>
  <w:attachedSchema w:val="http://www.xbrl.org/2003/iso4217"/>
  <w:attachedSchema w:val="http://www.kludeiniacquisitioncorp.com/20221231"/>
  <w:attachedSchema w:val="http://www.xbrl.org/2003/instance"/>
  <w:attachedSchema w:val="http://compsciresources.com"/>
  <w:attachedSchema w:val="http://www.xbrl.org/2013/inlineXBRL"/>
  <w:attachedSchema w:val="http://fasb.org/us-types/2022"/>
  <w:attachedSchema w:val="http://fasb.org/srt/2022"/>
  <w:attachedSchema w:val="http://www.xbrl.org/2003/XLink"/>
  <w:attachedSchema w:val="http://xbrl.org/2006/xbrldi"/>
  <w:attachedSchema w:val="http://fasb.org/us-gaap/2022"/>
  <w:attachedSchema w:val="http://www.w3.org/1999/xlink"/>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8CF554"/>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79706">
      <w:marLeft w:val="0"/>
      <w:marRight w:val="0"/>
      <w:marTop w:val="0"/>
      <w:marBottom w:val="0"/>
      <w:divBdr>
        <w:top w:val="none" w:sz="0" w:space="0" w:color="auto"/>
        <w:left w:val="none" w:sz="0" w:space="0" w:color="auto"/>
        <w:bottom w:val="none" w:sz="0" w:space="0" w:color="auto"/>
        <w:right w:val="none" w:sz="0" w:space="0" w:color="auto"/>
      </w:divBdr>
      <w:divsChild>
        <w:div w:id="1934119412">
          <w:marLeft w:val="0"/>
          <w:marRight w:val="0"/>
          <w:marTop w:val="0"/>
          <w:marBottom w:val="0"/>
          <w:divBdr>
            <w:top w:val="none" w:sz="0" w:space="0" w:color="auto"/>
            <w:left w:val="none" w:sz="0" w:space="0" w:color="auto"/>
            <w:bottom w:val="none" w:sz="0" w:space="0" w:color="auto"/>
            <w:right w:val="none" w:sz="0" w:space="0" w:color="auto"/>
          </w:divBdr>
          <w:divsChild>
            <w:div w:id="39940534">
              <w:marLeft w:val="0"/>
              <w:marRight w:val="0"/>
              <w:marTop w:val="0"/>
              <w:marBottom w:val="0"/>
              <w:divBdr>
                <w:top w:val="single" w:sz="18" w:space="0" w:color="000000"/>
                <w:left w:val="none" w:sz="0" w:space="0" w:color="auto"/>
                <w:bottom w:val="single" w:sz="8" w:space="0" w:color="000000"/>
                <w:right w:val="none" w:sz="0" w:space="0" w:color="auto"/>
              </w:divBdr>
            </w:div>
          </w:divsChild>
        </w:div>
        <w:div w:id="133833252">
          <w:marLeft w:val="0"/>
          <w:marRight w:val="0"/>
          <w:marTop w:val="0"/>
          <w:marBottom w:val="0"/>
          <w:divBdr>
            <w:top w:val="none" w:sz="0" w:space="0" w:color="auto"/>
            <w:left w:val="none" w:sz="0" w:space="0" w:color="auto"/>
            <w:bottom w:val="none" w:sz="0" w:space="0" w:color="auto"/>
            <w:right w:val="none" w:sz="0" w:space="0" w:color="auto"/>
          </w:divBdr>
          <w:divsChild>
            <w:div w:id="1924756889">
              <w:marLeft w:val="0"/>
              <w:marRight w:val="0"/>
              <w:marTop w:val="0"/>
              <w:marBottom w:val="0"/>
              <w:divBdr>
                <w:top w:val="single" w:sz="8" w:space="0" w:color="000000"/>
                <w:left w:val="none" w:sz="0" w:space="0" w:color="auto"/>
                <w:bottom w:val="single" w:sz="18" w:space="0" w:color="000000"/>
                <w:right w:val="none" w:sz="0" w:space="0" w:color="auto"/>
              </w:divBdr>
            </w:div>
          </w:divsChild>
        </w:div>
        <w:div w:id="1317800270">
          <w:marLeft w:val="0"/>
          <w:marRight w:val="0"/>
          <w:marTop w:val="120"/>
          <w:marBottom w:val="240"/>
          <w:divBdr>
            <w:top w:val="none" w:sz="0" w:space="0" w:color="auto"/>
            <w:left w:val="none" w:sz="0" w:space="0" w:color="auto"/>
            <w:bottom w:val="none" w:sz="0" w:space="0" w:color="auto"/>
            <w:right w:val="none" w:sz="0" w:space="0" w:color="auto"/>
          </w:divBdr>
        </w:div>
        <w:div w:id="573705423">
          <w:marLeft w:val="0"/>
          <w:marRight w:val="0"/>
          <w:marTop w:val="240"/>
          <w:marBottom w:val="120"/>
          <w:divBdr>
            <w:top w:val="none" w:sz="0" w:space="0" w:color="auto"/>
            <w:left w:val="none" w:sz="0" w:space="0" w:color="auto"/>
            <w:bottom w:val="single" w:sz="12" w:space="0" w:color="000000"/>
            <w:right w:val="none" w:sz="0" w:space="0" w:color="auto"/>
          </w:divBdr>
        </w:div>
        <w:div w:id="2005010955">
          <w:marLeft w:val="0"/>
          <w:marRight w:val="0"/>
          <w:marTop w:val="120"/>
          <w:marBottom w:val="240"/>
          <w:divBdr>
            <w:top w:val="none" w:sz="0" w:space="0" w:color="auto"/>
            <w:left w:val="none" w:sz="0" w:space="0" w:color="auto"/>
            <w:bottom w:val="none" w:sz="0" w:space="0" w:color="auto"/>
            <w:right w:val="none" w:sz="0" w:space="0" w:color="auto"/>
          </w:divBdr>
        </w:div>
        <w:div w:id="1685204699">
          <w:marLeft w:val="0"/>
          <w:marRight w:val="0"/>
          <w:marTop w:val="240"/>
          <w:marBottom w:val="120"/>
          <w:divBdr>
            <w:top w:val="none" w:sz="0" w:space="0" w:color="auto"/>
            <w:left w:val="none" w:sz="0" w:space="0" w:color="auto"/>
            <w:bottom w:val="single" w:sz="12" w:space="0" w:color="000000"/>
            <w:right w:val="none" w:sz="0" w:space="0" w:color="auto"/>
          </w:divBdr>
        </w:div>
        <w:div w:id="728071428">
          <w:marLeft w:val="0"/>
          <w:marRight w:val="0"/>
          <w:marTop w:val="120"/>
          <w:marBottom w:val="240"/>
          <w:divBdr>
            <w:top w:val="none" w:sz="0" w:space="0" w:color="auto"/>
            <w:left w:val="none" w:sz="0" w:space="0" w:color="auto"/>
            <w:bottom w:val="none" w:sz="0" w:space="0" w:color="auto"/>
            <w:right w:val="none" w:sz="0" w:space="0" w:color="auto"/>
          </w:divBdr>
        </w:div>
        <w:div w:id="229006392">
          <w:marLeft w:val="0"/>
          <w:marRight w:val="0"/>
          <w:marTop w:val="240"/>
          <w:marBottom w:val="120"/>
          <w:divBdr>
            <w:top w:val="none" w:sz="0" w:space="0" w:color="auto"/>
            <w:left w:val="none" w:sz="0" w:space="0" w:color="auto"/>
            <w:bottom w:val="single" w:sz="12" w:space="0" w:color="000000"/>
            <w:right w:val="none" w:sz="0" w:space="0" w:color="auto"/>
          </w:divBdr>
        </w:div>
        <w:div w:id="1771008663">
          <w:marLeft w:val="0"/>
          <w:marRight w:val="0"/>
          <w:marTop w:val="120"/>
          <w:marBottom w:val="240"/>
          <w:divBdr>
            <w:top w:val="none" w:sz="0" w:space="0" w:color="auto"/>
            <w:left w:val="none" w:sz="0" w:space="0" w:color="auto"/>
            <w:bottom w:val="none" w:sz="0" w:space="0" w:color="auto"/>
            <w:right w:val="none" w:sz="0" w:space="0" w:color="auto"/>
          </w:divBdr>
        </w:div>
        <w:div w:id="605575781">
          <w:marLeft w:val="0"/>
          <w:marRight w:val="0"/>
          <w:marTop w:val="240"/>
          <w:marBottom w:val="120"/>
          <w:divBdr>
            <w:top w:val="none" w:sz="0" w:space="0" w:color="auto"/>
            <w:left w:val="none" w:sz="0" w:space="0" w:color="auto"/>
            <w:bottom w:val="single" w:sz="12" w:space="0" w:color="000000"/>
            <w:right w:val="none" w:sz="0" w:space="0" w:color="auto"/>
          </w:divBdr>
        </w:div>
        <w:div w:id="2049330638">
          <w:marLeft w:val="0"/>
          <w:marRight w:val="0"/>
          <w:marTop w:val="120"/>
          <w:marBottom w:val="240"/>
          <w:divBdr>
            <w:top w:val="none" w:sz="0" w:space="0" w:color="auto"/>
            <w:left w:val="none" w:sz="0" w:space="0" w:color="auto"/>
            <w:bottom w:val="none" w:sz="0" w:space="0" w:color="auto"/>
            <w:right w:val="none" w:sz="0" w:space="0" w:color="auto"/>
          </w:divBdr>
        </w:div>
        <w:div w:id="1808624307">
          <w:marLeft w:val="0"/>
          <w:marRight w:val="0"/>
          <w:marTop w:val="240"/>
          <w:marBottom w:val="120"/>
          <w:divBdr>
            <w:top w:val="none" w:sz="0" w:space="0" w:color="auto"/>
            <w:left w:val="none" w:sz="0" w:space="0" w:color="auto"/>
            <w:bottom w:val="single" w:sz="12" w:space="0" w:color="000000"/>
            <w:right w:val="none" w:sz="0" w:space="0" w:color="auto"/>
          </w:divBdr>
        </w:div>
        <w:div w:id="101536320">
          <w:marLeft w:val="0"/>
          <w:marRight w:val="0"/>
          <w:marTop w:val="120"/>
          <w:marBottom w:val="240"/>
          <w:divBdr>
            <w:top w:val="none" w:sz="0" w:space="0" w:color="auto"/>
            <w:left w:val="none" w:sz="0" w:space="0" w:color="auto"/>
            <w:bottom w:val="none" w:sz="0" w:space="0" w:color="auto"/>
            <w:right w:val="none" w:sz="0" w:space="0" w:color="auto"/>
          </w:divBdr>
        </w:div>
        <w:div w:id="2006854797">
          <w:marLeft w:val="0"/>
          <w:marRight w:val="0"/>
          <w:marTop w:val="240"/>
          <w:marBottom w:val="120"/>
          <w:divBdr>
            <w:top w:val="none" w:sz="0" w:space="0" w:color="auto"/>
            <w:left w:val="none" w:sz="0" w:space="0" w:color="auto"/>
            <w:bottom w:val="single" w:sz="12" w:space="0" w:color="000000"/>
            <w:right w:val="none" w:sz="0" w:space="0" w:color="auto"/>
          </w:divBdr>
        </w:div>
        <w:div w:id="932516923">
          <w:marLeft w:val="0"/>
          <w:marRight w:val="0"/>
          <w:marTop w:val="120"/>
          <w:marBottom w:val="240"/>
          <w:divBdr>
            <w:top w:val="none" w:sz="0" w:space="0" w:color="auto"/>
            <w:left w:val="none" w:sz="0" w:space="0" w:color="auto"/>
            <w:bottom w:val="none" w:sz="0" w:space="0" w:color="auto"/>
            <w:right w:val="none" w:sz="0" w:space="0" w:color="auto"/>
          </w:divBdr>
        </w:div>
        <w:div w:id="735279712">
          <w:marLeft w:val="0"/>
          <w:marRight w:val="0"/>
          <w:marTop w:val="240"/>
          <w:marBottom w:val="120"/>
          <w:divBdr>
            <w:top w:val="none" w:sz="0" w:space="0" w:color="auto"/>
            <w:left w:val="none" w:sz="0" w:space="0" w:color="auto"/>
            <w:bottom w:val="single" w:sz="12" w:space="0" w:color="000000"/>
            <w:right w:val="none" w:sz="0" w:space="0" w:color="auto"/>
          </w:divBdr>
        </w:div>
        <w:div w:id="1720011968">
          <w:marLeft w:val="0"/>
          <w:marRight w:val="0"/>
          <w:marTop w:val="120"/>
          <w:marBottom w:val="240"/>
          <w:divBdr>
            <w:top w:val="none" w:sz="0" w:space="0" w:color="auto"/>
            <w:left w:val="none" w:sz="0" w:space="0" w:color="auto"/>
            <w:bottom w:val="none" w:sz="0" w:space="0" w:color="auto"/>
            <w:right w:val="none" w:sz="0" w:space="0" w:color="auto"/>
          </w:divBdr>
        </w:div>
        <w:div w:id="2128814496">
          <w:marLeft w:val="0"/>
          <w:marRight w:val="0"/>
          <w:marTop w:val="240"/>
          <w:marBottom w:val="120"/>
          <w:divBdr>
            <w:top w:val="none" w:sz="0" w:space="0" w:color="auto"/>
            <w:left w:val="none" w:sz="0" w:space="0" w:color="auto"/>
            <w:bottom w:val="single" w:sz="12" w:space="0" w:color="000000"/>
            <w:right w:val="none" w:sz="0" w:space="0" w:color="auto"/>
          </w:divBdr>
        </w:div>
        <w:div w:id="2035378140">
          <w:marLeft w:val="0"/>
          <w:marRight w:val="0"/>
          <w:marTop w:val="120"/>
          <w:marBottom w:val="240"/>
          <w:divBdr>
            <w:top w:val="none" w:sz="0" w:space="0" w:color="auto"/>
            <w:left w:val="none" w:sz="0" w:space="0" w:color="auto"/>
            <w:bottom w:val="none" w:sz="0" w:space="0" w:color="auto"/>
            <w:right w:val="none" w:sz="0" w:space="0" w:color="auto"/>
          </w:divBdr>
        </w:div>
        <w:div w:id="120618221">
          <w:marLeft w:val="0"/>
          <w:marRight w:val="0"/>
          <w:marTop w:val="240"/>
          <w:marBottom w:val="120"/>
          <w:divBdr>
            <w:top w:val="none" w:sz="0" w:space="0" w:color="auto"/>
            <w:left w:val="none" w:sz="0" w:space="0" w:color="auto"/>
            <w:bottom w:val="single" w:sz="12" w:space="0" w:color="000000"/>
            <w:right w:val="none" w:sz="0" w:space="0" w:color="auto"/>
          </w:divBdr>
        </w:div>
        <w:div w:id="1242257685">
          <w:marLeft w:val="0"/>
          <w:marRight w:val="0"/>
          <w:marTop w:val="120"/>
          <w:marBottom w:val="240"/>
          <w:divBdr>
            <w:top w:val="none" w:sz="0" w:space="0" w:color="auto"/>
            <w:left w:val="none" w:sz="0" w:space="0" w:color="auto"/>
            <w:bottom w:val="none" w:sz="0" w:space="0" w:color="auto"/>
            <w:right w:val="none" w:sz="0" w:space="0" w:color="auto"/>
          </w:divBdr>
        </w:div>
        <w:div w:id="708068497">
          <w:marLeft w:val="0"/>
          <w:marRight w:val="0"/>
          <w:marTop w:val="240"/>
          <w:marBottom w:val="120"/>
          <w:divBdr>
            <w:top w:val="none" w:sz="0" w:space="0" w:color="auto"/>
            <w:left w:val="none" w:sz="0" w:space="0" w:color="auto"/>
            <w:bottom w:val="single" w:sz="12" w:space="0" w:color="000000"/>
            <w:right w:val="none" w:sz="0" w:space="0" w:color="auto"/>
          </w:divBdr>
        </w:div>
        <w:div w:id="369496347">
          <w:marLeft w:val="0"/>
          <w:marRight w:val="0"/>
          <w:marTop w:val="120"/>
          <w:marBottom w:val="240"/>
          <w:divBdr>
            <w:top w:val="none" w:sz="0" w:space="0" w:color="auto"/>
            <w:left w:val="none" w:sz="0" w:space="0" w:color="auto"/>
            <w:bottom w:val="none" w:sz="0" w:space="0" w:color="auto"/>
            <w:right w:val="none" w:sz="0" w:space="0" w:color="auto"/>
          </w:divBdr>
        </w:div>
        <w:div w:id="1085414810">
          <w:marLeft w:val="0"/>
          <w:marRight w:val="0"/>
          <w:marTop w:val="240"/>
          <w:marBottom w:val="120"/>
          <w:divBdr>
            <w:top w:val="none" w:sz="0" w:space="0" w:color="auto"/>
            <w:left w:val="none" w:sz="0" w:space="0" w:color="auto"/>
            <w:bottom w:val="single" w:sz="12" w:space="0" w:color="000000"/>
            <w:right w:val="none" w:sz="0" w:space="0" w:color="auto"/>
          </w:divBdr>
        </w:div>
        <w:div w:id="447899380">
          <w:marLeft w:val="0"/>
          <w:marRight w:val="0"/>
          <w:marTop w:val="120"/>
          <w:marBottom w:val="240"/>
          <w:divBdr>
            <w:top w:val="none" w:sz="0" w:space="0" w:color="auto"/>
            <w:left w:val="none" w:sz="0" w:space="0" w:color="auto"/>
            <w:bottom w:val="none" w:sz="0" w:space="0" w:color="auto"/>
            <w:right w:val="none" w:sz="0" w:space="0" w:color="auto"/>
          </w:divBdr>
        </w:div>
        <w:div w:id="899288703">
          <w:marLeft w:val="0"/>
          <w:marRight w:val="0"/>
          <w:marTop w:val="240"/>
          <w:marBottom w:val="120"/>
          <w:divBdr>
            <w:top w:val="none" w:sz="0" w:space="0" w:color="auto"/>
            <w:left w:val="none" w:sz="0" w:space="0" w:color="auto"/>
            <w:bottom w:val="single" w:sz="12" w:space="0" w:color="000000"/>
            <w:right w:val="none" w:sz="0" w:space="0" w:color="auto"/>
          </w:divBdr>
        </w:div>
        <w:div w:id="787433559">
          <w:marLeft w:val="0"/>
          <w:marRight w:val="0"/>
          <w:marTop w:val="120"/>
          <w:marBottom w:val="240"/>
          <w:divBdr>
            <w:top w:val="none" w:sz="0" w:space="0" w:color="auto"/>
            <w:left w:val="none" w:sz="0" w:space="0" w:color="auto"/>
            <w:bottom w:val="none" w:sz="0" w:space="0" w:color="auto"/>
            <w:right w:val="none" w:sz="0" w:space="0" w:color="auto"/>
          </w:divBdr>
        </w:div>
        <w:div w:id="1121924815">
          <w:marLeft w:val="0"/>
          <w:marRight w:val="0"/>
          <w:marTop w:val="240"/>
          <w:marBottom w:val="120"/>
          <w:divBdr>
            <w:top w:val="none" w:sz="0" w:space="0" w:color="auto"/>
            <w:left w:val="none" w:sz="0" w:space="0" w:color="auto"/>
            <w:bottom w:val="single" w:sz="12" w:space="0" w:color="000000"/>
            <w:right w:val="none" w:sz="0" w:space="0" w:color="auto"/>
          </w:divBdr>
        </w:div>
        <w:div w:id="814680197">
          <w:marLeft w:val="0"/>
          <w:marRight w:val="0"/>
          <w:marTop w:val="120"/>
          <w:marBottom w:val="240"/>
          <w:divBdr>
            <w:top w:val="none" w:sz="0" w:space="0" w:color="auto"/>
            <w:left w:val="none" w:sz="0" w:space="0" w:color="auto"/>
            <w:bottom w:val="none" w:sz="0" w:space="0" w:color="auto"/>
            <w:right w:val="none" w:sz="0" w:space="0" w:color="auto"/>
          </w:divBdr>
        </w:div>
        <w:div w:id="1357004948">
          <w:marLeft w:val="0"/>
          <w:marRight w:val="0"/>
          <w:marTop w:val="240"/>
          <w:marBottom w:val="120"/>
          <w:divBdr>
            <w:top w:val="none" w:sz="0" w:space="0" w:color="auto"/>
            <w:left w:val="none" w:sz="0" w:space="0" w:color="auto"/>
            <w:bottom w:val="single" w:sz="12" w:space="0" w:color="000000"/>
            <w:right w:val="none" w:sz="0" w:space="0" w:color="auto"/>
          </w:divBdr>
        </w:div>
        <w:div w:id="65106171">
          <w:marLeft w:val="0"/>
          <w:marRight w:val="0"/>
          <w:marTop w:val="120"/>
          <w:marBottom w:val="240"/>
          <w:divBdr>
            <w:top w:val="none" w:sz="0" w:space="0" w:color="auto"/>
            <w:left w:val="none" w:sz="0" w:space="0" w:color="auto"/>
            <w:bottom w:val="none" w:sz="0" w:space="0" w:color="auto"/>
            <w:right w:val="none" w:sz="0" w:space="0" w:color="auto"/>
          </w:divBdr>
        </w:div>
        <w:div w:id="1795322897">
          <w:marLeft w:val="0"/>
          <w:marRight w:val="0"/>
          <w:marTop w:val="240"/>
          <w:marBottom w:val="120"/>
          <w:divBdr>
            <w:top w:val="none" w:sz="0" w:space="0" w:color="auto"/>
            <w:left w:val="none" w:sz="0" w:space="0" w:color="auto"/>
            <w:bottom w:val="single" w:sz="12" w:space="0" w:color="000000"/>
            <w:right w:val="none" w:sz="0" w:space="0" w:color="auto"/>
          </w:divBdr>
        </w:div>
        <w:div w:id="1257908967">
          <w:marLeft w:val="0"/>
          <w:marRight w:val="0"/>
          <w:marTop w:val="120"/>
          <w:marBottom w:val="240"/>
          <w:divBdr>
            <w:top w:val="none" w:sz="0" w:space="0" w:color="auto"/>
            <w:left w:val="none" w:sz="0" w:space="0" w:color="auto"/>
            <w:bottom w:val="none" w:sz="0" w:space="0" w:color="auto"/>
            <w:right w:val="none" w:sz="0" w:space="0" w:color="auto"/>
          </w:divBdr>
        </w:div>
        <w:div w:id="391198422">
          <w:marLeft w:val="0"/>
          <w:marRight w:val="0"/>
          <w:marTop w:val="240"/>
          <w:marBottom w:val="120"/>
          <w:divBdr>
            <w:top w:val="none" w:sz="0" w:space="0" w:color="auto"/>
            <w:left w:val="none" w:sz="0" w:space="0" w:color="auto"/>
            <w:bottom w:val="single" w:sz="12" w:space="0" w:color="000000"/>
            <w:right w:val="none" w:sz="0" w:space="0" w:color="auto"/>
          </w:divBdr>
        </w:div>
        <w:div w:id="1446583803">
          <w:marLeft w:val="0"/>
          <w:marRight w:val="0"/>
          <w:marTop w:val="120"/>
          <w:marBottom w:val="240"/>
          <w:divBdr>
            <w:top w:val="none" w:sz="0" w:space="0" w:color="auto"/>
            <w:left w:val="none" w:sz="0" w:space="0" w:color="auto"/>
            <w:bottom w:val="none" w:sz="0" w:space="0" w:color="auto"/>
            <w:right w:val="none" w:sz="0" w:space="0" w:color="auto"/>
          </w:divBdr>
        </w:div>
        <w:div w:id="838737560">
          <w:marLeft w:val="0"/>
          <w:marRight w:val="0"/>
          <w:marTop w:val="240"/>
          <w:marBottom w:val="120"/>
          <w:divBdr>
            <w:top w:val="none" w:sz="0" w:space="0" w:color="auto"/>
            <w:left w:val="none" w:sz="0" w:space="0" w:color="auto"/>
            <w:bottom w:val="single" w:sz="12" w:space="0" w:color="000000"/>
            <w:right w:val="none" w:sz="0" w:space="0" w:color="auto"/>
          </w:divBdr>
        </w:div>
        <w:div w:id="1117872703">
          <w:marLeft w:val="0"/>
          <w:marRight w:val="0"/>
          <w:marTop w:val="120"/>
          <w:marBottom w:val="240"/>
          <w:divBdr>
            <w:top w:val="none" w:sz="0" w:space="0" w:color="auto"/>
            <w:left w:val="none" w:sz="0" w:space="0" w:color="auto"/>
            <w:bottom w:val="none" w:sz="0" w:space="0" w:color="auto"/>
            <w:right w:val="none" w:sz="0" w:space="0" w:color="auto"/>
          </w:divBdr>
        </w:div>
        <w:div w:id="597055769">
          <w:marLeft w:val="0"/>
          <w:marRight w:val="0"/>
          <w:marTop w:val="240"/>
          <w:marBottom w:val="120"/>
          <w:divBdr>
            <w:top w:val="none" w:sz="0" w:space="0" w:color="auto"/>
            <w:left w:val="none" w:sz="0" w:space="0" w:color="auto"/>
            <w:bottom w:val="single" w:sz="12" w:space="0" w:color="000000"/>
            <w:right w:val="none" w:sz="0" w:space="0" w:color="auto"/>
          </w:divBdr>
        </w:div>
        <w:div w:id="692419006">
          <w:marLeft w:val="0"/>
          <w:marRight w:val="0"/>
          <w:marTop w:val="120"/>
          <w:marBottom w:val="240"/>
          <w:divBdr>
            <w:top w:val="none" w:sz="0" w:space="0" w:color="auto"/>
            <w:left w:val="none" w:sz="0" w:space="0" w:color="auto"/>
            <w:bottom w:val="none" w:sz="0" w:space="0" w:color="auto"/>
            <w:right w:val="none" w:sz="0" w:space="0" w:color="auto"/>
          </w:divBdr>
        </w:div>
        <w:div w:id="328564268">
          <w:marLeft w:val="0"/>
          <w:marRight w:val="0"/>
          <w:marTop w:val="240"/>
          <w:marBottom w:val="120"/>
          <w:divBdr>
            <w:top w:val="none" w:sz="0" w:space="0" w:color="auto"/>
            <w:left w:val="none" w:sz="0" w:space="0" w:color="auto"/>
            <w:bottom w:val="single" w:sz="12" w:space="0" w:color="000000"/>
            <w:right w:val="none" w:sz="0" w:space="0" w:color="auto"/>
          </w:divBdr>
        </w:div>
        <w:div w:id="2118403833">
          <w:marLeft w:val="0"/>
          <w:marRight w:val="0"/>
          <w:marTop w:val="120"/>
          <w:marBottom w:val="240"/>
          <w:divBdr>
            <w:top w:val="none" w:sz="0" w:space="0" w:color="auto"/>
            <w:left w:val="none" w:sz="0" w:space="0" w:color="auto"/>
            <w:bottom w:val="none" w:sz="0" w:space="0" w:color="auto"/>
            <w:right w:val="none" w:sz="0" w:space="0" w:color="auto"/>
          </w:divBdr>
        </w:div>
        <w:div w:id="1814251571">
          <w:marLeft w:val="0"/>
          <w:marRight w:val="0"/>
          <w:marTop w:val="240"/>
          <w:marBottom w:val="120"/>
          <w:divBdr>
            <w:top w:val="none" w:sz="0" w:space="0" w:color="auto"/>
            <w:left w:val="none" w:sz="0" w:space="0" w:color="auto"/>
            <w:bottom w:val="single" w:sz="12" w:space="0" w:color="000000"/>
            <w:right w:val="none" w:sz="0" w:space="0" w:color="auto"/>
          </w:divBdr>
        </w:div>
        <w:div w:id="1784113987">
          <w:marLeft w:val="0"/>
          <w:marRight w:val="0"/>
          <w:marTop w:val="120"/>
          <w:marBottom w:val="240"/>
          <w:divBdr>
            <w:top w:val="none" w:sz="0" w:space="0" w:color="auto"/>
            <w:left w:val="none" w:sz="0" w:space="0" w:color="auto"/>
            <w:bottom w:val="none" w:sz="0" w:space="0" w:color="auto"/>
            <w:right w:val="none" w:sz="0" w:space="0" w:color="auto"/>
          </w:divBdr>
        </w:div>
        <w:div w:id="554703936">
          <w:marLeft w:val="0"/>
          <w:marRight w:val="0"/>
          <w:marTop w:val="240"/>
          <w:marBottom w:val="120"/>
          <w:divBdr>
            <w:top w:val="none" w:sz="0" w:space="0" w:color="auto"/>
            <w:left w:val="none" w:sz="0" w:space="0" w:color="auto"/>
            <w:bottom w:val="single" w:sz="12" w:space="0" w:color="000000"/>
            <w:right w:val="none" w:sz="0" w:space="0" w:color="auto"/>
          </w:divBdr>
        </w:div>
        <w:div w:id="1382828341">
          <w:marLeft w:val="0"/>
          <w:marRight w:val="0"/>
          <w:marTop w:val="120"/>
          <w:marBottom w:val="240"/>
          <w:divBdr>
            <w:top w:val="none" w:sz="0" w:space="0" w:color="auto"/>
            <w:left w:val="none" w:sz="0" w:space="0" w:color="auto"/>
            <w:bottom w:val="none" w:sz="0" w:space="0" w:color="auto"/>
            <w:right w:val="none" w:sz="0" w:space="0" w:color="auto"/>
          </w:divBdr>
        </w:div>
        <w:div w:id="521091255">
          <w:marLeft w:val="0"/>
          <w:marRight w:val="0"/>
          <w:marTop w:val="240"/>
          <w:marBottom w:val="120"/>
          <w:divBdr>
            <w:top w:val="none" w:sz="0" w:space="0" w:color="auto"/>
            <w:left w:val="none" w:sz="0" w:space="0" w:color="auto"/>
            <w:bottom w:val="single" w:sz="12" w:space="0" w:color="000000"/>
            <w:right w:val="none" w:sz="0" w:space="0" w:color="auto"/>
          </w:divBdr>
        </w:div>
        <w:div w:id="1785420347">
          <w:marLeft w:val="0"/>
          <w:marRight w:val="0"/>
          <w:marTop w:val="120"/>
          <w:marBottom w:val="240"/>
          <w:divBdr>
            <w:top w:val="none" w:sz="0" w:space="0" w:color="auto"/>
            <w:left w:val="none" w:sz="0" w:space="0" w:color="auto"/>
            <w:bottom w:val="none" w:sz="0" w:space="0" w:color="auto"/>
            <w:right w:val="none" w:sz="0" w:space="0" w:color="auto"/>
          </w:divBdr>
        </w:div>
        <w:div w:id="474034668">
          <w:marLeft w:val="0"/>
          <w:marRight w:val="0"/>
          <w:marTop w:val="240"/>
          <w:marBottom w:val="120"/>
          <w:divBdr>
            <w:top w:val="none" w:sz="0" w:space="0" w:color="auto"/>
            <w:left w:val="none" w:sz="0" w:space="0" w:color="auto"/>
            <w:bottom w:val="single" w:sz="12" w:space="0" w:color="000000"/>
            <w:right w:val="none" w:sz="0" w:space="0" w:color="auto"/>
          </w:divBdr>
        </w:div>
        <w:div w:id="1089545880">
          <w:marLeft w:val="0"/>
          <w:marRight w:val="0"/>
          <w:marTop w:val="120"/>
          <w:marBottom w:val="240"/>
          <w:divBdr>
            <w:top w:val="none" w:sz="0" w:space="0" w:color="auto"/>
            <w:left w:val="none" w:sz="0" w:space="0" w:color="auto"/>
            <w:bottom w:val="none" w:sz="0" w:space="0" w:color="auto"/>
            <w:right w:val="none" w:sz="0" w:space="0" w:color="auto"/>
          </w:divBdr>
        </w:div>
        <w:div w:id="1728381902">
          <w:marLeft w:val="0"/>
          <w:marRight w:val="0"/>
          <w:marTop w:val="240"/>
          <w:marBottom w:val="120"/>
          <w:divBdr>
            <w:top w:val="none" w:sz="0" w:space="0" w:color="auto"/>
            <w:left w:val="none" w:sz="0" w:space="0" w:color="auto"/>
            <w:bottom w:val="single" w:sz="12" w:space="0" w:color="000000"/>
            <w:right w:val="none" w:sz="0" w:space="0" w:color="auto"/>
          </w:divBdr>
        </w:div>
        <w:div w:id="225186338">
          <w:marLeft w:val="0"/>
          <w:marRight w:val="0"/>
          <w:marTop w:val="120"/>
          <w:marBottom w:val="240"/>
          <w:divBdr>
            <w:top w:val="none" w:sz="0" w:space="0" w:color="auto"/>
            <w:left w:val="none" w:sz="0" w:space="0" w:color="auto"/>
            <w:bottom w:val="none" w:sz="0" w:space="0" w:color="auto"/>
            <w:right w:val="none" w:sz="0" w:space="0" w:color="auto"/>
          </w:divBdr>
        </w:div>
        <w:div w:id="481699222">
          <w:marLeft w:val="0"/>
          <w:marRight w:val="0"/>
          <w:marTop w:val="240"/>
          <w:marBottom w:val="120"/>
          <w:divBdr>
            <w:top w:val="none" w:sz="0" w:space="0" w:color="auto"/>
            <w:left w:val="none" w:sz="0" w:space="0" w:color="auto"/>
            <w:bottom w:val="single" w:sz="12" w:space="0" w:color="000000"/>
            <w:right w:val="none" w:sz="0" w:space="0" w:color="auto"/>
          </w:divBdr>
        </w:div>
        <w:div w:id="1827822565">
          <w:marLeft w:val="0"/>
          <w:marRight w:val="0"/>
          <w:marTop w:val="120"/>
          <w:marBottom w:val="240"/>
          <w:divBdr>
            <w:top w:val="none" w:sz="0" w:space="0" w:color="auto"/>
            <w:left w:val="none" w:sz="0" w:space="0" w:color="auto"/>
            <w:bottom w:val="none" w:sz="0" w:space="0" w:color="auto"/>
            <w:right w:val="none" w:sz="0" w:space="0" w:color="auto"/>
          </w:divBdr>
        </w:div>
        <w:div w:id="1631127653">
          <w:marLeft w:val="0"/>
          <w:marRight w:val="0"/>
          <w:marTop w:val="240"/>
          <w:marBottom w:val="120"/>
          <w:divBdr>
            <w:top w:val="none" w:sz="0" w:space="0" w:color="auto"/>
            <w:left w:val="none" w:sz="0" w:space="0" w:color="auto"/>
            <w:bottom w:val="single" w:sz="12" w:space="0" w:color="000000"/>
            <w:right w:val="none" w:sz="0" w:space="0" w:color="auto"/>
          </w:divBdr>
        </w:div>
        <w:div w:id="514733187">
          <w:marLeft w:val="0"/>
          <w:marRight w:val="0"/>
          <w:marTop w:val="120"/>
          <w:marBottom w:val="240"/>
          <w:divBdr>
            <w:top w:val="none" w:sz="0" w:space="0" w:color="auto"/>
            <w:left w:val="none" w:sz="0" w:space="0" w:color="auto"/>
            <w:bottom w:val="none" w:sz="0" w:space="0" w:color="auto"/>
            <w:right w:val="none" w:sz="0" w:space="0" w:color="auto"/>
          </w:divBdr>
        </w:div>
        <w:div w:id="394088803">
          <w:marLeft w:val="0"/>
          <w:marRight w:val="0"/>
          <w:marTop w:val="240"/>
          <w:marBottom w:val="120"/>
          <w:divBdr>
            <w:top w:val="none" w:sz="0" w:space="0" w:color="auto"/>
            <w:left w:val="none" w:sz="0" w:space="0" w:color="auto"/>
            <w:bottom w:val="single" w:sz="12" w:space="0" w:color="000000"/>
            <w:right w:val="none" w:sz="0" w:space="0" w:color="auto"/>
          </w:divBdr>
        </w:div>
        <w:div w:id="1534465052">
          <w:marLeft w:val="0"/>
          <w:marRight w:val="0"/>
          <w:marTop w:val="120"/>
          <w:marBottom w:val="240"/>
          <w:divBdr>
            <w:top w:val="none" w:sz="0" w:space="0" w:color="auto"/>
            <w:left w:val="none" w:sz="0" w:space="0" w:color="auto"/>
            <w:bottom w:val="none" w:sz="0" w:space="0" w:color="auto"/>
            <w:right w:val="none" w:sz="0" w:space="0" w:color="auto"/>
          </w:divBdr>
        </w:div>
        <w:div w:id="468674154">
          <w:marLeft w:val="0"/>
          <w:marRight w:val="0"/>
          <w:marTop w:val="240"/>
          <w:marBottom w:val="120"/>
          <w:divBdr>
            <w:top w:val="none" w:sz="0" w:space="0" w:color="auto"/>
            <w:left w:val="none" w:sz="0" w:space="0" w:color="auto"/>
            <w:bottom w:val="single" w:sz="12" w:space="0" w:color="000000"/>
            <w:right w:val="none" w:sz="0" w:space="0" w:color="auto"/>
          </w:divBdr>
        </w:div>
        <w:div w:id="170729738">
          <w:marLeft w:val="0"/>
          <w:marRight w:val="0"/>
          <w:marTop w:val="120"/>
          <w:marBottom w:val="240"/>
          <w:divBdr>
            <w:top w:val="none" w:sz="0" w:space="0" w:color="auto"/>
            <w:left w:val="none" w:sz="0" w:space="0" w:color="auto"/>
            <w:bottom w:val="none" w:sz="0" w:space="0" w:color="auto"/>
            <w:right w:val="none" w:sz="0" w:space="0" w:color="auto"/>
          </w:divBdr>
        </w:div>
        <w:div w:id="266542331">
          <w:marLeft w:val="0"/>
          <w:marRight w:val="0"/>
          <w:marTop w:val="240"/>
          <w:marBottom w:val="120"/>
          <w:divBdr>
            <w:top w:val="none" w:sz="0" w:space="0" w:color="auto"/>
            <w:left w:val="none" w:sz="0" w:space="0" w:color="auto"/>
            <w:bottom w:val="single" w:sz="12" w:space="0" w:color="000000"/>
            <w:right w:val="none" w:sz="0" w:space="0" w:color="auto"/>
          </w:divBdr>
        </w:div>
        <w:div w:id="1587424938">
          <w:marLeft w:val="0"/>
          <w:marRight w:val="0"/>
          <w:marTop w:val="120"/>
          <w:marBottom w:val="240"/>
          <w:divBdr>
            <w:top w:val="none" w:sz="0" w:space="0" w:color="auto"/>
            <w:left w:val="none" w:sz="0" w:space="0" w:color="auto"/>
            <w:bottom w:val="none" w:sz="0" w:space="0" w:color="auto"/>
            <w:right w:val="none" w:sz="0" w:space="0" w:color="auto"/>
          </w:divBdr>
        </w:div>
        <w:div w:id="1306548414">
          <w:marLeft w:val="0"/>
          <w:marRight w:val="0"/>
          <w:marTop w:val="240"/>
          <w:marBottom w:val="120"/>
          <w:divBdr>
            <w:top w:val="none" w:sz="0" w:space="0" w:color="auto"/>
            <w:left w:val="none" w:sz="0" w:space="0" w:color="auto"/>
            <w:bottom w:val="single" w:sz="12" w:space="0" w:color="000000"/>
            <w:right w:val="none" w:sz="0" w:space="0" w:color="auto"/>
          </w:divBdr>
        </w:div>
        <w:div w:id="538975275">
          <w:marLeft w:val="0"/>
          <w:marRight w:val="0"/>
          <w:marTop w:val="120"/>
          <w:marBottom w:val="240"/>
          <w:divBdr>
            <w:top w:val="none" w:sz="0" w:space="0" w:color="auto"/>
            <w:left w:val="none" w:sz="0" w:space="0" w:color="auto"/>
            <w:bottom w:val="none" w:sz="0" w:space="0" w:color="auto"/>
            <w:right w:val="none" w:sz="0" w:space="0" w:color="auto"/>
          </w:divBdr>
        </w:div>
        <w:div w:id="942347023">
          <w:marLeft w:val="0"/>
          <w:marRight w:val="0"/>
          <w:marTop w:val="240"/>
          <w:marBottom w:val="120"/>
          <w:divBdr>
            <w:top w:val="none" w:sz="0" w:space="0" w:color="auto"/>
            <w:left w:val="none" w:sz="0" w:space="0" w:color="auto"/>
            <w:bottom w:val="single" w:sz="12" w:space="0" w:color="000000"/>
            <w:right w:val="none" w:sz="0" w:space="0" w:color="auto"/>
          </w:divBdr>
        </w:div>
        <w:div w:id="972977086">
          <w:marLeft w:val="0"/>
          <w:marRight w:val="0"/>
          <w:marTop w:val="120"/>
          <w:marBottom w:val="240"/>
          <w:divBdr>
            <w:top w:val="none" w:sz="0" w:space="0" w:color="auto"/>
            <w:left w:val="none" w:sz="0" w:space="0" w:color="auto"/>
            <w:bottom w:val="none" w:sz="0" w:space="0" w:color="auto"/>
            <w:right w:val="none" w:sz="0" w:space="0" w:color="auto"/>
          </w:divBdr>
        </w:div>
        <w:div w:id="1835027290">
          <w:marLeft w:val="0"/>
          <w:marRight w:val="0"/>
          <w:marTop w:val="240"/>
          <w:marBottom w:val="120"/>
          <w:divBdr>
            <w:top w:val="none" w:sz="0" w:space="0" w:color="auto"/>
            <w:left w:val="none" w:sz="0" w:space="0" w:color="auto"/>
            <w:bottom w:val="single" w:sz="12" w:space="0" w:color="000000"/>
            <w:right w:val="none" w:sz="0" w:space="0" w:color="auto"/>
          </w:divBdr>
        </w:div>
        <w:div w:id="1514371285">
          <w:marLeft w:val="0"/>
          <w:marRight w:val="0"/>
          <w:marTop w:val="120"/>
          <w:marBottom w:val="240"/>
          <w:divBdr>
            <w:top w:val="none" w:sz="0" w:space="0" w:color="auto"/>
            <w:left w:val="none" w:sz="0" w:space="0" w:color="auto"/>
            <w:bottom w:val="none" w:sz="0" w:space="0" w:color="auto"/>
            <w:right w:val="none" w:sz="0" w:space="0" w:color="auto"/>
          </w:divBdr>
        </w:div>
        <w:div w:id="647250427">
          <w:marLeft w:val="0"/>
          <w:marRight w:val="0"/>
          <w:marTop w:val="240"/>
          <w:marBottom w:val="120"/>
          <w:divBdr>
            <w:top w:val="none" w:sz="0" w:space="0" w:color="auto"/>
            <w:left w:val="none" w:sz="0" w:space="0" w:color="auto"/>
            <w:bottom w:val="single" w:sz="12" w:space="0" w:color="000000"/>
            <w:right w:val="none" w:sz="0" w:space="0" w:color="auto"/>
          </w:divBdr>
        </w:div>
        <w:div w:id="1748455779">
          <w:marLeft w:val="0"/>
          <w:marRight w:val="0"/>
          <w:marTop w:val="120"/>
          <w:marBottom w:val="240"/>
          <w:divBdr>
            <w:top w:val="none" w:sz="0" w:space="0" w:color="auto"/>
            <w:left w:val="none" w:sz="0" w:space="0" w:color="auto"/>
            <w:bottom w:val="none" w:sz="0" w:space="0" w:color="auto"/>
            <w:right w:val="none" w:sz="0" w:space="0" w:color="auto"/>
          </w:divBdr>
        </w:div>
        <w:div w:id="1706640721">
          <w:marLeft w:val="0"/>
          <w:marRight w:val="0"/>
          <w:marTop w:val="240"/>
          <w:marBottom w:val="120"/>
          <w:divBdr>
            <w:top w:val="none" w:sz="0" w:space="0" w:color="auto"/>
            <w:left w:val="none" w:sz="0" w:space="0" w:color="auto"/>
            <w:bottom w:val="single" w:sz="12" w:space="0" w:color="000000"/>
            <w:right w:val="none" w:sz="0" w:space="0" w:color="auto"/>
          </w:divBdr>
        </w:div>
        <w:div w:id="1633904131">
          <w:marLeft w:val="0"/>
          <w:marRight w:val="0"/>
          <w:marTop w:val="120"/>
          <w:marBottom w:val="240"/>
          <w:divBdr>
            <w:top w:val="none" w:sz="0" w:space="0" w:color="auto"/>
            <w:left w:val="none" w:sz="0" w:space="0" w:color="auto"/>
            <w:bottom w:val="none" w:sz="0" w:space="0" w:color="auto"/>
            <w:right w:val="none" w:sz="0" w:space="0" w:color="auto"/>
          </w:divBdr>
        </w:div>
        <w:div w:id="652297893">
          <w:marLeft w:val="0"/>
          <w:marRight w:val="0"/>
          <w:marTop w:val="240"/>
          <w:marBottom w:val="120"/>
          <w:divBdr>
            <w:top w:val="none" w:sz="0" w:space="0" w:color="auto"/>
            <w:left w:val="none" w:sz="0" w:space="0" w:color="auto"/>
            <w:bottom w:val="single" w:sz="12" w:space="0" w:color="000000"/>
            <w:right w:val="none" w:sz="0" w:space="0" w:color="auto"/>
          </w:divBdr>
        </w:div>
        <w:div w:id="978192602">
          <w:marLeft w:val="0"/>
          <w:marRight w:val="0"/>
          <w:marTop w:val="120"/>
          <w:marBottom w:val="240"/>
          <w:divBdr>
            <w:top w:val="none" w:sz="0" w:space="0" w:color="auto"/>
            <w:left w:val="none" w:sz="0" w:space="0" w:color="auto"/>
            <w:bottom w:val="none" w:sz="0" w:space="0" w:color="auto"/>
            <w:right w:val="none" w:sz="0" w:space="0" w:color="auto"/>
          </w:divBdr>
        </w:div>
        <w:div w:id="1669017003">
          <w:marLeft w:val="0"/>
          <w:marRight w:val="0"/>
          <w:marTop w:val="240"/>
          <w:marBottom w:val="120"/>
          <w:divBdr>
            <w:top w:val="none" w:sz="0" w:space="0" w:color="auto"/>
            <w:left w:val="none" w:sz="0" w:space="0" w:color="auto"/>
            <w:bottom w:val="single" w:sz="12" w:space="0" w:color="000000"/>
            <w:right w:val="none" w:sz="0" w:space="0" w:color="auto"/>
          </w:divBdr>
        </w:div>
        <w:div w:id="276761672">
          <w:marLeft w:val="0"/>
          <w:marRight w:val="0"/>
          <w:marTop w:val="120"/>
          <w:marBottom w:val="240"/>
          <w:divBdr>
            <w:top w:val="none" w:sz="0" w:space="0" w:color="auto"/>
            <w:left w:val="none" w:sz="0" w:space="0" w:color="auto"/>
            <w:bottom w:val="none" w:sz="0" w:space="0" w:color="auto"/>
            <w:right w:val="none" w:sz="0" w:space="0" w:color="auto"/>
          </w:divBdr>
        </w:div>
        <w:div w:id="701631940">
          <w:marLeft w:val="0"/>
          <w:marRight w:val="0"/>
          <w:marTop w:val="240"/>
          <w:marBottom w:val="120"/>
          <w:divBdr>
            <w:top w:val="none" w:sz="0" w:space="0" w:color="auto"/>
            <w:left w:val="none" w:sz="0" w:space="0" w:color="auto"/>
            <w:bottom w:val="single" w:sz="12" w:space="0" w:color="000000"/>
            <w:right w:val="none" w:sz="0" w:space="0" w:color="auto"/>
          </w:divBdr>
        </w:div>
        <w:div w:id="619645773">
          <w:marLeft w:val="0"/>
          <w:marRight w:val="0"/>
          <w:marTop w:val="120"/>
          <w:marBottom w:val="240"/>
          <w:divBdr>
            <w:top w:val="none" w:sz="0" w:space="0" w:color="auto"/>
            <w:left w:val="none" w:sz="0" w:space="0" w:color="auto"/>
            <w:bottom w:val="none" w:sz="0" w:space="0" w:color="auto"/>
            <w:right w:val="none" w:sz="0" w:space="0" w:color="auto"/>
          </w:divBdr>
        </w:div>
        <w:div w:id="1156997486">
          <w:marLeft w:val="0"/>
          <w:marRight w:val="0"/>
          <w:marTop w:val="240"/>
          <w:marBottom w:val="120"/>
          <w:divBdr>
            <w:top w:val="none" w:sz="0" w:space="0" w:color="auto"/>
            <w:left w:val="none" w:sz="0" w:space="0" w:color="auto"/>
            <w:bottom w:val="single" w:sz="12" w:space="0" w:color="000000"/>
            <w:right w:val="none" w:sz="0" w:space="0" w:color="auto"/>
          </w:divBdr>
        </w:div>
        <w:div w:id="1744796237">
          <w:marLeft w:val="0"/>
          <w:marRight w:val="0"/>
          <w:marTop w:val="120"/>
          <w:marBottom w:val="240"/>
          <w:divBdr>
            <w:top w:val="none" w:sz="0" w:space="0" w:color="auto"/>
            <w:left w:val="none" w:sz="0" w:space="0" w:color="auto"/>
            <w:bottom w:val="none" w:sz="0" w:space="0" w:color="auto"/>
            <w:right w:val="none" w:sz="0" w:space="0" w:color="auto"/>
          </w:divBdr>
        </w:div>
        <w:div w:id="1209956619">
          <w:marLeft w:val="0"/>
          <w:marRight w:val="0"/>
          <w:marTop w:val="240"/>
          <w:marBottom w:val="120"/>
          <w:divBdr>
            <w:top w:val="none" w:sz="0" w:space="0" w:color="auto"/>
            <w:left w:val="none" w:sz="0" w:space="0" w:color="auto"/>
            <w:bottom w:val="single" w:sz="12" w:space="0" w:color="000000"/>
            <w:right w:val="none" w:sz="0" w:space="0" w:color="auto"/>
          </w:divBdr>
        </w:div>
        <w:div w:id="1427267495">
          <w:marLeft w:val="0"/>
          <w:marRight w:val="0"/>
          <w:marTop w:val="120"/>
          <w:marBottom w:val="240"/>
          <w:divBdr>
            <w:top w:val="none" w:sz="0" w:space="0" w:color="auto"/>
            <w:left w:val="none" w:sz="0" w:space="0" w:color="auto"/>
            <w:bottom w:val="none" w:sz="0" w:space="0" w:color="auto"/>
            <w:right w:val="none" w:sz="0" w:space="0" w:color="auto"/>
          </w:divBdr>
        </w:div>
        <w:div w:id="1051226706">
          <w:marLeft w:val="0"/>
          <w:marRight w:val="0"/>
          <w:marTop w:val="240"/>
          <w:marBottom w:val="120"/>
          <w:divBdr>
            <w:top w:val="none" w:sz="0" w:space="0" w:color="auto"/>
            <w:left w:val="none" w:sz="0" w:space="0" w:color="auto"/>
            <w:bottom w:val="single" w:sz="12" w:space="0" w:color="000000"/>
            <w:right w:val="none" w:sz="0" w:space="0" w:color="auto"/>
          </w:divBdr>
        </w:div>
        <w:div w:id="1321737175">
          <w:marLeft w:val="0"/>
          <w:marRight w:val="0"/>
          <w:marTop w:val="120"/>
          <w:marBottom w:val="240"/>
          <w:divBdr>
            <w:top w:val="none" w:sz="0" w:space="0" w:color="auto"/>
            <w:left w:val="none" w:sz="0" w:space="0" w:color="auto"/>
            <w:bottom w:val="none" w:sz="0" w:space="0" w:color="auto"/>
            <w:right w:val="none" w:sz="0" w:space="0" w:color="auto"/>
          </w:divBdr>
        </w:div>
        <w:div w:id="329985855">
          <w:marLeft w:val="0"/>
          <w:marRight w:val="0"/>
          <w:marTop w:val="240"/>
          <w:marBottom w:val="120"/>
          <w:divBdr>
            <w:top w:val="none" w:sz="0" w:space="0" w:color="auto"/>
            <w:left w:val="none" w:sz="0" w:space="0" w:color="auto"/>
            <w:bottom w:val="single" w:sz="12" w:space="0" w:color="000000"/>
            <w:right w:val="none" w:sz="0" w:space="0" w:color="auto"/>
          </w:divBdr>
        </w:div>
        <w:div w:id="432946287">
          <w:marLeft w:val="0"/>
          <w:marRight w:val="0"/>
          <w:marTop w:val="120"/>
          <w:marBottom w:val="240"/>
          <w:divBdr>
            <w:top w:val="none" w:sz="0" w:space="0" w:color="auto"/>
            <w:left w:val="none" w:sz="0" w:space="0" w:color="auto"/>
            <w:bottom w:val="none" w:sz="0" w:space="0" w:color="auto"/>
            <w:right w:val="none" w:sz="0" w:space="0" w:color="auto"/>
          </w:divBdr>
        </w:div>
        <w:div w:id="412436162">
          <w:marLeft w:val="0"/>
          <w:marRight w:val="0"/>
          <w:marTop w:val="240"/>
          <w:marBottom w:val="120"/>
          <w:divBdr>
            <w:top w:val="none" w:sz="0" w:space="0" w:color="auto"/>
            <w:left w:val="none" w:sz="0" w:space="0" w:color="auto"/>
            <w:bottom w:val="single" w:sz="12" w:space="0" w:color="000000"/>
            <w:right w:val="none" w:sz="0" w:space="0" w:color="auto"/>
          </w:divBdr>
        </w:div>
        <w:div w:id="794787497">
          <w:marLeft w:val="0"/>
          <w:marRight w:val="0"/>
          <w:marTop w:val="120"/>
          <w:marBottom w:val="240"/>
          <w:divBdr>
            <w:top w:val="none" w:sz="0" w:space="0" w:color="auto"/>
            <w:left w:val="none" w:sz="0" w:space="0" w:color="auto"/>
            <w:bottom w:val="none" w:sz="0" w:space="0" w:color="auto"/>
            <w:right w:val="none" w:sz="0" w:space="0" w:color="auto"/>
          </w:divBdr>
        </w:div>
        <w:div w:id="897516450">
          <w:marLeft w:val="0"/>
          <w:marRight w:val="0"/>
          <w:marTop w:val="240"/>
          <w:marBottom w:val="120"/>
          <w:divBdr>
            <w:top w:val="none" w:sz="0" w:space="0" w:color="auto"/>
            <w:left w:val="none" w:sz="0" w:space="0" w:color="auto"/>
            <w:bottom w:val="single" w:sz="12" w:space="0" w:color="000000"/>
            <w:right w:val="none" w:sz="0" w:space="0" w:color="auto"/>
          </w:divBdr>
        </w:div>
        <w:div w:id="1404792633">
          <w:marLeft w:val="0"/>
          <w:marRight w:val="0"/>
          <w:marTop w:val="120"/>
          <w:marBottom w:val="240"/>
          <w:divBdr>
            <w:top w:val="none" w:sz="0" w:space="0" w:color="auto"/>
            <w:left w:val="none" w:sz="0" w:space="0" w:color="auto"/>
            <w:bottom w:val="none" w:sz="0" w:space="0" w:color="auto"/>
            <w:right w:val="none" w:sz="0" w:space="0" w:color="auto"/>
          </w:divBdr>
        </w:div>
        <w:div w:id="2054190484">
          <w:marLeft w:val="0"/>
          <w:marRight w:val="0"/>
          <w:marTop w:val="240"/>
          <w:marBottom w:val="120"/>
          <w:divBdr>
            <w:top w:val="none" w:sz="0" w:space="0" w:color="auto"/>
            <w:left w:val="none" w:sz="0" w:space="0" w:color="auto"/>
            <w:bottom w:val="single" w:sz="12" w:space="0" w:color="000000"/>
            <w:right w:val="none" w:sz="0" w:space="0" w:color="auto"/>
          </w:divBdr>
        </w:div>
        <w:div w:id="1198278236">
          <w:marLeft w:val="0"/>
          <w:marRight w:val="0"/>
          <w:marTop w:val="120"/>
          <w:marBottom w:val="240"/>
          <w:divBdr>
            <w:top w:val="none" w:sz="0" w:space="0" w:color="auto"/>
            <w:left w:val="none" w:sz="0" w:space="0" w:color="auto"/>
            <w:bottom w:val="none" w:sz="0" w:space="0" w:color="auto"/>
            <w:right w:val="none" w:sz="0" w:space="0" w:color="auto"/>
          </w:divBdr>
        </w:div>
        <w:div w:id="1666980783">
          <w:marLeft w:val="0"/>
          <w:marRight w:val="0"/>
          <w:marTop w:val="240"/>
          <w:marBottom w:val="120"/>
          <w:divBdr>
            <w:top w:val="none" w:sz="0" w:space="0" w:color="auto"/>
            <w:left w:val="none" w:sz="0" w:space="0" w:color="auto"/>
            <w:bottom w:val="single" w:sz="12" w:space="0" w:color="000000"/>
            <w:right w:val="none" w:sz="0" w:space="0" w:color="auto"/>
          </w:divBdr>
        </w:div>
        <w:div w:id="193009330">
          <w:marLeft w:val="0"/>
          <w:marRight w:val="0"/>
          <w:marTop w:val="120"/>
          <w:marBottom w:val="240"/>
          <w:divBdr>
            <w:top w:val="none" w:sz="0" w:space="0" w:color="auto"/>
            <w:left w:val="none" w:sz="0" w:space="0" w:color="auto"/>
            <w:bottom w:val="none" w:sz="0" w:space="0" w:color="auto"/>
            <w:right w:val="none" w:sz="0" w:space="0" w:color="auto"/>
          </w:divBdr>
        </w:div>
        <w:div w:id="1164854787">
          <w:marLeft w:val="0"/>
          <w:marRight w:val="0"/>
          <w:marTop w:val="240"/>
          <w:marBottom w:val="120"/>
          <w:divBdr>
            <w:top w:val="none" w:sz="0" w:space="0" w:color="auto"/>
            <w:left w:val="none" w:sz="0" w:space="0" w:color="auto"/>
            <w:bottom w:val="single" w:sz="12" w:space="0" w:color="000000"/>
            <w:right w:val="none" w:sz="0" w:space="0" w:color="auto"/>
          </w:divBdr>
        </w:div>
        <w:div w:id="2114158160">
          <w:marLeft w:val="0"/>
          <w:marRight w:val="0"/>
          <w:marTop w:val="120"/>
          <w:marBottom w:val="240"/>
          <w:divBdr>
            <w:top w:val="none" w:sz="0" w:space="0" w:color="auto"/>
            <w:left w:val="none" w:sz="0" w:space="0" w:color="auto"/>
            <w:bottom w:val="none" w:sz="0" w:space="0" w:color="auto"/>
            <w:right w:val="none" w:sz="0" w:space="0" w:color="auto"/>
          </w:divBdr>
        </w:div>
        <w:div w:id="54164948">
          <w:marLeft w:val="0"/>
          <w:marRight w:val="0"/>
          <w:marTop w:val="240"/>
          <w:marBottom w:val="120"/>
          <w:divBdr>
            <w:top w:val="none" w:sz="0" w:space="0" w:color="auto"/>
            <w:left w:val="none" w:sz="0" w:space="0" w:color="auto"/>
            <w:bottom w:val="single" w:sz="12" w:space="0" w:color="000000"/>
            <w:right w:val="none" w:sz="0" w:space="0" w:color="auto"/>
          </w:divBdr>
        </w:div>
        <w:div w:id="1688287851">
          <w:marLeft w:val="0"/>
          <w:marRight w:val="0"/>
          <w:marTop w:val="120"/>
          <w:marBottom w:val="240"/>
          <w:divBdr>
            <w:top w:val="none" w:sz="0" w:space="0" w:color="auto"/>
            <w:left w:val="none" w:sz="0" w:space="0" w:color="auto"/>
            <w:bottom w:val="none" w:sz="0" w:space="0" w:color="auto"/>
            <w:right w:val="none" w:sz="0" w:space="0" w:color="auto"/>
          </w:divBdr>
        </w:div>
        <w:div w:id="679816398">
          <w:marLeft w:val="0"/>
          <w:marRight w:val="0"/>
          <w:marTop w:val="240"/>
          <w:marBottom w:val="120"/>
          <w:divBdr>
            <w:top w:val="none" w:sz="0" w:space="0" w:color="auto"/>
            <w:left w:val="none" w:sz="0" w:space="0" w:color="auto"/>
            <w:bottom w:val="single" w:sz="12" w:space="0" w:color="000000"/>
            <w:right w:val="none" w:sz="0" w:space="0" w:color="auto"/>
          </w:divBdr>
        </w:div>
        <w:div w:id="1748263229">
          <w:marLeft w:val="0"/>
          <w:marRight w:val="0"/>
          <w:marTop w:val="120"/>
          <w:marBottom w:val="240"/>
          <w:divBdr>
            <w:top w:val="none" w:sz="0" w:space="0" w:color="auto"/>
            <w:left w:val="none" w:sz="0" w:space="0" w:color="auto"/>
            <w:bottom w:val="none" w:sz="0" w:space="0" w:color="auto"/>
            <w:right w:val="none" w:sz="0" w:space="0" w:color="auto"/>
          </w:divBdr>
        </w:div>
        <w:div w:id="668366801">
          <w:marLeft w:val="0"/>
          <w:marRight w:val="0"/>
          <w:marTop w:val="240"/>
          <w:marBottom w:val="120"/>
          <w:divBdr>
            <w:top w:val="none" w:sz="0" w:space="0" w:color="auto"/>
            <w:left w:val="none" w:sz="0" w:space="0" w:color="auto"/>
            <w:bottom w:val="single" w:sz="12" w:space="0" w:color="000000"/>
            <w:right w:val="none" w:sz="0" w:space="0" w:color="auto"/>
          </w:divBdr>
        </w:div>
        <w:div w:id="1266499059">
          <w:marLeft w:val="0"/>
          <w:marRight w:val="0"/>
          <w:marTop w:val="120"/>
          <w:marBottom w:val="240"/>
          <w:divBdr>
            <w:top w:val="none" w:sz="0" w:space="0" w:color="auto"/>
            <w:left w:val="none" w:sz="0" w:space="0" w:color="auto"/>
            <w:bottom w:val="none" w:sz="0" w:space="0" w:color="auto"/>
            <w:right w:val="none" w:sz="0" w:space="0" w:color="auto"/>
          </w:divBdr>
        </w:div>
        <w:div w:id="631983598">
          <w:marLeft w:val="0"/>
          <w:marRight w:val="0"/>
          <w:marTop w:val="240"/>
          <w:marBottom w:val="120"/>
          <w:divBdr>
            <w:top w:val="none" w:sz="0" w:space="0" w:color="auto"/>
            <w:left w:val="none" w:sz="0" w:space="0" w:color="auto"/>
            <w:bottom w:val="single" w:sz="12" w:space="0" w:color="000000"/>
            <w:right w:val="none" w:sz="0" w:space="0" w:color="auto"/>
          </w:divBdr>
        </w:div>
        <w:div w:id="812983443">
          <w:marLeft w:val="0"/>
          <w:marRight w:val="0"/>
          <w:marTop w:val="120"/>
          <w:marBottom w:val="240"/>
          <w:divBdr>
            <w:top w:val="none" w:sz="0" w:space="0" w:color="auto"/>
            <w:left w:val="none" w:sz="0" w:space="0" w:color="auto"/>
            <w:bottom w:val="none" w:sz="0" w:space="0" w:color="auto"/>
            <w:right w:val="none" w:sz="0" w:space="0" w:color="auto"/>
          </w:divBdr>
        </w:div>
        <w:div w:id="2063868679">
          <w:marLeft w:val="0"/>
          <w:marRight w:val="0"/>
          <w:marTop w:val="240"/>
          <w:marBottom w:val="120"/>
          <w:divBdr>
            <w:top w:val="none" w:sz="0" w:space="0" w:color="auto"/>
            <w:left w:val="none" w:sz="0" w:space="0" w:color="auto"/>
            <w:bottom w:val="single" w:sz="12" w:space="0" w:color="000000"/>
            <w:right w:val="none" w:sz="0" w:space="0" w:color="auto"/>
          </w:divBdr>
        </w:div>
        <w:div w:id="1619875422">
          <w:marLeft w:val="0"/>
          <w:marRight w:val="0"/>
          <w:marTop w:val="120"/>
          <w:marBottom w:val="240"/>
          <w:divBdr>
            <w:top w:val="none" w:sz="0" w:space="0" w:color="auto"/>
            <w:left w:val="none" w:sz="0" w:space="0" w:color="auto"/>
            <w:bottom w:val="none" w:sz="0" w:space="0" w:color="auto"/>
            <w:right w:val="none" w:sz="0" w:space="0" w:color="auto"/>
          </w:divBdr>
        </w:div>
        <w:div w:id="255018823">
          <w:marLeft w:val="0"/>
          <w:marRight w:val="0"/>
          <w:marTop w:val="240"/>
          <w:marBottom w:val="120"/>
          <w:divBdr>
            <w:top w:val="none" w:sz="0" w:space="0" w:color="auto"/>
            <w:left w:val="none" w:sz="0" w:space="0" w:color="auto"/>
            <w:bottom w:val="single" w:sz="12" w:space="0" w:color="000000"/>
            <w:right w:val="none" w:sz="0" w:space="0" w:color="auto"/>
          </w:divBdr>
        </w:div>
        <w:div w:id="120926586">
          <w:marLeft w:val="0"/>
          <w:marRight w:val="0"/>
          <w:marTop w:val="120"/>
          <w:marBottom w:val="240"/>
          <w:divBdr>
            <w:top w:val="none" w:sz="0" w:space="0" w:color="auto"/>
            <w:left w:val="none" w:sz="0" w:space="0" w:color="auto"/>
            <w:bottom w:val="none" w:sz="0" w:space="0" w:color="auto"/>
            <w:right w:val="none" w:sz="0" w:space="0" w:color="auto"/>
          </w:divBdr>
        </w:div>
        <w:div w:id="449203363">
          <w:marLeft w:val="0"/>
          <w:marRight w:val="0"/>
          <w:marTop w:val="240"/>
          <w:marBottom w:val="120"/>
          <w:divBdr>
            <w:top w:val="none" w:sz="0" w:space="0" w:color="auto"/>
            <w:left w:val="none" w:sz="0" w:space="0" w:color="auto"/>
            <w:bottom w:val="single" w:sz="12" w:space="0" w:color="000000"/>
            <w:right w:val="none" w:sz="0" w:space="0" w:color="auto"/>
          </w:divBdr>
        </w:div>
        <w:div w:id="938148593">
          <w:marLeft w:val="0"/>
          <w:marRight w:val="0"/>
          <w:marTop w:val="120"/>
          <w:marBottom w:val="240"/>
          <w:divBdr>
            <w:top w:val="none" w:sz="0" w:space="0" w:color="auto"/>
            <w:left w:val="none" w:sz="0" w:space="0" w:color="auto"/>
            <w:bottom w:val="none" w:sz="0" w:space="0" w:color="auto"/>
            <w:right w:val="none" w:sz="0" w:space="0" w:color="auto"/>
          </w:divBdr>
        </w:div>
        <w:div w:id="1744133593">
          <w:marLeft w:val="0"/>
          <w:marRight w:val="0"/>
          <w:marTop w:val="240"/>
          <w:marBottom w:val="120"/>
          <w:divBdr>
            <w:top w:val="none" w:sz="0" w:space="0" w:color="auto"/>
            <w:left w:val="none" w:sz="0" w:space="0" w:color="auto"/>
            <w:bottom w:val="single" w:sz="12" w:space="0" w:color="000000"/>
            <w:right w:val="none" w:sz="0" w:space="0" w:color="auto"/>
          </w:divBdr>
        </w:div>
        <w:div w:id="1904245593">
          <w:marLeft w:val="0"/>
          <w:marRight w:val="0"/>
          <w:marTop w:val="120"/>
          <w:marBottom w:val="240"/>
          <w:divBdr>
            <w:top w:val="none" w:sz="0" w:space="0" w:color="auto"/>
            <w:left w:val="none" w:sz="0" w:space="0" w:color="auto"/>
            <w:bottom w:val="none" w:sz="0" w:space="0" w:color="auto"/>
            <w:right w:val="none" w:sz="0" w:space="0" w:color="auto"/>
          </w:divBdr>
        </w:div>
        <w:div w:id="888613757">
          <w:marLeft w:val="0"/>
          <w:marRight w:val="0"/>
          <w:marTop w:val="240"/>
          <w:marBottom w:val="120"/>
          <w:divBdr>
            <w:top w:val="none" w:sz="0" w:space="0" w:color="auto"/>
            <w:left w:val="none" w:sz="0" w:space="0" w:color="auto"/>
            <w:bottom w:val="single" w:sz="12" w:space="0" w:color="000000"/>
            <w:right w:val="none" w:sz="0" w:space="0" w:color="auto"/>
          </w:divBdr>
        </w:div>
        <w:div w:id="2139451882">
          <w:marLeft w:val="0"/>
          <w:marRight w:val="0"/>
          <w:marTop w:val="120"/>
          <w:marBottom w:val="240"/>
          <w:divBdr>
            <w:top w:val="none" w:sz="0" w:space="0" w:color="auto"/>
            <w:left w:val="none" w:sz="0" w:space="0" w:color="auto"/>
            <w:bottom w:val="none" w:sz="0" w:space="0" w:color="auto"/>
            <w:right w:val="none" w:sz="0" w:space="0" w:color="auto"/>
          </w:divBdr>
        </w:div>
        <w:div w:id="906381962">
          <w:marLeft w:val="0"/>
          <w:marRight w:val="0"/>
          <w:marTop w:val="240"/>
          <w:marBottom w:val="120"/>
          <w:divBdr>
            <w:top w:val="none" w:sz="0" w:space="0" w:color="auto"/>
            <w:left w:val="none" w:sz="0" w:space="0" w:color="auto"/>
            <w:bottom w:val="single" w:sz="12" w:space="0" w:color="000000"/>
            <w:right w:val="none" w:sz="0" w:space="0" w:color="auto"/>
          </w:divBdr>
        </w:div>
        <w:div w:id="893737819">
          <w:marLeft w:val="0"/>
          <w:marRight w:val="0"/>
          <w:marTop w:val="120"/>
          <w:marBottom w:val="240"/>
          <w:divBdr>
            <w:top w:val="none" w:sz="0" w:space="0" w:color="auto"/>
            <w:left w:val="none" w:sz="0" w:space="0" w:color="auto"/>
            <w:bottom w:val="none" w:sz="0" w:space="0" w:color="auto"/>
            <w:right w:val="none" w:sz="0" w:space="0" w:color="auto"/>
          </w:divBdr>
        </w:div>
        <w:div w:id="151996078">
          <w:marLeft w:val="0"/>
          <w:marRight w:val="0"/>
          <w:marTop w:val="240"/>
          <w:marBottom w:val="120"/>
          <w:divBdr>
            <w:top w:val="none" w:sz="0" w:space="0" w:color="auto"/>
            <w:left w:val="none" w:sz="0" w:space="0" w:color="auto"/>
            <w:bottom w:val="single" w:sz="12" w:space="0" w:color="000000"/>
            <w:right w:val="none" w:sz="0" w:space="0" w:color="auto"/>
          </w:divBdr>
        </w:div>
        <w:div w:id="537595763">
          <w:marLeft w:val="0"/>
          <w:marRight w:val="0"/>
          <w:marTop w:val="120"/>
          <w:marBottom w:val="240"/>
          <w:divBdr>
            <w:top w:val="none" w:sz="0" w:space="0" w:color="auto"/>
            <w:left w:val="none" w:sz="0" w:space="0" w:color="auto"/>
            <w:bottom w:val="none" w:sz="0" w:space="0" w:color="auto"/>
            <w:right w:val="none" w:sz="0" w:space="0" w:color="auto"/>
          </w:divBdr>
        </w:div>
        <w:div w:id="1165705104">
          <w:marLeft w:val="0"/>
          <w:marRight w:val="0"/>
          <w:marTop w:val="240"/>
          <w:marBottom w:val="120"/>
          <w:divBdr>
            <w:top w:val="none" w:sz="0" w:space="0" w:color="auto"/>
            <w:left w:val="none" w:sz="0" w:space="0" w:color="auto"/>
            <w:bottom w:val="single" w:sz="12" w:space="0" w:color="000000"/>
            <w:right w:val="none" w:sz="0" w:space="0" w:color="auto"/>
          </w:divBdr>
        </w:div>
        <w:div w:id="220403985">
          <w:marLeft w:val="0"/>
          <w:marRight w:val="0"/>
          <w:marTop w:val="120"/>
          <w:marBottom w:val="240"/>
          <w:divBdr>
            <w:top w:val="none" w:sz="0" w:space="0" w:color="auto"/>
            <w:left w:val="none" w:sz="0" w:space="0" w:color="auto"/>
            <w:bottom w:val="none" w:sz="0" w:space="0" w:color="auto"/>
            <w:right w:val="none" w:sz="0" w:space="0" w:color="auto"/>
          </w:divBdr>
        </w:div>
        <w:div w:id="583221307">
          <w:marLeft w:val="0"/>
          <w:marRight w:val="0"/>
          <w:marTop w:val="0"/>
          <w:marBottom w:val="0"/>
          <w:divBdr>
            <w:top w:val="none" w:sz="0" w:space="0" w:color="auto"/>
            <w:left w:val="none" w:sz="0" w:space="0" w:color="auto"/>
            <w:bottom w:val="none" w:sz="0" w:space="0" w:color="auto"/>
            <w:right w:val="none" w:sz="0" w:space="0" w:color="auto"/>
          </w:divBdr>
        </w:div>
        <w:div w:id="799493958">
          <w:marLeft w:val="0"/>
          <w:marRight w:val="0"/>
          <w:marTop w:val="0"/>
          <w:marBottom w:val="0"/>
          <w:divBdr>
            <w:top w:val="none" w:sz="0" w:space="0" w:color="auto"/>
            <w:left w:val="none" w:sz="0" w:space="0" w:color="auto"/>
            <w:bottom w:val="none" w:sz="0" w:space="0" w:color="auto"/>
            <w:right w:val="none" w:sz="0" w:space="0" w:color="auto"/>
          </w:divBdr>
        </w:div>
        <w:div w:id="1195383187">
          <w:marLeft w:val="0"/>
          <w:marRight w:val="0"/>
          <w:marTop w:val="0"/>
          <w:marBottom w:val="0"/>
          <w:divBdr>
            <w:top w:val="none" w:sz="0" w:space="0" w:color="auto"/>
            <w:left w:val="none" w:sz="0" w:space="0" w:color="auto"/>
            <w:bottom w:val="none" w:sz="0" w:space="0" w:color="auto"/>
            <w:right w:val="none" w:sz="0" w:space="0" w:color="auto"/>
          </w:divBdr>
        </w:div>
        <w:div w:id="588466356">
          <w:marLeft w:val="0"/>
          <w:marRight w:val="0"/>
          <w:marTop w:val="0"/>
          <w:marBottom w:val="0"/>
          <w:divBdr>
            <w:top w:val="none" w:sz="0" w:space="0" w:color="auto"/>
            <w:left w:val="none" w:sz="0" w:space="0" w:color="auto"/>
            <w:bottom w:val="none" w:sz="0" w:space="0" w:color="auto"/>
            <w:right w:val="none" w:sz="0" w:space="0" w:color="auto"/>
          </w:divBdr>
        </w:div>
        <w:div w:id="1282304803">
          <w:marLeft w:val="0"/>
          <w:marRight w:val="0"/>
          <w:marTop w:val="0"/>
          <w:marBottom w:val="0"/>
          <w:divBdr>
            <w:top w:val="none" w:sz="0" w:space="0" w:color="auto"/>
            <w:left w:val="none" w:sz="0" w:space="0" w:color="auto"/>
            <w:bottom w:val="none" w:sz="0" w:space="0" w:color="auto"/>
            <w:right w:val="none" w:sz="0" w:space="0" w:color="auto"/>
          </w:divBdr>
        </w:div>
        <w:div w:id="929122434">
          <w:marLeft w:val="0"/>
          <w:marRight w:val="0"/>
          <w:marTop w:val="0"/>
          <w:marBottom w:val="0"/>
          <w:divBdr>
            <w:top w:val="none" w:sz="0" w:space="0" w:color="auto"/>
            <w:left w:val="none" w:sz="0" w:space="0" w:color="auto"/>
            <w:bottom w:val="none" w:sz="0" w:space="0" w:color="auto"/>
            <w:right w:val="none" w:sz="0" w:space="0" w:color="auto"/>
          </w:divBdr>
        </w:div>
        <w:div w:id="795367950">
          <w:marLeft w:val="0"/>
          <w:marRight w:val="0"/>
          <w:marTop w:val="0"/>
          <w:marBottom w:val="0"/>
          <w:divBdr>
            <w:top w:val="none" w:sz="0" w:space="0" w:color="auto"/>
            <w:left w:val="none" w:sz="0" w:space="0" w:color="auto"/>
            <w:bottom w:val="none" w:sz="0" w:space="0" w:color="auto"/>
            <w:right w:val="none" w:sz="0" w:space="0" w:color="auto"/>
          </w:divBdr>
        </w:div>
        <w:div w:id="1779326071">
          <w:marLeft w:val="0"/>
          <w:marRight w:val="0"/>
          <w:marTop w:val="0"/>
          <w:marBottom w:val="0"/>
          <w:divBdr>
            <w:top w:val="none" w:sz="0" w:space="0" w:color="auto"/>
            <w:left w:val="none" w:sz="0" w:space="0" w:color="auto"/>
            <w:bottom w:val="none" w:sz="0" w:space="0" w:color="auto"/>
            <w:right w:val="none" w:sz="0" w:space="0" w:color="auto"/>
          </w:divBdr>
        </w:div>
        <w:div w:id="1606157199">
          <w:marLeft w:val="0"/>
          <w:marRight w:val="0"/>
          <w:marTop w:val="0"/>
          <w:marBottom w:val="0"/>
          <w:divBdr>
            <w:top w:val="none" w:sz="0" w:space="0" w:color="auto"/>
            <w:left w:val="none" w:sz="0" w:space="0" w:color="auto"/>
            <w:bottom w:val="none" w:sz="0" w:space="0" w:color="auto"/>
            <w:right w:val="none" w:sz="0" w:space="0" w:color="auto"/>
          </w:divBdr>
        </w:div>
        <w:div w:id="140469725">
          <w:marLeft w:val="0"/>
          <w:marRight w:val="0"/>
          <w:marTop w:val="0"/>
          <w:marBottom w:val="0"/>
          <w:divBdr>
            <w:top w:val="none" w:sz="0" w:space="0" w:color="auto"/>
            <w:left w:val="none" w:sz="0" w:space="0" w:color="auto"/>
            <w:bottom w:val="none" w:sz="0" w:space="0" w:color="auto"/>
            <w:right w:val="none" w:sz="0" w:space="0" w:color="auto"/>
          </w:divBdr>
        </w:div>
        <w:div w:id="1983657934">
          <w:marLeft w:val="0"/>
          <w:marRight w:val="0"/>
          <w:marTop w:val="0"/>
          <w:marBottom w:val="0"/>
          <w:divBdr>
            <w:top w:val="none" w:sz="0" w:space="0" w:color="auto"/>
            <w:left w:val="none" w:sz="0" w:space="0" w:color="auto"/>
            <w:bottom w:val="none" w:sz="0" w:space="0" w:color="auto"/>
            <w:right w:val="none" w:sz="0" w:space="0" w:color="auto"/>
          </w:divBdr>
        </w:div>
        <w:div w:id="1918316862">
          <w:marLeft w:val="0"/>
          <w:marRight w:val="0"/>
          <w:marTop w:val="0"/>
          <w:marBottom w:val="0"/>
          <w:divBdr>
            <w:top w:val="none" w:sz="0" w:space="0" w:color="auto"/>
            <w:left w:val="none" w:sz="0" w:space="0" w:color="auto"/>
            <w:bottom w:val="none" w:sz="0" w:space="0" w:color="auto"/>
            <w:right w:val="none" w:sz="0" w:space="0" w:color="auto"/>
          </w:divBdr>
        </w:div>
        <w:div w:id="1171026487">
          <w:marLeft w:val="0"/>
          <w:marRight w:val="0"/>
          <w:marTop w:val="240"/>
          <w:marBottom w:val="120"/>
          <w:divBdr>
            <w:top w:val="none" w:sz="0" w:space="0" w:color="auto"/>
            <w:left w:val="none" w:sz="0" w:space="0" w:color="auto"/>
            <w:bottom w:val="single" w:sz="12" w:space="0" w:color="000000"/>
            <w:right w:val="none" w:sz="0" w:space="0" w:color="auto"/>
          </w:divBdr>
        </w:div>
        <w:div w:id="1687098928">
          <w:marLeft w:val="0"/>
          <w:marRight w:val="0"/>
          <w:marTop w:val="120"/>
          <w:marBottom w:val="240"/>
          <w:divBdr>
            <w:top w:val="none" w:sz="0" w:space="0" w:color="auto"/>
            <w:left w:val="none" w:sz="0" w:space="0" w:color="auto"/>
            <w:bottom w:val="none" w:sz="0" w:space="0" w:color="auto"/>
            <w:right w:val="none" w:sz="0" w:space="0" w:color="auto"/>
          </w:divBdr>
        </w:div>
        <w:div w:id="894312283">
          <w:marLeft w:val="0"/>
          <w:marRight w:val="0"/>
          <w:marTop w:val="0"/>
          <w:marBottom w:val="0"/>
          <w:divBdr>
            <w:top w:val="none" w:sz="0" w:space="0" w:color="auto"/>
            <w:left w:val="none" w:sz="0" w:space="0" w:color="auto"/>
            <w:bottom w:val="none" w:sz="0" w:space="0" w:color="auto"/>
            <w:right w:val="none" w:sz="0" w:space="0" w:color="auto"/>
          </w:divBdr>
        </w:div>
        <w:div w:id="2138374206">
          <w:marLeft w:val="0"/>
          <w:marRight w:val="0"/>
          <w:marTop w:val="0"/>
          <w:marBottom w:val="0"/>
          <w:divBdr>
            <w:top w:val="none" w:sz="0" w:space="0" w:color="auto"/>
            <w:left w:val="none" w:sz="0" w:space="0" w:color="auto"/>
            <w:bottom w:val="none" w:sz="0" w:space="0" w:color="auto"/>
            <w:right w:val="none" w:sz="0" w:space="0" w:color="auto"/>
          </w:divBdr>
        </w:div>
        <w:div w:id="1696688525">
          <w:marLeft w:val="0"/>
          <w:marRight w:val="0"/>
          <w:marTop w:val="0"/>
          <w:marBottom w:val="0"/>
          <w:divBdr>
            <w:top w:val="none" w:sz="0" w:space="0" w:color="auto"/>
            <w:left w:val="none" w:sz="0" w:space="0" w:color="auto"/>
            <w:bottom w:val="none" w:sz="0" w:space="0" w:color="auto"/>
            <w:right w:val="none" w:sz="0" w:space="0" w:color="auto"/>
          </w:divBdr>
        </w:div>
        <w:div w:id="1579631197">
          <w:marLeft w:val="0"/>
          <w:marRight w:val="0"/>
          <w:marTop w:val="0"/>
          <w:marBottom w:val="0"/>
          <w:divBdr>
            <w:top w:val="none" w:sz="0" w:space="0" w:color="auto"/>
            <w:left w:val="none" w:sz="0" w:space="0" w:color="auto"/>
            <w:bottom w:val="none" w:sz="0" w:space="0" w:color="auto"/>
            <w:right w:val="none" w:sz="0" w:space="0" w:color="auto"/>
          </w:divBdr>
        </w:div>
        <w:div w:id="133911558">
          <w:marLeft w:val="0"/>
          <w:marRight w:val="0"/>
          <w:marTop w:val="0"/>
          <w:marBottom w:val="0"/>
          <w:divBdr>
            <w:top w:val="none" w:sz="0" w:space="0" w:color="auto"/>
            <w:left w:val="none" w:sz="0" w:space="0" w:color="auto"/>
            <w:bottom w:val="none" w:sz="0" w:space="0" w:color="auto"/>
            <w:right w:val="none" w:sz="0" w:space="0" w:color="auto"/>
          </w:divBdr>
        </w:div>
        <w:div w:id="365260374">
          <w:marLeft w:val="0"/>
          <w:marRight w:val="0"/>
          <w:marTop w:val="0"/>
          <w:marBottom w:val="0"/>
          <w:divBdr>
            <w:top w:val="none" w:sz="0" w:space="0" w:color="auto"/>
            <w:left w:val="none" w:sz="0" w:space="0" w:color="auto"/>
            <w:bottom w:val="none" w:sz="0" w:space="0" w:color="auto"/>
            <w:right w:val="none" w:sz="0" w:space="0" w:color="auto"/>
          </w:divBdr>
        </w:div>
        <w:div w:id="116804351">
          <w:marLeft w:val="0"/>
          <w:marRight w:val="0"/>
          <w:marTop w:val="0"/>
          <w:marBottom w:val="0"/>
          <w:divBdr>
            <w:top w:val="none" w:sz="0" w:space="0" w:color="auto"/>
            <w:left w:val="none" w:sz="0" w:space="0" w:color="auto"/>
            <w:bottom w:val="none" w:sz="0" w:space="0" w:color="auto"/>
            <w:right w:val="none" w:sz="0" w:space="0" w:color="auto"/>
          </w:divBdr>
        </w:div>
        <w:div w:id="825896047">
          <w:marLeft w:val="0"/>
          <w:marRight w:val="0"/>
          <w:marTop w:val="0"/>
          <w:marBottom w:val="0"/>
          <w:divBdr>
            <w:top w:val="none" w:sz="0" w:space="0" w:color="auto"/>
            <w:left w:val="none" w:sz="0" w:space="0" w:color="auto"/>
            <w:bottom w:val="none" w:sz="0" w:space="0" w:color="auto"/>
            <w:right w:val="none" w:sz="0" w:space="0" w:color="auto"/>
          </w:divBdr>
        </w:div>
        <w:div w:id="221446554">
          <w:marLeft w:val="0"/>
          <w:marRight w:val="0"/>
          <w:marTop w:val="240"/>
          <w:marBottom w:val="120"/>
          <w:divBdr>
            <w:top w:val="none" w:sz="0" w:space="0" w:color="auto"/>
            <w:left w:val="none" w:sz="0" w:space="0" w:color="auto"/>
            <w:bottom w:val="single" w:sz="12" w:space="0" w:color="000000"/>
            <w:right w:val="none" w:sz="0" w:space="0" w:color="auto"/>
          </w:divBdr>
        </w:div>
        <w:div w:id="2115050211">
          <w:marLeft w:val="0"/>
          <w:marRight w:val="0"/>
          <w:marTop w:val="120"/>
          <w:marBottom w:val="240"/>
          <w:divBdr>
            <w:top w:val="none" w:sz="0" w:space="0" w:color="auto"/>
            <w:left w:val="none" w:sz="0" w:space="0" w:color="auto"/>
            <w:bottom w:val="none" w:sz="0" w:space="0" w:color="auto"/>
            <w:right w:val="none" w:sz="0" w:space="0" w:color="auto"/>
          </w:divBdr>
        </w:div>
        <w:div w:id="347148232">
          <w:marLeft w:val="0"/>
          <w:marRight w:val="0"/>
          <w:marTop w:val="0"/>
          <w:marBottom w:val="0"/>
          <w:divBdr>
            <w:top w:val="none" w:sz="0" w:space="0" w:color="auto"/>
            <w:left w:val="none" w:sz="0" w:space="0" w:color="auto"/>
            <w:bottom w:val="none" w:sz="0" w:space="0" w:color="auto"/>
            <w:right w:val="none" w:sz="0" w:space="0" w:color="auto"/>
          </w:divBdr>
        </w:div>
        <w:div w:id="1918708283">
          <w:marLeft w:val="0"/>
          <w:marRight w:val="0"/>
          <w:marTop w:val="0"/>
          <w:marBottom w:val="0"/>
          <w:divBdr>
            <w:top w:val="none" w:sz="0" w:space="0" w:color="auto"/>
            <w:left w:val="none" w:sz="0" w:space="0" w:color="auto"/>
            <w:bottom w:val="none" w:sz="0" w:space="0" w:color="auto"/>
            <w:right w:val="none" w:sz="0" w:space="0" w:color="auto"/>
          </w:divBdr>
        </w:div>
        <w:div w:id="844629618">
          <w:marLeft w:val="0"/>
          <w:marRight w:val="0"/>
          <w:marTop w:val="0"/>
          <w:marBottom w:val="0"/>
          <w:divBdr>
            <w:top w:val="none" w:sz="0" w:space="0" w:color="auto"/>
            <w:left w:val="none" w:sz="0" w:space="0" w:color="auto"/>
            <w:bottom w:val="none" w:sz="0" w:space="0" w:color="auto"/>
            <w:right w:val="none" w:sz="0" w:space="0" w:color="auto"/>
          </w:divBdr>
        </w:div>
        <w:div w:id="1053499364">
          <w:marLeft w:val="0"/>
          <w:marRight w:val="0"/>
          <w:marTop w:val="0"/>
          <w:marBottom w:val="0"/>
          <w:divBdr>
            <w:top w:val="none" w:sz="0" w:space="0" w:color="auto"/>
            <w:left w:val="none" w:sz="0" w:space="0" w:color="auto"/>
            <w:bottom w:val="none" w:sz="0" w:space="0" w:color="auto"/>
            <w:right w:val="none" w:sz="0" w:space="0" w:color="auto"/>
          </w:divBdr>
        </w:div>
        <w:div w:id="1893492128">
          <w:marLeft w:val="0"/>
          <w:marRight w:val="0"/>
          <w:marTop w:val="0"/>
          <w:marBottom w:val="0"/>
          <w:divBdr>
            <w:top w:val="none" w:sz="0" w:space="0" w:color="auto"/>
            <w:left w:val="none" w:sz="0" w:space="0" w:color="auto"/>
            <w:bottom w:val="none" w:sz="0" w:space="0" w:color="auto"/>
            <w:right w:val="none" w:sz="0" w:space="0" w:color="auto"/>
          </w:divBdr>
        </w:div>
        <w:div w:id="1305358312">
          <w:marLeft w:val="0"/>
          <w:marRight w:val="0"/>
          <w:marTop w:val="0"/>
          <w:marBottom w:val="0"/>
          <w:divBdr>
            <w:top w:val="none" w:sz="0" w:space="0" w:color="auto"/>
            <w:left w:val="none" w:sz="0" w:space="0" w:color="auto"/>
            <w:bottom w:val="none" w:sz="0" w:space="0" w:color="auto"/>
            <w:right w:val="none" w:sz="0" w:space="0" w:color="auto"/>
          </w:divBdr>
        </w:div>
        <w:div w:id="1595548504">
          <w:marLeft w:val="0"/>
          <w:marRight w:val="0"/>
          <w:marTop w:val="0"/>
          <w:marBottom w:val="0"/>
          <w:divBdr>
            <w:top w:val="none" w:sz="0" w:space="0" w:color="auto"/>
            <w:left w:val="none" w:sz="0" w:space="0" w:color="auto"/>
            <w:bottom w:val="none" w:sz="0" w:space="0" w:color="auto"/>
            <w:right w:val="none" w:sz="0" w:space="0" w:color="auto"/>
          </w:divBdr>
        </w:div>
        <w:div w:id="1862741134">
          <w:marLeft w:val="0"/>
          <w:marRight w:val="0"/>
          <w:marTop w:val="0"/>
          <w:marBottom w:val="0"/>
          <w:divBdr>
            <w:top w:val="none" w:sz="0" w:space="0" w:color="auto"/>
            <w:left w:val="none" w:sz="0" w:space="0" w:color="auto"/>
            <w:bottom w:val="none" w:sz="0" w:space="0" w:color="auto"/>
            <w:right w:val="none" w:sz="0" w:space="0" w:color="auto"/>
          </w:divBdr>
        </w:div>
        <w:div w:id="1686980995">
          <w:marLeft w:val="0"/>
          <w:marRight w:val="0"/>
          <w:marTop w:val="0"/>
          <w:marBottom w:val="0"/>
          <w:divBdr>
            <w:top w:val="none" w:sz="0" w:space="0" w:color="auto"/>
            <w:left w:val="none" w:sz="0" w:space="0" w:color="auto"/>
            <w:bottom w:val="none" w:sz="0" w:space="0" w:color="auto"/>
            <w:right w:val="none" w:sz="0" w:space="0" w:color="auto"/>
          </w:divBdr>
        </w:div>
        <w:div w:id="1346248366">
          <w:marLeft w:val="0"/>
          <w:marRight w:val="0"/>
          <w:marTop w:val="0"/>
          <w:marBottom w:val="0"/>
          <w:divBdr>
            <w:top w:val="none" w:sz="0" w:space="0" w:color="auto"/>
            <w:left w:val="none" w:sz="0" w:space="0" w:color="auto"/>
            <w:bottom w:val="none" w:sz="0" w:space="0" w:color="auto"/>
            <w:right w:val="none" w:sz="0" w:space="0" w:color="auto"/>
          </w:divBdr>
        </w:div>
        <w:div w:id="2000227508">
          <w:marLeft w:val="0"/>
          <w:marRight w:val="0"/>
          <w:marTop w:val="0"/>
          <w:marBottom w:val="0"/>
          <w:divBdr>
            <w:top w:val="none" w:sz="0" w:space="0" w:color="auto"/>
            <w:left w:val="none" w:sz="0" w:space="0" w:color="auto"/>
            <w:bottom w:val="none" w:sz="0" w:space="0" w:color="auto"/>
            <w:right w:val="none" w:sz="0" w:space="0" w:color="auto"/>
          </w:divBdr>
        </w:div>
        <w:div w:id="1683627765">
          <w:marLeft w:val="0"/>
          <w:marRight w:val="0"/>
          <w:marTop w:val="0"/>
          <w:marBottom w:val="0"/>
          <w:divBdr>
            <w:top w:val="none" w:sz="0" w:space="0" w:color="auto"/>
            <w:left w:val="none" w:sz="0" w:space="0" w:color="auto"/>
            <w:bottom w:val="none" w:sz="0" w:space="0" w:color="auto"/>
            <w:right w:val="none" w:sz="0" w:space="0" w:color="auto"/>
          </w:divBdr>
        </w:div>
        <w:div w:id="788747462">
          <w:marLeft w:val="0"/>
          <w:marRight w:val="0"/>
          <w:marTop w:val="0"/>
          <w:marBottom w:val="0"/>
          <w:divBdr>
            <w:top w:val="none" w:sz="0" w:space="0" w:color="auto"/>
            <w:left w:val="none" w:sz="0" w:space="0" w:color="auto"/>
            <w:bottom w:val="none" w:sz="0" w:space="0" w:color="auto"/>
            <w:right w:val="none" w:sz="0" w:space="0" w:color="auto"/>
          </w:divBdr>
        </w:div>
        <w:div w:id="1398894070">
          <w:marLeft w:val="0"/>
          <w:marRight w:val="0"/>
          <w:marTop w:val="0"/>
          <w:marBottom w:val="0"/>
          <w:divBdr>
            <w:top w:val="none" w:sz="0" w:space="0" w:color="auto"/>
            <w:left w:val="none" w:sz="0" w:space="0" w:color="auto"/>
            <w:bottom w:val="none" w:sz="0" w:space="0" w:color="auto"/>
            <w:right w:val="none" w:sz="0" w:space="0" w:color="auto"/>
          </w:divBdr>
        </w:div>
        <w:div w:id="573465696">
          <w:marLeft w:val="0"/>
          <w:marRight w:val="0"/>
          <w:marTop w:val="240"/>
          <w:marBottom w:val="120"/>
          <w:divBdr>
            <w:top w:val="none" w:sz="0" w:space="0" w:color="auto"/>
            <w:left w:val="none" w:sz="0" w:space="0" w:color="auto"/>
            <w:bottom w:val="single" w:sz="12" w:space="0" w:color="000000"/>
            <w:right w:val="none" w:sz="0" w:space="0" w:color="auto"/>
          </w:divBdr>
        </w:div>
        <w:div w:id="1343819076">
          <w:marLeft w:val="0"/>
          <w:marRight w:val="0"/>
          <w:marTop w:val="120"/>
          <w:marBottom w:val="240"/>
          <w:divBdr>
            <w:top w:val="none" w:sz="0" w:space="0" w:color="auto"/>
            <w:left w:val="none" w:sz="0" w:space="0" w:color="auto"/>
            <w:bottom w:val="none" w:sz="0" w:space="0" w:color="auto"/>
            <w:right w:val="none" w:sz="0" w:space="0" w:color="auto"/>
          </w:divBdr>
        </w:div>
        <w:div w:id="1695032050">
          <w:marLeft w:val="0"/>
          <w:marRight w:val="0"/>
          <w:marTop w:val="0"/>
          <w:marBottom w:val="0"/>
          <w:divBdr>
            <w:top w:val="none" w:sz="0" w:space="0" w:color="auto"/>
            <w:left w:val="none" w:sz="0" w:space="0" w:color="auto"/>
            <w:bottom w:val="none" w:sz="0" w:space="0" w:color="auto"/>
            <w:right w:val="none" w:sz="0" w:space="0" w:color="auto"/>
          </w:divBdr>
        </w:div>
        <w:div w:id="908468315">
          <w:marLeft w:val="0"/>
          <w:marRight w:val="0"/>
          <w:marTop w:val="0"/>
          <w:marBottom w:val="0"/>
          <w:divBdr>
            <w:top w:val="none" w:sz="0" w:space="0" w:color="auto"/>
            <w:left w:val="none" w:sz="0" w:space="0" w:color="auto"/>
            <w:bottom w:val="none" w:sz="0" w:space="0" w:color="auto"/>
            <w:right w:val="none" w:sz="0" w:space="0" w:color="auto"/>
          </w:divBdr>
        </w:div>
        <w:div w:id="1272204603">
          <w:marLeft w:val="0"/>
          <w:marRight w:val="0"/>
          <w:marTop w:val="0"/>
          <w:marBottom w:val="0"/>
          <w:divBdr>
            <w:top w:val="none" w:sz="0" w:space="0" w:color="auto"/>
            <w:left w:val="none" w:sz="0" w:space="0" w:color="auto"/>
            <w:bottom w:val="none" w:sz="0" w:space="0" w:color="auto"/>
            <w:right w:val="none" w:sz="0" w:space="0" w:color="auto"/>
          </w:divBdr>
        </w:div>
        <w:div w:id="1686781510">
          <w:marLeft w:val="0"/>
          <w:marRight w:val="0"/>
          <w:marTop w:val="0"/>
          <w:marBottom w:val="0"/>
          <w:divBdr>
            <w:top w:val="none" w:sz="0" w:space="0" w:color="auto"/>
            <w:left w:val="none" w:sz="0" w:space="0" w:color="auto"/>
            <w:bottom w:val="none" w:sz="0" w:space="0" w:color="auto"/>
            <w:right w:val="none" w:sz="0" w:space="0" w:color="auto"/>
          </w:divBdr>
        </w:div>
        <w:div w:id="716510717">
          <w:marLeft w:val="0"/>
          <w:marRight w:val="0"/>
          <w:marTop w:val="0"/>
          <w:marBottom w:val="0"/>
          <w:divBdr>
            <w:top w:val="none" w:sz="0" w:space="0" w:color="auto"/>
            <w:left w:val="none" w:sz="0" w:space="0" w:color="auto"/>
            <w:bottom w:val="none" w:sz="0" w:space="0" w:color="auto"/>
            <w:right w:val="none" w:sz="0" w:space="0" w:color="auto"/>
          </w:divBdr>
        </w:div>
        <w:div w:id="147481255">
          <w:marLeft w:val="0"/>
          <w:marRight w:val="0"/>
          <w:marTop w:val="0"/>
          <w:marBottom w:val="0"/>
          <w:divBdr>
            <w:top w:val="none" w:sz="0" w:space="0" w:color="auto"/>
            <w:left w:val="none" w:sz="0" w:space="0" w:color="auto"/>
            <w:bottom w:val="none" w:sz="0" w:space="0" w:color="auto"/>
            <w:right w:val="none" w:sz="0" w:space="0" w:color="auto"/>
          </w:divBdr>
        </w:div>
        <w:div w:id="1028482914">
          <w:marLeft w:val="0"/>
          <w:marRight w:val="0"/>
          <w:marTop w:val="0"/>
          <w:marBottom w:val="0"/>
          <w:divBdr>
            <w:top w:val="none" w:sz="0" w:space="0" w:color="auto"/>
            <w:left w:val="none" w:sz="0" w:space="0" w:color="auto"/>
            <w:bottom w:val="none" w:sz="0" w:space="0" w:color="auto"/>
            <w:right w:val="none" w:sz="0" w:space="0" w:color="auto"/>
          </w:divBdr>
        </w:div>
        <w:div w:id="944386934">
          <w:marLeft w:val="0"/>
          <w:marRight w:val="0"/>
          <w:marTop w:val="0"/>
          <w:marBottom w:val="0"/>
          <w:divBdr>
            <w:top w:val="none" w:sz="0" w:space="0" w:color="auto"/>
            <w:left w:val="none" w:sz="0" w:space="0" w:color="auto"/>
            <w:bottom w:val="none" w:sz="0" w:space="0" w:color="auto"/>
            <w:right w:val="none" w:sz="0" w:space="0" w:color="auto"/>
          </w:divBdr>
        </w:div>
        <w:div w:id="1404329770">
          <w:marLeft w:val="0"/>
          <w:marRight w:val="0"/>
          <w:marTop w:val="0"/>
          <w:marBottom w:val="0"/>
          <w:divBdr>
            <w:top w:val="none" w:sz="0" w:space="0" w:color="auto"/>
            <w:left w:val="none" w:sz="0" w:space="0" w:color="auto"/>
            <w:bottom w:val="none" w:sz="0" w:space="0" w:color="auto"/>
            <w:right w:val="none" w:sz="0" w:space="0" w:color="auto"/>
          </w:divBdr>
        </w:div>
        <w:div w:id="2085880280">
          <w:marLeft w:val="0"/>
          <w:marRight w:val="0"/>
          <w:marTop w:val="0"/>
          <w:marBottom w:val="0"/>
          <w:divBdr>
            <w:top w:val="none" w:sz="0" w:space="0" w:color="auto"/>
            <w:left w:val="none" w:sz="0" w:space="0" w:color="auto"/>
            <w:bottom w:val="none" w:sz="0" w:space="0" w:color="auto"/>
            <w:right w:val="none" w:sz="0" w:space="0" w:color="auto"/>
          </w:divBdr>
        </w:div>
        <w:div w:id="1158612832">
          <w:marLeft w:val="0"/>
          <w:marRight w:val="0"/>
          <w:marTop w:val="0"/>
          <w:marBottom w:val="0"/>
          <w:divBdr>
            <w:top w:val="none" w:sz="0" w:space="0" w:color="auto"/>
            <w:left w:val="none" w:sz="0" w:space="0" w:color="auto"/>
            <w:bottom w:val="none" w:sz="0" w:space="0" w:color="auto"/>
            <w:right w:val="none" w:sz="0" w:space="0" w:color="auto"/>
          </w:divBdr>
        </w:div>
        <w:div w:id="1690839778">
          <w:marLeft w:val="0"/>
          <w:marRight w:val="0"/>
          <w:marTop w:val="0"/>
          <w:marBottom w:val="0"/>
          <w:divBdr>
            <w:top w:val="none" w:sz="0" w:space="0" w:color="auto"/>
            <w:left w:val="none" w:sz="0" w:space="0" w:color="auto"/>
            <w:bottom w:val="none" w:sz="0" w:space="0" w:color="auto"/>
            <w:right w:val="none" w:sz="0" w:space="0" w:color="auto"/>
          </w:divBdr>
        </w:div>
        <w:div w:id="1056926415">
          <w:marLeft w:val="0"/>
          <w:marRight w:val="0"/>
          <w:marTop w:val="0"/>
          <w:marBottom w:val="0"/>
          <w:divBdr>
            <w:top w:val="none" w:sz="0" w:space="0" w:color="auto"/>
            <w:left w:val="none" w:sz="0" w:space="0" w:color="auto"/>
            <w:bottom w:val="none" w:sz="0" w:space="0" w:color="auto"/>
            <w:right w:val="none" w:sz="0" w:space="0" w:color="auto"/>
          </w:divBdr>
        </w:div>
        <w:div w:id="573469057">
          <w:marLeft w:val="0"/>
          <w:marRight w:val="0"/>
          <w:marTop w:val="0"/>
          <w:marBottom w:val="0"/>
          <w:divBdr>
            <w:top w:val="none" w:sz="0" w:space="0" w:color="auto"/>
            <w:left w:val="none" w:sz="0" w:space="0" w:color="auto"/>
            <w:bottom w:val="none" w:sz="0" w:space="0" w:color="auto"/>
            <w:right w:val="none" w:sz="0" w:space="0" w:color="auto"/>
          </w:divBdr>
        </w:div>
        <w:div w:id="2087650369">
          <w:marLeft w:val="0"/>
          <w:marRight w:val="0"/>
          <w:marTop w:val="0"/>
          <w:marBottom w:val="0"/>
          <w:divBdr>
            <w:top w:val="none" w:sz="0" w:space="0" w:color="auto"/>
            <w:left w:val="none" w:sz="0" w:space="0" w:color="auto"/>
            <w:bottom w:val="none" w:sz="0" w:space="0" w:color="auto"/>
            <w:right w:val="none" w:sz="0" w:space="0" w:color="auto"/>
          </w:divBdr>
        </w:div>
        <w:div w:id="891618312">
          <w:marLeft w:val="0"/>
          <w:marRight w:val="0"/>
          <w:marTop w:val="0"/>
          <w:marBottom w:val="0"/>
          <w:divBdr>
            <w:top w:val="none" w:sz="0" w:space="0" w:color="auto"/>
            <w:left w:val="none" w:sz="0" w:space="0" w:color="auto"/>
            <w:bottom w:val="none" w:sz="0" w:space="0" w:color="auto"/>
            <w:right w:val="none" w:sz="0" w:space="0" w:color="auto"/>
          </w:divBdr>
        </w:div>
        <w:div w:id="493103719">
          <w:marLeft w:val="0"/>
          <w:marRight w:val="0"/>
          <w:marTop w:val="0"/>
          <w:marBottom w:val="0"/>
          <w:divBdr>
            <w:top w:val="none" w:sz="0" w:space="0" w:color="auto"/>
            <w:left w:val="none" w:sz="0" w:space="0" w:color="auto"/>
            <w:bottom w:val="none" w:sz="0" w:space="0" w:color="auto"/>
            <w:right w:val="none" w:sz="0" w:space="0" w:color="auto"/>
          </w:divBdr>
        </w:div>
        <w:div w:id="1084380451">
          <w:marLeft w:val="0"/>
          <w:marRight w:val="0"/>
          <w:marTop w:val="240"/>
          <w:marBottom w:val="120"/>
          <w:divBdr>
            <w:top w:val="none" w:sz="0" w:space="0" w:color="auto"/>
            <w:left w:val="none" w:sz="0" w:space="0" w:color="auto"/>
            <w:bottom w:val="single" w:sz="12" w:space="0" w:color="000000"/>
            <w:right w:val="none" w:sz="0" w:space="0" w:color="auto"/>
          </w:divBdr>
        </w:div>
        <w:div w:id="1392466369">
          <w:marLeft w:val="0"/>
          <w:marRight w:val="0"/>
          <w:marTop w:val="120"/>
          <w:marBottom w:val="240"/>
          <w:divBdr>
            <w:top w:val="none" w:sz="0" w:space="0" w:color="auto"/>
            <w:left w:val="none" w:sz="0" w:space="0" w:color="auto"/>
            <w:bottom w:val="none" w:sz="0" w:space="0" w:color="auto"/>
            <w:right w:val="none" w:sz="0" w:space="0" w:color="auto"/>
          </w:divBdr>
        </w:div>
        <w:div w:id="1769159705">
          <w:marLeft w:val="0"/>
          <w:marRight w:val="0"/>
          <w:marTop w:val="240"/>
          <w:marBottom w:val="120"/>
          <w:divBdr>
            <w:top w:val="none" w:sz="0" w:space="0" w:color="auto"/>
            <w:left w:val="none" w:sz="0" w:space="0" w:color="auto"/>
            <w:bottom w:val="single" w:sz="12" w:space="0" w:color="000000"/>
            <w:right w:val="none" w:sz="0" w:space="0" w:color="auto"/>
          </w:divBdr>
        </w:div>
        <w:div w:id="791753250">
          <w:marLeft w:val="0"/>
          <w:marRight w:val="0"/>
          <w:marTop w:val="120"/>
          <w:marBottom w:val="240"/>
          <w:divBdr>
            <w:top w:val="none" w:sz="0" w:space="0" w:color="auto"/>
            <w:left w:val="none" w:sz="0" w:space="0" w:color="auto"/>
            <w:bottom w:val="none" w:sz="0" w:space="0" w:color="auto"/>
            <w:right w:val="none" w:sz="0" w:space="0" w:color="auto"/>
          </w:divBdr>
        </w:div>
        <w:div w:id="1188910861">
          <w:marLeft w:val="0"/>
          <w:marRight w:val="0"/>
          <w:marTop w:val="240"/>
          <w:marBottom w:val="120"/>
          <w:divBdr>
            <w:top w:val="none" w:sz="0" w:space="0" w:color="auto"/>
            <w:left w:val="none" w:sz="0" w:space="0" w:color="auto"/>
            <w:bottom w:val="single" w:sz="12" w:space="0" w:color="000000"/>
            <w:right w:val="none" w:sz="0" w:space="0" w:color="auto"/>
          </w:divBdr>
        </w:div>
        <w:div w:id="1059937263">
          <w:marLeft w:val="0"/>
          <w:marRight w:val="0"/>
          <w:marTop w:val="120"/>
          <w:marBottom w:val="240"/>
          <w:divBdr>
            <w:top w:val="none" w:sz="0" w:space="0" w:color="auto"/>
            <w:left w:val="none" w:sz="0" w:space="0" w:color="auto"/>
            <w:bottom w:val="none" w:sz="0" w:space="0" w:color="auto"/>
            <w:right w:val="none" w:sz="0" w:space="0" w:color="auto"/>
          </w:divBdr>
        </w:div>
        <w:div w:id="226694367">
          <w:marLeft w:val="0"/>
          <w:marRight w:val="0"/>
          <w:marTop w:val="240"/>
          <w:marBottom w:val="120"/>
          <w:divBdr>
            <w:top w:val="none" w:sz="0" w:space="0" w:color="auto"/>
            <w:left w:val="none" w:sz="0" w:space="0" w:color="auto"/>
            <w:bottom w:val="single" w:sz="12" w:space="0" w:color="000000"/>
            <w:right w:val="none" w:sz="0" w:space="0" w:color="auto"/>
          </w:divBdr>
        </w:div>
        <w:div w:id="1312752189">
          <w:marLeft w:val="0"/>
          <w:marRight w:val="0"/>
          <w:marTop w:val="120"/>
          <w:marBottom w:val="240"/>
          <w:divBdr>
            <w:top w:val="none" w:sz="0" w:space="0" w:color="auto"/>
            <w:left w:val="none" w:sz="0" w:space="0" w:color="auto"/>
            <w:bottom w:val="none" w:sz="0" w:space="0" w:color="auto"/>
            <w:right w:val="none" w:sz="0" w:space="0" w:color="auto"/>
          </w:divBdr>
        </w:div>
        <w:div w:id="2029410330">
          <w:marLeft w:val="0"/>
          <w:marRight w:val="0"/>
          <w:marTop w:val="240"/>
          <w:marBottom w:val="120"/>
          <w:divBdr>
            <w:top w:val="none" w:sz="0" w:space="0" w:color="auto"/>
            <w:left w:val="none" w:sz="0" w:space="0" w:color="auto"/>
            <w:bottom w:val="single" w:sz="12" w:space="0" w:color="000000"/>
            <w:right w:val="none" w:sz="0" w:space="0" w:color="auto"/>
          </w:divBdr>
        </w:div>
        <w:div w:id="2006394621">
          <w:marLeft w:val="0"/>
          <w:marRight w:val="0"/>
          <w:marTop w:val="120"/>
          <w:marBottom w:val="240"/>
          <w:divBdr>
            <w:top w:val="none" w:sz="0" w:space="0" w:color="auto"/>
            <w:left w:val="none" w:sz="0" w:space="0" w:color="auto"/>
            <w:bottom w:val="none" w:sz="0" w:space="0" w:color="auto"/>
            <w:right w:val="none" w:sz="0" w:space="0" w:color="auto"/>
          </w:divBdr>
        </w:div>
        <w:div w:id="993215220">
          <w:marLeft w:val="0"/>
          <w:marRight w:val="0"/>
          <w:marTop w:val="240"/>
          <w:marBottom w:val="120"/>
          <w:divBdr>
            <w:top w:val="none" w:sz="0" w:space="0" w:color="auto"/>
            <w:left w:val="none" w:sz="0" w:space="0" w:color="auto"/>
            <w:bottom w:val="single" w:sz="12" w:space="0" w:color="000000"/>
            <w:right w:val="none" w:sz="0" w:space="0" w:color="auto"/>
          </w:divBdr>
        </w:div>
        <w:div w:id="584532786">
          <w:marLeft w:val="0"/>
          <w:marRight w:val="0"/>
          <w:marTop w:val="120"/>
          <w:marBottom w:val="240"/>
          <w:divBdr>
            <w:top w:val="none" w:sz="0" w:space="0" w:color="auto"/>
            <w:left w:val="none" w:sz="0" w:space="0" w:color="auto"/>
            <w:bottom w:val="none" w:sz="0" w:space="0" w:color="auto"/>
            <w:right w:val="none" w:sz="0" w:space="0" w:color="auto"/>
          </w:divBdr>
        </w:div>
        <w:div w:id="8388">
          <w:marLeft w:val="0"/>
          <w:marRight w:val="0"/>
          <w:marTop w:val="240"/>
          <w:marBottom w:val="120"/>
          <w:divBdr>
            <w:top w:val="none" w:sz="0" w:space="0" w:color="auto"/>
            <w:left w:val="none" w:sz="0" w:space="0" w:color="auto"/>
            <w:bottom w:val="single" w:sz="12" w:space="0" w:color="000000"/>
            <w:right w:val="none" w:sz="0" w:space="0" w:color="auto"/>
          </w:divBdr>
        </w:div>
        <w:div w:id="366487098">
          <w:marLeft w:val="0"/>
          <w:marRight w:val="0"/>
          <w:marTop w:val="120"/>
          <w:marBottom w:val="240"/>
          <w:divBdr>
            <w:top w:val="none" w:sz="0" w:space="0" w:color="auto"/>
            <w:left w:val="none" w:sz="0" w:space="0" w:color="auto"/>
            <w:bottom w:val="none" w:sz="0" w:space="0" w:color="auto"/>
            <w:right w:val="none" w:sz="0" w:space="0" w:color="auto"/>
          </w:divBdr>
        </w:div>
        <w:div w:id="141393430">
          <w:marLeft w:val="0"/>
          <w:marRight w:val="0"/>
          <w:marTop w:val="240"/>
          <w:marBottom w:val="120"/>
          <w:divBdr>
            <w:top w:val="none" w:sz="0" w:space="0" w:color="auto"/>
            <w:left w:val="none" w:sz="0" w:space="0" w:color="auto"/>
            <w:bottom w:val="single" w:sz="12" w:space="0" w:color="000000"/>
            <w:right w:val="none" w:sz="0" w:space="0" w:color="auto"/>
          </w:divBdr>
        </w:div>
        <w:div w:id="876233309">
          <w:marLeft w:val="0"/>
          <w:marRight w:val="0"/>
          <w:marTop w:val="120"/>
          <w:marBottom w:val="240"/>
          <w:divBdr>
            <w:top w:val="none" w:sz="0" w:space="0" w:color="auto"/>
            <w:left w:val="none" w:sz="0" w:space="0" w:color="auto"/>
            <w:bottom w:val="none" w:sz="0" w:space="0" w:color="auto"/>
            <w:right w:val="none" w:sz="0" w:space="0" w:color="auto"/>
          </w:divBdr>
        </w:div>
        <w:div w:id="40634138">
          <w:marLeft w:val="0"/>
          <w:marRight w:val="0"/>
          <w:marTop w:val="0"/>
          <w:marBottom w:val="0"/>
          <w:divBdr>
            <w:top w:val="none" w:sz="0" w:space="0" w:color="auto"/>
            <w:left w:val="none" w:sz="0" w:space="0" w:color="auto"/>
            <w:bottom w:val="none" w:sz="0" w:space="0" w:color="auto"/>
            <w:right w:val="none" w:sz="0" w:space="0" w:color="auto"/>
          </w:divBdr>
        </w:div>
        <w:div w:id="2035421931">
          <w:marLeft w:val="0"/>
          <w:marRight w:val="0"/>
          <w:marTop w:val="0"/>
          <w:marBottom w:val="0"/>
          <w:divBdr>
            <w:top w:val="none" w:sz="0" w:space="0" w:color="auto"/>
            <w:left w:val="none" w:sz="0" w:space="0" w:color="auto"/>
            <w:bottom w:val="none" w:sz="0" w:space="0" w:color="auto"/>
            <w:right w:val="none" w:sz="0" w:space="0" w:color="auto"/>
          </w:divBdr>
        </w:div>
        <w:div w:id="1478376308">
          <w:marLeft w:val="0"/>
          <w:marRight w:val="0"/>
          <w:marTop w:val="240"/>
          <w:marBottom w:val="120"/>
          <w:divBdr>
            <w:top w:val="none" w:sz="0" w:space="0" w:color="auto"/>
            <w:left w:val="none" w:sz="0" w:space="0" w:color="auto"/>
            <w:bottom w:val="single" w:sz="12" w:space="0" w:color="000000"/>
            <w:right w:val="none" w:sz="0" w:space="0" w:color="auto"/>
          </w:divBdr>
        </w:div>
        <w:div w:id="1782457835">
          <w:marLeft w:val="0"/>
          <w:marRight w:val="0"/>
          <w:marTop w:val="120"/>
          <w:marBottom w:val="240"/>
          <w:divBdr>
            <w:top w:val="none" w:sz="0" w:space="0" w:color="auto"/>
            <w:left w:val="none" w:sz="0" w:space="0" w:color="auto"/>
            <w:bottom w:val="none" w:sz="0" w:space="0" w:color="auto"/>
            <w:right w:val="none" w:sz="0" w:space="0" w:color="auto"/>
          </w:divBdr>
        </w:div>
        <w:div w:id="1021475515">
          <w:marLeft w:val="0"/>
          <w:marRight w:val="0"/>
          <w:marTop w:val="240"/>
          <w:marBottom w:val="120"/>
          <w:divBdr>
            <w:top w:val="none" w:sz="0" w:space="0" w:color="auto"/>
            <w:left w:val="none" w:sz="0" w:space="0" w:color="auto"/>
            <w:bottom w:val="single" w:sz="12" w:space="0" w:color="000000"/>
            <w:right w:val="none" w:sz="0" w:space="0" w:color="auto"/>
          </w:divBdr>
        </w:div>
        <w:div w:id="1940983029">
          <w:marLeft w:val="0"/>
          <w:marRight w:val="0"/>
          <w:marTop w:val="120"/>
          <w:marBottom w:val="240"/>
          <w:divBdr>
            <w:top w:val="none" w:sz="0" w:space="0" w:color="auto"/>
            <w:left w:val="none" w:sz="0" w:space="0" w:color="auto"/>
            <w:bottom w:val="none" w:sz="0" w:space="0" w:color="auto"/>
            <w:right w:val="none" w:sz="0" w:space="0" w:color="auto"/>
          </w:divBdr>
        </w:div>
        <w:div w:id="651132184">
          <w:marLeft w:val="0"/>
          <w:marRight w:val="0"/>
          <w:marTop w:val="240"/>
          <w:marBottom w:val="120"/>
          <w:divBdr>
            <w:top w:val="none" w:sz="0" w:space="0" w:color="auto"/>
            <w:left w:val="none" w:sz="0" w:space="0" w:color="auto"/>
            <w:bottom w:val="single" w:sz="12" w:space="0" w:color="000000"/>
            <w:right w:val="none" w:sz="0" w:space="0" w:color="auto"/>
          </w:divBdr>
        </w:div>
        <w:div w:id="1072314929">
          <w:marLeft w:val="0"/>
          <w:marRight w:val="0"/>
          <w:marTop w:val="120"/>
          <w:marBottom w:val="240"/>
          <w:divBdr>
            <w:top w:val="none" w:sz="0" w:space="0" w:color="auto"/>
            <w:left w:val="none" w:sz="0" w:space="0" w:color="auto"/>
            <w:bottom w:val="none" w:sz="0" w:space="0" w:color="auto"/>
            <w:right w:val="none" w:sz="0" w:space="0" w:color="auto"/>
          </w:divBdr>
        </w:div>
        <w:div w:id="12347456">
          <w:marLeft w:val="0"/>
          <w:marRight w:val="0"/>
          <w:marTop w:val="240"/>
          <w:marBottom w:val="120"/>
          <w:divBdr>
            <w:top w:val="none" w:sz="0" w:space="0" w:color="auto"/>
            <w:left w:val="none" w:sz="0" w:space="0" w:color="auto"/>
            <w:bottom w:val="single" w:sz="12" w:space="0" w:color="000000"/>
            <w:right w:val="none" w:sz="0" w:space="0" w:color="auto"/>
          </w:divBdr>
        </w:div>
        <w:div w:id="198208666">
          <w:marLeft w:val="0"/>
          <w:marRight w:val="0"/>
          <w:marTop w:val="120"/>
          <w:marBottom w:val="240"/>
          <w:divBdr>
            <w:top w:val="none" w:sz="0" w:space="0" w:color="auto"/>
            <w:left w:val="none" w:sz="0" w:space="0" w:color="auto"/>
            <w:bottom w:val="none" w:sz="0" w:space="0" w:color="auto"/>
            <w:right w:val="none" w:sz="0" w:space="0" w:color="auto"/>
          </w:divBdr>
        </w:div>
        <w:div w:id="1886135267">
          <w:marLeft w:val="0"/>
          <w:marRight w:val="0"/>
          <w:marTop w:val="240"/>
          <w:marBottom w:val="120"/>
          <w:divBdr>
            <w:top w:val="none" w:sz="0" w:space="0" w:color="auto"/>
            <w:left w:val="none" w:sz="0" w:space="0" w:color="auto"/>
            <w:bottom w:val="single" w:sz="12" w:space="0" w:color="000000"/>
            <w:right w:val="none" w:sz="0" w:space="0" w:color="auto"/>
          </w:divBdr>
        </w:div>
        <w:div w:id="1022828791">
          <w:marLeft w:val="0"/>
          <w:marRight w:val="0"/>
          <w:marTop w:val="120"/>
          <w:marBottom w:val="240"/>
          <w:divBdr>
            <w:top w:val="none" w:sz="0" w:space="0" w:color="auto"/>
            <w:left w:val="none" w:sz="0" w:space="0" w:color="auto"/>
            <w:bottom w:val="none" w:sz="0" w:space="0" w:color="auto"/>
            <w:right w:val="none" w:sz="0" w:space="0" w:color="auto"/>
          </w:divBdr>
        </w:div>
        <w:div w:id="995648679">
          <w:marLeft w:val="0"/>
          <w:marRight w:val="0"/>
          <w:marTop w:val="240"/>
          <w:marBottom w:val="120"/>
          <w:divBdr>
            <w:top w:val="none" w:sz="0" w:space="0" w:color="auto"/>
            <w:left w:val="none" w:sz="0" w:space="0" w:color="auto"/>
            <w:bottom w:val="single" w:sz="12" w:space="0" w:color="000000"/>
            <w:right w:val="none" w:sz="0" w:space="0" w:color="auto"/>
          </w:divBdr>
        </w:div>
        <w:div w:id="33821148">
          <w:marLeft w:val="0"/>
          <w:marRight w:val="0"/>
          <w:marTop w:val="120"/>
          <w:marBottom w:val="240"/>
          <w:divBdr>
            <w:top w:val="none" w:sz="0" w:space="0" w:color="auto"/>
            <w:left w:val="none" w:sz="0" w:space="0" w:color="auto"/>
            <w:bottom w:val="none" w:sz="0" w:space="0" w:color="auto"/>
            <w:right w:val="none" w:sz="0" w:space="0" w:color="auto"/>
          </w:divBdr>
        </w:div>
        <w:div w:id="1130510515">
          <w:marLeft w:val="0"/>
          <w:marRight w:val="0"/>
          <w:marTop w:val="240"/>
          <w:marBottom w:val="120"/>
          <w:divBdr>
            <w:top w:val="none" w:sz="0" w:space="0" w:color="auto"/>
            <w:left w:val="none" w:sz="0" w:space="0" w:color="auto"/>
            <w:bottom w:val="single" w:sz="12" w:space="0" w:color="000000"/>
            <w:right w:val="none" w:sz="0" w:space="0" w:color="auto"/>
          </w:divBdr>
        </w:div>
        <w:div w:id="1254129023">
          <w:marLeft w:val="0"/>
          <w:marRight w:val="0"/>
          <w:marTop w:val="120"/>
          <w:marBottom w:val="240"/>
          <w:divBdr>
            <w:top w:val="none" w:sz="0" w:space="0" w:color="auto"/>
            <w:left w:val="none" w:sz="0" w:space="0" w:color="auto"/>
            <w:bottom w:val="none" w:sz="0" w:space="0" w:color="auto"/>
            <w:right w:val="none" w:sz="0" w:space="0" w:color="auto"/>
          </w:divBdr>
        </w:div>
        <w:div w:id="709186300">
          <w:marLeft w:val="0"/>
          <w:marRight w:val="0"/>
          <w:marTop w:val="240"/>
          <w:marBottom w:val="120"/>
          <w:divBdr>
            <w:top w:val="none" w:sz="0" w:space="0" w:color="auto"/>
            <w:left w:val="none" w:sz="0" w:space="0" w:color="auto"/>
            <w:bottom w:val="single" w:sz="12" w:space="0" w:color="000000"/>
            <w:right w:val="none" w:sz="0" w:space="0" w:color="auto"/>
          </w:divBdr>
        </w:div>
        <w:div w:id="770735061">
          <w:marLeft w:val="0"/>
          <w:marRight w:val="0"/>
          <w:marTop w:val="120"/>
          <w:marBottom w:val="240"/>
          <w:divBdr>
            <w:top w:val="none" w:sz="0" w:space="0" w:color="auto"/>
            <w:left w:val="none" w:sz="0" w:space="0" w:color="auto"/>
            <w:bottom w:val="none" w:sz="0" w:space="0" w:color="auto"/>
            <w:right w:val="none" w:sz="0" w:space="0" w:color="auto"/>
          </w:divBdr>
        </w:div>
        <w:div w:id="1173497914">
          <w:marLeft w:val="0"/>
          <w:marRight w:val="0"/>
          <w:marTop w:val="0"/>
          <w:marBottom w:val="0"/>
          <w:divBdr>
            <w:top w:val="none" w:sz="0" w:space="0" w:color="auto"/>
            <w:left w:val="none" w:sz="0" w:space="0" w:color="auto"/>
            <w:bottom w:val="none" w:sz="0" w:space="0" w:color="auto"/>
            <w:right w:val="none" w:sz="0" w:space="0" w:color="auto"/>
          </w:divBdr>
        </w:div>
        <w:div w:id="976102832">
          <w:marLeft w:val="0"/>
          <w:marRight w:val="0"/>
          <w:marTop w:val="0"/>
          <w:marBottom w:val="0"/>
          <w:divBdr>
            <w:top w:val="none" w:sz="0" w:space="0" w:color="auto"/>
            <w:left w:val="none" w:sz="0" w:space="0" w:color="auto"/>
            <w:bottom w:val="none" w:sz="0" w:space="0" w:color="auto"/>
            <w:right w:val="none" w:sz="0" w:space="0" w:color="auto"/>
          </w:divBdr>
        </w:div>
        <w:div w:id="1764259263">
          <w:marLeft w:val="0"/>
          <w:marRight w:val="0"/>
          <w:marTop w:val="0"/>
          <w:marBottom w:val="0"/>
          <w:divBdr>
            <w:top w:val="none" w:sz="0" w:space="0" w:color="auto"/>
            <w:left w:val="none" w:sz="0" w:space="0" w:color="auto"/>
            <w:bottom w:val="none" w:sz="0" w:space="0" w:color="auto"/>
            <w:right w:val="none" w:sz="0" w:space="0" w:color="auto"/>
          </w:divBdr>
        </w:div>
        <w:div w:id="859852923">
          <w:marLeft w:val="0"/>
          <w:marRight w:val="0"/>
          <w:marTop w:val="0"/>
          <w:marBottom w:val="0"/>
          <w:divBdr>
            <w:top w:val="none" w:sz="0" w:space="0" w:color="auto"/>
            <w:left w:val="none" w:sz="0" w:space="0" w:color="auto"/>
            <w:bottom w:val="none" w:sz="0" w:space="0" w:color="auto"/>
            <w:right w:val="none" w:sz="0" w:space="0" w:color="auto"/>
          </w:divBdr>
        </w:div>
        <w:div w:id="287856968">
          <w:marLeft w:val="0"/>
          <w:marRight w:val="0"/>
          <w:marTop w:val="0"/>
          <w:marBottom w:val="0"/>
          <w:divBdr>
            <w:top w:val="none" w:sz="0" w:space="0" w:color="auto"/>
            <w:left w:val="none" w:sz="0" w:space="0" w:color="auto"/>
            <w:bottom w:val="none" w:sz="0" w:space="0" w:color="auto"/>
            <w:right w:val="none" w:sz="0" w:space="0" w:color="auto"/>
          </w:divBdr>
        </w:div>
        <w:div w:id="1294795793">
          <w:marLeft w:val="0"/>
          <w:marRight w:val="0"/>
          <w:marTop w:val="0"/>
          <w:marBottom w:val="0"/>
          <w:divBdr>
            <w:top w:val="none" w:sz="0" w:space="0" w:color="auto"/>
            <w:left w:val="none" w:sz="0" w:space="0" w:color="auto"/>
            <w:bottom w:val="none" w:sz="0" w:space="0" w:color="auto"/>
            <w:right w:val="none" w:sz="0" w:space="0" w:color="auto"/>
          </w:divBdr>
        </w:div>
        <w:div w:id="421411468">
          <w:marLeft w:val="0"/>
          <w:marRight w:val="0"/>
          <w:marTop w:val="0"/>
          <w:marBottom w:val="0"/>
          <w:divBdr>
            <w:top w:val="none" w:sz="0" w:space="0" w:color="auto"/>
            <w:left w:val="none" w:sz="0" w:space="0" w:color="auto"/>
            <w:bottom w:val="none" w:sz="0" w:space="0" w:color="auto"/>
            <w:right w:val="none" w:sz="0" w:space="0" w:color="auto"/>
          </w:divBdr>
        </w:div>
        <w:div w:id="591398098">
          <w:marLeft w:val="0"/>
          <w:marRight w:val="0"/>
          <w:marTop w:val="0"/>
          <w:marBottom w:val="0"/>
          <w:divBdr>
            <w:top w:val="none" w:sz="0" w:space="0" w:color="auto"/>
            <w:left w:val="none" w:sz="0" w:space="0" w:color="auto"/>
            <w:bottom w:val="none" w:sz="0" w:space="0" w:color="auto"/>
            <w:right w:val="none" w:sz="0" w:space="0" w:color="auto"/>
          </w:divBdr>
        </w:div>
        <w:div w:id="114905754">
          <w:marLeft w:val="0"/>
          <w:marRight w:val="0"/>
          <w:marTop w:val="0"/>
          <w:marBottom w:val="0"/>
          <w:divBdr>
            <w:top w:val="none" w:sz="0" w:space="0" w:color="auto"/>
            <w:left w:val="none" w:sz="0" w:space="0" w:color="auto"/>
            <w:bottom w:val="none" w:sz="0" w:space="0" w:color="auto"/>
            <w:right w:val="none" w:sz="0" w:space="0" w:color="auto"/>
          </w:divBdr>
        </w:div>
        <w:div w:id="1906720374">
          <w:marLeft w:val="0"/>
          <w:marRight w:val="0"/>
          <w:marTop w:val="240"/>
          <w:marBottom w:val="120"/>
          <w:divBdr>
            <w:top w:val="none" w:sz="0" w:space="0" w:color="auto"/>
            <w:left w:val="none" w:sz="0" w:space="0" w:color="auto"/>
            <w:bottom w:val="single" w:sz="12" w:space="0" w:color="000000"/>
            <w:right w:val="none" w:sz="0" w:space="0" w:color="auto"/>
          </w:divBdr>
        </w:div>
        <w:div w:id="1296717045">
          <w:marLeft w:val="0"/>
          <w:marRight w:val="0"/>
          <w:marTop w:val="120"/>
          <w:marBottom w:val="240"/>
          <w:divBdr>
            <w:top w:val="none" w:sz="0" w:space="0" w:color="auto"/>
            <w:left w:val="none" w:sz="0" w:space="0" w:color="auto"/>
            <w:bottom w:val="none" w:sz="0" w:space="0" w:color="auto"/>
            <w:right w:val="none" w:sz="0" w:space="0" w:color="auto"/>
          </w:divBdr>
        </w:div>
        <w:div w:id="1647707046">
          <w:marLeft w:val="0"/>
          <w:marRight w:val="0"/>
          <w:marTop w:val="0"/>
          <w:marBottom w:val="0"/>
          <w:divBdr>
            <w:top w:val="none" w:sz="0" w:space="0" w:color="auto"/>
            <w:left w:val="none" w:sz="0" w:space="0" w:color="auto"/>
            <w:bottom w:val="none" w:sz="0" w:space="0" w:color="auto"/>
            <w:right w:val="none" w:sz="0" w:space="0" w:color="auto"/>
          </w:divBdr>
        </w:div>
        <w:div w:id="822700021">
          <w:marLeft w:val="0"/>
          <w:marRight w:val="0"/>
          <w:marTop w:val="240"/>
          <w:marBottom w:val="120"/>
          <w:divBdr>
            <w:top w:val="none" w:sz="0" w:space="0" w:color="auto"/>
            <w:left w:val="none" w:sz="0" w:space="0" w:color="auto"/>
            <w:bottom w:val="single" w:sz="12" w:space="0" w:color="000000"/>
            <w:right w:val="none" w:sz="0" w:space="0" w:color="auto"/>
          </w:divBdr>
        </w:div>
        <w:div w:id="1462764536">
          <w:marLeft w:val="0"/>
          <w:marRight w:val="0"/>
          <w:marTop w:val="120"/>
          <w:marBottom w:val="240"/>
          <w:divBdr>
            <w:top w:val="none" w:sz="0" w:space="0" w:color="auto"/>
            <w:left w:val="none" w:sz="0" w:space="0" w:color="auto"/>
            <w:bottom w:val="none" w:sz="0" w:space="0" w:color="auto"/>
            <w:right w:val="none" w:sz="0" w:space="0" w:color="auto"/>
          </w:divBdr>
        </w:div>
        <w:div w:id="1335375040">
          <w:marLeft w:val="0"/>
          <w:marRight w:val="0"/>
          <w:marTop w:val="0"/>
          <w:marBottom w:val="0"/>
          <w:divBdr>
            <w:top w:val="none" w:sz="0" w:space="0" w:color="auto"/>
            <w:left w:val="none" w:sz="0" w:space="0" w:color="auto"/>
            <w:bottom w:val="none" w:sz="0" w:space="0" w:color="auto"/>
            <w:right w:val="none" w:sz="0" w:space="0" w:color="auto"/>
          </w:divBdr>
        </w:div>
        <w:div w:id="2080054116">
          <w:marLeft w:val="0"/>
          <w:marRight w:val="0"/>
          <w:marTop w:val="0"/>
          <w:marBottom w:val="0"/>
          <w:divBdr>
            <w:top w:val="none" w:sz="0" w:space="0" w:color="auto"/>
            <w:left w:val="none" w:sz="0" w:space="0" w:color="auto"/>
            <w:bottom w:val="none" w:sz="0" w:space="0" w:color="auto"/>
            <w:right w:val="none" w:sz="0" w:space="0" w:color="auto"/>
          </w:divBdr>
        </w:div>
        <w:div w:id="1853371232">
          <w:marLeft w:val="0"/>
          <w:marRight w:val="0"/>
          <w:marTop w:val="0"/>
          <w:marBottom w:val="0"/>
          <w:divBdr>
            <w:top w:val="none" w:sz="0" w:space="0" w:color="auto"/>
            <w:left w:val="none" w:sz="0" w:space="0" w:color="auto"/>
            <w:bottom w:val="none" w:sz="0" w:space="0" w:color="auto"/>
            <w:right w:val="none" w:sz="0" w:space="0" w:color="auto"/>
          </w:divBdr>
        </w:div>
        <w:div w:id="136727512">
          <w:marLeft w:val="0"/>
          <w:marRight w:val="0"/>
          <w:marTop w:val="0"/>
          <w:marBottom w:val="0"/>
          <w:divBdr>
            <w:top w:val="none" w:sz="0" w:space="0" w:color="auto"/>
            <w:left w:val="none" w:sz="0" w:space="0" w:color="auto"/>
            <w:bottom w:val="none" w:sz="0" w:space="0" w:color="auto"/>
            <w:right w:val="none" w:sz="0" w:space="0" w:color="auto"/>
          </w:divBdr>
        </w:div>
        <w:div w:id="1033459974">
          <w:marLeft w:val="0"/>
          <w:marRight w:val="0"/>
          <w:marTop w:val="0"/>
          <w:marBottom w:val="0"/>
          <w:divBdr>
            <w:top w:val="none" w:sz="0" w:space="0" w:color="auto"/>
            <w:left w:val="none" w:sz="0" w:space="0" w:color="auto"/>
            <w:bottom w:val="none" w:sz="0" w:space="0" w:color="auto"/>
            <w:right w:val="none" w:sz="0" w:space="0" w:color="auto"/>
          </w:divBdr>
        </w:div>
        <w:div w:id="1637638293">
          <w:marLeft w:val="0"/>
          <w:marRight w:val="0"/>
          <w:marTop w:val="0"/>
          <w:marBottom w:val="0"/>
          <w:divBdr>
            <w:top w:val="none" w:sz="0" w:space="0" w:color="auto"/>
            <w:left w:val="none" w:sz="0" w:space="0" w:color="auto"/>
            <w:bottom w:val="none" w:sz="0" w:space="0" w:color="auto"/>
            <w:right w:val="none" w:sz="0" w:space="0" w:color="auto"/>
          </w:divBdr>
        </w:div>
        <w:div w:id="2078893680">
          <w:marLeft w:val="0"/>
          <w:marRight w:val="0"/>
          <w:marTop w:val="240"/>
          <w:marBottom w:val="120"/>
          <w:divBdr>
            <w:top w:val="none" w:sz="0" w:space="0" w:color="auto"/>
            <w:left w:val="none" w:sz="0" w:space="0" w:color="auto"/>
            <w:bottom w:val="single" w:sz="12" w:space="0" w:color="000000"/>
            <w:right w:val="none" w:sz="0" w:space="0" w:color="auto"/>
          </w:divBdr>
        </w:div>
        <w:div w:id="201675503">
          <w:marLeft w:val="0"/>
          <w:marRight w:val="0"/>
          <w:marTop w:val="120"/>
          <w:marBottom w:val="240"/>
          <w:divBdr>
            <w:top w:val="none" w:sz="0" w:space="0" w:color="auto"/>
            <w:left w:val="none" w:sz="0" w:space="0" w:color="auto"/>
            <w:bottom w:val="none" w:sz="0" w:space="0" w:color="auto"/>
            <w:right w:val="none" w:sz="0" w:space="0" w:color="auto"/>
          </w:divBdr>
        </w:div>
        <w:div w:id="393158869">
          <w:marLeft w:val="0"/>
          <w:marRight w:val="0"/>
          <w:marTop w:val="240"/>
          <w:marBottom w:val="120"/>
          <w:divBdr>
            <w:top w:val="none" w:sz="0" w:space="0" w:color="auto"/>
            <w:left w:val="none" w:sz="0" w:space="0" w:color="auto"/>
            <w:bottom w:val="single" w:sz="12" w:space="0" w:color="000000"/>
            <w:right w:val="none" w:sz="0" w:space="0" w:color="auto"/>
          </w:divBdr>
        </w:div>
        <w:div w:id="612127802">
          <w:marLeft w:val="0"/>
          <w:marRight w:val="0"/>
          <w:marTop w:val="120"/>
          <w:marBottom w:val="240"/>
          <w:divBdr>
            <w:top w:val="none" w:sz="0" w:space="0" w:color="auto"/>
            <w:left w:val="none" w:sz="0" w:space="0" w:color="auto"/>
            <w:bottom w:val="none" w:sz="0" w:space="0" w:color="auto"/>
            <w:right w:val="none" w:sz="0" w:space="0" w:color="auto"/>
          </w:divBdr>
        </w:div>
        <w:div w:id="1703167117">
          <w:marLeft w:val="0"/>
          <w:marRight w:val="0"/>
          <w:marTop w:val="0"/>
          <w:marBottom w:val="0"/>
          <w:divBdr>
            <w:top w:val="none" w:sz="0" w:space="0" w:color="auto"/>
            <w:left w:val="none" w:sz="0" w:space="0" w:color="auto"/>
            <w:bottom w:val="none" w:sz="0" w:space="0" w:color="auto"/>
            <w:right w:val="none" w:sz="0" w:space="0" w:color="auto"/>
          </w:divBdr>
        </w:div>
        <w:div w:id="1153133869">
          <w:marLeft w:val="0"/>
          <w:marRight w:val="0"/>
          <w:marTop w:val="240"/>
          <w:marBottom w:val="120"/>
          <w:divBdr>
            <w:top w:val="none" w:sz="0" w:space="0" w:color="auto"/>
            <w:left w:val="none" w:sz="0" w:space="0" w:color="auto"/>
            <w:bottom w:val="single" w:sz="12" w:space="0" w:color="000000"/>
            <w:right w:val="none" w:sz="0" w:space="0" w:color="auto"/>
          </w:divBdr>
        </w:div>
        <w:div w:id="48461699">
          <w:marLeft w:val="0"/>
          <w:marRight w:val="0"/>
          <w:marTop w:val="120"/>
          <w:marBottom w:val="240"/>
          <w:divBdr>
            <w:top w:val="none" w:sz="0" w:space="0" w:color="auto"/>
            <w:left w:val="none" w:sz="0" w:space="0" w:color="auto"/>
            <w:bottom w:val="none" w:sz="0" w:space="0" w:color="auto"/>
            <w:right w:val="none" w:sz="0" w:space="0" w:color="auto"/>
          </w:divBdr>
        </w:div>
        <w:div w:id="1627660971">
          <w:marLeft w:val="0"/>
          <w:marRight w:val="0"/>
          <w:marTop w:val="240"/>
          <w:marBottom w:val="120"/>
          <w:divBdr>
            <w:top w:val="none" w:sz="0" w:space="0" w:color="auto"/>
            <w:left w:val="none" w:sz="0" w:space="0" w:color="auto"/>
            <w:bottom w:val="single" w:sz="12" w:space="0" w:color="000000"/>
            <w:right w:val="none" w:sz="0" w:space="0" w:color="auto"/>
          </w:divBdr>
        </w:div>
        <w:div w:id="253367655">
          <w:marLeft w:val="0"/>
          <w:marRight w:val="0"/>
          <w:marTop w:val="120"/>
          <w:marBottom w:val="240"/>
          <w:divBdr>
            <w:top w:val="none" w:sz="0" w:space="0" w:color="auto"/>
            <w:left w:val="none" w:sz="0" w:space="0" w:color="auto"/>
            <w:bottom w:val="none" w:sz="0" w:space="0" w:color="auto"/>
            <w:right w:val="none" w:sz="0" w:space="0" w:color="auto"/>
          </w:divBdr>
        </w:div>
        <w:div w:id="816452713">
          <w:marLeft w:val="0"/>
          <w:marRight w:val="0"/>
          <w:marTop w:val="240"/>
          <w:marBottom w:val="120"/>
          <w:divBdr>
            <w:top w:val="none" w:sz="0" w:space="0" w:color="auto"/>
            <w:left w:val="none" w:sz="0" w:space="0" w:color="auto"/>
            <w:bottom w:val="single" w:sz="12" w:space="0" w:color="000000"/>
            <w:right w:val="none" w:sz="0" w:space="0" w:color="auto"/>
          </w:divBdr>
        </w:div>
        <w:div w:id="397824023">
          <w:marLeft w:val="0"/>
          <w:marRight w:val="0"/>
          <w:marTop w:val="120"/>
          <w:marBottom w:val="240"/>
          <w:divBdr>
            <w:top w:val="none" w:sz="0" w:space="0" w:color="auto"/>
            <w:left w:val="none" w:sz="0" w:space="0" w:color="auto"/>
            <w:bottom w:val="none" w:sz="0" w:space="0" w:color="auto"/>
            <w:right w:val="none" w:sz="0" w:space="0" w:color="auto"/>
          </w:divBdr>
        </w:div>
        <w:div w:id="578293481">
          <w:marLeft w:val="0"/>
          <w:marRight w:val="0"/>
          <w:marTop w:val="0"/>
          <w:marBottom w:val="0"/>
          <w:divBdr>
            <w:top w:val="none" w:sz="0" w:space="0" w:color="auto"/>
            <w:left w:val="none" w:sz="0" w:space="0" w:color="auto"/>
            <w:bottom w:val="none" w:sz="0" w:space="0" w:color="auto"/>
            <w:right w:val="none" w:sz="0" w:space="0" w:color="auto"/>
          </w:divBdr>
          <w:divsChild>
            <w:div w:id="192230471">
              <w:marLeft w:val="0"/>
              <w:marRight w:val="0"/>
              <w:marTop w:val="0"/>
              <w:marBottom w:val="0"/>
              <w:divBdr>
                <w:top w:val="single" w:sz="12" w:space="0" w:color="000000"/>
                <w:left w:val="none" w:sz="0" w:space="0" w:color="auto"/>
                <w:bottom w:val="none" w:sz="0" w:space="0" w:color="auto"/>
                <w:right w:val="none" w:sz="0" w:space="0" w:color="auto"/>
              </w:divBdr>
            </w:div>
          </w:divsChild>
        </w:div>
        <w:div w:id="18910120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826671/000121390020044910/ea132333ex4-1_kludein1.htm" TargetMode="External"/><Relationship Id="rId18" Type="http://schemas.openxmlformats.org/officeDocument/2006/relationships/hyperlink" Target="http://www.sec.gov/Archives/edgar/data/1826671/000121390022070621/ea168285ex99-2_kludein1.htm" TargetMode="External"/><Relationship Id="rId26" Type="http://schemas.openxmlformats.org/officeDocument/2006/relationships/hyperlink" Target="http://www.sec.gov/Archives/edgar/data/1826671/000121390022003358/ea154441ex99-1_kludein1.htm" TargetMode="External"/><Relationship Id="rId39" Type="http://schemas.openxmlformats.org/officeDocument/2006/relationships/hyperlink" Target="f10k2022ex31-1_kludein1acq.htm" TargetMode="External"/><Relationship Id="rId21" Type="http://schemas.openxmlformats.org/officeDocument/2006/relationships/hyperlink" Target="http://www.sec.gov/Archives/edgar/data/1826671/000121390021001675/ea133155ex10-2_kludein1.htm" TargetMode="External"/><Relationship Id="rId34" Type="http://schemas.openxmlformats.org/officeDocument/2006/relationships/hyperlink" Target="http://www.sec.gov/Archives/edgar/data/1826671/000121390022037941/ea162569ex10-1_kludein1.htm" TargetMode="External"/><Relationship Id="rId42" Type="http://schemas.openxmlformats.org/officeDocument/2006/relationships/hyperlink" Target="f10k2022ex32-2_kludein1acq.htm" TargetMode="External"/><Relationship Id="rId7" Type="http://schemas.openxmlformats.org/officeDocument/2006/relationships/hyperlink" Target="http://www.sec.gov/Archives/edgar/data/1826671/000121390022082886/ea170843ex2-1_kludein1.htm" TargetMode="External"/><Relationship Id="rId2" Type="http://schemas.openxmlformats.org/officeDocument/2006/relationships/settings" Target="settings.xml"/><Relationship Id="rId16" Type="http://schemas.openxmlformats.org/officeDocument/2006/relationships/hyperlink" Target="http://www.sec.gov/Archives/edgar/data/1826671/000121390021001675/ea133155ex4-1_kludein1.htm" TargetMode="External"/><Relationship Id="rId29" Type="http://schemas.openxmlformats.org/officeDocument/2006/relationships/hyperlink" Target="http://www.sec.gov/Archives/edgar/data/1826671/000121390022028103/ea160286ex10-3_kludeln1acq.htm" TargetMode="External"/><Relationship Id="rId1" Type="http://schemas.openxmlformats.org/officeDocument/2006/relationships/styles" Target="styles.xml"/><Relationship Id="rId6" Type="http://schemas.openxmlformats.org/officeDocument/2006/relationships/hyperlink" Target="http://www.sec.gov/Archives/edgar/data/1826671/000121390022070621/ea168285ex2-1_kludein1.htm" TargetMode="External"/><Relationship Id="rId11" Type="http://schemas.openxmlformats.org/officeDocument/2006/relationships/hyperlink" Target="http://www.sec.gov/Archives/edgar/data/1826671/000121390023002090/ea171388ex3-1_kludein1.htm" TargetMode="External"/><Relationship Id="rId24" Type="http://schemas.openxmlformats.org/officeDocument/2006/relationships/hyperlink" Target="http://www.sec.gov/Archives/edgar/data/1826671/000121390021001675/ea133155ex10-4_kludein1.htm" TargetMode="External"/><Relationship Id="rId32" Type="http://schemas.openxmlformats.org/officeDocument/2006/relationships/hyperlink" Target="http://www.sec.gov/Archives/edgar/data/1826671/000121390022028103/ea160286ex10-6_kludeln1acq.htm" TargetMode="External"/><Relationship Id="rId37" Type="http://schemas.openxmlformats.org/officeDocument/2006/relationships/hyperlink" Target="http://www.sec.gov/Archives/edgar/data/1826671/000121390020044910/ea132333ex14_kludein1.htm" TargetMode="External"/><Relationship Id="rId40" Type="http://schemas.openxmlformats.org/officeDocument/2006/relationships/hyperlink" Target="f10k2022ex31-2_kludein1acq.htm" TargetMode="External"/><Relationship Id="rId45" Type="http://schemas.openxmlformats.org/officeDocument/2006/relationships/fontTable" Target="fontTable.xml"/><Relationship Id="rId5" Type="http://schemas.openxmlformats.org/officeDocument/2006/relationships/hyperlink" Target="http://www.sec.gov/Archives/edgar/data/1826671/000121390022028103/ea160286ex2-1_kludeln1acq.htm" TargetMode="External"/><Relationship Id="rId15" Type="http://schemas.openxmlformats.org/officeDocument/2006/relationships/hyperlink" Target="http://www.sec.gov/Archives/edgar/data/1826671/000121390020044910/ea132333ex4-3_kludein1.htm" TargetMode="External"/><Relationship Id="rId23" Type="http://schemas.openxmlformats.org/officeDocument/2006/relationships/hyperlink" Target="http://www.sec.gov/Archives/edgar/data/1826671/000121390020042597/fs12020ex10-6_kludein1acq.htm" TargetMode="External"/><Relationship Id="rId28" Type="http://schemas.openxmlformats.org/officeDocument/2006/relationships/hyperlink" Target="http://www.sec.gov/Archives/edgar/data/1826671/000121390022028103/ea160286ex10-2_kludeln1acq.htm" TargetMode="External"/><Relationship Id="rId36" Type="http://schemas.openxmlformats.org/officeDocument/2006/relationships/hyperlink" Target="http://www.sec.gov/Archives/edgar/data/1826671/000121390022082886/ea170843ex10-1_kludein1.htm" TargetMode="External"/><Relationship Id="rId10" Type="http://schemas.openxmlformats.org/officeDocument/2006/relationships/hyperlink" Target="http://www.sec.gov/Archives/edgar/data/1826671/000121390022037941/ea162569ex3-1_kludein1.htm" TargetMode="External"/><Relationship Id="rId19" Type="http://schemas.openxmlformats.org/officeDocument/2006/relationships/hyperlink" Target="http://www.sec.gov/Archives/edgar/data/1826671/000121390021001675/ea133155ex10-1_kludein1.htm" TargetMode="External"/><Relationship Id="rId31" Type="http://schemas.openxmlformats.org/officeDocument/2006/relationships/hyperlink" Target="http://www.sec.gov/Archives/edgar/data/1826671/000121390022028103/ea160286ex10-5_kludeln1acq.htm" TargetMode="External"/><Relationship Id="rId44" Type="http://schemas.openxmlformats.org/officeDocument/2006/relationships/hyperlink" Target="http://www.sec.gov/Archives/edgar/data/1826671/000121390020044910/ea132333ex99-2_kludein1.htm" TargetMode="External"/><Relationship Id="rId4" Type="http://schemas.openxmlformats.org/officeDocument/2006/relationships/hyperlink" Target="http://www.sec.gov/Archives/edgar/data/1826671/000121390021001675/ea133155ex1-1_kludein1.htm" TargetMode="External"/><Relationship Id="rId9" Type="http://schemas.openxmlformats.org/officeDocument/2006/relationships/hyperlink" Target="http://www.sec.gov/Archives/edgar/data/1826671/000121390021001675/ea133155ex3-1_kludein1.htm" TargetMode="External"/><Relationship Id="rId14" Type="http://schemas.openxmlformats.org/officeDocument/2006/relationships/hyperlink" Target="http://www.sec.gov/Archives/edgar/data/1826671/000121390020044910/ea132333ex4-2_kludein1.htm" TargetMode="External"/><Relationship Id="rId22" Type="http://schemas.openxmlformats.org/officeDocument/2006/relationships/hyperlink" Target="http://www.sec.gov/Archives/edgar/data/1826671/000121390021001675/ea133155ex10-3_kludein1.htm" TargetMode="External"/><Relationship Id="rId27" Type="http://schemas.openxmlformats.org/officeDocument/2006/relationships/hyperlink" Target="http://www.sec.gov/Archives/edgar/data/1826671/000121390022028103/ea160286ex10-1_kludeln1acq.htm" TargetMode="External"/><Relationship Id="rId30" Type="http://schemas.openxmlformats.org/officeDocument/2006/relationships/hyperlink" Target="http://www.sec.gov/Archives/edgar/data/1826671/000121390022028103/ea160286ex10-4_kludeln1acq.htm" TargetMode="External"/><Relationship Id="rId35" Type="http://schemas.openxmlformats.org/officeDocument/2006/relationships/hyperlink" Target="http://www.sec.gov/Archives/edgar/data/1826671/000121390022075258/ea169252ex10-1_kludein1.htm" TargetMode="External"/><Relationship Id="rId43" Type="http://schemas.openxmlformats.org/officeDocument/2006/relationships/hyperlink" Target="http://www.sec.gov/Archives/edgar/data/1826671/000121390020044910/ea132333ex99-1_kludein1.htm" TargetMode="External"/><Relationship Id="rId8" Type="http://schemas.openxmlformats.org/officeDocument/2006/relationships/hyperlink" Target="http://www.sec.gov/Archives/edgar/data/1826671/000121390023003082/ea171789ex2-1_kludein1.htm" TargetMode="External"/><Relationship Id="rId3" Type="http://schemas.openxmlformats.org/officeDocument/2006/relationships/webSettings" Target="webSettings.xml"/><Relationship Id="rId12" Type="http://schemas.openxmlformats.org/officeDocument/2006/relationships/hyperlink" Target="http://www.sec.gov/Archives/edgar/data/1826671/000121390020042597/fs12020ex3-2_kludein1acq.htm" TargetMode="External"/><Relationship Id="rId17" Type="http://schemas.openxmlformats.org/officeDocument/2006/relationships/hyperlink" Target="http://www.sec.gov/Archives/edgar/data/1826671/000121390021017854/f10k2020ex4-5_kludein1acq.htm" TargetMode="External"/><Relationship Id="rId25" Type="http://schemas.openxmlformats.org/officeDocument/2006/relationships/hyperlink" Target="http://www.sec.gov/Archives/edgar/data/1826671/000121390020044910/ea132333ex10-8_kludein1.htm" TargetMode="External"/><Relationship Id="rId33" Type="http://schemas.openxmlformats.org/officeDocument/2006/relationships/hyperlink" Target="http://www.sec.gov/Archives/edgar/data/1826671/000121390022028103/ea160286ex10-7_kludeln1acq.htm" TargetMode="External"/><Relationship Id="rId38" Type="http://schemas.openxmlformats.org/officeDocument/2006/relationships/hyperlink" Target="f10k2022ex21_kludein1acq.htm" TargetMode="External"/><Relationship Id="rId46" Type="http://schemas.openxmlformats.org/officeDocument/2006/relationships/theme" Target="theme/theme1.xml"/><Relationship Id="rId20" Type="http://schemas.openxmlformats.org/officeDocument/2006/relationships/hyperlink" Target="http://www.sec.gov/Archives/edgar/data/1826671/000121390020042597/fs12020ex10-2_kludein1acq.htm" TargetMode="External"/><Relationship Id="rId41" Type="http://schemas.openxmlformats.org/officeDocument/2006/relationships/hyperlink" Target="f10k2022ex32-1_kludein1ac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58380</Words>
  <Characters>332768</Characters>
  <Application>Microsoft Office Word</Application>
  <DocSecurity>0</DocSecurity>
  <Lines>2773</Lines>
  <Paragraphs>780</Paragraphs>
  <ScaleCrop>false</ScaleCrop>
  <Company/>
  <LinksUpToDate>false</LinksUpToDate>
  <CharactersWithSpaces>390368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