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2034"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92145B4" w14:textId="77777777" w:rsidR="00716E85" w:rsidRDefault="00716E85">
      <w:pPr>
        <w:pStyle w:val="a3"/>
      </w:pPr>
      <w:r>
        <w:t> </w:t>
      </w:r>
    </w:p>
    <w:p w14:paraId="4C7BE9EC" w14:textId="77777777" w:rsidR="00716E85" w:rsidRDefault="00716E85">
      <w:pPr>
        <w:pStyle w:val="a3"/>
        <w:pBdr>
          <w:bottom w:val="double" w:sz="6" w:space="1" w:color="auto"/>
        </w:pBdr>
        <w:spacing w:before="0" w:beforeAutospacing="0" w:after="0" w:afterAutospacing="0"/>
        <w:rPr>
          <w:b/>
          <w:bCs/>
          <w:sz w:val="4"/>
          <w:szCs w:val="4"/>
        </w:rPr>
      </w:pPr>
      <w:r>
        <w:rPr>
          <w:b/>
          <w:bCs/>
          <w:sz w:val="4"/>
          <w:szCs w:val="4"/>
        </w:rPr>
        <w:t> </w:t>
      </w:r>
    </w:p>
    <w:p w14:paraId="48C9F347" w14:textId="77777777" w:rsidR="00716E85" w:rsidRDefault="00716E85">
      <w:pPr>
        <w:pStyle w:val="a3"/>
        <w:spacing w:before="0" w:beforeAutospacing="0" w:after="0" w:afterAutospacing="0"/>
        <w:jc w:val="center"/>
        <w:rPr>
          <w:rFonts w:ascii="Calibri" w:hAnsi="Calibri" w:cs="Calibri"/>
          <w:b/>
          <w:bCs/>
          <w:sz w:val="34"/>
          <w:szCs w:val="34"/>
        </w:rPr>
      </w:pPr>
      <w:r>
        <w:rPr>
          <w:rFonts w:ascii="Calibri" w:hAnsi="Calibri" w:cs="Calibri"/>
          <w:b/>
          <w:bCs/>
          <w:sz w:val="34"/>
          <w:szCs w:val="34"/>
        </w:rPr>
        <w:t>UNITED STATES</w:t>
      </w:r>
    </w:p>
    <w:p w14:paraId="0686BDE4" w14:textId="77777777" w:rsidR="00716E85" w:rsidRDefault="00716E85">
      <w:pPr>
        <w:pStyle w:val="a3"/>
        <w:spacing w:before="0" w:beforeAutospacing="0" w:after="0" w:afterAutospacing="0"/>
        <w:jc w:val="center"/>
        <w:rPr>
          <w:rFonts w:ascii="Calibri" w:hAnsi="Calibri" w:cs="Calibri"/>
          <w:b/>
          <w:bCs/>
          <w:sz w:val="34"/>
          <w:szCs w:val="34"/>
        </w:rPr>
      </w:pPr>
      <w:r>
        <w:rPr>
          <w:rFonts w:ascii="Calibri" w:hAnsi="Calibri" w:cs="Calibri"/>
          <w:b/>
          <w:bCs/>
          <w:sz w:val="34"/>
          <w:szCs w:val="34"/>
        </w:rPr>
        <w:t>SECURITIES AND EXCHANGE COMMISSION</w:t>
      </w:r>
    </w:p>
    <w:p w14:paraId="7A2F9829" w14:textId="77777777" w:rsidR="00716E85" w:rsidRDefault="00716E85">
      <w:pPr>
        <w:pStyle w:val="a3"/>
        <w:spacing w:before="0" w:beforeAutospacing="0" w:after="0" w:afterAutospacing="0"/>
        <w:jc w:val="center"/>
        <w:rPr>
          <w:rFonts w:ascii="Calibri" w:hAnsi="Calibri" w:cs="Calibri"/>
          <w:b/>
          <w:bCs/>
        </w:rPr>
      </w:pPr>
      <w:r>
        <w:rPr>
          <w:rFonts w:ascii="Calibri" w:hAnsi="Calibri" w:cs="Calibri"/>
          <w:b/>
          <w:bCs/>
        </w:rPr>
        <w:t>Washington, D.C. 20549</w:t>
      </w:r>
    </w:p>
    <w:p w14:paraId="0EED4FEA" w14:textId="77777777" w:rsidR="00716E85" w:rsidRDefault="00716E85">
      <w:pPr>
        <w:pStyle w:val="a3"/>
        <w:pBdr>
          <w:bottom w:val="single" w:sz="12" w:space="1" w:color="auto"/>
        </w:pBdr>
        <w:spacing w:before="0" w:beforeAutospacing="0" w:after="0" w:afterAutospacing="0"/>
        <w:ind w:left="4286" w:right="4286"/>
        <w:jc w:val="center"/>
        <w:rPr>
          <w:sz w:val="10"/>
          <w:szCs w:val="10"/>
        </w:rPr>
      </w:pPr>
      <w:r>
        <w:rPr>
          <w:sz w:val="10"/>
          <w:szCs w:val="10"/>
        </w:rPr>
        <w:t> </w:t>
      </w:r>
    </w:p>
    <w:p w14:paraId="411F7097" w14:textId="77777777" w:rsidR="00716E85" w:rsidRDefault="00716E85">
      <w:pPr>
        <w:pStyle w:val="a3"/>
        <w:spacing w:beforeAutospacing="0" w:after="0" w:afterAutospacing="0"/>
        <w:jc w:val="center"/>
        <w:rPr>
          <w:rFonts w:ascii="Calibri" w:hAnsi="Calibri" w:cs="Calibri"/>
          <w:b/>
          <w:bCs/>
          <w:sz w:val="34"/>
          <w:szCs w:val="34"/>
        </w:rPr>
      </w:pPr>
      <w:r>
        <w:rPr>
          <w:rFonts w:ascii="Calibri" w:hAnsi="Calibri" w:cs="Calibri"/>
          <w:b/>
          <w:bCs/>
          <w:sz w:val="34"/>
          <w:szCs w:val="34"/>
        </w:rPr>
        <w:t>FORM 10-Q</w:t>
      </w:r>
    </w:p>
    <w:p w14:paraId="6E2F2D9D" w14:textId="77777777" w:rsidR="00716E85" w:rsidRDefault="00716E85">
      <w:pPr>
        <w:pStyle w:val="a3"/>
        <w:spacing w:beforeAutospacing="0" w:after="0" w:afterAutospacing="0"/>
        <w:jc w:val="center"/>
        <w:rPr>
          <w:rFonts w:ascii="MS Gothic" w:eastAsia="MS Gothic" w:hAnsi="MS Gothic"/>
          <w:b/>
          <w:bCs/>
        </w:rPr>
      </w:pPr>
      <w:r>
        <w:rPr>
          <w:rFonts w:ascii="MS Gothic" w:eastAsia="MS Gothic" w:hAnsi="MS Gothic" w:hint="eastAsia"/>
          <w:b/>
          <w:bCs/>
        </w:rPr>
        <w:t>☒</w:t>
      </w:r>
      <w:r>
        <w:rPr>
          <w:rFonts w:ascii="Calibri" w:eastAsia="MS Gothic" w:hAnsi="Calibri" w:cs="Calibri"/>
          <w:b/>
          <w:bCs/>
        </w:rPr>
        <w:t>QUARTERLY REPORT PURSUANT TO SECTION 13 OR 15(d) OF THE SECURITIES EXCHANGE ACT OF 1934</w:t>
      </w:r>
    </w:p>
    <w:p w14:paraId="22F5DB4B" w14:textId="77777777" w:rsidR="00716E85" w:rsidRDefault="00716E85">
      <w:pPr>
        <w:pStyle w:val="a3"/>
        <w:spacing w:beforeAutospacing="0" w:after="0" w:afterAutospacing="0"/>
        <w:jc w:val="center"/>
        <w:rPr>
          <w:rFonts w:ascii="Calibri" w:hAnsi="Calibri" w:cs="Calibri" w:hint="eastAsia"/>
          <w:b/>
          <w:bCs/>
          <w:sz w:val="20"/>
          <w:szCs w:val="20"/>
        </w:rPr>
      </w:pPr>
      <w:r>
        <w:rPr>
          <w:rFonts w:ascii="Calibri" w:hAnsi="Calibri" w:cs="Calibri"/>
          <w:b/>
          <w:bCs/>
          <w:sz w:val="20"/>
          <w:szCs w:val="20"/>
        </w:rPr>
        <w:t>For the quarterly period ended February 28, 2019</w:t>
      </w:r>
    </w:p>
    <w:p w14:paraId="4CEA9E71" w14:textId="77777777" w:rsidR="00716E85" w:rsidRDefault="00716E85">
      <w:pPr>
        <w:pStyle w:val="a3"/>
        <w:spacing w:beforeAutospacing="0" w:after="0" w:afterAutospacing="0"/>
        <w:jc w:val="center"/>
        <w:rPr>
          <w:rFonts w:ascii="Calibri" w:hAnsi="Calibri" w:cs="Calibri"/>
          <w:b/>
          <w:bCs/>
          <w:sz w:val="20"/>
          <w:szCs w:val="20"/>
        </w:rPr>
      </w:pPr>
      <w:r>
        <w:rPr>
          <w:rFonts w:ascii="Calibri" w:hAnsi="Calibri" w:cs="Calibri"/>
          <w:b/>
          <w:bCs/>
          <w:sz w:val="20"/>
          <w:szCs w:val="20"/>
        </w:rPr>
        <w:t>or</w:t>
      </w:r>
    </w:p>
    <w:p w14:paraId="5FCD38DB" w14:textId="77777777" w:rsidR="00716E85" w:rsidRDefault="00716E85">
      <w:pPr>
        <w:pStyle w:val="a3"/>
        <w:spacing w:beforeAutospacing="0" w:after="0" w:afterAutospacing="0"/>
        <w:jc w:val="center"/>
        <w:rPr>
          <w:rFonts w:ascii="MS Gothic" w:eastAsia="MS Gothic" w:hAnsi="MS Gothic"/>
          <w:b/>
          <w:bCs/>
        </w:rPr>
      </w:pPr>
      <w:r>
        <w:rPr>
          <w:rFonts w:ascii="MS Gothic" w:eastAsia="MS Gothic" w:hAnsi="MS Gothic" w:hint="eastAsia"/>
          <w:b/>
          <w:bCs/>
        </w:rPr>
        <w:t>☐</w:t>
      </w:r>
      <w:r>
        <w:rPr>
          <w:rFonts w:ascii="Calibri" w:eastAsia="MS Gothic" w:hAnsi="Calibri" w:cs="Calibri"/>
          <w:b/>
          <w:bCs/>
        </w:rPr>
        <w:t>TRANSITION REPORT PURSUANT TO SECTION 13 OR 15(d) OF THE SECURITIES EXCHANGE ACT OF 1934</w:t>
      </w:r>
    </w:p>
    <w:p w14:paraId="5F0B014C" w14:textId="77777777" w:rsidR="00716E85" w:rsidRDefault="00716E85">
      <w:pPr>
        <w:pStyle w:val="a3"/>
        <w:spacing w:beforeAutospacing="0" w:after="0" w:afterAutospacing="0"/>
        <w:jc w:val="center"/>
        <w:rPr>
          <w:rFonts w:ascii="Calibri" w:hAnsi="Calibri" w:cs="Calibri" w:hint="eastAsia"/>
          <w:b/>
          <w:bCs/>
          <w:sz w:val="20"/>
          <w:szCs w:val="20"/>
        </w:rPr>
      </w:pPr>
      <w:r>
        <w:rPr>
          <w:rFonts w:ascii="Calibri" w:hAnsi="Calibri" w:cs="Calibri"/>
          <w:b/>
          <w:bCs/>
          <w:sz w:val="20"/>
          <w:szCs w:val="20"/>
        </w:rPr>
        <w:t>For the transition period from ____________ to ____________</w:t>
      </w:r>
    </w:p>
    <w:p w14:paraId="443DB559" w14:textId="77777777" w:rsidR="00716E85" w:rsidRDefault="00716E85">
      <w:pPr>
        <w:pStyle w:val="a3"/>
        <w:spacing w:beforeAutospacing="0" w:after="0" w:afterAutospacing="0"/>
        <w:jc w:val="center"/>
        <w:rPr>
          <w:rFonts w:ascii="Calibri" w:hAnsi="Calibri" w:cs="Calibri"/>
          <w:b/>
          <w:bCs/>
          <w:sz w:val="20"/>
          <w:szCs w:val="20"/>
        </w:rPr>
      </w:pPr>
      <w:r>
        <w:rPr>
          <w:rFonts w:ascii="Calibri" w:hAnsi="Calibri" w:cs="Calibri"/>
          <w:b/>
          <w:bCs/>
          <w:sz w:val="20"/>
          <w:szCs w:val="20"/>
        </w:rPr>
        <w:t>Commission File Number: 001-35992</w:t>
      </w:r>
    </w:p>
    <w:p w14:paraId="0E62F106" w14:textId="77777777" w:rsidR="00716E85" w:rsidRDefault="00716E85">
      <w:pPr>
        <w:pStyle w:val="a3"/>
        <w:pBdr>
          <w:bottom w:val="single" w:sz="12" w:space="1" w:color="auto"/>
        </w:pBdr>
        <w:spacing w:before="0" w:beforeAutospacing="0" w:after="0" w:afterAutospacing="0"/>
        <w:ind w:left="4286" w:right="4286"/>
        <w:jc w:val="center"/>
        <w:rPr>
          <w:sz w:val="10"/>
          <w:szCs w:val="10"/>
        </w:rPr>
      </w:pPr>
      <w:r>
        <w:rPr>
          <w:sz w:val="10"/>
          <w:szCs w:val="10"/>
        </w:rPr>
        <w:t> </w:t>
      </w:r>
    </w:p>
    <w:p w14:paraId="04C536EB" w14:textId="77777777" w:rsidR="00716E85" w:rsidRDefault="00716E85">
      <w:pPr>
        <w:pStyle w:val="a3"/>
        <w:spacing w:beforeAutospacing="0" w:after="0" w:afterAutospacing="0"/>
        <w:jc w:val="center"/>
        <w:rPr>
          <w:rFonts w:ascii="Calibri" w:hAnsi="Calibri" w:cs="Calibri"/>
          <w:b/>
          <w:bCs/>
          <w:sz w:val="46"/>
          <w:szCs w:val="46"/>
        </w:rPr>
      </w:pPr>
      <w:r>
        <w:rPr>
          <w:rFonts w:ascii="Calibri" w:hAnsi="Calibri" w:cs="Calibri"/>
          <w:b/>
          <w:bCs/>
          <w:sz w:val="46"/>
          <w:szCs w:val="46"/>
        </w:rPr>
        <w:t>Oracle Corporation</w:t>
      </w:r>
    </w:p>
    <w:p w14:paraId="1CD890A4"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3B31B10E" w14:textId="77777777" w:rsidR="00716E85" w:rsidRDefault="00716E85">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716E85" w14:paraId="1C5B302C" w14:textId="77777777">
        <w:trPr>
          <w:divId w:val="1941717385"/>
          <w:jc w:val="center"/>
        </w:trPr>
        <w:tc>
          <w:tcPr>
            <w:tcW w:w="2450" w:type="pct"/>
            <w:vAlign w:val="bottom"/>
            <w:hideMark/>
          </w:tcPr>
          <w:p w14:paraId="7C6238E1"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hideMark/>
          </w:tcPr>
          <w:p w14:paraId="5F2D04ED" w14:textId="77777777" w:rsidR="00716E85" w:rsidRDefault="00716E85">
            <w:pPr>
              <w:pStyle w:val="a3"/>
              <w:spacing w:before="0" w:beforeAutospacing="0" w:after="0" w:afterAutospacing="0"/>
              <w:jc w:val="center"/>
              <w:rPr>
                <w:b/>
                <w:bCs/>
                <w:sz w:val="18"/>
                <w:szCs w:val="18"/>
              </w:rPr>
            </w:pPr>
            <w:r>
              <w:rPr>
                <w:b/>
                <w:bCs/>
                <w:sz w:val="18"/>
                <w:szCs w:val="18"/>
              </w:rPr>
              <w:t> </w:t>
            </w:r>
          </w:p>
        </w:tc>
        <w:tc>
          <w:tcPr>
            <w:tcW w:w="2450" w:type="pct"/>
            <w:vAlign w:val="bottom"/>
            <w:hideMark/>
          </w:tcPr>
          <w:p w14:paraId="5D22D53B"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716E85" w14:paraId="0B462EB7" w14:textId="77777777">
        <w:trPr>
          <w:divId w:val="1941717385"/>
          <w:jc w:val="center"/>
        </w:trPr>
        <w:tc>
          <w:tcPr>
            <w:tcW w:w="2450" w:type="pct"/>
            <w:hideMark/>
          </w:tcPr>
          <w:p w14:paraId="7153C57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35CC9E3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hideMark/>
          </w:tcPr>
          <w:p w14:paraId="05DE47E0" w14:textId="77777777" w:rsidR="00716E85" w:rsidRDefault="00716E85">
            <w:pPr>
              <w:pStyle w:val="a3"/>
              <w:spacing w:before="0" w:beforeAutospacing="0" w:after="0" w:afterAutospacing="0"/>
              <w:jc w:val="center"/>
              <w:rPr>
                <w:b/>
                <w:bCs/>
                <w:sz w:val="15"/>
                <w:szCs w:val="15"/>
              </w:rPr>
            </w:pPr>
            <w:r>
              <w:rPr>
                <w:b/>
                <w:bCs/>
                <w:sz w:val="15"/>
                <w:szCs w:val="15"/>
              </w:rPr>
              <w:t> </w:t>
            </w:r>
          </w:p>
        </w:tc>
        <w:tc>
          <w:tcPr>
            <w:tcW w:w="2450" w:type="pct"/>
            <w:hideMark/>
          </w:tcPr>
          <w:p w14:paraId="3B78101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080D8F7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716E85" w14:paraId="6CEDF4FF" w14:textId="77777777">
        <w:trPr>
          <w:divId w:val="1941717385"/>
          <w:jc w:val="center"/>
        </w:trPr>
        <w:tc>
          <w:tcPr>
            <w:tcW w:w="2450" w:type="pct"/>
            <w:hideMark/>
          </w:tcPr>
          <w:p w14:paraId="1E7ACB78" w14:textId="77777777" w:rsidR="00716E85" w:rsidRDefault="00716E85">
            <w:pPr>
              <w:pStyle w:val="a3"/>
              <w:spacing w:before="0" w:beforeAutospacing="0" w:after="0" w:afterAutospacing="0"/>
              <w:jc w:val="center"/>
              <w:rPr>
                <w:b/>
                <w:bCs/>
                <w:sz w:val="10"/>
                <w:szCs w:val="10"/>
              </w:rPr>
            </w:pPr>
            <w:r>
              <w:rPr>
                <w:b/>
                <w:bCs/>
                <w:sz w:val="10"/>
                <w:szCs w:val="10"/>
              </w:rPr>
              <w:t> </w:t>
            </w:r>
          </w:p>
        </w:tc>
        <w:tc>
          <w:tcPr>
            <w:tcW w:w="100" w:type="pct"/>
            <w:hideMark/>
          </w:tcPr>
          <w:p w14:paraId="67DC7BC7" w14:textId="77777777" w:rsidR="00716E85" w:rsidRDefault="00716E85">
            <w:pPr>
              <w:pStyle w:val="a3"/>
              <w:spacing w:before="0" w:beforeAutospacing="0" w:after="0" w:afterAutospacing="0"/>
              <w:jc w:val="center"/>
              <w:rPr>
                <w:b/>
                <w:bCs/>
                <w:sz w:val="10"/>
                <w:szCs w:val="10"/>
              </w:rPr>
            </w:pPr>
            <w:r>
              <w:rPr>
                <w:b/>
                <w:bCs/>
                <w:sz w:val="10"/>
                <w:szCs w:val="10"/>
              </w:rPr>
              <w:t> </w:t>
            </w:r>
          </w:p>
        </w:tc>
        <w:tc>
          <w:tcPr>
            <w:tcW w:w="2450" w:type="pct"/>
            <w:hideMark/>
          </w:tcPr>
          <w:p w14:paraId="1085828C" w14:textId="77777777" w:rsidR="00716E85" w:rsidRDefault="00716E85">
            <w:pPr>
              <w:pStyle w:val="a3"/>
              <w:spacing w:before="0" w:beforeAutospacing="0" w:after="0" w:afterAutospacing="0"/>
              <w:jc w:val="center"/>
              <w:rPr>
                <w:b/>
                <w:bCs/>
                <w:sz w:val="10"/>
                <w:szCs w:val="10"/>
              </w:rPr>
            </w:pPr>
            <w:r>
              <w:rPr>
                <w:b/>
                <w:bCs/>
                <w:sz w:val="10"/>
                <w:szCs w:val="10"/>
              </w:rPr>
              <w:t> </w:t>
            </w:r>
          </w:p>
        </w:tc>
      </w:tr>
      <w:tr w:rsidR="00716E85" w14:paraId="69C419E7" w14:textId="77777777">
        <w:trPr>
          <w:divId w:val="1941717385"/>
          <w:jc w:val="center"/>
        </w:trPr>
        <w:tc>
          <w:tcPr>
            <w:tcW w:w="2450" w:type="pct"/>
            <w:vAlign w:val="bottom"/>
            <w:hideMark/>
          </w:tcPr>
          <w:p w14:paraId="7FDCC70E"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500 Oracle Parkway</w:t>
            </w:r>
          </w:p>
          <w:p w14:paraId="53CD5DFE"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Redwood City, California</w:t>
            </w:r>
          </w:p>
        </w:tc>
        <w:tc>
          <w:tcPr>
            <w:tcW w:w="100" w:type="pct"/>
            <w:hideMark/>
          </w:tcPr>
          <w:p w14:paraId="089BC77F" w14:textId="77777777" w:rsidR="00716E85" w:rsidRDefault="00716E85">
            <w:pPr>
              <w:pStyle w:val="a3"/>
              <w:spacing w:before="0" w:beforeAutospacing="0" w:after="0" w:afterAutospacing="0"/>
              <w:jc w:val="center"/>
              <w:rPr>
                <w:b/>
                <w:bCs/>
                <w:sz w:val="18"/>
                <w:szCs w:val="18"/>
              </w:rPr>
            </w:pPr>
            <w:r>
              <w:rPr>
                <w:b/>
                <w:bCs/>
                <w:sz w:val="18"/>
                <w:szCs w:val="18"/>
              </w:rPr>
              <w:t> </w:t>
            </w:r>
          </w:p>
        </w:tc>
        <w:tc>
          <w:tcPr>
            <w:tcW w:w="2450" w:type="pct"/>
            <w:vAlign w:val="bottom"/>
            <w:hideMark/>
          </w:tcPr>
          <w:p w14:paraId="5B410E07"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94065</w:t>
            </w:r>
          </w:p>
        </w:tc>
      </w:tr>
      <w:tr w:rsidR="00716E85" w14:paraId="74AC4017" w14:textId="77777777">
        <w:trPr>
          <w:divId w:val="1941717385"/>
          <w:jc w:val="center"/>
        </w:trPr>
        <w:tc>
          <w:tcPr>
            <w:tcW w:w="2450" w:type="pct"/>
            <w:hideMark/>
          </w:tcPr>
          <w:p w14:paraId="23229A5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hideMark/>
          </w:tcPr>
          <w:p w14:paraId="018708BF" w14:textId="77777777" w:rsidR="00716E85" w:rsidRDefault="00716E85">
            <w:pPr>
              <w:pStyle w:val="a3"/>
              <w:spacing w:before="0" w:beforeAutospacing="0" w:after="0" w:afterAutospacing="0"/>
              <w:jc w:val="center"/>
              <w:rPr>
                <w:b/>
                <w:bCs/>
                <w:sz w:val="15"/>
                <w:szCs w:val="15"/>
              </w:rPr>
            </w:pPr>
            <w:r>
              <w:rPr>
                <w:b/>
                <w:bCs/>
                <w:sz w:val="15"/>
                <w:szCs w:val="15"/>
              </w:rPr>
              <w:t> </w:t>
            </w:r>
          </w:p>
        </w:tc>
        <w:tc>
          <w:tcPr>
            <w:tcW w:w="2450" w:type="pct"/>
            <w:vAlign w:val="bottom"/>
            <w:hideMark/>
          </w:tcPr>
          <w:p w14:paraId="3467296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0F239860" w14:textId="77777777" w:rsidR="00716E85" w:rsidRDefault="00716E85">
      <w:pPr>
        <w:pStyle w:val="a3"/>
        <w:spacing w:before="0" w:beforeAutospacing="0" w:after="0" w:afterAutospacing="0"/>
        <w:rPr>
          <w:sz w:val="10"/>
          <w:szCs w:val="10"/>
        </w:rPr>
      </w:pPr>
      <w:r>
        <w:rPr>
          <w:sz w:val="10"/>
          <w:szCs w:val="10"/>
        </w:rPr>
        <w:t> </w:t>
      </w:r>
    </w:p>
    <w:p w14:paraId="639946DB"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(650) 506-7000</w:t>
      </w:r>
    </w:p>
    <w:p w14:paraId="0A40314E" w14:textId="77777777" w:rsidR="00716E85" w:rsidRDefault="00716E85">
      <w:pPr>
        <w:pStyle w:val="a3"/>
        <w:spacing w:before="0" w:beforeAutospacing="0" w:after="0" w:afterAutospacing="0"/>
        <w:jc w:val="center"/>
        <w:rPr>
          <w:rFonts w:ascii="Calibri" w:hAnsi="Calibri" w:cs="Calibri"/>
          <w:b/>
          <w:bCs/>
          <w:sz w:val="16"/>
          <w:szCs w:val="16"/>
        </w:rPr>
      </w:pPr>
      <w:r>
        <w:rPr>
          <w:rFonts w:ascii="Calibri" w:hAnsi="Calibri" w:cs="Calibri"/>
          <w:b/>
          <w:bCs/>
          <w:sz w:val="16"/>
          <w:szCs w:val="16"/>
        </w:rPr>
        <w:t>(Registrant’s telephone number, including area code)</w:t>
      </w:r>
    </w:p>
    <w:p w14:paraId="5BB02678" w14:textId="77777777" w:rsidR="00716E85" w:rsidRDefault="00716E85">
      <w:pPr>
        <w:pStyle w:val="a3"/>
        <w:spacing w:beforeAutospacing="0" w:after="0" w:afterAutospacing="0"/>
        <w:jc w:val="both"/>
        <w:rPr>
          <w:rFonts w:ascii="Calibri" w:hAnsi="Calibri" w:cs="Calibri"/>
          <w:sz w:val="19"/>
          <w:szCs w:val="19"/>
        </w:rPr>
      </w:pPr>
      <w:r>
        <w:rPr>
          <w:rFonts w:ascii="Calibri" w:hAnsi="Calibri" w:cs="Calibri"/>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19"/>
          <w:szCs w:val="19"/>
        </w:rPr>
        <w:t>☒</w:t>
      </w:r>
      <w:r>
        <w:rPr>
          <w:rFonts w:ascii="Calibri" w:hAnsi="Calibri" w:cs="Calibri"/>
          <w:sz w:val="19"/>
          <w:szCs w:val="19"/>
        </w:rPr>
        <w:t>    No  </w:t>
      </w:r>
      <w:r>
        <w:rPr>
          <w:rFonts w:ascii="Segoe UI Symbol" w:hAnsi="Segoe UI Symbol" w:cs="Segoe UI Symbol"/>
          <w:sz w:val="19"/>
          <w:szCs w:val="19"/>
        </w:rPr>
        <w:t>☐</w:t>
      </w:r>
    </w:p>
    <w:p w14:paraId="0FC0BF16" w14:textId="77777777" w:rsidR="00716E85" w:rsidRDefault="00716E85">
      <w:pPr>
        <w:pStyle w:val="a3"/>
        <w:spacing w:beforeAutospacing="0" w:after="0" w:afterAutospacing="0"/>
        <w:jc w:val="both"/>
        <w:rPr>
          <w:rFonts w:ascii="Calibri" w:hAnsi="Calibri" w:cs="Calibri"/>
          <w:sz w:val="19"/>
          <w:szCs w:val="19"/>
        </w:rPr>
      </w:pPr>
      <w:r>
        <w:rPr>
          <w:rFonts w:ascii="Calibri" w:hAnsi="Calibri" w:cs="Calibri"/>
          <w:sz w:val="19"/>
          <w:szCs w:val="19"/>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19"/>
          <w:szCs w:val="19"/>
        </w:rPr>
        <w:t>☒</w:t>
      </w:r>
      <w:r>
        <w:rPr>
          <w:rFonts w:ascii="Calibri" w:hAnsi="Calibri" w:cs="Calibri"/>
          <w:sz w:val="19"/>
          <w:szCs w:val="19"/>
        </w:rPr>
        <w:t>  No  </w:t>
      </w:r>
      <w:r>
        <w:rPr>
          <w:rFonts w:ascii="Segoe UI Symbol" w:hAnsi="Segoe UI Symbol" w:cs="Segoe UI Symbol"/>
          <w:sz w:val="19"/>
          <w:szCs w:val="19"/>
        </w:rPr>
        <w:t>☐</w:t>
      </w:r>
    </w:p>
    <w:p w14:paraId="706F5B46" w14:textId="77777777" w:rsidR="00716E85" w:rsidRDefault="00716E85">
      <w:pPr>
        <w:pStyle w:val="a3"/>
        <w:spacing w:beforeAutospacing="0" w:after="0" w:afterAutospacing="0"/>
        <w:jc w:val="both"/>
        <w:rPr>
          <w:rFonts w:ascii="Calibri" w:hAnsi="Calibri" w:cs="Calibri"/>
          <w:sz w:val="19"/>
          <w:szCs w:val="19"/>
        </w:rPr>
      </w:pPr>
      <w:r>
        <w:rPr>
          <w:rFonts w:ascii="Calibri" w:hAnsi="Calibri" w:cs="Calibri"/>
          <w:sz w:val="19"/>
          <w:szCs w:val="19"/>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14:paraId="7B0D73AD" w14:textId="77777777" w:rsidR="00716E85" w:rsidRDefault="00716E85">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4070"/>
        <w:gridCol w:w="83"/>
        <w:gridCol w:w="4153"/>
      </w:tblGrid>
      <w:tr w:rsidR="00716E85" w14:paraId="74E03160" w14:textId="77777777">
        <w:trPr>
          <w:divId w:val="1597442987"/>
          <w:jc w:val="center"/>
        </w:trPr>
        <w:tc>
          <w:tcPr>
            <w:tcW w:w="2450" w:type="pct"/>
            <w:vAlign w:val="bottom"/>
            <w:hideMark/>
          </w:tcPr>
          <w:p w14:paraId="4E1BBFBD" w14:textId="77777777" w:rsidR="00716E85" w:rsidRDefault="00716E85">
            <w:pPr>
              <w:pStyle w:val="a3"/>
              <w:spacing w:before="0" w:beforeAutospacing="0" w:after="0" w:afterAutospacing="0"/>
              <w:jc w:val="center"/>
              <w:rPr>
                <w:rFonts w:ascii="Calibri" w:hAnsi="Calibri" w:cs="Calibri"/>
                <w:sz w:val="19"/>
                <w:szCs w:val="19"/>
              </w:rPr>
            </w:pPr>
            <w:r>
              <w:rPr>
                <w:rFonts w:ascii="Calibri" w:hAnsi="Calibri" w:cs="Calibri"/>
                <w:sz w:val="19"/>
                <w:szCs w:val="19"/>
              </w:rPr>
              <w:t>Large accelerated filer   </w:t>
            </w:r>
            <w:r>
              <w:rPr>
                <w:rFonts w:ascii="Segoe UI Symbol" w:hAnsi="Segoe UI Symbol" w:cs="Calibri"/>
                <w:sz w:val="19"/>
                <w:szCs w:val="19"/>
              </w:rPr>
              <w:t>☒</w:t>
            </w:r>
          </w:p>
        </w:tc>
        <w:tc>
          <w:tcPr>
            <w:tcW w:w="50" w:type="pct"/>
            <w:hideMark/>
          </w:tcPr>
          <w:p w14:paraId="1997944C" w14:textId="77777777" w:rsidR="00716E85" w:rsidRDefault="00716E85">
            <w:pPr>
              <w:pStyle w:val="a3"/>
              <w:spacing w:before="0" w:beforeAutospacing="0" w:after="0" w:afterAutospacing="0"/>
              <w:jc w:val="center"/>
            </w:pPr>
            <w:r>
              <w:t> </w:t>
            </w:r>
          </w:p>
        </w:tc>
        <w:tc>
          <w:tcPr>
            <w:tcW w:w="2500" w:type="pct"/>
            <w:vAlign w:val="bottom"/>
            <w:hideMark/>
          </w:tcPr>
          <w:p w14:paraId="6720EAE5" w14:textId="77777777" w:rsidR="00716E85" w:rsidRDefault="00716E85">
            <w:pPr>
              <w:pStyle w:val="a3"/>
              <w:spacing w:before="0" w:beforeAutospacing="0" w:after="0" w:afterAutospacing="0"/>
              <w:jc w:val="center"/>
              <w:rPr>
                <w:rFonts w:ascii="Calibri" w:hAnsi="Calibri" w:cs="Calibri"/>
                <w:sz w:val="19"/>
                <w:szCs w:val="19"/>
              </w:rPr>
            </w:pPr>
            <w:r>
              <w:rPr>
                <w:rFonts w:ascii="Calibri" w:hAnsi="Calibri" w:cs="Calibri"/>
                <w:sz w:val="19"/>
                <w:szCs w:val="19"/>
              </w:rPr>
              <w:t>Accelerated filer   </w:t>
            </w:r>
            <w:r>
              <w:rPr>
                <w:rFonts w:ascii="Segoe UI Symbol" w:hAnsi="Segoe UI Symbol" w:cs="Calibri"/>
                <w:sz w:val="19"/>
                <w:szCs w:val="19"/>
              </w:rPr>
              <w:t>☐</w:t>
            </w:r>
          </w:p>
        </w:tc>
      </w:tr>
      <w:tr w:rsidR="00716E85" w14:paraId="22E815A2" w14:textId="77777777">
        <w:trPr>
          <w:divId w:val="1597442987"/>
          <w:jc w:val="center"/>
        </w:trPr>
        <w:tc>
          <w:tcPr>
            <w:tcW w:w="2450" w:type="pct"/>
            <w:noWrap/>
            <w:vAlign w:val="bottom"/>
            <w:hideMark/>
          </w:tcPr>
          <w:p w14:paraId="57D31613" w14:textId="77777777" w:rsidR="00716E85" w:rsidRDefault="00716E85">
            <w:pPr>
              <w:pStyle w:val="a3"/>
              <w:spacing w:before="0" w:beforeAutospacing="0" w:after="0" w:afterAutospacing="0"/>
              <w:jc w:val="center"/>
              <w:rPr>
                <w:rFonts w:ascii="Calibri" w:hAnsi="Calibri" w:cs="Calibri"/>
                <w:sz w:val="19"/>
                <w:szCs w:val="19"/>
              </w:rPr>
            </w:pPr>
            <w:r>
              <w:rPr>
                <w:rFonts w:ascii="Calibri" w:hAnsi="Calibri" w:cs="Calibri"/>
                <w:sz w:val="19"/>
                <w:szCs w:val="19"/>
              </w:rPr>
              <w:t>Non-accelerated filer   </w:t>
            </w:r>
            <w:r>
              <w:rPr>
                <w:rFonts w:ascii="Segoe UI Symbol" w:hAnsi="Segoe UI Symbol" w:cs="Calibri"/>
                <w:sz w:val="19"/>
                <w:szCs w:val="19"/>
              </w:rPr>
              <w:t>☐</w:t>
            </w:r>
          </w:p>
        </w:tc>
        <w:tc>
          <w:tcPr>
            <w:tcW w:w="50" w:type="pct"/>
            <w:hideMark/>
          </w:tcPr>
          <w:p w14:paraId="5802CDD0" w14:textId="77777777" w:rsidR="00716E85" w:rsidRDefault="00716E85">
            <w:pPr>
              <w:pStyle w:val="a3"/>
              <w:spacing w:before="0" w:beforeAutospacing="0" w:after="0" w:afterAutospacing="0"/>
              <w:jc w:val="center"/>
            </w:pPr>
            <w:r>
              <w:t> </w:t>
            </w:r>
          </w:p>
        </w:tc>
        <w:tc>
          <w:tcPr>
            <w:tcW w:w="2500" w:type="pct"/>
            <w:vAlign w:val="bottom"/>
            <w:hideMark/>
          </w:tcPr>
          <w:p w14:paraId="7E9E8883" w14:textId="77777777" w:rsidR="00716E85" w:rsidRDefault="00716E85">
            <w:pPr>
              <w:pStyle w:val="a3"/>
              <w:spacing w:before="0" w:beforeAutospacing="0" w:after="0" w:afterAutospacing="0"/>
              <w:jc w:val="center"/>
              <w:rPr>
                <w:rFonts w:ascii="Calibri" w:hAnsi="Calibri" w:cs="Calibri"/>
                <w:sz w:val="19"/>
                <w:szCs w:val="19"/>
              </w:rPr>
            </w:pPr>
            <w:r>
              <w:rPr>
                <w:rFonts w:ascii="Calibri" w:hAnsi="Calibri" w:cs="Calibri"/>
                <w:sz w:val="19"/>
                <w:szCs w:val="19"/>
              </w:rPr>
              <w:t>Smaller reporting company   </w:t>
            </w:r>
            <w:r>
              <w:rPr>
                <w:rFonts w:ascii="Segoe UI Symbol" w:hAnsi="Segoe UI Symbol" w:cs="Calibri"/>
                <w:sz w:val="19"/>
                <w:szCs w:val="19"/>
              </w:rPr>
              <w:t>☐</w:t>
            </w:r>
          </w:p>
        </w:tc>
      </w:tr>
      <w:tr w:rsidR="00716E85" w14:paraId="3D2636EF" w14:textId="77777777">
        <w:trPr>
          <w:divId w:val="1597442987"/>
          <w:jc w:val="center"/>
        </w:trPr>
        <w:tc>
          <w:tcPr>
            <w:tcW w:w="2450" w:type="pct"/>
            <w:noWrap/>
            <w:vAlign w:val="bottom"/>
            <w:hideMark/>
          </w:tcPr>
          <w:p w14:paraId="3C92AE0F" w14:textId="77777777" w:rsidR="00716E85" w:rsidRDefault="00716E85">
            <w:pPr>
              <w:pStyle w:val="a3"/>
              <w:spacing w:before="0" w:beforeAutospacing="0" w:after="0" w:afterAutospacing="0"/>
              <w:jc w:val="center"/>
              <w:rPr>
                <w:rFonts w:ascii="Calibri" w:hAnsi="Calibri" w:cs="Calibri"/>
                <w:sz w:val="19"/>
                <w:szCs w:val="19"/>
              </w:rPr>
            </w:pPr>
            <w:r>
              <w:rPr>
                <w:rFonts w:ascii="Calibri" w:hAnsi="Calibri" w:cs="Calibri"/>
                <w:sz w:val="19"/>
                <w:szCs w:val="19"/>
              </w:rPr>
              <w:t>Emerging growth company   </w:t>
            </w:r>
            <w:r>
              <w:rPr>
                <w:rFonts w:ascii="Segoe UI Symbol" w:hAnsi="Segoe UI Symbol" w:cs="Calibri"/>
                <w:sz w:val="19"/>
                <w:szCs w:val="19"/>
              </w:rPr>
              <w:t>☐</w:t>
            </w:r>
          </w:p>
        </w:tc>
        <w:tc>
          <w:tcPr>
            <w:tcW w:w="50" w:type="pct"/>
            <w:hideMark/>
          </w:tcPr>
          <w:p w14:paraId="622C56DB" w14:textId="77777777" w:rsidR="00716E85" w:rsidRDefault="00716E85">
            <w:pPr>
              <w:pStyle w:val="a3"/>
              <w:spacing w:before="0" w:beforeAutospacing="0" w:after="0" w:afterAutospacing="0"/>
              <w:jc w:val="center"/>
            </w:pPr>
            <w:r>
              <w:t> </w:t>
            </w:r>
          </w:p>
        </w:tc>
        <w:tc>
          <w:tcPr>
            <w:tcW w:w="2500" w:type="pct"/>
            <w:hideMark/>
          </w:tcPr>
          <w:p w14:paraId="5A0CEE7E" w14:textId="77777777" w:rsidR="00716E85" w:rsidRDefault="00716E85">
            <w:pPr>
              <w:pStyle w:val="a3"/>
              <w:spacing w:before="0" w:beforeAutospacing="0" w:after="0" w:afterAutospacing="0"/>
              <w:jc w:val="center"/>
            </w:pPr>
            <w:r>
              <w:t> </w:t>
            </w:r>
          </w:p>
        </w:tc>
      </w:tr>
    </w:tbl>
    <w:p w14:paraId="7E163C85" w14:textId="77777777" w:rsidR="00716E85" w:rsidRDefault="00716E85">
      <w:pPr>
        <w:pStyle w:val="a3"/>
        <w:spacing w:before="0" w:beforeAutospacing="0" w:after="0" w:afterAutospacing="0"/>
        <w:rPr>
          <w:sz w:val="10"/>
          <w:szCs w:val="10"/>
        </w:rPr>
      </w:pPr>
      <w:r>
        <w:rPr>
          <w:sz w:val="10"/>
          <w:szCs w:val="10"/>
        </w:rPr>
        <w:t> </w:t>
      </w:r>
    </w:p>
    <w:p w14:paraId="361CC862" w14:textId="77777777" w:rsidR="00716E85" w:rsidRDefault="00716E85">
      <w:pPr>
        <w:pStyle w:val="a3"/>
        <w:spacing w:before="0" w:beforeAutospacing="0" w:after="0" w:afterAutospacing="0"/>
        <w:jc w:val="both"/>
        <w:rPr>
          <w:rFonts w:ascii="Calibri" w:hAnsi="Calibri" w:cs="Calibri"/>
          <w:sz w:val="19"/>
          <w:szCs w:val="19"/>
        </w:rPr>
      </w:pPr>
      <w:r>
        <w:rPr>
          <w:rFonts w:ascii="Calibri" w:hAnsi="Calibri" w:cs="Calibri"/>
          <w:sz w:val="19"/>
          <w:szCs w:val="19"/>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9"/>
          <w:szCs w:val="19"/>
        </w:rPr>
        <w:t>☐</w:t>
      </w:r>
    </w:p>
    <w:p w14:paraId="09401A11" w14:textId="77777777" w:rsidR="00716E85" w:rsidRDefault="00716E85">
      <w:pPr>
        <w:pStyle w:val="a3"/>
        <w:spacing w:beforeAutospacing="0" w:after="0" w:afterAutospacing="0"/>
        <w:jc w:val="both"/>
        <w:rPr>
          <w:rFonts w:ascii="Calibri" w:hAnsi="Calibri" w:cs="Calibri"/>
          <w:sz w:val="19"/>
          <w:szCs w:val="19"/>
        </w:rPr>
      </w:pPr>
      <w:r>
        <w:rPr>
          <w:rFonts w:ascii="Calibri" w:hAnsi="Calibri" w:cs="Calibri"/>
          <w:sz w:val="19"/>
          <w:szCs w:val="19"/>
        </w:rPr>
        <w:t>Indicate by check mark whether the registrant is a shell company (as defined in Rule 12b-2 of the Exchange Act).  Yes    </w:t>
      </w:r>
      <w:r>
        <w:rPr>
          <w:rFonts w:ascii="Segoe UI Symbol" w:hAnsi="Segoe UI Symbol" w:cs="Segoe UI Symbol"/>
          <w:sz w:val="19"/>
          <w:szCs w:val="19"/>
        </w:rPr>
        <w:t>☐</w:t>
      </w:r>
      <w:r>
        <w:rPr>
          <w:rFonts w:ascii="Calibri" w:hAnsi="Calibri" w:cs="Calibri"/>
          <w:sz w:val="19"/>
          <w:szCs w:val="19"/>
        </w:rPr>
        <w:t>  No    </w:t>
      </w:r>
      <w:r>
        <w:rPr>
          <w:rFonts w:ascii="Segoe UI Symbol" w:hAnsi="Segoe UI Symbol" w:cs="Segoe UI Symbol"/>
          <w:sz w:val="19"/>
          <w:szCs w:val="19"/>
        </w:rPr>
        <w:t>☒</w:t>
      </w:r>
    </w:p>
    <w:p w14:paraId="7B34B612" w14:textId="77777777" w:rsidR="00716E85" w:rsidRDefault="00716E85">
      <w:pPr>
        <w:pStyle w:val="a3"/>
        <w:spacing w:beforeAutospacing="0" w:after="0" w:afterAutospacing="0"/>
        <w:jc w:val="both"/>
        <w:rPr>
          <w:rFonts w:ascii="Calibri" w:hAnsi="Calibri" w:cs="Calibri"/>
          <w:sz w:val="19"/>
          <w:szCs w:val="19"/>
        </w:rPr>
      </w:pPr>
      <w:r>
        <w:rPr>
          <w:rFonts w:ascii="Calibri" w:hAnsi="Calibri" w:cs="Calibri"/>
          <w:sz w:val="19"/>
          <w:szCs w:val="19"/>
        </w:rPr>
        <w:t>The number of shares of registrant’s common stock outstanding as of March 13, 2019 was: 3,417,654,000.</w:t>
      </w:r>
    </w:p>
    <w:p w14:paraId="3039BDB6" w14:textId="77777777" w:rsidR="00716E85" w:rsidRDefault="00716E85">
      <w:pPr>
        <w:pStyle w:val="a3"/>
        <w:pBdr>
          <w:bottom w:val="double" w:sz="6" w:space="1" w:color="auto"/>
        </w:pBdr>
        <w:spacing w:before="0" w:beforeAutospacing="0" w:after="0" w:afterAutospacing="0"/>
        <w:rPr>
          <w:sz w:val="8"/>
          <w:szCs w:val="8"/>
        </w:rPr>
      </w:pPr>
      <w:r>
        <w:rPr>
          <w:sz w:val="8"/>
          <w:szCs w:val="8"/>
        </w:rPr>
        <w:t> </w:t>
      </w:r>
    </w:p>
    <w:p w14:paraId="322FBB9F" w14:textId="77777777" w:rsidR="00716E85" w:rsidRDefault="00716E85">
      <w:pPr>
        <w:pStyle w:val="a3"/>
        <w:spacing w:before="0" w:beforeAutospacing="0" w:after="0" w:afterAutospacing="0"/>
        <w:jc w:val="center"/>
        <w:rPr>
          <w:b/>
          <w:bCs/>
          <w:sz w:val="8"/>
          <w:szCs w:val="8"/>
        </w:rPr>
      </w:pPr>
      <w:r>
        <w:rPr>
          <w:b/>
          <w:bCs/>
          <w:sz w:val="8"/>
          <w:szCs w:val="8"/>
        </w:rPr>
        <w:t> </w:t>
      </w:r>
    </w:p>
    <w:p w14:paraId="6C3D87B2" w14:textId="77777777" w:rsidR="00716E85" w:rsidRDefault="00716E85">
      <w:pPr>
        <w:pStyle w:val="a3"/>
        <w:spacing w:before="240" w:beforeAutospacing="0" w:after="0" w:afterAutospacing="0"/>
        <w:jc w:val="center"/>
        <w:rPr>
          <w:sz w:val="20"/>
          <w:szCs w:val="20"/>
        </w:rPr>
      </w:pPr>
      <w:r>
        <w:rPr>
          <w:sz w:val="20"/>
          <w:szCs w:val="20"/>
        </w:rPr>
        <w:t> </w:t>
      </w:r>
    </w:p>
    <w:p w14:paraId="0F8B95B4" w14:textId="77777777" w:rsidR="00716E85" w:rsidRDefault="00716E85">
      <w:pPr>
        <w:rPr>
          <w:rFonts w:eastAsia="Times New Roman"/>
          <w:sz w:val="24"/>
          <w:szCs w:val="24"/>
        </w:rPr>
      </w:pPr>
      <w:r>
        <w:rPr>
          <w:rFonts w:eastAsia="Times New Roman"/>
        </w:rPr>
        <w:pict w14:anchorId="1F626264">
          <v:rect id="_x0000_i1025" style="width:415.3pt;height:1.5pt" o:hralign="center" o:hrstd="t" o:hr="t" fillcolor="#a0a0a0" stroked="f"/>
        </w:pict>
      </w:r>
    </w:p>
    <w:p w14:paraId="78FACC5D"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87F11E8" w14:textId="77777777" w:rsidR="00716E85" w:rsidRDefault="00716E85">
      <w:pPr>
        <w:pStyle w:val="a3"/>
      </w:pPr>
      <w:r>
        <w:t> </w:t>
      </w:r>
    </w:p>
    <w:p w14:paraId="4DDED084" w14:textId="77777777" w:rsidR="00716E85" w:rsidRDefault="00716E85">
      <w:pPr>
        <w:pStyle w:val="a3"/>
        <w:spacing w:before="0" w:beforeAutospacing="0" w:after="0" w:afterAutospacing="0"/>
        <w:jc w:val="center"/>
        <w:rPr>
          <w:rFonts w:ascii="Calibri" w:hAnsi="Calibri" w:cs="Calibri"/>
          <w:b/>
          <w:bCs/>
          <w:sz w:val="20"/>
          <w:szCs w:val="20"/>
        </w:rPr>
      </w:pPr>
      <w:bookmarkStart w:id="0" w:name="_AEIOULastRenderedPageBreakAEIOU2"/>
      <w:bookmarkEnd w:id="0"/>
      <w:r>
        <w:rPr>
          <w:rFonts w:ascii="Calibri" w:hAnsi="Calibri" w:cs="Calibri"/>
          <w:b/>
          <w:bCs/>
          <w:sz w:val="20"/>
          <w:szCs w:val="20"/>
        </w:rPr>
        <w:t>ORACLE CORPORATION </w:t>
      </w:r>
    </w:p>
    <w:p w14:paraId="77F22C9E" w14:textId="77777777" w:rsidR="00716E85" w:rsidRDefault="00716E85">
      <w:pPr>
        <w:pStyle w:val="a3"/>
        <w:spacing w:before="120" w:beforeAutospacing="0" w:after="0" w:afterAutospacing="0"/>
        <w:jc w:val="center"/>
        <w:rPr>
          <w:rFonts w:ascii="Calibri" w:hAnsi="Calibri" w:cs="Calibri"/>
          <w:b/>
          <w:bCs/>
          <w:sz w:val="20"/>
          <w:szCs w:val="20"/>
        </w:rPr>
      </w:pPr>
      <w:r>
        <w:rPr>
          <w:rFonts w:ascii="Calibri" w:hAnsi="Calibri" w:cs="Calibri"/>
          <w:b/>
          <w:bCs/>
          <w:sz w:val="20"/>
          <w:szCs w:val="20"/>
        </w:rPr>
        <w:t>FORM 10-Q QUARTERLY REPORT</w:t>
      </w:r>
    </w:p>
    <w:p w14:paraId="20A6B358" w14:textId="77777777" w:rsidR="00716E85" w:rsidRDefault="00716E85">
      <w:pPr>
        <w:pStyle w:val="a3"/>
        <w:pBdr>
          <w:bottom w:val="single" w:sz="12" w:space="1" w:color="auto"/>
        </w:pBdr>
        <w:spacing w:before="0" w:beforeAutospacing="0" w:after="0" w:afterAutospacing="0"/>
        <w:ind w:left="4286" w:right="4286"/>
        <w:jc w:val="center"/>
        <w:rPr>
          <w:sz w:val="10"/>
          <w:szCs w:val="10"/>
        </w:rPr>
      </w:pPr>
      <w:r>
        <w:rPr>
          <w:sz w:val="10"/>
          <w:szCs w:val="10"/>
        </w:rPr>
        <w:t> </w:t>
      </w:r>
    </w:p>
    <w:p w14:paraId="363AF9E1" w14:textId="77777777" w:rsidR="00716E85" w:rsidRDefault="00716E85">
      <w:pPr>
        <w:pStyle w:val="a3"/>
        <w:spacing w:before="120" w:beforeAutospacing="0" w:after="0" w:afterAutospacing="0"/>
        <w:jc w:val="center"/>
        <w:rPr>
          <w:rFonts w:ascii="Calibri" w:hAnsi="Calibri" w:cs="Calibri"/>
          <w:b/>
          <w:bCs/>
          <w:sz w:val="20"/>
          <w:szCs w:val="20"/>
        </w:rPr>
      </w:pPr>
      <w:bookmarkStart w:id="1" w:name="TABLE_CONTENTS"/>
      <w:bookmarkEnd w:id="1"/>
      <w:r>
        <w:rPr>
          <w:rFonts w:ascii="Calibri" w:hAnsi="Calibri" w:cs="Calibri"/>
          <w:b/>
          <w:bCs/>
          <w:sz w:val="20"/>
          <w:szCs w:val="20"/>
        </w:rPr>
        <w:t>TABLE OF CONTENTS</w:t>
      </w:r>
    </w:p>
    <w:p w14:paraId="0F910E73" w14:textId="77777777" w:rsidR="00716E85" w:rsidRDefault="00716E85">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747"/>
        <w:gridCol w:w="82"/>
        <w:gridCol w:w="7048"/>
        <w:gridCol w:w="108"/>
        <w:gridCol w:w="321"/>
      </w:tblGrid>
      <w:tr w:rsidR="00716E85" w14:paraId="5CBBBCEA" w14:textId="77777777">
        <w:trPr>
          <w:divId w:val="1018392633"/>
          <w:jc w:val="center"/>
        </w:trPr>
        <w:tc>
          <w:tcPr>
            <w:tcW w:w="450" w:type="pct"/>
            <w:shd w:val="clear" w:color="auto" w:fill="FFFFFF"/>
            <w:hideMark/>
          </w:tcPr>
          <w:p w14:paraId="4AE3FFDC" w14:textId="77777777" w:rsidR="00716E85" w:rsidRDefault="00716E85">
            <w:pPr>
              <w:pStyle w:val="a3"/>
              <w:spacing w:before="0" w:beforeAutospacing="0" w:after="0" w:afterAutospacing="0"/>
              <w:rPr>
                <w:sz w:val="16"/>
                <w:szCs w:val="16"/>
              </w:rPr>
            </w:pPr>
            <w:r>
              <w:rPr>
                <w:sz w:val="16"/>
                <w:szCs w:val="16"/>
              </w:rPr>
              <w:t> </w:t>
            </w:r>
          </w:p>
        </w:tc>
        <w:tc>
          <w:tcPr>
            <w:tcW w:w="50" w:type="pct"/>
            <w:shd w:val="clear" w:color="auto" w:fill="FFFFFF"/>
            <w:hideMark/>
          </w:tcPr>
          <w:p w14:paraId="27DB6999" w14:textId="77777777" w:rsidR="00716E85" w:rsidRDefault="00716E85">
            <w:pPr>
              <w:pStyle w:val="a3"/>
              <w:spacing w:before="0" w:beforeAutospacing="0" w:after="0" w:afterAutospacing="0"/>
              <w:rPr>
                <w:sz w:val="16"/>
                <w:szCs w:val="16"/>
              </w:rPr>
            </w:pPr>
            <w:r>
              <w:rPr>
                <w:sz w:val="16"/>
                <w:szCs w:val="16"/>
              </w:rPr>
              <w:t> </w:t>
            </w:r>
          </w:p>
        </w:tc>
        <w:tc>
          <w:tcPr>
            <w:tcW w:w="4243" w:type="pct"/>
            <w:shd w:val="clear" w:color="auto" w:fill="FFFFFF"/>
            <w:vAlign w:val="bottom"/>
            <w:hideMark/>
          </w:tcPr>
          <w:p w14:paraId="276EE1C8" w14:textId="77777777" w:rsidR="00716E85" w:rsidRDefault="00716E85">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hideMark/>
          </w:tcPr>
          <w:p w14:paraId="63D88F45" w14:textId="77777777" w:rsidR="00716E85" w:rsidRDefault="00716E85">
            <w:pPr>
              <w:pStyle w:val="a3"/>
              <w:spacing w:before="0" w:beforeAutospacing="0" w:after="0" w:afterAutospacing="0"/>
              <w:rPr>
                <w:sz w:val="16"/>
                <w:szCs w:val="16"/>
              </w:rPr>
            </w:pPr>
            <w:r>
              <w:rPr>
                <w:sz w:val="16"/>
                <w:szCs w:val="16"/>
              </w:rPr>
              <w:t> </w:t>
            </w:r>
          </w:p>
        </w:tc>
        <w:tc>
          <w:tcPr>
            <w:tcW w:w="192" w:type="pct"/>
            <w:tcBorders>
              <w:bottom w:val="single" w:sz="6" w:space="0" w:color="000000"/>
            </w:tcBorders>
            <w:shd w:val="clear" w:color="auto" w:fill="FFFFFF"/>
            <w:vAlign w:val="bottom"/>
            <w:hideMark/>
          </w:tcPr>
          <w:p w14:paraId="05FD2D33"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716E85" w14:paraId="6D6079E6" w14:textId="77777777">
        <w:trPr>
          <w:divId w:val="1018392633"/>
          <w:jc w:val="center"/>
        </w:trPr>
        <w:tc>
          <w:tcPr>
            <w:tcW w:w="450" w:type="pct"/>
            <w:shd w:val="clear" w:color="auto" w:fill="FFFFFF"/>
            <w:hideMark/>
          </w:tcPr>
          <w:p w14:paraId="294B5079" w14:textId="77777777" w:rsidR="00716E85" w:rsidRDefault="00716E85">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hideMark/>
          </w:tcPr>
          <w:p w14:paraId="495B0846" w14:textId="77777777" w:rsidR="00716E85" w:rsidRDefault="00716E85">
            <w:pPr>
              <w:pStyle w:val="a3"/>
              <w:spacing w:before="0" w:beforeAutospacing="0" w:after="0" w:afterAutospacing="0"/>
              <w:rPr>
                <w:b/>
                <w:bCs/>
                <w:sz w:val="12"/>
                <w:szCs w:val="12"/>
              </w:rPr>
            </w:pPr>
            <w:r>
              <w:rPr>
                <w:b/>
                <w:bCs/>
                <w:sz w:val="12"/>
                <w:szCs w:val="12"/>
              </w:rPr>
              <w:t> </w:t>
            </w:r>
          </w:p>
        </w:tc>
        <w:tc>
          <w:tcPr>
            <w:tcW w:w="4243" w:type="pct"/>
            <w:shd w:val="clear" w:color="auto" w:fill="FFFFFF"/>
            <w:vAlign w:val="bottom"/>
            <w:hideMark/>
          </w:tcPr>
          <w:p w14:paraId="445948DC" w14:textId="77777777" w:rsidR="00716E85" w:rsidRDefault="00716E85">
            <w:pPr>
              <w:pStyle w:val="a3"/>
              <w:spacing w:before="0" w:beforeAutospacing="0" w:after="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304CFB30" w14:textId="77777777" w:rsidR="00716E85" w:rsidRDefault="00716E85">
            <w:pPr>
              <w:pStyle w:val="a3"/>
              <w:spacing w:before="0" w:beforeAutospacing="0" w:after="0" w:afterAutospacing="0"/>
              <w:rPr>
                <w:sz w:val="12"/>
                <w:szCs w:val="12"/>
              </w:rPr>
            </w:pPr>
            <w:r>
              <w:rPr>
                <w:sz w:val="12"/>
                <w:szCs w:val="12"/>
              </w:rPr>
              <w:t> </w:t>
            </w:r>
          </w:p>
        </w:tc>
        <w:tc>
          <w:tcPr>
            <w:tcW w:w="192" w:type="pct"/>
            <w:tcBorders>
              <w:top w:val="single" w:sz="6" w:space="0" w:color="000000"/>
            </w:tcBorders>
            <w:shd w:val="clear" w:color="auto" w:fill="FFFFFF"/>
            <w:vAlign w:val="bottom"/>
            <w:hideMark/>
          </w:tcPr>
          <w:p w14:paraId="144D1D0F" w14:textId="77777777" w:rsidR="00716E85" w:rsidRDefault="00716E85">
            <w:pPr>
              <w:pStyle w:val="a3"/>
              <w:spacing w:before="0" w:beforeAutospacing="0" w:after="0" w:afterAutospacing="0"/>
              <w:jc w:val="right"/>
              <w:rPr>
                <w:sz w:val="12"/>
                <w:szCs w:val="12"/>
              </w:rPr>
            </w:pPr>
            <w:r>
              <w:rPr>
                <w:sz w:val="12"/>
                <w:szCs w:val="12"/>
              </w:rPr>
              <w:t> </w:t>
            </w:r>
          </w:p>
        </w:tc>
      </w:tr>
      <w:tr w:rsidR="00716E85" w14:paraId="08814598" w14:textId="77777777">
        <w:trPr>
          <w:divId w:val="1018392633"/>
          <w:jc w:val="center"/>
        </w:trPr>
        <w:tc>
          <w:tcPr>
            <w:tcW w:w="450" w:type="pct"/>
            <w:shd w:val="clear" w:color="auto" w:fill="FFFFFF"/>
            <w:hideMark/>
          </w:tcPr>
          <w:p w14:paraId="29316843"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hideMark/>
          </w:tcPr>
          <w:p w14:paraId="6779A7FB" w14:textId="77777777" w:rsidR="00716E85" w:rsidRDefault="00716E85">
            <w:pPr>
              <w:pStyle w:val="a3"/>
            </w:pPr>
            <w:r>
              <w:t> </w:t>
            </w:r>
          </w:p>
        </w:tc>
        <w:tc>
          <w:tcPr>
            <w:tcW w:w="4243" w:type="pct"/>
            <w:shd w:val="clear" w:color="auto" w:fill="FFFFFF"/>
            <w:hideMark/>
          </w:tcPr>
          <w:p w14:paraId="412E39A0" w14:textId="77777777" w:rsidR="00716E85" w:rsidRDefault="00716E85">
            <w:pPr>
              <w:pStyle w:val="a3"/>
              <w:spacing w:before="0" w:beforeAutospacing="0" w:after="0" w:afterAutospacing="0"/>
              <w:rPr>
                <w:rFonts w:ascii="Calibri" w:hAnsi="Calibri" w:cs="Calibri"/>
                <w:b/>
                <w:bCs/>
                <w:sz w:val="20"/>
                <w:szCs w:val="20"/>
              </w:rPr>
            </w:pPr>
            <w:hyperlink w:anchor="PART_I_FINANCIAL_INFORMATION" w:history="1">
              <w:r>
                <w:rPr>
                  <w:rStyle w:val="a4"/>
                  <w:rFonts w:ascii="Calibri" w:hAnsi="Calibri" w:cs="Calibri"/>
                  <w:b/>
                  <w:bCs/>
                  <w:sz w:val="20"/>
                  <w:szCs w:val="20"/>
                  <w:u w:val="none"/>
                </w:rPr>
                <w:t>FINANCIAL INFORMATION</w:t>
              </w:r>
            </w:hyperlink>
          </w:p>
        </w:tc>
        <w:tc>
          <w:tcPr>
            <w:tcW w:w="65" w:type="pct"/>
            <w:shd w:val="clear" w:color="auto" w:fill="FFFFFF"/>
            <w:hideMark/>
          </w:tcPr>
          <w:p w14:paraId="2565891E" w14:textId="77777777" w:rsidR="00716E85" w:rsidRDefault="00716E85">
            <w:pPr>
              <w:pStyle w:val="a3"/>
            </w:pPr>
            <w:r>
              <w:t> </w:t>
            </w:r>
          </w:p>
        </w:tc>
        <w:tc>
          <w:tcPr>
            <w:tcW w:w="192" w:type="pct"/>
            <w:shd w:val="clear" w:color="auto" w:fill="FFFFFF"/>
            <w:vAlign w:val="bottom"/>
            <w:hideMark/>
          </w:tcPr>
          <w:p w14:paraId="4349FD2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r>
      <w:tr w:rsidR="00716E85" w14:paraId="5611FB3B" w14:textId="77777777">
        <w:trPr>
          <w:divId w:val="1018392633"/>
          <w:jc w:val="center"/>
        </w:trPr>
        <w:tc>
          <w:tcPr>
            <w:tcW w:w="450" w:type="pct"/>
            <w:shd w:val="clear" w:color="auto" w:fill="FFFFFF"/>
            <w:hideMark/>
          </w:tcPr>
          <w:p w14:paraId="625780D4" w14:textId="77777777" w:rsidR="00716E85" w:rsidRDefault="00716E85">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hideMark/>
          </w:tcPr>
          <w:p w14:paraId="51F63016" w14:textId="77777777" w:rsidR="00716E85" w:rsidRDefault="00716E85">
            <w:pPr>
              <w:pStyle w:val="a3"/>
              <w:spacing w:before="0" w:beforeAutospacing="0" w:after="0" w:afterAutospacing="0"/>
              <w:rPr>
                <w:b/>
                <w:bCs/>
                <w:sz w:val="12"/>
                <w:szCs w:val="12"/>
              </w:rPr>
            </w:pPr>
            <w:r>
              <w:rPr>
                <w:b/>
                <w:bCs/>
                <w:sz w:val="12"/>
                <w:szCs w:val="12"/>
              </w:rPr>
              <w:t> </w:t>
            </w:r>
          </w:p>
        </w:tc>
        <w:tc>
          <w:tcPr>
            <w:tcW w:w="4243" w:type="pct"/>
            <w:shd w:val="clear" w:color="auto" w:fill="FFFFFF"/>
            <w:hideMark/>
          </w:tcPr>
          <w:p w14:paraId="6C9FAB7C" w14:textId="77777777" w:rsidR="00716E85" w:rsidRDefault="00716E85">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hideMark/>
          </w:tcPr>
          <w:p w14:paraId="448298AD" w14:textId="77777777" w:rsidR="00716E85" w:rsidRDefault="00716E85">
            <w:pPr>
              <w:pStyle w:val="a3"/>
              <w:spacing w:before="0" w:beforeAutospacing="0" w:after="0" w:afterAutospacing="0"/>
              <w:rPr>
                <w:b/>
                <w:bCs/>
                <w:sz w:val="12"/>
                <w:szCs w:val="12"/>
              </w:rPr>
            </w:pPr>
            <w:r>
              <w:rPr>
                <w:b/>
                <w:bCs/>
                <w:sz w:val="12"/>
                <w:szCs w:val="12"/>
              </w:rPr>
              <w:t> </w:t>
            </w:r>
          </w:p>
        </w:tc>
        <w:tc>
          <w:tcPr>
            <w:tcW w:w="192" w:type="pct"/>
            <w:shd w:val="clear" w:color="auto" w:fill="FFFFFF"/>
            <w:vAlign w:val="bottom"/>
            <w:hideMark/>
          </w:tcPr>
          <w:p w14:paraId="6127FC96" w14:textId="77777777" w:rsidR="00716E85" w:rsidRDefault="00716E85">
            <w:pPr>
              <w:pStyle w:val="a3"/>
              <w:spacing w:before="0" w:beforeAutospacing="0" w:after="0" w:afterAutospacing="0"/>
              <w:jc w:val="right"/>
              <w:rPr>
                <w:sz w:val="12"/>
                <w:szCs w:val="12"/>
              </w:rPr>
            </w:pPr>
            <w:r>
              <w:rPr>
                <w:sz w:val="12"/>
                <w:szCs w:val="12"/>
              </w:rPr>
              <w:t> </w:t>
            </w:r>
          </w:p>
        </w:tc>
      </w:tr>
      <w:tr w:rsidR="00716E85" w14:paraId="7C1F37BC" w14:textId="77777777">
        <w:trPr>
          <w:divId w:val="1018392633"/>
          <w:jc w:val="center"/>
        </w:trPr>
        <w:tc>
          <w:tcPr>
            <w:tcW w:w="450" w:type="pct"/>
            <w:shd w:val="clear" w:color="auto" w:fill="FFFFFF"/>
            <w:hideMark/>
          </w:tcPr>
          <w:p w14:paraId="0ADFE0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hideMark/>
          </w:tcPr>
          <w:p w14:paraId="49A5EF5C" w14:textId="77777777" w:rsidR="00716E85" w:rsidRDefault="00716E85">
            <w:pPr>
              <w:pStyle w:val="a3"/>
              <w:spacing w:before="0" w:beforeAutospacing="0" w:after="0" w:afterAutospacing="0"/>
            </w:pPr>
            <w:r>
              <w:t> </w:t>
            </w:r>
          </w:p>
        </w:tc>
        <w:tc>
          <w:tcPr>
            <w:tcW w:w="4243" w:type="pct"/>
            <w:shd w:val="clear" w:color="auto" w:fill="FFFFFF"/>
            <w:hideMark/>
          </w:tcPr>
          <w:p w14:paraId="7DDC7E0D" w14:textId="77777777" w:rsidR="00716E85" w:rsidRDefault="00716E85">
            <w:pPr>
              <w:pStyle w:val="a3"/>
              <w:spacing w:before="0" w:beforeAutospacing="0" w:after="0" w:afterAutospacing="0"/>
              <w:ind w:left="245" w:hanging="245"/>
              <w:rPr>
                <w:rFonts w:ascii="Calibri" w:hAnsi="Calibri" w:cs="Calibri"/>
                <w:sz w:val="20"/>
                <w:szCs w:val="20"/>
              </w:rPr>
            </w:pPr>
            <w:hyperlink w:anchor="ITEM_1_FINANCIAL_STATEMENTS_UNAUDITED" w:history="1">
              <w:r>
                <w:rPr>
                  <w:rStyle w:val="a4"/>
                  <w:rFonts w:ascii="Calibri" w:hAnsi="Calibri" w:cs="Calibri"/>
                  <w:sz w:val="20"/>
                  <w:szCs w:val="20"/>
                </w:rPr>
                <w:t>Financial Statements (Unaudited)</w:t>
              </w:r>
            </w:hyperlink>
          </w:p>
        </w:tc>
        <w:tc>
          <w:tcPr>
            <w:tcW w:w="65" w:type="pct"/>
            <w:shd w:val="clear" w:color="auto" w:fill="FFFFFF"/>
            <w:hideMark/>
          </w:tcPr>
          <w:p w14:paraId="0EDCAC91"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42D4E34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r>
      <w:tr w:rsidR="00716E85" w14:paraId="692AFDEB" w14:textId="77777777">
        <w:trPr>
          <w:divId w:val="1018392633"/>
          <w:jc w:val="center"/>
        </w:trPr>
        <w:tc>
          <w:tcPr>
            <w:tcW w:w="450" w:type="pct"/>
            <w:shd w:val="clear" w:color="auto" w:fill="FFFFFF"/>
            <w:hideMark/>
          </w:tcPr>
          <w:p w14:paraId="54AA228E"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1DFC73C9"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78F2A375"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0F75BD9D"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32F7D81F" w14:textId="77777777" w:rsidR="00716E85" w:rsidRDefault="00716E85">
            <w:pPr>
              <w:pStyle w:val="a3"/>
              <w:spacing w:before="0" w:beforeAutospacing="0" w:after="0" w:afterAutospacing="0"/>
              <w:jc w:val="right"/>
              <w:rPr>
                <w:sz w:val="12"/>
                <w:szCs w:val="12"/>
              </w:rPr>
            </w:pPr>
            <w:r>
              <w:rPr>
                <w:sz w:val="12"/>
                <w:szCs w:val="12"/>
              </w:rPr>
              <w:t> </w:t>
            </w:r>
          </w:p>
        </w:tc>
      </w:tr>
      <w:tr w:rsidR="00716E85" w14:paraId="32AC97D8" w14:textId="77777777">
        <w:trPr>
          <w:divId w:val="1018392633"/>
          <w:jc w:val="center"/>
        </w:trPr>
        <w:tc>
          <w:tcPr>
            <w:tcW w:w="450" w:type="pct"/>
            <w:shd w:val="clear" w:color="auto" w:fill="FFFFFF"/>
            <w:hideMark/>
          </w:tcPr>
          <w:p w14:paraId="315C06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326C6657" w14:textId="77777777" w:rsidR="00716E85" w:rsidRDefault="00716E85">
            <w:pPr>
              <w:pStyle w:val="a3"/>
              <w:spacing w:before="0" w:beforeAutospacing="0" w:after="0" w:afterAutospacing="0"/>
            </w:pPr>
            <w:r>
              <w:t> </w:t>
            </w:r>
          </w:p>
        </w:tc>
        <w:tc>
          <w:tcPr>
            <w:tcW w:w="4243" w:type="pct"/>
            <w:shd w:val="clear" w:color="auto" w:fill="FFFFFF"/>
            <w:hideMark/>
          </w:tcPr>
          <w:p w14:paraId="039EE190" w14:textId="77777777" w:rsidR="00716E85" w:rsidRDefault="00716E85">
            <w:pPr>
              <w:pStyle w:val="a3"/>
              <w:spacing w:before="0" w:beforeAutospacing="0" w:after="0" w:afterAutospacing="0"/>
              <w:ind w:left="245" w:hanging="245"/>
              <w:rPr>
                <w:rFonts w:ascii="Calibri" w:hAnsi="Calibri" w:cs="Calibri"/>
                <w:sz w:val="20"/>
                <w:szCs w:val="20"/>
              </w:rPr>
            </w:pPr>
            <w:hyperlink w:anchor="CONDENSED_CONSOLIDATED_BALANCE_SHEETS" w:history="1">
              <w:r>
                <w:rPr>
                  <w:rStyle w:val="a4"/>
                  <w:rFonts w:ascii="Calibri" w:hAnsi="Calibri" w:cs="Calibri"/>
                  <w:sz w:val="20"/>
                  <w:szCs w:val="20"/>
                </w:rPr>
                <w:t>Condensed Consolidated Balance Sheets as of February 28, 2019 and May 31, 2018</w:t>
              </w:r>
            </w:hyperlink>
          </w:p>
        </w:tc>
        <w:tc>
          <w:tcPr>
            <w:tcW w:w="65" w:type="pct"/>
            <w:shd w:val="clear" w:color="auto" w:fill="FFFFFF"/>
            <w:hideMark/>
          </w:tcPr>
          <w:p w14:paraId="01400F82"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119F98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r>
      <w:tr w:rsidR="00716E85" w14:paraId="60C7B2BA" w14:textId="77777777">
        <w:trPr>
          <w:divId w:val="1018392633"/>
          <w:jc w:val="center"/>
        </w:trPr>
        <w:tc>
          <w:tcPr>
            <w:tcW w:w="450" w:type="pct"/>
            <w:shd w:val="clear" w:color="auto" w:fill="FFFFFF"/>
            <w:hideMark/>
          </w:tcPr>
          <w:p w14:paraId="2249FC0B"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0B570788"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24C899DA"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3EC30D2F"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5BDDA31F" w14:textId="77777777" w:rsidR="00716E85" w:rsidRDefault="00716E85">
            <w:pPr>
              <w:pStyle w:val="a3"/>
              <w:spacing w:before="0" w:beforeAutospacing="0" w:after="0" w:afterAutospacing="0"/>
              <w:jc w:val="right"/>
              <w:rPr>
                <w:sz w:val="12"/>
                <w:szCs w:val="12"/>
              </w:rPr>
            </w:pPr>
            <w:r>
              <w:rPr>
                <w:sz w:val="12"/>
                <w:szCs w:val="12"/>
              </w:rPr>
              <w:t> </w:t>
            </w:r>
          </w:p>
        </w:tc>
      </w:tr>
      <w:tr w:rsidR="00716E85" w14:paraId="142AE994" w14:textId="77777777">
        <w:trPr>
          <w:divId w:val="1018392633"/>
          <w:jc w:val="center"/>
        </w:trPr>
        <w:tc>
          <w:tcPr>
            <w:tcW w:w="450" w:type="pct"/>
            <w:shd w:val="clear" w:color="auto" w:fill="FFFFFF"/>
            <w:hideMark/>
          </w:tcPr>
          <w:p w14:paraId="68207A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41191C35" w14:textId="77777777" w:rsidR="00716E85" w:rsidRDefault="00716E85">
            <w:pPr>
              <w:pStyle w:val="a3"/>
              <w:spacing w:before="0" w:beforeAutospacing="0" w:after="0" w:afterAutospacing="0"/>
            </w:pPr>
            <w:r>
              <w:t> </w:t>
            </w:r>
          </w:p>
        </w:tc>
        <w:tc>
          <w:tcPr>
            <w:tcW w:w="4243" w:type="pct"/>
            <w:shd w:val="clear" w:color="auto" w:fill="FFFFFF"/>
            <w:hideMark/>
          </w:tcPr>
          <w:p w14:paraId="7B5C00FB" w14:textId="77777777" w:rsidR="00716E85" w:rsidRDefault="00716E85">
            <w:pPr>
              <w:pStyle w:val="a3"/>
              <w:spacing w:before="0" w:beforeAutospacing="0" w:after="0" w:afterAutospacing="0"/>
              <w:ind w:left="245" w:hanging="245"/>
              <w:rPr>
                <w:rFonts w:ascii="Calibri" w:hAnsi="Calibri" w:cs="Calibri"/>
                <w:sz w:val="20"/>
                <w:szCs w:val="20"/>
              </w:rPr>
            </w:pPr>
            <w:hyperlink w:anchor="CONDENSED_CONSOLIDATED_STATEMENTS_OPERA" w:history="1">
              <w:r>
                <w:rPr>
                  <w:rStyle w:val="a4"/>
                  <w:rFonts w:ascii="Calibri" w:hAnsi="Calibri" w:cs="Calibri"/>
                  <w:sz w:val="20"/>
                  <w:szCs w:val="20"/>
                </w:rPr>
                <w:t>Condensed Consolidated Statements of Operations for the Three and Nine Months Ended February 28, 2019 and 2018</w:t>
              </w:r>
            </w:hyperlink>
          </w:p>
        </w:tc>
        <w:tc>
          <w:tcPr>
            <w:tcW w:w="65" w:type="pct"/>
            <w:shd w:val="clear" w:color="auto" w:fill="FFFFFF"/>
            <w:hideMark/>
          </w:tcPr>
          <w:p w14:paraId="139E9453"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45ACE06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r>
      <w:tr w:rsidR="00716E85" w14:paraId="61F3B014" w14:textId="77777777">
        <w:trPr>
          <w:divId w:val="1018392633"/>
          <w:jc w:val="center"/>
        </w:trPr>
        <w:tc>
          <w:tcPr>
            <w:tcW w:w="450" w:type="pct"/>
            <w:shd w:val="clear" w:color="auto" w:fill="FFFFFF"/>
            <w:hideMark/>
          </w:tcPr>
          <w:p w14:paraId="4D4F91C8"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00987649"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73FE6CB6"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029D8A0B"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70C573AD" w14:textId="77777777" w:rsidR="00716E85" w:rsidRDefault="00716E85">
            <w:pPr>
              <w:pStyle w:val="a3"/>
              <w:spacing w:before="0" w:beforeAutospacing="0" w:after="0" w:afterAutospacing="0"/>
              <w:jc w:val="right"/>
              <w:rPr>
                <w:sz w:val="12"/>
                <w:szCs w:val="12"/>
              </w:rPr>
            </w:pPr>
            <w:r>
              <w:rPr>
                <w:sz w:val="12"/>
                <w:szCs w:val="12"/>
              </w:rPr>
              <w:t> </w:t>
            </w:r>
          </w:p>
        </w:tc>
      </w:tr>
      <w:tr w:rsidR="00716E85" w14:paraId="33AE4E8E" w14:textId="77777777">
        <w:trPr>
          <w:divId w:val="1018392633"/>
          <w:jc w:val="center"/>
        </w:trPr>
        <w:tc>
          <w:tcPr>
            <w:tcW w:w="450" w:type="pct"/>
            <w:shd w:val="clear" w:color="auto" w:fill="FFFFFF"/>
            <w:hideMark/>
          </w:tcPr>
          <w:p w14:paraId="5CB6E6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6FAEF00A" w14:textId="77777777" w:rsidR="00716E85" w:rsidRDefault="00716E85">
            <w:pPr>
              <w:pStyle w:val="a3"/>
              <w:spacing w:before="0" w:beforeAutospacing="0" w:after="0" w:afterAutospacing="0"/>
            </w:pPr>
            <w:r>
              <w:t> </w:t>
            </w:r>
          </w:p>
        </w:tc>
        <w:tc>
          <w:tcPr>
            <w:tcW w:w="4243" w:type="pct"/>
            <w:shd w:val="clear" w:color="auto" w:fill="FFFFFF"/>
            <w:hideMark/>
          </w:tcPr>
          <w:p w14:paraId="253BB36F" w14:textId="77777777" w:rsidR="00716E85" w:rsidRDefault="00716E85">
            <w:pPr>
              <w:pStyle w:val="a3"/>
              <w:spacing w:before="0" w:beforeAutospacing="0" w:after="0" w:afterAutospacing="0"/>
              <w:ind w:left="245" w:hanging="245"/>
              <w:rPr>
                <w:rFonts w:ascii="Calibri" w:hAnsi="Calibri" w:cs="Calibri"/>
                <w:sz w:val="20"/>
                <w:szCs w:val="20"/>
              </w:rPr>
            </w:pPr>
            <w:hyperlink w:anchor="CONDENSED_CONSOLIDATED_STATEMENTS_COMPR" w:history="1">
              <w:r>
                <w:rPr>
                  <w:rStyle w:val="a4"/>
                  <w:rFonts w:ascii="Calibri" w:hAnsi="Calibri" w:cs="Calibri"/>
                  <w:sz w:val="20"/>
                  <w:szCs w:val="20"/>
                </w:rPr>
                <w:t>Condensed Consolidated Statements of Comprehensive Income (Loss) for the Three and Nine Months Ended February 28, 2019 and 2018</w:t>
              </w:r>
            </w:hyperlink>
          </w:p>
        </w:tc>
        <w:tc>
          <w:tcPr>
            <w:tcW w:w="65" w:type="pct"/>
            <w:shd w:val="clear" w:color="auto" w:fill="FFFFFF"/>
            <w:hideMark/>
          </w:tcPr>
          <w:p w14:paraId="7E5F7047"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2E63548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r>
      <w:tr w:rsidR="00716E85" w14:paraId="2918FD19" w14:textId="77777777">
        <w:trPr>
          <w:divId w:val="1018392633"/>
          <w:jc w:val="center"/>
        </w:trPr>
        <w:tc>
          <w:tcPr>
            <w:tcW w:w="450" w:type="pct"/>
            <w:shd w:val="clear" w:color="auto" w:fill="FFFFFF"/>
            <w:hideMark/>
          </w:tcPr>
          <w:p w14:paraId="41086811"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7A8D1CC7"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1295FEDF"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1F5F7F2A"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2D9E330B" w14:textId="77777777" w:rsidR="00716E85" w:rsidRDefault="00716E85">
            <w:pPr>
              <w:pStyle w:val="a3"/>
              <w:spacing w:before="0" w:beforeAutospacing="0" w:after="0" w:afterAutospacing="0"/>
              <w:jc w:val="right"/>
              <w:rPr>
                <w:sz w:val="12"/>
                <w:szCs w:val="12"/>
              </w:rPr>
            </w:pPr>
            <w:r>
              <w:rPr>
                <w:sz w:val="12"/>
                <w:szCs w:val="12"/>
              </w:rPr>
              <w:t> </w:t>
            </w:r>
          </w:p>
        </w:tc>
      </w:tr>
      <w:tr w:rsidR="00716E85" w14:paraId="1976FF11" w14:textId="77777777">
        <w:trPr>
          <w:divId w:val="1018392633"/>
          <w:jc w:val="center"/>
        </w:trPr>
        <w:tc>
          <w:tcPr>
            <w:tcW w:w="450" w:type="pct"/>
            <w:shd w:val="clear" w:color="auto" w:fill="FFFFFF"/>
            <w:hideMark/>
          </w:tcPr>
          <w:p w14:paraId="3EB262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5C6F231C" w14:textId="77777777" w:rsidR="00716E85" w:rsidRDefault="00716E85">
            <w:pPr>
              <w:pStyle w:val="a3"/>
              <w:spacing w:before="0" w:beforeAutospacing="0" w:after="0" w:afterAutospacing="0"/>
            </w:pPr>
            <w:r>
              <w:t> </w:t>
            </w:r>
          </w:p>
        </w:tc>
        <w:tc>
          <w:tcPr>
            <w:tcW w:w="4243" w:type="pct"/>
            <w:shd w:val="clear" w:color="auto" w:fill="FFFFFF"/>
            <w:hideMark/>
          </w:tcPr>
          <w:p w14:paraId="2EA2D36C" w14:textId="77777777" w:rsidR="00716E85" w:rsidRDefault="00716E85">
            <w:pPr>
              <w:pStyle w:val="a3"/>
              <w:spacing w:before="0" w:beforeAutospacing="0" w:after="0" w:afterAutospacing="0"/>
              <w:ind w:left="245" w:hanging="245"/>
              <w:rPr>
                <w:rFonts w:ascii="Calibri" w:hAnsi="Calibri" w:cs="Calibri"/>
                <w:sz w:val="20"/>
                <w:szCs w:val="20"/>
              </w:rPr>
            </w:pPr>
            <w:hyperlink w:anchor="Equity_2019" w:history="1">
              <w:r>
                <w:rPr>
                  <w:rStyle w:val="a4"/>
                  <w:rFonts w:ascii="Calibri" w:hAnsi="Calibri" w:cs="Calibri"/>
                  <w:sz w:val="20"/>
                  <w:szCs w:val="20"/>
                </w:rPr>
                <w:t>Condensed Consolidated Statements of Equity for the Three and Nine Months Ended February 28, 2019 and 2018</w:t>
              </w:r>
            </w:hyperlink>
          </w:p>
        </w:tc>
        <w:tc>
          <w:tcPr>
            <w:tcW w:w="65" w:type="pct"/>
            <w:shd w:val="clear" w:color="auto" w:fill="FFFFFF"/>
            <w:hideMark/>
          </w:tcPr>
          <w:p w14:paraId="37959F71"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0212774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r>
      <w:tr w:rsidR="00716E85" w14:paraId="05B24748" w14:textId="77777777">
        <w:trPr>
          <w:divId w:val="1018392633"/>
          <w:jc w:val="center"/>
        </w:trPr>
        <w:tc>
          <w:tcPr>
            <w:tcW w:w="450" w:type="pct"/>
            <w:shd w:val="clear" w:color="auto" w:fill="FFFFFF"/>
            <w:hideMark/>
          </w:tcPr>
          <w:p w14:paraId="0523F6F7"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4FC6064B"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7AEC5DA9"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58D2043E"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0BF9B570" w14:textId="77777777" w:rsidR="00716E85" w:rsidRDefault="00716E85">
            <w:pPr>
              <w:pStyle w:val="a3"/>
              <w:spacing w:before="0" w:beforeAutospacing="0" w:after="0" w:afterAutospacing="0"/>
              <w:jc w:val="right"/>
              <w:rPr>
                <w:sz w:val="12"/>
                <w:szCs w:val="12"/>
              </w:rPr>
            </w:pPr>
            <w:r>
              <w:rPr>
                <w:sz w:val="12"/>
                <w:szCs w:val="12"/>
              </w:rPr>
              <w:t> </w:t>
            </w:r>
          </w:p>
        </w:tc>
      </w:tr>
      <w:tr w:rsidR="00716E85" w14:paraId="3468426A" w14:textId="77777777">
        <w:trPr>
          <w:divId w:val="1018392633"/>
          <w:jc w:val="center"/>
        </w:trPr>
        <w:tc>
          <w:tcPr>
            <w:tcW w:w="450" w:type="pct"/>
            <w:shd w:val="clear" w:color="auto" w:fill="FFFFFF"/>
            <w:hideMark/>
          </w:tcPr>
          <w:p w14:paraId="236554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01666C18" w14:textId="77777777" w:rsidR="00716E85" w:rsidRDefault="00716E85">
            <w:pPr>
              <w:pStyle w:val="a3"/>
              <w:spacing w:before="0" w:beforeAutospacing="0" w:after="0" w:afterAutospacing="0"/>
            </w:pPr>
            <w:r>
              <w:t> </w:t>
            </w:r>
          </w:p>
        </w:tc>
        <w:tc>
          <w:tcPr>
            <w:tcW w:w="4243" w:type="pct"/>
            <w:shd w:val="clear" w:color="auto" w:fill="FFFFFF"/>
            <w:hideMark/>
          </w:tcPr>
          <w:p w14:paraId="514D88CB" w14:textId="77777777" w:rsidR="00716E85" w:rsidRDefault="00716E85">
            <w:pPr>
              <w:pStyle w:val="a3"/>
              <w:spacing w:before="0" w:beforeAutospacing="0" w:after="0" w:afterAutospacing="0"/>
              <w:ind w:left="245" w:hanging="245"/>
              <w:rPr>
                <w:rFonts w:ascii="Calibri" w:hAnsi="Calibri" w:cs="Calibri"/>
                <w:sz w:val="20"/>
                <w:szCs w:val="20"/>
              </w:rPr>
            </w:pPr>
            <w:hyperlink w:anchor="CONDENSED_CONSOLIDATED_STATEMENTS_CASH_" w:history="1">
              <w:r>
                <w:rPr>
                  <w:rStyle w:val="a4"/>
                  <w:rFonts w:ascii="Calibri" w:hAnsi="Calibri" w:cs="Calibri"/>
                  <w:sz w:val="20"/>
                  <w:szCs w:val="20"/>
                </w:rPr>
                <w:t>Condensed Consolidated Statements of Cash Flows for the Nine Months Ended February 28, 2019 and 2018</w:t>
              </w:r>
            </w:hyperlink>
          </w:p>
        </w:tc>
        <w:tc>
          <w:tcPr>
            <w:tcW w:w="65" w:type="pct"/>
            <w:shd w:val="clear" w:color="auto" w:fill="FFFFFF"/>
            <w:hideMark/>
          </w:tcPr>
          <w:p w14:paraId="2685B6CE"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72C2C0B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r>
      <w:tr w:rsidR="00716E85" w14:paraId="4F2644C6" w14:textId="77777777">
        <w:trPr>
          <w:divId w:val="1018392633"/>
          <w:jc w:val="center"/>
        </w:trPr>
        <w:tc>
          <w:tcPr>
            <w:tcW w:w="450" w:type="pct"/>
            <w:shd w:val="clear" w:color="auto" w:fill="FFFFFF"/>
            <w:hideMark/>
          </w:tcPr>
          <w:p w14:paraId="1EC8A1D2"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11F4A971"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721517B5"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2E3B7BC8"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3B087967" w14:textId="77777777" w:rsidR="00716E85" w:rsidRDefault="00716E85">
            <w:pPr>
              <w:pStyle w:val="a3"/>
              <w:spacing w:before="0" w:beforeAutospacing="0" w:after="0" w:afterAutospacing="0"/>
              <w:jc w:val="right"/>
              <w:rPr>
                <w:sz w:val="12"/>
                <w:szCs w:val="12"/>
              </w:rPr>
            </w:pPr>
            <w:r>
              <w:rPr>
                <w:sz w:val="12"/>
                <w:szCs w:val="12"/>
              </w:rPr>
              <w:t> </w:t>
            </w:r>
          </w:p>
        </w:tc>
      </w:tr>
      <w:tr w:rsidR="00716E85" w14:paraId="2BC2742C" w14:textId="77777777">
        <w:trPr>
          <w:divId w:val="1018392633"/>
          <w:jc w:val="center"/>
        </w:trPr>
        <w:tc>
          <w:tcPr>
            <w:tcW w:w="450" w:type="pct"/>
            <w:shd w:val="clear" w:color="auto" w:fill="FFFFFF"/>
            <w:hideMark/>
          </w:tcPr>
          <w:p w14:paraId="0A2950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6DFE252E" w14:textId="77777777" w:rsidR="00716E85" w:rsidRDefault="00716E85">
            <w:pPr>
              <w:pStyle w:val="a3"/>
              <w:spacing w:before="0" w:beforeAutospacing="0" w:after="0" w:afterAutospacing="0"/>
            </w:pPr>
            <w:r>
              <w:t> </w:t>
            </w:r>
          </w:p>
        </w:tc>
        <w:tc>
          <w:tcPr>
            <w:tcW w:w="4243" w:type="pct"/>
            <w:shd w:val="clear" w:color="auto" w:fill="FFFFFF"/>
            <w:hideMark/>
          </w:tcPr>
          <w:p w14:paraId="49E54488" w14:textId="77777777" w:rsidR="00716E85" w:rsidRDefault="00716E85">
            <w:pPr>
              <w:pStyle w:val="a3"/>
              <w:spacing w:before="0" w:beforeAutospacing="0" w:after="0" w:afterAutospacing="0"/>
              <w:ind w:left="245" w:hanging="245"/>
              <w:rPr>
                <w:rFonts w:ascii="Calibri" w:hAnsi="Calibri" w:cs="Calibri"/>
                <w:sz w:val="20"/>
                <w:szCs w:val="20"/>
              </w:rPr>
            </w:pPr>
            <w:hyperlink w:anchor="NOTES_TO_CONDENSED_CONSOLIDATED_FINANCI" w:history="1">
              <w:r>
                <w:rPr>
                  <w:rStyle w:val="a4"/>
                  <w:rFonts w:ascii="Calibri" w:hAnsi="Calibri" w:cs="Calibri"/>
                  <w:sz w:val="20"/>
                  <w:szCs w:val="20"/>
                </w:rPr>
                <w:t>Notes to Condensed Consolidated Financial Statements</w:t>
              </w:r>
            </w:hyperlink>
          </w:p>
        </w:tc>
        <w:tc>
          <w:tcPr>
            <w:tcW w:w="65" w:type="pct"/>
            <w:shd w:val="clear" w:color="auto" w:fill="FFFFFF"/>
            <w:hideMark/>
          </w:tcPr>
          <w:p w14:paraId="7B82E1C1"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671BACD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r>
      <w:tr w:rsidR="00716E85" w14:paraId="37FF4FBF" w14:textId="77777777">
        <w:trPr>
          <w:divId w:val="1018392633"/>
          <w:jc w:val="center"/>
        </w:trPr>
        <w:tc>
          <w:tcPr>
            <w:tcW w:w="450" w:type="pct"/>
            <w:shd w:val="clear" w:color="auto" w:fill="FFFFFF"/>
            <w:hideMark/>
          </w:tcPr>
          <w:p w14:paraId="5DEF7B13"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47515F7E"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17C94B94"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20652856"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63C92E3A" w14:textId="77777777" w:rsidR="00716E85" w:rsidRDefault="00716E85">
            <w:pPr>
              <w:pStyle w:val="a3"/>
              <w:spacing w:before="0" w:beforeAutospacing="0" w:after="0" w:afterAutospacing="0"/>
              <w:jc w:val="right"/>
              <w:rPr>
                <w:sz w:val="12"/>
                <w:szCs w:val="12"/>
              </w:rPr>
            </w:pPr>
            <w:r>
              <w:rPr>
                <w:sz w:val="12"/>
                <w:szCs w:val="12"/>
              </w:rPr>
              <w:t> </w:t>
            </w:r>
          </w:p>
        </w:tc>
      </w:tr>
      <w:tr w:rsidR="00716E85" w14:paraId="1F974D96" w14:textId="77777777">
        <w:trPr>
          <w:divId w:val="1018392633"/>
          <w:jc w:val="center"/>
        </w:trPr>
        <w:tc>
          <w:tcPr>
            <w:tcW w:w="450" w:type="pct"/>
            <w:shd w:val="clear" w:color="auto" w:fill="FFFFFF"/>
            <w:hideMark/>
          </w:tcPr>
          <w:p w14:paraId="58A322B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hideMark/>
          </w:tcPr>
          <w:p w14:paraId="05776F2C" w14:textId="77777777" w:rsidR="00716E85" w:rsidRDefault="00716E85">
            <w:pPr>
              <w:pStyle w:val="a3"/>
              <w:spacing w:before="0" w:beforeAutospacing="0" w:after="0" w:afterAutospacing="0"/>
            </w:pPr>
            <w:r>
              <w:t> </w:t>
            </w:r>
          </w:p>
        </w:tc>
        <w:tc>
          <w:tcPr>
            <w:tcW w:w="4243" w:type="pct"/>
            <w:shd w:val="clear" w:color="auto" w:fill="FFFFFF"/>
            <w:hideMark/>
          </w:tcPr>
          <w:p w14:paraId="51F0904C" w14:textId="77777777" w:rsidR="00716E85" w:rsidRDefault="00716E85">
            <w:pPr>
              <w:pStyle w:val="a3"/>
              <w:spacing w:before="0" w:beforeAutospacing="0" w:after="0" w:afterAutospacing="0"/>
              <w:ind w:left="245" w:hanging="245"/>
              <w:rPr>
                <w:rFonts w:ascii="Calibri" w:hAnsi="Calibri" w:cs="Calibri"/>
                <w:sz w:val="20"/>
                <w:szCs w:val="20"/>
              </w:rPr>
            </w:pPr>
            <w:hyperlink w:anchor="ITEM_2_MANAGEMENTS_DISCUSSION_ANALYSIS_" w:history="1">
              <w:r>
                <w:rPr>
                  <w:rStyle w:val="a4"/>
                  <w:rFonts w:ascii="Calibri" w:hAnsi="Calibri" w:cs="Calibri"/>
                  <w:sz w:val="20"/>
                  <w:szCs w:val="20"/>
                </w:rPr>
                <w:t>Management’s Discussion and Analysis of Financial Condition and Results of Operations</w:t>
              </w:r>
            </w:hyperlink>
          </w:p>
        </w:tc>
        <w:tc>
          <w:tcPr>
            <w:tcW w:w="65" w:type="pct"/>
            <w:shd w:val="clear" w:color="auto" w:fill="FFFFFF"/>
            <w:hideMark/>
          </w:tcPr>
          <w:p w14:paraId="14DC9EFC"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6ECBE82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w:t>
            </w:r>
          </w:p>
        </w:tc>
      </w:tr>
      <w:tr w:rsidR="00716E85" w14:paraId="4B641159" w14:textId="77777777">
        <w:trPr>
          <w:divId w:val="1018392633"/>
          <w:jc w:val="center"/>
        </w:trPr>
        <w:tc>
          <w:tcPr>
            <w:tcW w:w="450" w:type="pct"/>
            <w:shd w:val="clear" w:color="auto" w:fill="FFFFFF"/>
            <w:hideMark/>
          </w:tcPr>
          <w:p w14:paraId="0A88265F"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2434CACD"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1854EE78"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0D4D3CD3"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67232C36" w14:textId="77777777" w:rsidR="00716E85" w:rsidRDefault="00716E85">
            <w:pPr>
              <w:pStyle w:val="a3"/>
              <w:spacing w:before="0" w:beforeAutospacing="0" w:after="0" w:afterAutospacing="0"/>
              <w:jc w:val="right"/>
              <w:rPr>
                <w:sz w:val="12"/>
                <w:szCs w:val="12"/>
              </w:rPr>
            </w:pPr>
            <w:r>
              <w:rPr>
                <w:sz w:val="12"/>
                <w:szCs w:val="12"/>
              </w:rPr>
              <w:t> </w:t>
            </w:r>
          </w:p>
        </w:tc>
      </w:tr>
      <w:tr w:rsidR="00716E85" w14:paraId="1F20D2A9" w14:textId="77777777">
        <w:trPr>
          <w:divId w:val="1018392633"/>
          <w:jc w:val="center"/>
        </w:trPr>
        <w:tc>
          <w:tcPr>
            <w:tcW w:w="450" w:type="pct"/>
            <w:shd w:val="clear" w:color="auto" w:fill="FFFFFF"/>
            <w:hideMark/>
          </w:tcPr>
          <w:p w14:paraId="58FA55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hideMark/>
          </w:tcPr>
          <w:p w14:paraId="16A4805E" w14:textId="77777777" w:rsidR="00716E85" w:rsidRDefault="00716E85">
            <w:pPr>
              <w:pStyle w:val="a3"/>
              <w:spacing w:before="0" w:beforeAutospacing="0" w:after="0" w:afterAutospacing="0"/>
            </w:pPr>
            <w:r>
              <w:t> </w:t>
            </w:r>
          </w:p>
        </w:tc>
        <w:tc>
          <w:tcPr>
            <w:tcW w:w="4243" w:type="pct"/>
            <w:shd w:val="clear" w:color="auto" w:fill="FFFFFF"/>
            <w:hideMark/>
          </w:tcPr>
          <w:p w14:paraId="3FDD5803" w14:textId="77777777" w:rsidR="00716E85" w:rsidRDefault="00716E85">
            <w:pPr>
              <w:pStyle w:val="a3"/>
              <w:spacing w:before="0" w:beforeAutospacing="0" w:after="0" w:afterAutospacing="0"/>
              <w:ind w:left="245" w:hanging="245"/>
              <w:rPr>
                <w:rFonts w:ascii="Calibri" w:hAnsi="Calibri" w:cs="Calibri"/>
                <w:sz w:val="20"/>
                <w:szCs w:val="20"/>
              </w:rPr>
            </w:pPr>
            <w:hyperlink w:anchor="ITEM_3_QUANTITATIVE_QUALITATIVE_DISCLOS" w:history="1">
              <w:r>
                <w:rPr>
                  <w:rStyle w:val="a4"/>
                  <w:rFonts w:ascii="Calibri" w:hAnsi="Calibri" w:cs="Calibri"/>
                  <w:sz w:val="20"/>
                  <w:szCs w:val="20"/>
                </w:rPr>
                <w:t>Quantitative and Qualitative Disclosures About Market Risk</w:t>
              </w:r>
            </w:hyperlink>
          </w:p>
        </w:tc>
        <w:tc>
          <w:tcPr>
            <w:tcW w:w="65" w:type="pct"/>
            <w:shd w:val="clear" w:color="auto" w:fill="FFFFFF"/>
            <w:hideMark/>
          </w:tcPr>
          <w:p w14:paraId="298637F8"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1D1DE68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r>
      <w:tr w:rsidR="00716E85" w14:paraId="15E20CF9" w14:textId="77777777">
        <w:trPr>
          <w:divId w:val="1018392633"/>
          <w:jc w:val="center"/>
        </w:trPr>
        <w:tc>
          <w:tcPr>
            <w:tcW w:w="450" w:type="pct"/>
            <w:shd w:val="clear" w:color="auto" w:fill="FFFFFF"/>
            <w:hideMark/>
          </w:tcPr>
          <w:p w14:paraId="493E512B"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76BCCC2A"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43F15687"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1C9148D8"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0CA44B1B" w14:textId="77777777" w:rsidR="00716E85" w:rsidRDefault="00716E85">
            <w:pPr>
              <w:pStyle w:val="a3"/>
              <w:spacing w:before="0" w:beforeAutospacing="0" w:after="0" w:afterAutospacing="0"/>
              <w:jc w:val="right"/>
              <w:rPr>
                <w:sz w:val="12"/>
                <w:szCs w:val="12"/>
              </w:rPr>
            </w:pPr>
            <w:r>
              <w:rPr>
                <w:sz w:val="12"/>
                <w:szCs w:val="12"/>
              </w:rPr>
              <w:t> </w:t>
            </w:r>
          </w:p>
        </w:tc>
      </w:tr>
      <w:tr w:rsidR="00716E85" w14:paraId="71504BA5" w14:textId="77777777">
        <w:trPr>
          <w:divId w:val="1018392633"/>
          <w:jc w:val="center"/>
        </w:trPr>
        <w:tc>
          <w:tcPr>
            <w:tcW w:w="450" w:type="pct"/>
            <w:shd w:val="clear" w:color="auto" w:fill="FFFFFF"/>
            <w:hideMark/>
          </w:tcPr>
          <w:p w14:paraId="1C186E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hideMark/>
          </w:tcPr>
          <w:p w14:paraId="70612BC2" w14:textId="77777777" w:rsidR="00716E85" w:rsidRDefault="00716E85">
            <w:pPr>
              <w:pStyle w:val="a3"/>
              <w:spacing w:before="0" w:beforeAutospacing="0" w:after="0" w:afterAutospacing="0"/>
            </w:pPr>
            <w:r>
              <w:t> </w:t>
            </w:r>
          </w:p>
        </w:tc>
        <w:tc>
          <w:tcPr>
            <w:tcW w:w="4243" w:type="pct"/>
            <w:shd w:val="clear" w:color="auto" w:fill="FFFFFF"/>
            <w:hideMark/>
          </w:tcPr>
          <w:p w14:paraId="5AD8A2C4" w14:textId="77777777" w:rsidR="00716E85" w:rsidRDefault="00716E85">
            <w:pPr>
              <w:pStyle w:val="a3"/>
              <w:spacing w:before="0" w:beforeAutospacing="0" w:after="0" w:afterAutospacing="0"/>
              <w:ind w:left="245" w:hanging="245"/>
              <w:rPr>
                <w:rFonts w:ascii="Calibri" w:hAnsi="Calibri" w:cs="Calibri"/>
                <w:sz w:val="20"/>
                <w:szCs w:val="20"/>
              </w:rPr>
            </w:pPr>
            <w:hyperlink w:anchor="ITEM_4_CONTROLS_PROCEDURES" w:history="1">
              <w:r>
                <w:rPr>
                  <w:rStyle w:val="a4"/>
                  <w:rFonts w:ascii="Calibri" w:hAnsi="Calibri" w:cs="Calibri"/>
                  <w:sz w:val="20"/>
                  <w:szCs w:val="20"/>
                </w:rPr>
                <w:t>Controls and Procedures</w:t>
              </w:r>
            </w:hyperlink>
          </w:p>
        </w:tc>
        <w:tc>
          <w:tcPr>
            <w:tcW w:w="65" w:type="pct"/>
            <w:shd w:val="clear" w:color="auto" w:fill="FFFFFF"/>
            <w:hideMark/>
          </w:tcPr>
          <w:p w14:paraId="43E92B9E"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633B343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r>
      <w:tr w:rsidR="00716E85" w14:paraId="768A7407" w14:textId="77777777">
        <w:trPr>
          <w:divId w:val="1018392633"/>
          <w:jc w:val="center"/>
        </w:trPr>
        <w:tc>
          <w:tcPr>
            <w:tcW w:w="450" w:type="pct"/>
            <w:shd w:val="clear" w:color="auto" w:fill="FFFFFF"/>
            <w:hideMark/>
          </w:tcPr>
          <w:p w14:paraId="3072F553"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453A38B5"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659E6380"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085C06FC"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4D84B116" w14:textId="77777777" w:rsidR="00716E85" w:rsidRDefault="00716E85">
            <w:pPr>
              <w:pStyle w:val="a3"/>
              <w:spacing w:before="0" w:beforeAutospacing="0" w:after="0" w:afterAutospacing="0"/>
              <w:jc w:val="right"/>
              <w:rPr>
                <w:sz w:val="12"/>
                <w:szCs w:val="12"/>
              </w:rPr>
            </w:pPr>
            <w:r>
              <w:rPr>
                <w:sz w:val="12"/>
                <w:szCs w:val="12"/>
              </w:rPr>
              <w:t> </w:t>
            </w:r>
          </w:p>
        </w:tc>
      </w:tr>
      <w:tr w:rsidR="00716E85" w14:paraId="5FDC0041" w14:textId="77777777">
        <w:trPr>
          <w:divId w:val="1018392633"/>
          <w:jc w:val="center"/>
        </w:trPr>
        <w:tc>
          <w:tcPr>
            <w:tcW w:w="450" w:type="pct"/>
            <w:shd w:val="clear" w:color="auto" w:fill="FFFFFF"/>
            <w:hideMark/>
          </w:tcPr>
          <w:p w14:paraId="389224FB"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hideMark/>
          </w:tcPr>
          <w:p w14:paraId="59A19583" w14:textId="77777777" w:rsidR="00716E85" w:rsidRDefault="00716E85">
            <w:pPr>
              <w:pStyle w:val="a3"/>
            </w:pPr>
            <w:r>
              <w:t> </w:t>
            </w:r>
          </w:p>
        </w:tc>
        <w:tc>
          <w:tcPr>
            <w:tcW w:w="4243" w:type="pct"/>
            <w:shd w:val="clear" w:color="auto" w:fill="FFFFFF"/>
            <w:hideMark/>
          </w:tcPr>
          <w:p w14:paraId="26F1A4BF" w14:textId="77777777" w:rsidR="00716E85" w:rsidRDefault="00716E85">
            <w:pPr>
              <w:pStyle w:val="a3"/>
              <w:spacing w:before="0" w:beforeAutospacing="0" w:after="0" w:afterAutospacing="0"/>
              <w:rPr>
                <w:rFonts w:ascii="Calibri" w:hAnsi="Calibri" w:cs="Calibri"/>
                <w:b/>
                <w:bCs/>
                <w:sz w:val="20"/>
                <w:szCs w:val="20"/>
              </w:rPr>
            </w:pPr>
            <w:hyperlink w:anchor="PART_II_OR_INFORMATION" w:history="1">
              <w:r>
                <w:rPr>
                  <w:rStyle w:val="a4"/>
                  <w:rFonts w:ascii="Calibri" w:hAnsi="Calibri" w:cs="Calibri"/>
                  <w:b/>
                  <w:bCs/>
                  <w:sz w:val="20"/>
                  <w:szCs w:val="20"/>
                  <w:u w:val="none"/>
                </w:rPr>
                <w:t>OTHER INFORMATION</w:t>
              </w:r>
            </w:hyperlink>
          </w:p>
        </w:tc>
        <w:tc>
          <w:tcPr>
            <w:tcW w:w="65" w:type="pct"/>
            <w:shd w:val="clear" w:color="auto" w:fill="FFFFFF"/>
            <w:hideMark/>
          </w:tcPr>
          <w:p w14:paraId="1F4A0B48" w14:textId="77777777" w:rsidR="00716E85" w:rsidRDefault="00716E85">
            <w:pPr>
              <w:pStyle w:val="a3"/>
            </w:pPr>
            <w:r>
              <w:t> </w:t>
            </w:r>
          </w:p>
        </w:tc>
        <w:tc>
          <w:tcPr>
            <w:tcW w:w="192" w:type="pct"/>
            <w:shd w:val="clear" w:color="auto" w:fill="FFFFFF"/>
            <w:vAlign w:val="bottom"/>
            <w:hideMark/>
          </w:tcPr>
          <w:p w14:paraId="769F7F1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r>
      <w:tr w:rsidR="00716E85" w14:paraId="732D7308" w14:textId="77777777">
        <w:trPr>
          <w:divId w:val="1018392633"/>
          <w:jc w:val="center"/>
        </w:trPr>
        <w:tc>
          <w:tcPr>
            <w:tcW w:w="450" w:type="pct"/>
            <w:shd w:val="clear" w:color="auto" w:fill="FFFFFF"/>
            <w:hideMark/>
          </w:tcPr>
          <w:p w14:paraId="1602A88A" w14:textId="77777777" w:rsidR="00716E85" w:rsidRDefault="00716E85">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hideMark/>
          </w:tcPr>
          <w:p w14:paraId="7F087153" w14:textId="77777777" w:rsidR="00716E85" w:rsidRDefault="00716E85">
            <w:pPr>
              <w:pStyle w:val="a3"/>
              <w:spacing w:before="0" w:beforeAutospacing="0" w:after="0" w:afterAutospacing="0"/>
              <w:rPr>
                <w:b/>
                <w:bCs/>
                <w:sz w:val="12"/>
                <w:szCs w:val="12"/>
              </w:rPr>
            </w:pPr>
            <w:r>
              <w:rPr>
                <w:b/>
                <w:bCs/>
                <w:sz w:val="12"/>
                <w:szCs w:val="12"/>
              </w:rPr>
              <w:t> </w:t>
            </w:r>
          </w:p>
        </w:tc>
        <w:tc>
          <w:tcPr>
            <w:tcW w:w="4243" w:type="pct"/>
            <w:shd w:val="clear" w:color="auto" w:fill="FFFFFF"/>
            <w:hideMark/>
          </w:tcPr>
          <w:p w14:paraId="01F06A07" w14:textId="77777777" w:rsidR="00716E85" w:rsidRDefault="00716E85">
            <w:pPr>
              <w:pStyle w:val="a3"/>
              <w:spacing w:before="0" w:beforeAutospacing="0" w:after="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hideMark/>
          </w:tcPr>
          <w:p w14:paraId="7F203F2B" w14:textId="77777777" w:rsidR="00716E85" w:rsidRDefault="00716E85">
            <w:pPr>
              <w:pStyle w:val="a3"/>
              <w:spacing w:before="0" w:beforeAutospacing="0" w:after="0" w:afterAutospacing="0"/>
              <w:rPr>
                <w:b/>
                <w:bCs/>
                <w:sz w:val="12"/>
                <w:szCs w:val="12"/>
              </w:rPr>
            </w:pPr>
            <w:r>
              <w:rPr>
                <w:b/>
                <w:bCs/>
                <w:sz w:val="12"/>
                <w:szCs w:val="12"/>
              </w:rPr>
              <w:t> </w:t>
            </w:r>
          </w:p>
        </w:tc>
        <w:tc>
          <w:tcPr>
            <w:tcW w:w="192" w:type="pct"/>
            <w:shd w:val="clear" w:color="auto" w:fill="FFFFFF"/>
            <w:vAlign w:val="bottom"/>
            <w:hideMark/>
          </w:tcPr>
          <w:p w14:paraId="13245068" w14:textId="77777777" w:rsidR="00716E85" w:rsidRDefault="00716E85">
            <w:pPr>
              <w:pStyle w:val="a3"/>
              <w:spacing w:before="0" w:beforeAutospacing="0" w:after="0" w:afterAutospacing="0"/>
              <w:jc w:val="right"/>
              <w:rPr>
                <w:sz w:val="12"/>
                <w:szCs w:val="12"/>
              </w:rPr>
            </w:pPr>
            <w:r>
              <w:rPr>
                <w:sz w:val="12"/>
                <w:szCs w:val="12"/>
              </w:rPr>
              <w:t> </w:t>
            </w:r>
          </w:p>
        </w:tc>
      </w:tr>
      <w:tr w:rsidR="00716E85" w14:paraId="2C344390" w14:textId="77777777">
        <w:trPr>
          <w:divId w:val="1018392633"/>
          <w:jc w:val="center"/>
        </w:trPr>
        <w:tc>
          <w:tcPr>
            <w:tcW w:w="450" w:type="pct"/>
            <w:shd w:val="clear" w:color="auto" w:fill="FFFFFF"/>
            <w:hideMark/>
          </w:tcPr>
          <w:p w14:paraId="31A2DE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hideMark/>
          </w:tcPr>
          <w:p w14:paraId="5031A63B" w14:textId="77777777" w:rsidR="00716E85" w:rsidRDefault="00716E85">
            <w:pPr>
              <w:pStyle w:val="a3"/>
              <w:spacing w:before="0" w:beforeAutospacing="0" w:after="0" w:afterAutospacing="0"/>
            </w:pPr>
            <w:r>
              <w:t> </w:t>
            </w:r>
          </w:p>
        </w:tc>
        <w:tc>
          <w:tcPr>
            <w:tcW w:w="4243" w:type="pct"/>
            <w:shd w:val="clear" w:color="auto" w:fill="FFFFFF"/>
            <w:hideMark/>
          </w:tcPr>
          <w:p w14:paraId="1BC30F62" w14:textId="77777777" w:rsidR="00716E85" w:rsidRDefault="00716E85">
            <w:pPr>
              <w:pStyle w:val="a3"/>
              <w:spacing w:before="0" w:beforeAutospacing="0" w:after="0" w:afterAutospacing="0"/>
              <w:ind w:left="245" w:hanging="245"/>
              <w:rPr>
                <w:rFonts w:ascii="Calibri" w:hAnsi="Calibri" w:cs="Calibri"/>
                <w:sz w:val="20"/>
                <w:szCs w:val="20"/>
              </w:rPr>
            </w:pPr>
            <w:hyperlink w:anchor="ITEM_1_LEGAL_PROCEEDINGS" w:history="1">
              <w:r>
                <w:rPr>
                  <w:rStyle w:val="a4"/>
                  <w:rFonts w:ascii="Calibri" w:hAnsi="Calibri" w:cs="Calibri"/>
                  <w:sz w:val="20"/>
                  <w:szCs w:val="20"/>
                </w:rPr>
                <w:t>Legal Proceedings</w:t>
              </w:r>
            </w:hyperlink>
          </w:p>
        </w:tc>
        <w:tc>
          <w:tcPr>
            <w:tcW w:w="65" w:type="pct"/>
            <w:shd w:val="clear" w:color="auto" w:fill="FFFFFF"/>
            <w:hideMark/>
          </w:tcPr>
          <w:p w14:paraId="2531F64C"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08C2975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r>
      <w:tr w:rsidR="00716E85" w14:paraId="274D9446" w14:textId="77777777">
        <w:trPr>
          <w:divId w:val="1018392633"/>
          <w:jc w:val="center"/>
        </w:trPr>
        <w:tc>
          <w:tcPr>
            <w:tcW w:w="450" w:type="pct"/>
            <w:shd w:val="clear" w:color="auto" w:fill="FFFFFF"/>
            <w:hideMark/>
          </w:tcPr>
          <w:p w14:paraId="6C10C12E"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59CFE1B1"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1712375E"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30E2D27D"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08B1C7E0" w14:textId="77777777" w:rsidR="00716E85" w:rsidRDefault="00716E85">
            <w:pPr>
              <w:pStyle w:val="a3"/>
              <w:spacing w:before="0" w:beforeAutospacing="0" w:after="0" w:afterAutospacing="0"/>
              <w:jc w:val="right"/>
              <w:rPr>
                <w:sz w:val="12"/>
                <w:szCs w:val="12"/>
              </w:rPr>
            </w:pPr>
            <w:r>
              <w:rPr>
                <w:sz w:val="12"/>
                <w:szCs w:val="12"/>
              </w:rPr>
              <w:t> </w:t>
            </w:r>
          </w:p>
        </w:tc>
      </w:tr>
      <w:tr w:rsidR="00716E85" w14:paraId="4797E78A" w14:textId="77777777">
        <w:trPr>
          <w:divId w:val="1018392633"/>
          <w:jc w:val="center"/>
        </w:trPr>
        <w:tc>
          <w:tcPr>
            <w:tcW w:w="450" w:type="pct"/>
            <w:shd w:val="clear" w:color="auto" w:fill="FFFFFF"/>
            <w:hideMark/>
          </w:tcPr>
          <w:p w14:paraId="663E08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hideMark/>
          </w:tcPr>
          <w:p w14:paraId="74CED896" w14:textId="77777777" w:rsidR="00716E85" w:rsidRDefault="00716E85">
            <w:pPr>
              <w:pStyle w:val="a3"/>
              <w:spacing w:before="0" w:beforeAutospacing="0" w:after="0" w:afterAutospacing="0"/>
            </w:pPr>
            <w:r>
              <w:t> </w:t>
            </w:r>
          </w:p>
        </w:tc>
        <w:tc>
          <w:tcPr>
            <w:tcW w:w="4243" w:type="pct"/>
            <w:shd w:val="clear" w:color="auto" w:fill="FFFFFF"/>
            <w:hideMark/>
          </w:tcPr>
          <w:p w14:paraId="3E57D6D2" w14:textId="77777777" w:rsidR="00716E85" w:rsidRDefault="00716E85">
            <w:pPr>
              <w:pStyle w:val="a3"/>
              <w:spacing w:before="0" w:beforeAutospacing="0" w:after="0" w:afterAutospacing="0"/>
              <w:ind w:left="245" w:hanging="245"/>
              <w:rPr>
                <w:rFonts w:ascii="Calibri" w:hAnsi="Calibri" w:cs="Calibri"/>
                <w:sz w:val="20"/>
                <w:szCs w:val="20"/>
              </w:rPr>
            </w:pPr>
            <w:hyperlink w:anchor="ITEM_1A_RISK_FACTORS" w:history="1">
              <w:r>
                <w:rPr>
                  <w:rStyle w:val="a4"/>
                  <w:rFonts w:ascii="Calibri" w:hAnsi="Calibri" w:cs="Calibri"/>
                  <w:sz w:val="20"/>
                  <w:szCs w:val="20"/>
                </w:rPr>
                <w:t>Risk Factors</w:t>
              </w:r>
            </w:hyperlink>
          </w:p>
        </w:tc>
        <w:tc>
          <w:tcPr>
            <w:tcW w:w="65" w:type="pct"/>
            <w:shd w:val="clear" w:color="auto" w:fill="FFFFFF"/>
            <w:hideMark/>
          </w:tcPr>
          <w:p w14:paraId="4AD91885"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058E852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r>
      <w:tr w:rsidR="00716E85" w14:paraId="69474A88" w14:textId="77777777">
        <w:trPr>
          <w:divId w:val="1018392633"/>
          <w:jc w:val="center"/>
        </w:trPr>
        <w:tc>
          <w:tcPr>
            <w:tcW w:w="450" w:type="pct"/>
            <w:shd w:val="clear" w:color="auto" w:fill="FFFFFF"/>
            <w:hideMark/>
          </w:tcPr>
          <w:p w14:paraId="299A6AF5"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2405F9F8"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14536514"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5E597CC4"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2A145681" w14:textId="77777777" w:rsidR="00716E85" w:rsidRDefault="00716E85">
            <w:pPr>
              <w:pStyle w:val="a3"/>
              <w:spacing w:before="0" w:beforeAutospacing="0" w:after="0" w:afterAutospacing="0"/>
              <w:jc w:val="right"/>
              <w:rPr>
                <w:sz w:val="12"/>
                <w:szCs w:val="12"/>
              </w:rPr>
            </w:pPr>
            <w:r>
              <w:rPr>
                <w:sz w:val="12"/>
                <w:szCs w:val="12"/>
              </w:rPr>
              <w:t> </w:t>
            </w:r>
          </w:p>
        </w:tc>
      </w:tr>
      <w:tr w:rsidR="00716E85" w14:paraId="1A3F597D" w14:textId="77777777">
        <w:trPr>
          <w:divId w:val="1018392633"/>
          <w:jc w:val="center"/>
        </w:trPr>
        <w:tc>
          <w:tcPr>
            <w:tcW w:w="450" w:type="pct"/>
            <w:shd w:val="clear" w:color="auto" w:fill="FFFFFF"/>
            <w:hideMark/>
          </w:tcPr>
          <w:p w14:paraId="6F0342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hideMark/>
          </w:tcPr>
          <w:p w14:paraId="6B092C0F" w14:textId="77777777" w:rsidR="00716E85" w:rsidRDefault="00716E85">
            <w:pPr>
              <w:pStyle w:val="a3"/>
              <w:spacing w:before="0" w:beforeAutospacing="0" w:after="0" w:afterAutospacing="0"/>
            </w:pPr>
            <w:r>
              <w:t> </w:t>
            </w:r>
          </w:p>
        </w:tc>
        <w:tc>
          <w:tcPr>
            <w:tcW w:w="4243" w:type="pct"/>
            <w:shd w:val="clear" w:color="auto" w:fill="FFFFFF"/>
            <w:hideMark/>
          </w:tcPr>
          <w:p w14:paraId="59EC1EBA" w14:textId="77777777" w:rsidR="00716E85" w:rsidRDefault="00716E85">
            <w:pPr>
              <w:pStyle w:val="a3"/>
              <w:spacing w:before="0" w:beforeAutospacing="0" w:after="0" w:afterAutospacing="0"/>
              <w:ind w:left="245" w:hanging="245"/>
              <w:rPr>
                <w:rFonts w:ascii="Calibri" w:hAnsi="Calibri" w:cs="Calibri"/>
                <w:sz w:val="20"/>
                <w:szCs w:val="20"/>
              </w:rPr>
            </w:pPr>
            <w:hyperlink w:anchor="ITEM_2_UNREGISTERED_SALES_EQUITY_SECURI" w:history="1">
              <w:r>
                <w:rPr>
                  <w:rStyle w:val="a4"/>
                  <w:rFonts w:ascii="Calibri" w:hAnsi="Calibri" w:cs="Calibri"/>
                  <w:sz w:val="20"/>
                  <w:szCs w:val="20"/>
                </w:rPr>
                <w:t>Unregistered Sales of Equity Securities and Use of Proceeds</w:t>
              </w:r>
            </w:hyperlink>
          </w:p>
        </w:tc>
        <w:tc>
          <w:tcPr>
            <w:tcW w:w="65" w:type="pct"/>
            <w:shd w:val="clear" w:color="auto" w:fill="FFFFFF"/>
            <w:hideMark/>
          </w:tcPr>
          <w:p w14:paraId="5263B955"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56C9E41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r>
      <w:tr w:rsidR="00716E85" w14:paraId="5D423382" w14:textId="77777777">
        <w:trPr>
          <w:divId w:val="1018392633"/>
          <w:jc w:val="center"/>
        </w:trPr>
        <w:tc>
          <w:tcPr>
            <w:tcW w:w="450" w:type="pct"/>
            <w:shd w:val="clear" w:color="auto" w:fill="FFFFFF"/>
            <w:hideMark/>
          </w:tcPr>
          <w:p w14:paraId="0B58C6D0"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67CFC817"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293C12D8"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00AB9EF2"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52FD5F69" w14:textId="77777777" w:rsidR="00716E85" w:rsidRDefault="00716E85">
            <w:pPr>
              <w:pStyle w:val="a3"/>
              <w:spacing w:before="0" w:beforeAutospacing="0" w:after="0" w:afterAutospacing="0"/>
              <w:jc w:val="right"/>
              <w:rPr>
                <w:sz w:val="12"/>
                <w:szCs w:val="12"/>
              </w:rPr>
            </w:pPr>
            <w:r>
              <w:rPr>
                <w:sz w:val="12"/>
                <w:szCs w:val="12"/>
              </w:rPr>
              <w:t> </w:t>
            </w:r>
          </w:p>
        </w:tc>
      </w:tr>
      <w:tr w:rsidR="00716E85" w14:paraId="3E4FEC38" w14:textId="77777777">
        <w:trPr>
          <w:divId w:val="1018392633"/>
          <w:jc w:val="center"/>
        </w:trPr>
        <w:tc>
          <w:tcPr>
            <w:tcW w:w="450" w:type="pct"/>
            <w:shd w:val="clear" w:color="auto" w:fill="FFFFFF"/>
            <w:hideMark/>
          </w:tcPr>
          <w:p w14:paraId="4FBEEA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hideMark/>
          </w:tcPr>
          <w:p w14:paraId="6A46703D" w14:textId="77777777" w:rsidR="00716E85" w:rsidRDefault="00716E85">
            <w:pPr>
              <w:pStyle w:val="a3"/>
              <w:spacing w:before="0" w:beforeAutospacing="0" w:after="0" w:afterAutospacing="0"/>
            </w:pPr>
            <w:r>
              <w:t> </w:t>
            </w:r>
          </w:p>
        </w:tc>
        <w:tc>
          <w:tcPr>
            <w:tcW w:w="4243" w:type="pct"/>
            <w:shd w:val="clear" w:color="auto" w:fill="FFFFFF"/>
            <w:hideMark/>
          </w:tcPr>
          <w:p w14:paraId="2B4CC993" w14:textId="77777777" w:rsidR="00716E85" w:rsidRDefault="00716E85">
            <w:pPr>
              <w:pStyle w:val="a3"/>
              <w:spacing w:before="0" w:beforeAutospacing="0" w:after="0" w:afterAutospacing="0"/>
              <w:ind w:left="245" w:hanging="245"/>
              <w:rPr>
                <w:rFonts w:ascii="Calibri" w:hAnsi="Calibri" w:cs="Calibri"/>
                <w:sz w:val="20"/>
                <w:szCs w:val="20"/>
              </w:rPr>
            </w:pPr>
            <w:hyperlink w:anchor="ITEM_6_EXHIBITS" w:history="1">
              <w:r>
                <w:rPr>
                  <w:rStyle w:val="a4"/>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hideMark/>
          </w:tcPr>
          <w:p w14:paraId="3BDDD815"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48B762A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w:t>
            </w:r>
          </w:p>
        </w:tc>
      </w:tr>
      <w:tr w:rsidR="00716E85" w14:paraId="5FD539B3" w14:textId="77777777">
        <w:trPr>
          <w:divId w:val="1018392633"/>
          <w:jc w:val="center"/>
        </w:trPr>
        <w:tc>
          <w:tcPr>
            <w:tcW w:w="450" w:type="pct"/>
            <w:shd w:val="clear" w:color="auto" w:fill="FFFFFF"/>
            <w:hideMark/>
          </w:tcPr>
          <w:p w14:paraId="1B25F47E"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hideMark/>
          </w:tcPr>
          <w:p w14:paraId="1A213894" w14:textId="77777777" w:rsidR="00716E85" w:rsidRDefault="00716E85">
            <w:pPr>
              <w:pStyle w:val="a3"/>
              <w:spacing w:before="0" w:beforeAutospacing="0" w:after="0" w:afterAutospacing="0"/>
              <w:rPr>
                <w:sz w:val="12"/>
                <w:szCs w:val="12"/>
              </w:rPr>
            </w:pPr>
            <w:r>
              <w:rPr>
                <w:sz w:val="12"/>
                <w:szCs w:val="12"/>
              </w:rPr>
              <w:t> </w:t>
            </w:r>
          </w:p>
        </w:tc>
        <w:tc>
          <w:tcPr>
            <w:tcW w:w="4243" w:type="pct"/>
            <w:shd w:val="clear" w:color="auto" w:fill="FFFFFF"/>
            <w:hideMark/>
          </w:tcPr>
          <w:p w14:paraId="07843F17" w14:textId="77777777" w:rsidR="00716E85" w:rsidRDefault="00716E85">
            <w:pPr>
              <w:pStyle w:val="a3"/>
              <w:spacing w:before="0" w:beforeAutospacing="0" w:after="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hideMark/>
          </w:tcPr>
          <w:p w14:paraId="7775071B" w14:textId="77777777" w:rsidR="00716E85" w:rsidRDefault="00716E85">
            <w:pPr>
              <w:pStyle w:val="a3"/>
              <w:spacing w:before="0" w:beforeAutospacing="0" w:after="0" w:afterAutospacing="0"/>
              <w:rPr>
                <w:sz w:val="12"/>
                <w:szCs w:val="12"/>
              </w:rPr>
            </w:pPr>
            <w:r>
              <w:rPr>
                <w:sz w:val="12"/>
                <w:szCs w:val="12"/>
              </w:rPr>
              <w:t> </w:t>
            </w:r>
          </w:p>
        </w:tc>
        <w:tc>
          <w:tcPr>
            <w:tcW w:w="192" w:type="pct"/>
            <w:shd w:val="clear" w:color="auto" w:fill="FFFFFF"/>
            <w:vAlign w:val="bottom"/>
            <w:hideMark/>
          </w:tcPr>
          <w:p w14:paraId="5F9E8806" w14:textId="77777777" w:rsidR="00716E85" w:rsidRDefault="00716E85">
            <w:pPr>
              <w:pStyle w:val="a3"/>
              <w:spacing w:before="0" w:beforeAutospacing="0" w:after="0" w:afterAutospacing="0"/>
              <w:jc w:val="right"/>
              <w:rPr>
                <w:sz w:val="12"/>
                <w:szCs w:val="12"/>
              </w:rPr>
            </w:pPr>
            <w:r>
              <w:rPr>
                <w:sz w:val="12"/>
                <w:szCs w:val="12"/>
              </w:rPr>
              <w:t> </w:t>
            </w:r>
          </w:p>
        </w:tc>
      </w:tr>
      <w:tr w:rsidR="00716E85" w14:paraId="75E5050E" w14:textId="77777777">
        <w:trPr>
          <w:divId w:val="1018392633"/>
          <w:jc w:val="center"/>
        </w:trPr>
        <w:tc>
          <w:tcPr>
            <w:tcW w:w="450" w:type="pct"/>
            <w:shd w:val="clear" w:color="auto" w:fill="FFFFFF"/>
            <w:hideMark/>
          </w:tcPr>
          <w:p w14:paraId="12137A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hideMark/>
          </w:tcPr>
          <w:p w14:paraId="10614800" w14:textId="77777777" w:rsidR="00716E85" w:rsidRDefault="00716E85">
            <w:pPr>
              <w:pStyle w:val="a3"/>
              <w:spacing w:before="0" w:beforeAutospacing="0" w:after="0" w:afterAutospacing="0"/>
            </w:pPr>
            <w:r>
              <w:t> </w:t>
            </w:r>
          </w:p>
        </w:tc>
        <w:tc>
          <w:tcPr>
            <w:tcW w:w="4243" w:type="pct"/>
            <w:shd w:val="clear" w:color="auto" w:fill="FFFFFF"/>
            <w:hideMark/>
          </w:tcPr>
          <w:p w14:paraId="7F13DB8C" w14:textId="77777777" w:rsidR="00716E85" w:rsidRDefault="00716E85">
            <w:pPr>
              <w:pStyle w:val="a3"/>
              <w:spacing w:before="0" w:beforeAutospacing="0" w:after="0" w:afterAutospacing="0"/>
              <w:ind w:left="245" w:hanging="245"/>
              <w:rPr>
                <w:rFonts w:ascii="Calibri" w:hAnsi="Calibri" w:cs="Calibri"/>
                <w:sz w:val="20"/>
                <w:szCs w:val="20"/>
              </w:rPr>
            </w:pPr>
            <w:hyperlink w:anchor="SIGNATURES" w:history="1">
              <w:r>
                <w:rPr>
                  <w:rStyle w:val="a4"/>
                  <w:rFonts w:ascii="Calibri" w:hAnsi="Calibri" w:cs="Calibri"/>
                  <w:sz w:val="20"/>
                  <w:szCs w:val="20"/>
                </w:rPr>
                <w:t>Signatures</w:t>
              </w:r>
            </w:hyperlink>
          </w:p>
        </w:tc>
        <w:tc>
          <w:tcPr>
            <w:tcW w:w="65" w:type="pct"/>
            <w:shd w:val="clear" w:color="auto" w:fill="FFFFFF"/>
            <w:hideMark/>
          </w:tcPr>
          <w:p w14:paraId="37DA88DD" w14:textId="77777777" w:rsidR="00716E85" w:rsidRDefault="00716E85">
            <w:pPr>
              <w:pStyle w:val="a3"/>
              <w:spacing w:before="0" w:beforeAutospacing="0" w:after="0" w:afterAutospacing="0"/>
            </w:pPr>
            <w:r>
              <w:t> </w:t>
            </w:r>
          </w:p>
        </w:tc>
        <w:tc>
          <w:tcPr>
            <w:tcW w:w="192" w:type="pct"/>
            <w:shd w:val="clear" w:color="auto" w:fill="FFFFFF"/>
            <w:vAlign w:val="bottom"/>
            <w:hideMark/>
          </w:tcPr>
          <w:p w14:paraId="55C15B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w:t>
            </w:r>
          </w:p>
        </w:tc>
      </w:tr>
    </w:tbl>
    <w:p w14:paraId="6DFFD48E" w14:textId="77777777" w:rsidR="00716E85" w:rsidRDefault="00716E85">
      <w:pPr>
        <w:pStyle w:val="a3"/>
        <w:spacing w:before="0" w:beforeAutospacing="0" w:after="0" w:afterAutospacing="0"/>
      </w:pPr>
      <w:r>
        <w:t> </w:t>
      </w:r>
    </w:p>
    <w:p w14:paraId="0A8A5023" w14:textId="77777777" w:rsidR="00716E85" w:rsidRDefault="00716E85">
      <w:pPr>
        <w:pStyle w:val="a3"/>
        <w:spacing w:before="0" w:beforeAutospacing="0" w:after="0" w:afterAutospacing="0"/>
      </w:pPr>
      <w:r>
        <w:t> </w:t>
      </w:r>
    </w:p>
    <w:p w14:paraId="77310EA0" w14:textId="77777777" w:rsidR="00716E85" w:rsidRDefault="00716E85">
      <w:pPr>
        <w:pStyle w:val="a3"/>
        <w:spacing w:before="0" w:beforeAutospacing="0" w:after="0" w:afterAutospacing="0"/>
        <w:rPr>
          <w:sz w:val="20"/>
          <w:szCs w:val="20"/>
        </w:rPr>
      </w:pPr>
      <w:r>
        <w:rPr>
          <w:sz w:val="20"/>
          <w:szCs w:val="20"/>
        </w:rPr>
        <w:t> </w:t>
      </w:r>
    </w:p>
    <w:p w14:paraId="300B0E01" w14:textId="77777777" w:rsidR="00716E85" w:rsidRDefault="00716E85">
      <w:pPr>
        <w:pStyle w:val="a3"/>
        <w:spacing w:before="240" w:beforeAutospacing="0" w:after="0" w:afterAutospacing="0"/>
        <w:jc w:val="center"/>
        <w:rPr>
          <w:sz w:val="20"/>
          <w:szCs w:val="20"/>
        </w:rPr>
      </w:pPr>
      <w:r>
        <w:rPr>
          <w:sz w:val="20"/>
          <w:szCs w:val="20"/>
        </w:rPr>
        <w:t> </w:t>
      </w:r>
    </w:p>
    <w:p w14:paraId="33251C33" w14:textId="77777777" w:rsidR="00716E85" w:rsidRDefault="00716E85">
      <w:pPr>
        <w:rPr>
          <w:rFonts w:eastAsia="Times New Roman"/>
          <w:sz w:val="24"/>
          <w:szCs w:val="24"/>
        </w:rPr>
      </w:pPr>
      <w:r>
        <w:rPr>
          <w:rFonts w:eastAsia="Times New Roman"/>
        </w:rPr>
        <w:pict w14:anchorId="1C656142">
          <v:rect id="_x0000_i1026" style="width:415.3pt;height:1.5pt" o:hralign="center" o:hrstd="t" o:hr="t" fillcolor="#a0a0a0" stroked="f"/>
        </w:pict>
      </w:r>
    </w:p>
    <w:p w14:paraId="31B79038"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6A2476F4" w14:textId="77777777" w:rsidR="00716E85" w:rsidRDefault="00716E85">
      <w:pPr>
        <w:pStyle w:val="a3"/>
      </w:pPr>
      <w:r>
        <w:t> </w:t>
      </w:r>
    </w:p>
    <w:p w14:paraId="13F45AD7" w14:textId="77777777" w:rsidR="00716E85" w:rsidRDefault="00716E85">
      <w:pPr>
        <w:pStyle w:val="a3"/>
        <w:spacing w:before="0" w:beforeAutospacing="0" w:after="0" w:afterAutospacing="0"/>
        <w:ind w:firstLine="941"/>
        <w:jc w:val="center"/>
        <w:rPr>
          <w:rFonts w:ascii="Calibri" w:hAnsi="Calibri" w:cs="Calibri"/>
          <w:b/>
          <w:bCs/>
          <w:sz w:val="20"/>
          <w:szCs w:val="20"/>
        </w:rPr>
      </w:pPr>
      <w:bookmarkStart w:id="2" w:name="_AEIOULastRenderedPageBreakAEIOU3"/>
      <w:bookmarkEnd w:id="2"/>
      <w:r>
        <w:rPr>
          <w:rFonts w:ascii="Calibri" w:hAnsi="Calibri" w:cs="Calibri"/>
          <w:b/>
          <w:bCs/>
          <w:sz w:val="20"/>
          <w:szCs w:val="20"/>
        </w:rPr>
        <w:t>Cautionary Note on Forward-Looking Statements</w:t>
      </w:r>
    </w:p>
    <w:p w14:paraId="204DA8A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For purposes of this Quarterly Report, the terms “Oracle,” “we,” “us” and “our” refer to Oracle Corporation and its consolidated subsidiaries. This Quarterly Report on Form 10-Q contains statements that are not historical in nature, are predictive in nature, or that depend upon or refer to future events or conditions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04356AF5" w14:textId="77777777">
        <w:tc>
          <w:tcPr>
            <w:tcW w:w="262" w:type="pct"/>
            <w:noWrap/>
            <w:hideMark/>
          </w:tcPr>
          <w:p w14:paraId="5E4C9BA9"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3BFC7FAE"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0BB1585"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we will continue to acquire companies, products, services and technologies to further our corporate strategy;</w:t>
            </w:r>
          </w:p>
        </w:tc>
      </w:tr>
    </w:tbl>
    <w:p w14:paraId="1054F21A"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6CDF4CA" w14:textId="77777777">
        <w:tc>
          <w:tcPr>
            <w:tcW w:w="262" w:type="pct"/>
            <w:noWrap/>
            <w:hideMark/>
          </w:tcPr>
          <w:p w14:paraId="25D892A8"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007F0E41"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5527136"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belief that our acquisitions enhance the products and services that we can offer to customers, expand our customer base, provide greater scale to accelerate innovation, grow our revenues and earnings, and increase stockholder value;</w:t>
            </w:r>
          </w:p>
        </w:tc>
      </w:tr>
    </w:tbl>
    <w:p w14:paraId="0634DC5D"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90407C8" w14:textId="77777777">
        <w:tc>
          <w:tcPr>
            <w:tcW w:w="262" w:type="pct"/>
            <w:noWrap/>
            <w:hideMark/>
          </w:tcPr>
          <w:p w14:paraId="34F69807"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3331FE1"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0B5AE4B1"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on a constant currency basis, our total cloud and license revenues generally will continue to increase due to expected growth in our cloud services and our license support offerings, continued demand for our cloud license and on-premise license offerings, and contributions from acquisitions;</w:t>
            </w:r>
          </w:p>
        </w:tc>
      </w:tr>
    </w:tbl>
    <w:p w14:paraId="6AAB674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487F1B8" w14:textId="77777777">
        <w:tc>
          <w:tcPr>
            <w:tcW w:w="262" w:type="pct"/>
            <w:noWrap/>
            <w:hideMark/>
          </w:tcPr>
          <w:p w14:paraId="4CA731DE"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530E844"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004B51A6"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belief that our Oracle Cloud Infrastructure offerings are large opportunities for us to expand our cloud and license business;</w:t>
            </w:r>
          </w:p>
        </w:tc>
      </w:tr>
    </w:tbl>
    <w:p w14:paraId="4E510453"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0B92D0C" w14:textId="77777777">
        <w:tc>
          <w:tcPr>
            <w:tcW w:w="262" w:type="pct"/>
            <w:noWrap/>
            <w:hideMark/>
          </w:tcPr>
          <w:p w14:paraId="151FBC45"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D866DEB"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933BBD2"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we will continue to place significant strategic emphasis on growing our cloud offerings;</w:t>
            </w:r>
          </w:p>
        </w:tc>
      </w:tr>
    </w:tbl>
    <w:p w14:paraId="1B020352"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F1171A1" w14:textId="77777777">
        <w:tc>
          <w:tcPr>
            <w:tcW w:w="262" w:type="pct"/>
            <w:noWrap/>
            <w:hideMark/>
          </w:tcPr>
          <w:p w14:paraId="37463216"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AFC52E8"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D054ABF"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we and our customers will renew our cloud software-as-a-service (SaaS) and infrastructure-as-a-service (IaaS) contracts and hardware contracts when they are eligible for renewal, and our expectation that substantially all of our customers renew their license support contracts annually;</w:t>
            </w:r>
          </w:p>
        </w:tc>
      </w:tr>
    </w:tbl>
    <w:p w14:paraId="4B410B13"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7A4826B9" w14:textId="77777777">
        <w:tc>
          <w:tcPr>
            <w:tcW w:w="262" w:type="pct"/>
            <w:noWrap/>
            <w:hideMark/>
          </w:tcPr>
          <w:p w14:paraId="1952ACB9"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3B9005D"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B4FAA61"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our hardware business will have lower operating margins as a percentage of revenues than our cloud and license business;</w:t>
            </w:r>
          </w:p>
        </w:tc>
      </w:tr>
    </w:tbl>
    <w:p w14:paraId="3D027F18"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0DC2B877" w14:textId="77777777">
        <w:tc>
          <w:tcPr>
            <w:tcW w:w="262" w:type="pct"/>
            <w:noWrap/>
            <w:hideMark/>
          </w:tcPr>
          <w:p w14:paraId="23D2872C"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5E987973"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1A782225"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we will continue to make significant investments in research and development and related product opportunities, and our belief that research and development efforts are essential to maintaining our competitive position;</w:t>
            </w:r>
          </w:p>
        </w:tc>
      </w:tr>
    </w:tbl>
    <w:p w14:paraId="022B6A9A"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1289A79" w14:textId="77777777">
        <w:tc>
          <w:tcPr>
            <w:tcW w:w="262" w:type="pct"/>
            <w:noWrap/>
            <w:hideMark/>
          </w:tcPr>
          <w:p w14:paraId="56A5405B"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CA2B58F"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91BF8E8"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our international operations will continue to provide a significant portion of our total revenues and expenses;</w:t>
            </w:r>
          </w:p>
        </w:tc>
      </w:tr>
    </w:tbl>
    <w:p w14:paraId="7DBAE4A7"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1276E33B" w14:textId="77777777">
        <w:tc>
          <w:tcPr>
            <w:tcW w:w="262" w:type="pct"/>
            <w:noWrap/>
            <w:hideMark/>
          </w:tcPr>
          <w:p w14:paraId="05E2CC90"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68CE6762"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16107D9"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we will continue paying cash dividends;</w:t>
            </w:r>
          </w:p>
        </w:tc>
      </w:tr>
    </w:tbl>
    <w:p w14:paraId="75F80846"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3E0892D" w14:textId="77777777">
        <w:tc>
          <w:tcPr>
            <w:tcW w:w="262" w:type="pct"/>
            <w:noWrap/>
            <w:hideMark/>
          </w:tcPr>
          <w:p w14:paraId="47626E53"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262F3A99"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7CE7CE41"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the sufficiency of our sources of funding for working capital, capital expenditures, contractual obligations, acquisitions, dividends, stock repurchases, debt repayments and other matters;</w:t>
            </w:r>
          </w:p>
        </w:tc>
      </w:tr>
    </w:tbl>
    <w:p w14:paraId="37FB5D0A"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7C8044D" w14:textId="77777777">
        <w:tc>
          <w:tcPr>
            <w:tcW w:w="262" w:type="pct"/>
            <w:noWrap/>
            <w:hideMark/>
          </w:tcPr>
          <w:p w14:paraId="412D0C5E"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84053C7"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6DAED22"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belief that we have adequately provided under U.S. generally accepted accounting principles for outcomes related to our tax audits and that the final outcome of our tax related examinations, agreements or judicial proceedings will not have a material effect on our results of operations, and our belief that our net deferred tax assets will be realized in the foreseeable future;</w:t>
            </w:r>
          </w:p>
        </w:tc>
      </w:tr>
    </w:tbl>
    <w:p w14:paraId="3F59B45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15441FA" w14:textId="77777777">
        <w:tc>
          <w:tcPr>
            <w:tcW w:w="262" w:type="pct"/>
            <w:noWrap/>
            <w:hideMark/>
          </w:tcPr>
          <w:p w14:paraId="6F697567"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3BC9E8E7"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4BF8C2C1"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belief that the outcome of certain legal proceedings and claims to which we are a party will not, individually or in the aggregate, result in losses that are materially in excess of amounts already recognized, if any;</w:t>
            </w:r>
          </w:p>
        </w:tc>
      </w:tr>
    </w:tbl>
    <w:p w14:paraId="3873E1D2"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5F3685F" w14:textId="77777777">
        <w:tc>
          <w:tcPr>
            <w:tcW w:w="262" w:type="pct"/>
            <w:noWrap/>
            <w:hideMark/>
          </w:tcPr>
          <w:p w14:paraId="50AB1280"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DF190D7"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474E67DD"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the possibility that certain legal proceedings to which we are a party could have a material impact on our future cash flows and results of operations;</w:t>
            </w:r>
          </w:p>
        </w:tc>
      </w:tr>
    </w:tbl>
    <w:p w14:paraId="05F7CB3F"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w:t>
      </w:r>
    </w:p>
    <w:p w14:paraId="0E3CF559" w14:textId="77777777" w:rsidR="00716E85" w:rsidRDefault="00716E85">
      <w:pPr>
        <w:rPr>
          <w:rFonts w:ascii="Times New Roman" w:eastAsia="Times New Roman" w:hAnsi="Times New Roman" w:cs="Times New Roman"/>
          <w:sz w:val="24"/>
          <w:szCs w:val="24"/>
        </w:rPr>
      </w:pPr>
      <w:r>
        <w:rPr>
          <w:rFonts w:eastAsia="Times New Roman"/>
        </w:rPr>
        <w:pict w14:anchorId="7850ED07">
          <v:rect id="_x0000_i1027" style="width:415.3pt;height:1.5pt" o:hralign="center" o:hrstd="t" o:hr="t" fillcolor="#a0a0a0" stroked="f"/>
        </w:pict>
      </w:r>
    </w:p>
    <w:p w14:paraId="539D196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CE4FFA7" w14:textId="77777777" w:rsidR="00716E85" w:rsidRDefault="00716E85">
      <w:pPr>
        <w:pStyle w:val="a3"/>
      </w:pPr>
      <w: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745F166" w14:textId="77777777">
        <w:tc>
          <w:tcPr>
            <w:tcW w:w="262" w:type="pct"/>
            <w:noWrap/>
            <w:hideMark/>
          </w:tcPr>
          <w:p w14:paraId="08308516"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86E412F"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48C777A6" w14:textId="77777777" w:rsidR="00716E85" w:rsidRDefault="00716E85">
            <w:pPr>
              <w:pStyle w:val="a3"/>
              <w:spacing w:before="120" w:beforeAutospacing="0" w:after="0" w:afterAutospacing="0"/>
              <w:jc w:val="both"/>
              <w:rPr>
                <w:sz w:val="20"/>
                <w:szCs w:val="20"/>
              </w:rPr>
            </w:pPr>
            <w:bookmarkStart w:id="3" w:name="_AEIOULastRenderedPageBreakAEIOU4"/>
            <w:bookmarkEnd w:id="3"/>
            <w:r>
              <w:rPr>
                <w:rFonts w:ascii="Calibri" w:hAnsi="Calibri" w:cs="Calibri"/>
                <w:sz w:val="20"/>
                <w:szCs w:val="20"/>
              </w:rPr>
              <w:t>our expectations regarding the timing and amount of expenses relating to the Fiscal 2019 Oracle Restructuring Plan and the improved efficiencies in our operations that such plan will create;</w:t>
            </w:r>
          </w:p>
        </w:tc>
      </w:tr>
    </w:tbl>
    <w:p w14:paraId="414AA494"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795402EF" w14:textId="77777777">
        <w:tc>
          <w:tcPr>
            <w:tcW w:w="262" w:type="pct"/>
            <w:noWrap/>
            <w:hideMark/>
          </w:tcPr>
          <w:p w14:paraId="6798A964"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66A7432F"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9C94475"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the timing and amount of our stock repurchases, including our expectation that the levels of our future stock repurchase activity may be modified in comparison to past periods in order to use available cash for other purposes;</w:t>
            </w:r>
          </w:p>
        </w:tc>
      </w:tr>
    </w:tbl>
    <w:p w14:paraId="27018123"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C49A3A6" w14:textId="77777777">
        <w:tc>
          <w:tcPr>
            <w:tcW w:w="262" w:type="pct"/>
            <w:noWrap/>
            <w:hideMark/>
          </w:tcPr>
          <w:p w14:paraId="7FC3EE5B"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A9C26AD"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73847A02"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seasonal trends will continue in the future;</w:t>
            </w:r>
          </w:p>
        </w:tc>
      </w:tr>
    </w:tbl>
    <w:p w14:paraId="7017FA22"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CF7D8F7" w14:textId="77777777">
        <w:tc>
          <w:tcPr>
            <w:tcW w:w="262" w:type="pct"/>
            <w:noWrap/>
            <w:hideMark/>
          </w:tcPr>
          <w:p w14:paraId="62E3DA98"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5A45D6F4"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44543165"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expectations regarding the impact of recent accounting pronouncements on our consolidated financial statements;</w:t>
            </w:r>
          </w:p>
        </w:tc>
      </w:tr>
    </w:tbl>
    <w:p w14:paraId="7B4B5D6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9C1A887" w14:textId="77777777">
        <w:tc>
          <w:tcPr>
            <w:tcW w:w="262" w:type="pct"/>
            <w:noWrap/>
            <w:hideMark/>
          </w:tcPr>
          <w:p w14:paraId="154C6622"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2EF6F51A"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325BC9D"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expectation that, to the extent customers renew support contracts or cloud SaaS and IaaS contracts from companies that we have acquired, we will recognize revenues for the full contracts’ values over the respective renewal periods;</w:t>
            </w:r>
          </w:p>
        </w:tc>
      </w:tr>
    </w:tbl>
    <w:p w14:paraId="456B268C"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79B257E1" w14:textId="77777777">
        <w:tc>
          <w:tcPr>
            <w:tcW w:w="262" w:type="pct"/>
            <w:noWrap/>
            <w:hideMark/>
          </w:tcPr>
          <w:p w14:paraId="3AB2AB17"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35A7036"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F8FC62B"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our ability to predict quarterly hardware revenues;</w:t>
            </w:r>
          </w:p>
        </w:tc>
      </w:tr>
    </w:tbl>
    <w:p w14:paraId="49E2411B"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9DD12D6" w14:textId="77777777">
        <w:tc>
          <w:tcPr>
            <w:tcW w:w="262" w:type="pct"/>
            <w:noWrap/>
            <w:hideMark/>
          </w:tcPr>
          <w:p w14:paraId="07E89815"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011F06FE"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1E5BFBF1"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the percentage of remaining performance obligations that we expect to recognize as revenues over the next twelve months;</w:t>
            </w:r>
          </w:p>
        </w:tc>
      </w:tr>
    </w:tbl>
    <w:p w14:paraId="4128694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as well as other statements regarding our future operations, financial condition and prospects, and business strategies. Forward-looking statements may be preceded by, followed by or include the words “expects,” “anticipates,” “intends,” “plans,” “believes,” “seeks,” “strives,” “estimates,” “will,” “should,” “is designed to” and similar expressions. We claim the protection of the safe harbor for forward-looking statements contained in the Private Securities Litigation Reform Act of 1995 for all forward-looking statements. We have based these forward-looking statements on our current expectations and projections about future events. These forward-looking statements are subject to risks, uncertainties and assumptions about our business that could affect our future results and could cause those results or other outcomes to differ materially from those expressed or implied in the forward-looking statements. Factors that might cause or contribute to such differences include, but are not limited to, those discussed in “Risk Factors” included in documents we file from time to time with the U.S. Securities and Exchange Commission (the SEC), including our Annual Report on Form 10-K for our fiscal year ended May 31, 2018 and our other Quarterly Reports on Form 10-Q filed by us in our fiscal 2019, which runs from June 1, 2018 to May 31, 2019. </w:t>
      </w:r>
    </w:p>
    <w:p w14:paraId="465ACC1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events or risks, except to the extent required by applicable securities laws. If we do update one or more forward-looking statements, no inference should be drawn that we will make additional updates with respect to those or other forward-looking statements. New information, future events or risks could cause the forward-looking events we discuss in this Quarterly Report not to occur. You should not place undue reliance on these forward-looking statements, which reflect our expectations only as of the date of this Quarterly Report.</w:t>
      </w:r>
    </w:p>
    <w:p w14:paraId="245544C9"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w:t>
      </w:r>
    </w:p>
    <w:p w14:paraId="763C9B19" w14:textId="77777777" w:rsidR="00716E85" w:rsidRDefault="00716E85">
      <w:pPr>
        <w:rPr>
          <w:rFonts w:ascii="Times New Roman" w:eastAsia="Times New Roman" w:hAnsi="Times New Roman" w:cs="Times New Roman"/>
          <w:sz w:val="24"/>
          <w:szCs w:val="24"/>
        </w:rPr>
      </w:pPr>
      <w:r>
        <w:rPr>
          <w:rFonts w:eastAsia="Times New Roman"/>
        </w:rPr>
        <w:pict w14:anchorId="53A20D65">
          <v:rect id="_x0000_i1028" style="width:415.3pt;height:1.5pt" o:hralign="center" o:hrstd="t" o:hr="t" fillcolor="#a0a0a0" stroked="f"/>
        </w:pict>
      </w:r>
    </w:p>
    <w:p w14:paraId="0E17043F"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40AA999" w14:textId="77777777" w:rsidR="00716E85" w:rsidRDefault="00716E85">
      <w:pPr>
        <w:pStyle w:val="a3"/>
      </w:pPr>
      <w:r>
        <w:t> </w:t>
      </w:r>
    </w:p>
    <w:p w14:paraId="48191BB6" w14:textId="77777777" w:rsidR="00716E85" w:rsidRDefault="00716E85">
      <w:pPr>
        <w:pStyle w:val="a3"/>
        <w:spacing w:before="0" w:beforeAutospacing="0" w:after="0" w:afterAutospacing="0"/>
        <w:jc w:val="both"/>
        <w:rPr>
          <w:rFonts w:ascii="Calibri" w:hAnsi="Calibri" w:cs="Calibri"/>
          <w:b/>
          <w:bCs/>
          <w:sz w:val="20"/>
          <w:szCs w:val="20"/>
        </w:rPr>
      </w:pPr>
      <w:bookmarkStart w:id="4" w:name="_AEIOULastRenderedPageBreakAEIOU5"/>
      <w:bookmarkStart w:id="5" w:name="PART_I_FINANCIAL_INFORMATION"/>
      <w:bookmarkEnd w:id="4"/>
      <w:bookmarkEnd w:id="5"/>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716E85" w14:paraId="36E99C7E" w14:textId="77777777">
        <w:tc>
          <w:tcPr>
            <w:tcW w:w="262" w:type="pct"/>
            <w:noWrap/>
            <w:hideMark/>
          </w:tcPr>
          <w:p w14:paraId="0648F9C0"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Item 1.</w:t>
            </w:r>
          </w:p>
        </w:tc>
        <w:tc>
          <w:tcPr>
            <w:tcW w:w="0" w:type="auto"/>
            <w:hideMark/>
          </w:tcPr>
          <w:p w14:paraId="38A1EC0E" w14:textId="77777777" w:rsidR="00716E85" w:rsidRDefault="00716E85">
            <w:pPr>
              <w:pStyle w:val="a3"/>
              <w:spacing w:before="120" w:beforeAutospacing="0" w:after="0" w:afterAutospacing="0"/>
              <w:jc w:val="both"/>
              <w:rPr>
                <w:rFonts w:ascii="Calibri" w:hAnsi="Calibri" w:cs="Calibri"/>
                <w:b/>
                <w:bCs/>
                <w:sz w:val="20"/>
                <w:szCs w:val="20"/>
              </w:rPr>
            </w:pPr>
            <w:bookmarkStart w:id="6" w:name="ITEM_1_FINANCIAL_STATEMENTS_UNAUDITED"/>
            <w:bookmarkEnd w:id="6"/>
            <w:r>
              <w:rPr>
                <w:rFonts w:ascii="Calibri" w:hAnsi="Calibri" w:cs="Calibri"/>
                <w:b/>
                <w:bCs/>
                <w:sz w:val="20"/>
                <w:szCs w:val="20"/>
              </w:rPr>
              <w:t>Financial Statements (Unaudited)</w:t>
            </w:r>
          </w:p>
        </w:tc>
      </w:tr>
    </w:tbl>
    <w:p w14:paraId="3B256B96" w14:textId="77777777" w:rsidR="00716E85" w:rsidRDefault="00716E85">
      <w:pPr>
        <w:pStyle w:val="a3"/>
        <w:spacing w:before="120" w:beforeAutospacing="0" w:after="0" w:afterAutospacing="0"/>
        <w:jc w:val="center"/>
        <w:rPr>
          <w:rFonts w:ascii="Calibri" w:hAnsi="Calibri" w:cs="Calibri"/>
          <w:b/>
          <w:bCs/>
          <w:sz w:val="20"/>
          <w:szCs w:val="20"/>
        </w:rPr>
      </w:pPr>
      <w:r>
        <w:rPr>
          <w:rFonts w:ascii="Calibri" w:hAnsi="Calibri" w:cs="Calibri"/>
          <w:b/>
          <w:bCs/>
          <w:sz w:val="20"/>
          <w:szCs w:val="20"/>
        </w:rPr>
        <w:t>ORACLE CORPORATION</w:t>
      </w:r>
    </w:p>
    <w:p w14:paraId="259D1CDB" w14:textId="77777777" w:rsidR="00716E85" w:rsidRDefault="00716E85">
      <w:pPr>
        <w:pStyle w:val="a3"/>
        <w:spacing w:before="0" w:beforeAutospacing="0" w:after="0" w:afterAutospacing="0"/>
        <w:jc w:val="center"/>
        <w:rPr>
          <w:rFonts w:ascii="Calibri" w:hAnsi="Calibri" w:cs="Calibri"/>
          <w:b/>
          <w:bCs/>
          <w:sz w:val="20"/>
          <w:szCs w:val="20"/>
        </w:rPr>
      </w:pPr>
      <w:bookmarkStart w:id="7" w:name="CONDENSED_CONSOLIDATED_BALANCE_SHEETS"/>
      <w:bookmarkEnd w:id="7"/>
      <w:r>
        <w:rPr>
          <w:rFonts w:ascii="Calibri" w:hAnsi="Calibri" w:cs="Calibri"/>
          <w:b/>
          <w:bCs/>
          <w:sz w:val="20"/>
          <w:szCs w:val="20"/>
        </w:rPr>
        <w:t>CONDENSED CONSOLIDATED BALANCE SHEETS</w:t>
      </w:r>
    </w:p>
    <w:p w14:paraId="1768BC5A"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As of February 28, 2019 and May 31, 2018</w:t>
      </w:r>
    </w:p>
    <w:p w14:paraId="280E846A"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(Unaudited)</w:t>
      </w:r>
    </w:p>
    <w:p w14:paraId="4FFAA76E"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5952"/>
        <w:gridCol w:w="134"/>
        <w:gridCol w:w="107"/>
        <w:gridCol w:w="858"/>
        <w:gridCol w:w="77"/>
        <w:gridCol w:w="135"/>
        <w:gridCol w:w="107"/>
        <w:gridCol w:w="859"/>
        <w:gridCol w:w="77"/>
      </w:tblGrid>
      <w:tr w:rsidR="00716E85" w14:paraId="291A2481" w14:textId="77777777">
        <w:trPr>
          <w:divId w:val="632907690"/>
          <w:jc w:val="center"/>
        </w:trPr>
        <w:tc>
          <w:tcPr>
            <w:tcW w:w="3585" w:type="pct"/>
            <w:tcBorders>
              <w:bottom w:val="single" w:sz="6" w:space="0" w:color="000000"/>
            </w:tcBorders>
            <w:shd w:val="clear" w:color="auto" w:fill="FFFFFF"/>
            <w:tcMar>
              <w:top w:w="15" w:type="dxa"/>
              <w:left w:w="0" w:type="dxa"/>
              <w:bottom w:w="0" w:type="dxa"/>
              <w:right w:w="15" w:type="dxa"/>
            </w:tcMar>
            <w:vAlign w:val="bottom"/>
            <w:hideMark/>
          </w:tcPr>
          <w:p w14:paraId="5DF6076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5" w:type="pct"/>
            <w:shd w:val="clear" w:color="auto" w:fill="FFFFFF"/>
            <w:tcMar>
              <w:top w:w="15" w:type="dxa"/>
              <w:left w:w="0" w:type="dxa"/>
              <w:bottom w:w="0" w:type="dxa"/>
              <w:right w:w="15" w:type="dxa"/>
            </w:tcMar>
            <w:vAlign w:val="bottom"/>
            <w:hideMark/>
          </w:tcPr>
          <w:p w14:paraId="42867EC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bottom w:val="single" w:sz="6" w:space="0" w:color="000000"/>
            </w:tcBorders>
            <w:shd w:val="clear" w:color="auto" w:fill="FFFFFF"/>
            <w:tcMar>
              <w:top w:w="15" w:type="dxa"/>
              <w:left w:w="0" w:type="dxa"/>
              <w:bottom w:w="0" w:type="dxa"/>
              <w:right w:w="15" w:type="dxa"/>
            </w:tcMar>
            <w:vAlign w:val="bottom"/>
            <w:hideMark/>
          </w:tcPr>
          <w:p w14:paraId="3CB9ED3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43CDF97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FE7798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E2E3E8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bottom w:val="single" w:sz="6" w:space="0" w:color="000000"/>
            </w:tcBorders>
            <w:shd w:val="clear" w:color="auto" w:fill="FFFFFF"/>
            <w:tcMar>
              <w:top w:w="15" w:type="dxa"/>
              <w:left w:w="0" w:type="dxa"/>
              <w:bottom w:w="0" w:type="dxa"/>
              <w:right w:w="15" w:type="dxa"/>
            </w:tcMar>
            <w:vAlign w:val="bottom"/>
            <w:hideMark/>
          </w:tcPr>
          <w:p w14:paraId="4F22B9D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240F28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0A51B6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1D18B96" w14:textId="77777777">
        <w:trPr>
          <w:divId w:val="632907690"/>
          <w:jc w:val="center"/>
        </w:trPr>
        <w:tc>
          <w:tcPr>
            <w:tcW w:w="3585" w:type="pct"/>
            <w:tcBorders>
              <w:top w:val="single" w:sz="6" w:space="0" w:color="000000"/>
            </w:tcBorders>
            <w:shd w:val="clear" w:color="auto" w:fill="CFF0FC"/>
            <w:tcMar>
              <w:top w:w="15" w:type="dxa"/>
              <w:left w:w="0" w:type="dxa"/>
              <w:bottom w:w="0" w:type="dxa"/>
              <w:right w:w="15" w:type="dxa"/>
            </w:tcMar>
            <w:hideMark/>
          </w:tcPr>
          <w:p w14:paraId="6AF735AA"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ASSETS</w:t>
            </w:r>
          </w:p>
        </w:tc>
        <w:tc>
          <w:tcPr>
            <w:tcW w:w="85" w:type="pct"/>
            <w:shd w:val="clear" w:color="auto" w:fill="CFF0FC"/>
            <w:tcMar>
              <w:top w:w="15" w:type="dxa"/>
              <w:left w:w="0" w:type="dxa"/>
              <w:bottom w:w="0" w:type="dxa"/>
              <w:right w:w="15" w:type="dxa"/>
            </w:tcMar>
            <w:vAlign w:val="bottom"/>
            <w:hideMark/>
          </w:tcPr>
          <w:p w14:paraId="28D29B91"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A6D7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459BA5D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35CD7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4E176BE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9430F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1726A98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4366F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3E4A4AA" w14:textId="77777777">
        <w:trPr>
          <w:divId w:val="632907690"/>
          <w:jc w:val="center"/>
        </w:trPr>
        <w:tc>
          <w:tcPr>
            <w:tcW w:w="3585" w:type="pct"/>
            <w:shd w:val="clear" w:color="auto" w:fill="FFFFFF"/>
            <w:tcMar>
              <w:top w:w="15" w:type="dxa"/>
              <w:left w:w="0" w:type="dxa"/>
              <w:bottom w:w="0" w:type="dxa"/>
              <w:right w:w="15" w:type="dxa"/>
            </w:tcMar>
            <w:hideMark/>
          </w:tcPr>
          <w:p w14:paraId="6EE4D76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Current assets:</w:t>
            </w:r>
          </w:p>
        </w:tc>
        <w:tc>
          <w:tcPr>
            <w:tcW w:w="85" w:type="pct"/>
            <w:shd w:val="clear" w:color="auto" w:fill="FFFFFF"/>
            <w:tcMar>
              <w:top w:w="15" w:type="dxa"/>
              <w:left w:w="0" w:type="dxa"/>
              <w:bottom w:w="0" w:type="dxa"/>
              <w:right w:w="15" w:type="dxa"/>
            </w:tcMar>
            <w:vAlign w:val="bottom"/>
            <w:hideMark/>
          </w:tcPr>
          <w:p w14:paraId="5C276E91"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C991B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22E7AF3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3978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10C3E363"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5F717A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3353D8A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2AA8C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0657965" w14:textId="77777777">
        <w:trPr>
          <w:divId w:val="632907690"/>
          <w:jc w:val="center"/>
        </w:trPr>
        <w:tc>
          <w:tcPr>
            <w:tcW w:w="3585" w:type="pct"/>
            <w:shd w:val="clear" w:color="auto" w:fill="CFF0FC"/>
            <w:tcMar>
              <w:top w:w="15" w:type="dxa"/>
              <w:left w:w="0" w:type="dxa"/>
              <w:bottom w:w="0" w:type="dxa"/>
              <w:right w:w="15" w:type="dxa"/>
            </w:tcMar>
            <w:hideMark/>
          </w:tcPr>
          <w:p w14:paraId="058DEE5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Cash and cash equivalents</w:t>
            </w:r>
          </w:p>
        </w:tc>
        <w:tc>
          <w:tcPr>
            <w:tcW w:w="85" w:type="pct"/>
            <w:shd w:val="clear" w:color="auto" w:fill="CFF0FC"/>
            <w:tcMar>
              <w:top w:w="15" w:type="dxa"/>
              <w:left w:w="0" w:type="dxa"/>
              <w:bottom w:w="0" w:type="dxa"/>
              <w:right w:w="15" w:type="dxa"/>
            </w:tcMar>
            <w:vAlign w:val="bottom"/>
            <w:hideMark/>
          </w:tcPr>
          <w:p w14:paraId="30FD5E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2393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06D17BD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14,720</w:t>
            </w:r>
          </w:p>
        </w:tc>
        <w:tc>
          <w:tcPr>
            <w:tcW w:w="50" w:type="pct"/>
            <w:shd w:val="clear" w:color="auto" w:fill="CFF0FC"/>
            <w:noWrap/>
            <w:tcMar>
              <w:top w:w="15" w:type="dxa"/>
              <w:left w:w="0" w:type="dxa"/>
              <w:bottom w:w="0" w:type="dxa"/>
              <w:right w:w="15" w:type="dxa"/>
            </w:tcMar>
            <w:vAlign w:val="bottom"/>
            <w:hideMark/>
          </w:tcPr>
          <w:p w14:paraId="2D88A8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6EC156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A15A06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7AB7BA5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21,620</w:t>
            </w:r>
          </w:p>
        </w:tc>
        <w:tc>
          <w:tcPr>
            <w:tcW w:w="50" w:type="pct"/>
            <w:shd w:val="clear" w:color="auto" w:fill="CFF0FC"/>
            <w:noWrap/>
            <w:tcMar>
              <w:top w:w="15" w:type="dxa"/>
              <w:left w:w="0" w:type="dxa"/>
              <w:bottom w:w="0" w:type="dxa"/>
              <w:right w:w="15" w:type="dxa"/>
            </w:tcMar>
            <w:vAlign w:val="bottom"/>
            <w:hideMark/>
          </w:tcPr>
          <w:p w14:paraId="75740EB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4F86291" w14:textId="77777777">
        <w:trPr>
          <w:divId w:val="632907690"/>
          <w:jc w:val="center"/>
        </w:trPr>
        <w:tc>
          <w:tcPr>
            <w:tcW w:w="3585" w:type="pct"/>
            <w:shd w:val="clear" w:color="auto" w:fill="FFFFFF"/>
            <w:tcMar>
              <w:top w:w="15" w:type="dxa"/>
              <w:left w:w="0" w:type="dxa"/>
              <w:bottom w:w="0" w:type="dxa"/>
              <w:right w:w="15" w:type="dxa"/>
            </w:tcMar>
            <w:hideMark/>
          </w:tcPr>
          <w:p w14:paraId="4FEED55B"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Marketable securities</w:t>
            </w:r>
          </w:p>
        </w:tc>
        <w:tc>
          <w:tcPr>
            <w:tcW w:w="85" w:type="pct"/>
            <w:shd w:val="clear" w:color="auto" w:fill="FFFFFF"/>
            <w:tcMar>
              <w:top w:w="15" w:type="dxa"/>
              <w:left w:w="0" w:type="dxa"/>
              <w:bottom w:w="0" w:type="dxa"/>
              <w:right w:w="15" w:type="dxa"/>
            </w:tcMar>
            <w:vAlign w:val="bottom"/>
            <w:hideMark/>
          </w:tcPr>
          <w:p w14:paraId="187BF0B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CE20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2FB44E3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25,310</w:t>
            </w:r>
          </w:p>
        </w:tc>
        <w:tc>
          <w:tcPr>
            <w:tcW w:w="50" w:type="pct"/>
            <w:shd w:val="clear" w:color="auto" w:fill="FFFFFF"/>
            <w:noWrap/>
            <w:tcMar>
              <w:top w:w="15" w:type="dxa"/>
              <w:left w:w="0" w:type="dxa"/>
              <w:bottom w:w="0" w:type="dxa"/>
              <w:right w:w="15" w:type="dxa"/>
            </w:tcMar>
            <w:vAlign w:val="bottom"/>
            <w:hideMark/>
          </w:tcPr>
          <w:p w14:paraId="33284EF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2C6B520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C366B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3EBF288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45,641</w:t>
            </w:r>
          </w:p>
        </w:tc>
        <w:tc>
          <w:tcPr>
            <w:tcW w:w="50" w:type="pct"/>
            <w:shd w:val="clear" w:color="auto" w:fill="FFFFFF"/>
            <w:noWrap/>
            <w:tcMar>
              <w:top w:w="15" w:type="dxa"/>
              <w:left w:w="0" w:type="dxa"/>
              <w:bottom w:w="0" w:type="dxa"/>
              <w:right w:w="15" w:type="dxa"/>
            </w:tcMar>
            <w:vAlign w:val="bottom"/>
            <w:hideMark/>
          </w:tcPr>
          <w:p w14:paraId="468204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6434F9B" w14:textId="77777777">
        <w:trPr>
          <w:divId w:val="632907690"/>
          <w:jc w:val="center"/>
        </w:trPr>
        <w:tc>
          <w:tcPr>
            <w:tcW w:w="3585" w:type="pct"/>
            <w:shd w:val="clear" w:color="auto" w:fill="CFF0FC"/>
            <w:tcMar>
              <w:top w:w="15" w:type="dxa"/>
              <w:left w:w="0" w:type="dxa"/>
              <w:bottom w:w="0" w:type="dxa"/>
              <w:right w:w="15" w:type="dxa"/>
            </w:tcMar>
            <w:hideMark/>
          </w:tcPr>
          <w:p w14:paraId="47EA127E"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Trade receivables, net of allowances for doubtful accounts of $351 and $370</w:t>
            </w:r>
          </w:p>
          <w:p w14:paraId="79D43FF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   as of February 28, 2019 and May 31, 2018, respectively</w:t>
            </w:r>
          </w:p>
        </w:tc>
        <w:tc>
          <w:tcPr>
            <w:tcW w:w="85" w:type="pct"/>
            <w:shd w:val="clear" w:color="auto" w:fill="CFF0FC"/>
            <w:tcMar>
              <w:top w:w="15" w:type="dxa"/>
              <w:left w:w="0" w:type="dxa"/>
              <w:bottom w:w="0" w:type="dxa"/>
              <w:right w:w="15" w:type="dxa"/>
            </w:tcMar>
            <w:vAlign w:val="bottom"/>
            <w:hideMark/>
          </w:tcPr>
          <w:p w14:paraId="5EA7D3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66186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52C3A05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3,993</w:t>
            </w:r>
          </w:p>
        </w:tc>
        <w:tc>
          <w:tcPr>
            <w:tcW w:w="50" w:type="pct"/>
            <w:shd w:val="clear" w:color="auto" w:fill="CFF0FC"/>
            <w:noWrap/>
            <w:tcMar>
              <w:top w:w="15" w:type="dxa"/>
              <w:left w:w="0" w:type="dxa"/>
              <w:bottom w:w="0" w:type="dxa"/>
              <w:right w:w="15" w:type="dxa"/>
            </w:tcMar>
            <w:vAlign w:val="bottom"/>
            <w:hideMark/>
          </w:tcPr>
          <w:p w14:paraId="35EAA0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050C699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83AF0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1823EFF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5,136</w:t>
            </w:r>
          </w:p>
        </w:tc>
        <w:tc>
          <w:tcPr>
            <w:tcW w:w="50" w:type="pct"/>
            <w:shd w:val="clear" w:color="auto" w:fill="CFF0FC"/>
            <w:noWrap/>
            <w:tcMar>
              <w:top w:w="15" w:type="dxa"/>
              <w:left w:w="0" w:type="dxa"/>
              <w:bottom w:w="0" w:type="dxa"/>
              <w:right w:w="15" w:type="dxa"/>
            </w:tcMar>
            <w:vAlign w:val="bottom"/>
            <w:hideMark/>
          </w:tcPr>
          <w:p w14:paraId="35B971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1624D96" w14:textId="77777777">
        <w:trPr>
          <w:divId w:val="632907690"/>
          <w:jc w:val="center"/>
        </w:trPr>
        <w:tc>
          <w:tcPr>
            <w:tcW w:w="3585" w:type="pct"/>
            <w:shd w:val="clear" w:color="auto" w:fill="FFFFFF"/>
            <w:tcMar>
              <w:top w:w="15" w:type="dxa"/>
              <w:left w:w="0" w:type="dxa"/>
              <w:bottom w:w="0" w:type="dxa"/>
              <w:right w:w="15" w:type="dxa"/>
            </w:tcMar>
            <w:hideMark/>
          </w:tcPr>
          <w:p w14:paraId="7F51B191"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Prepaid expenses and other current assets</w:t>
            </w:r>
          </w:p>
        </w:tc>
        <w:tc>
          <w:tcPr>
            <w:tcW w:w="85" w:type="pct"/>
            <w:shd w:val="clear" w:color="auto" w:fill="FFFFFF"/>
            <w:tcMar>
              <w:top w:w="15" w:type="dxa"/>
              <w:left w:w="0" w:type="dxa"/>
              <w:bottom w:w="0" w:type="dxa"/>
              <w:right w:w="15" w:type="dxa"/>
            </w:tcMar>
            <w:vAlign w:val="bottom"/>
            <w:hideMark/>
          </w:tcPr>
          <w:p w14:paraId="7C15F3B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33D7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6CD954C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3,594</w:t>
            </w:r>
          </w:p>
        </w:tc>
        <w:tc>
          <w:tcPr>
            <w:tcW w:w="50" w:type="pct"/>
            <w:shd w:val="clear" w:color="auto" w:fill="FFFFFF"/>
            <w:noWrap/>
            <w:tcMar>
              <w:top w:w="15" w:type="dxa"/>
              <w:left w:w="0" w:type="dxa"/>
              <w:bottom w:w="0" w:type="dxa"/>
              <w:right w:w="15" w:type="dxa"/>
            </w:tcMar>
            <w:vAlign w:val="bottom"/>
            <w:hideMark/>
          </w:tcPr>
          <w:p w14:paraId="689598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4DFBE05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DB77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4877CA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3,762</w:t>
            </w:r>
          </w:p>
        </w:tc>
        <w:tc>
          <w:tcPr>
            <w:tcW w:w="50" w:type="pct"/>
            <w:shd w:val="clear" w:color="auto" w:fill="FFFFFF"/>
            <w:noWrap/>
            <w:tcMar>
              <w:top w:w="15" w:type="dxa"/>
              <w:left w:w="0" w:type="dxa"/>
              <w:bottom w:w="0" w:type="dxa"/>
              <w:right w:w="15" w:type="dxa"/>
            </w:tcMar>
            <w:vAlign w:val="bottom"/>
            <w:hideMark/>
          </w:tcPr>
          <w:p w14:paraId="36B1785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C273AB5" w14:textId="77777777">
        <w:trPr>
          <w:divId w:val="632907690"/>
          <w:jc w:val="center"/>
        </w:trPr>
        <w:tc>
          <w:tcPr>
            <w:tcW w:w="3585" w:type="pct"/>
            <w:shd w:val="clear" w:color="auto" w:fill="CFF0FC"/>
            <w:tcMar>
              <w:top w:w="15" w:type="dxa"/>
              <w:left w:w="0" w:type="dxa"/>
              <w:bottom w:w="0" w:type="dxa"/>
              <w:right w:w="15" w:type="dxa"/>
            </w:tcMar>
            <w:hideMark/>
          </w:tcPr>
          <w:p w14:paraId="4347653C"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current assets</w:t>
            </w:r>
          </w:p>
        </w:tc>
        <w:tc>
          <w:tcPr>
            <w:tcW w:w="85" w:type="pct"/>
            <w:shd w:val="clear" w:color="auto" w:fill="CFF0FC"/>
            <w:tcMar>
              <w:top w:w="15" w:type="dxa"/>
              <w:left w:w="0" w:type="dxa"/>
              <w:bottom w:w="0" w:type="dxa"/>
              <w:right w:w="15" w:type="dxa"/>
            </w:tcMar>
            <w:vAlign w:val="bottom"/>
            <w:hideMark/>
          </w:tcPr>
          <w:p w14:paraId="25037E4C"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10F8B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2316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47,617</w:t>
            </w:r>
          </w:p>
        </w:tc>
        <w:tc>
          <w:tcPr>
            <w:tcW w:w="50" w:type="pct"/>
            <w:shd w:val="clear" w:color="auto" w:fill="CFF0FC"/>
            <w:noWrap/>
            <w:tcMar>
              <w:top w:w="15" w:type="dxa"/>
              <w:left w:w="0" w:type="dxa"/>
              <w:bottom w:w="0" w:type="dxa"/>
              <w:right w:w="15" w:type="dxa"/>
            </w:tcMar>
            <w:vAlign w:val="bottom"/>
            <w:hideMark/>
          </w:tcPr>
          <w:p w14:paraId="4D3402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5F5C57D9"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A316D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AF3AD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76,159</w:t>
            </w:r>
          </w:p>
        </w:tc>
        <w:tc>
          <w:tcPr>
            <w:tcW w:w="50" w:type="pct"/>
            <w:shd w:val="clear" w:color="auto" w:fill="CFF0FC"/>
            <w:noWrap/>
            <w:tcMar>
              <w:top w:w="15" w:type="dxa"/>
              <w:left w:w="0" w:type="dxa"/>
              <w:bottom w:w="0" w:type="dxa"/>
              <w:right w:w="15" w:type="dxa"/>
            </w:tcMar>
            <w:vAlign w:val="bottom"/>
            <w:hideMark/>
          </w:tcPr>
          <w:p w14:paraId="7071787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22C3C67" w14:textId="77777777">
        <w:trPr>
          <w:divId w:val="632907690"/>
          <w:jc w:val="center"/>
        </w:trPr>
        <w:tc>
          <w:tcPr>
            <w:tcW w:w="3585" w:type="pct"/>
            <w:shd w:val="clear" w:color="auto" w:fill="FFFFFF"/>
            <w:tcMar>
              <w:top w:w="15" w:type="dxa"/>
              <w:left w:w="0" w:type="dxa"/>
              <w:bottom w:w="0" w:type="dxa"/>
              <w:right w:w="15" w:type="dxa"/>
            </w:tcMar>
            <w:hideMark/>
          </w:tcPr>
          <w:p w14:paraId="180404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Non-current assets:</w:t>
            </w:r>
          </w:p>
        </w:tc>
        <w:tc>
          <w:tcPr>
            <w:tcW w:w="85" w:type="pct"/>
            <w:shd w:val="clear" w:color="auto" w:fill="FFFFFF"/>
            <w:tcMar>
              <w:top w:w="15" w:type="dxa"/>
              <w:left w:w="0" w:type="dxa"/>
              <w:bottom w:w="0" w:type="dxa"/>
              <w:right w:w="15" w:type="dxa"/>
            </w:tcMar>
            <w:vAlign w:val="bottom"/>
            <w:hideMark/>
          </w:tcPr>
          <w:p w14:paraId="6D3523C9"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AAAD1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FFFFFF"/>
            <w:noWrap/>
            <w:tcMar>
              <w:top w:w="15" w:type="dxa"/>
              <w:left w:w="0" w:type="dxa"/>
              <w:bottom w:w="0" w:type="dxa"/>
              <w:right w:w="15" w:type="dxa"/>
            </w:tcMar>
            <w:vAlign w:val="bottom"/>
            <w:hideMark/>
          </w:tcPr>
          <w:p w14:paraId="762B62F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8167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7474AF38"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B72EC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FFFFFF"/>
            <w:noWrap/>
            <w:tcMar>
              <w:top w:w="15" w:type="dxa"/>
              <w:left w:w="0" w:type="dxa"/>
              <w:bottom w:w="0" w:type="dxa"/>
              <w:right w:w="15" w:type="dxa"/>
            </w:tcMar>
            <w:vAlign w:val="bottom"/>
            <w:hideMark/>
          </w:tcPr>
          <w:p w14:paraId="42DA9B4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783464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9BA82E8" w14:textId="77777777">
        <w:trPr>
          <w:divId w:val="632907690"/>
          <w:jc w:val="center"/>
        </w:trPr>
        <w:tc>
          <w:tcPr>
            <w:tcW w:w="3585" w:type="pct"/>
            <w:shd w:val="clear" w:color="auto" w:fill="CFF0FC"/>
            <w:tcMar>
              <w:top w:w="15" w:type="dxa"/>
              <w:left w:w="0" w:type="dxa"/>
              <w:bottom w:w="0" w:type="dxa"/>
              <w:right w:w="15" w:type="dxa"/>
            </w:tcMar>
            <w:hideMark/>
          </w:tcPr>
          <w:p w14:paraId="56162C1C"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Property, plant and equipment, net</w:t>
            </w:r>
          </w:p>
        </w:tc>
        <w:tc>
          <w:tcPr>
            <w:tcW w:w="85" w:type="pct"/>
            <w:shd w:val="clear" w:color="auto" w:fill="CFF0FC"/>
            <w:tcMar>
              <w:top w:w="15" w:type="dxa"/>
              <w:left w:w="0" w:type="dxa"/>
              <w:bottom w:w="0" w:type="dxa"/>
              <w:right w:w="15" w:type="dxa"/>
            </w:tcMar>
            <w:vAlign w:val="bottom"/>
            <w:hideMark/>
          </w:tcPr>
          <w:p w14:paraId="2BA70F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FF20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5088C3B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6,197</w:t>
            </w:r>
          </w:p>
        </w:tc>
        <w:tc>
          <w:tcPr>
            <w:tcW w:w="50" w:type="pct"/>
            <w:shd w:val="clear" w:color="auto" w:fill="CFF0FC"/>
            <w:noWrap/>
            <w:tcMar>
              <w:top w:w="15" w:type="dxa"/>
              <w:left w:w="0" w:type="dxa"/>
              <w:bottom w:w="0" w:type="dxa"/>
              <w:right w:w="15" w:type="dxa"/>
            </w:tcMar>
            <w:vAlign w:val="bottom"/>
            <w:hideMark/>
          </w:tcPr>
          <w:p w14:paraId="29C9CF2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3E1BD1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C43AA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5AFC4F5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5,897</w:t>
            </w:r>
          </w:p>
        </w:tc>
        <w:tc>
          <w:tcPr>
            <w:tcW w:w="50" w:type="pct"/>
            <w:shd w:val="clear" w:color="auto" w:fill="CFF0FC"/>
            <w:noWrap/>
            <w:tcMar>
              <w:top w:w="15" w:type="dxa"/>
              <w:left w:w="0" w:type="dxa"/>
              <w:bottom w:w="0" w:type="dxa"/>
              <w:right w:w="15" w:type="dxa"/>
            </w:tcMar>
            <w:vAlign w:val="bottom"/>
            <w:hideMark/>
          </w:tcPr>
          <w:p w14:paraId="1C7D9B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B50E13D" w14:textId="77777777">
        <w:trPr>
          <w:divId w:val="632907690"/>
          <w:jc w:val="center"/>
        </w:trPr>
        <w:tc>
          <w:tcPr>
            <w:tcW w:w="3585" w:type="pct"/>
            <w:shd w:val="clear" w:color="auto" w:fill="FFFFFF"/>
            <w:tcMar>
              <w:top w:w="15" w:type="dxa"/>
              <w:left w:w="0" w:type="dxa"/>
              <w:bottom w:w="0" w:type="dxa"/>
              <w:right w:w="15" w:type="dxa"/>
            </w:tcMar>
            <w:hideMark/>
          </w:tcPr>
          <w:p w14:paraId="233CB3C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Intangible assets, net</w:t>
            </w:r>
          </w:p>
        </w:tc>
        <w:tc>
          <w:tcPr>
            <w:tcW w:w="85" w:type="pct"/>
            <w:shd w:val="clear" w:color="auto" w:fill="FFFFFF"/>
            <w:tcMar>
              <w:top w:w="15" w:type="dxa"/>
              <w:left w:w="0" w:type="dxa"/>
              <w:bottom w:w="0" w:type="dxa"/>
              <w:right w:w="15" w:type="dxa"/>
            </w:tcMar>
            <w:vAlign w:val="bottom"/>
            <w:hideMark/>
          </w:tcPr>
          <w:p w14:paraId="6AC9CDA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E383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652EB9D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5,678</w:t>
            </w:r>
          </w:p>
        </w:tc>
        <w:tc>
          <w:tcPr>
            <w:tcW w:w="50" w:type="pct"/>
            <w:shd w:val="clear" w:color="auto" w:fill="FFFFFF"/>
            <w:noWrap/>
            <w:tcMar>
              <w:top w:w="15" w:type="dxa"/>
              <w:left w:w="0" w:type="dxa"/>
              <w:bottom w:w="0" w:type="dxa"/>
              <w:right w:w="15" w:type="dxa"/>
            </w:tcMar>
            <w:vAlign w:val="bottom"/>
            <w:hideMark/>
          </w:tcPr>
          <w:p w14:paraId="4C9D33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45BC0C1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A2848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566CDD3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6,670</w:t>
            </w:r>
          </w:p>
        </w:tc>
        <w:tc>
          <w:tcPr>
            <w:tcW w:w="50" w:type="pct"/>
            <w:shd w:val="clear" w:color="auto" w:fill="FFFFFF"/>
            <w:noWrap/>
            <w:tcMar>
              <w:top w:w="15" w:type="dxa"/>
              <w:left w:w="0" w:type="dxa"/>
              <w:bottom w:w="0" w:type="dxa"/>
              <w:right w:w="15" w:type="dxa"/>
            </w:tcMar>
            <w:vAlign w:val="bottom"/>
            <w:hideMark/>
          </w:tcPr>
          <w:p w14:paraId="29707BF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99BEA1F" w14:textId="77777777">
        <w:trPr>
          <w:divId w:val="632907690"/>
          <w:jc w:val="center"/>
        </w:trPr>
        <w:tc>
          <w:tcPr>
            <w:tcW w:w="3585" w:type="pct"/>
            <w:shd w:val="clear" w:color="auto" w:fill="CFF0FC"/>
            <w:tcMar>
              <w:top w:w="15" w:type="dxa"/>
              <w:left w:w="0" w:type="dxa"/>
              <w:bottom w:w="0" w:type="dxa"/>
              <w:right w:w="15" w:type="dxa"/>
            </w:tcMar>
            <w:hideMark/>
          </w:tcPr>
          <w:p w14:paraId="48DDBC93"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Goodwill, net</w:t>
            </w:r>
          </w:p>
        </w:tc>
        <w:tc>
          <w:tcPr>
            <w:tcW w:w="85" w:type="pct"/>
            <w:shd w:val="clear" w:color="auto" w:fill="CFF0FC"/>
            <w:tcMar>
              <w:top w:w="15" w:type="dxa"/>
              <w:left w:w="0" w:type="dxa"/>
              <w:bottom w:w="0" w:type="dxa"/>
              <w:right w:w="15" w:type="dxa"/>
            </w:tcMar>
            <w:vAlign w:val="bottom"/>
            <w:hideMark/>
          </w:tcPr>
          <w:p w14:paraId="7D981DF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C20F9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62DC77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43,776</w:t>
            </w:r>
          </w:p>
        </w:tc>
        <w:tc>
          <w:tcPr>
            <w:tcW w:w="50" w:type="pct"/>
            <w:shd w:val="clear" w:color="auto" w:fill="CFF0FC"/>
            <w:noWrap/>
            <w:tcMar>
              <w:top w:w="15" w:type="dxa"/>
              <w:left w:w="0" w:type="dxa"/>
              <w:bottom w:w="0" w:type="dxa"/>
              <w:right w:w="15" w:type="dxa"/>
            </w:tcMar>
            <w:vAlign w:val="bottom"/>
            <w:hideMark/>
          </w:tcPr>
          <w:p w14:paraId="3ECE643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0EE664D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B6AEE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7660628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43,755</w:t>
            </w:r>
          </w:p>
        </w:tc>
        <w:tc>
          <w:tcPr>
            <w:tcW w:w="50" w:type="pct"/>
            <w:shd w:val="clear" w:color="auto" w:fill="CFF0FC"/>
            <w:noWrap/>
            <w:tcMar>
              <w:top w:w="15" w:type="dxa"/>
              <w:left w:w="0" w:type="dxa"/>
              <w:bottom w:w="0" w:type="dxa"/>
              <w:right w:w="15" w:type="dxa"/>
            </w:tcMar>
            <w:vAlign w:val="bottom"/>
            <w:hideMark/>
          </w:tcPr>
          <w:p w14:paraId="6AB0BEF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BF22BF9" w14:textId="77777777">
        <w:trPr>
          <w:divId w:val="632907690"/>
          <w:jc w:val="center"/>
        </w:trPr>
        <w:tc>
          <w:tcPr>
            <w:tcW w:w="3585" w:type="pct"/>
            <w:shd w:val="clear" w:color="auto" w:fill="FFFFFF"/>
            <w:tcMar>
              <w:top w:w="15" w:type="dxa"/>
              <w:left w:w="0" w:type="dxa"/>
              <w:bottom w:w="0" w:type="dxa"/>
              <w:right w:w="15" w:type="dxa"/>
            </w:tcMar>
            <w:hideMark/>
          </w:tcPr>
          <w:p w14:paraId="0D71648E"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Deferred tax assets</w:t>
            </w:r>
          </w:p>
        </w:tc>
        <w:tc>
          <w:tcPr>
            <w:tcW w:w="85" w:type="pct"/>
            <w:shd w:val="clear" w:color="auto" w:fill="FFFFFF"/>
            <w:tcMar>
              <w:top w:w="15" w:type="dxa"/>
              <w:left w:w="0" w:type="dxa"/>
              <w:bottom w:w="0" w:type="dxa"/>
              <w:right w:w="15" w:type="dxa"/>
            </w:tcMar>
            <w:vAlign w:val="bottom"/>
            <w:hideMark/>
          </w:tcPr>
          <w:p w14:paraId="522B656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DD83F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E1BB3D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2,033</w:t>
            </w:r>
          </w:p>
        </w:tc>
        <w:tc>
          <w:tcPr>
            <w:tcW w:w="50" w:type="pct"/>
            <w:shd w:val="clear" w:color="auto" w:fill="FFFFFF"/>
            <w:noWrap/>
            <w:tcMar>
              <w:top w:w="15" w:type="dxa"/>
              <w:left w:w="0" w:type="dxa"/>
              <w:bottom w:w="0" w:type="dxa"/>
              <w:right w:w="15" w:type="dxa"/>
            </w:tcMar>
            <w:vAlign w:val="bottom"/>
            <w:hideMark/>
          </w:tcPr>
          <w:p w14:paraId="07CFA35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43B9FE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7388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584F429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1,395</w:t>
            </w:r>
          </w:p>
        </w:tc>
        <w:tc>
          <w:tcPr>
            <w:tcW w:w="50" w:type="pct"/>
            <w:shd w:val="clear" w:color="auto" w:fill="FFFFFF"/>
            <w:noWrap/>
            <w:tcMar>
              <w:top w:w="15" w:type="dxa"/>
              <w:left w:w="0" w:type="dxa"/>
              <w:bottom w:w="0" w:type="dxa"/>
              <w:right w:w="15" w:type="dxa"/>
            </w:tcMar>
            <w:vAlign w:val="bottom"/>
            <w:hideMark/>
          </w:tcPr>
          <w:p w14:paraId="73BB85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926D409" w14:textId="77777777">
        <w:trPr>
          <w:divId w:val="632907690"/>
          <w:jc w:val="center"/>
        </w:trPr>
        <w:tc>
          <w:tcPr>
            <w:tcW w:w="3585" w:type="pct"/>
            <w:shd w:val="clear" w:color="auto" w:fill="CFF0FC"/>
            <w:tcMar>
              <w:top w:w="15" w:type="dxa"/>
              <w:left w:w="0" w:type="dxa"/>
              <w:bottom w:w="0" w:type="dxa"/>
              <w:right w:w="15" w:type="dxa"/>
            </w:tcMar>
            <w:hideMark/>
          </w:tcPr>
          <w:p w14:paraId="148DFB0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non-current assets</w:t>
            </w:r>
          </w:p>
        </w:tc>
        <w:tc>
          <w:tcPr>
            <w:tcW w:w="85" w:type="pct"/>
            <w:shd w:val="clear" w:color="auto" w:fill="CFF0FC"/>
            <w:tcMar>
              <w:top w:w="15" w:type="dxa"/>
              <w:left w:w="0" w:type="dxa"/>
              <w:bottom w:w="0" w:type="dxa"/>
              <w:right w:w="15" w:type="dxa"/>
            </w:tcMar>
            <w:vAlign w:val="bottom"/>
            <w:hideMark/>
          </w:tcPr>
          <w:p w14:paraId="25E4E47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1E3CD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CFF0FC"/>
            <w:noWrap/>
            <w:tcMar>
              <w:top w:w="15" w:type="dxa"/>
              <w:left w:w="0" w:type="dxa"/>
              <w:bottom w:w="0" w:type="dxa"/>
              <w:right w:w="15" w:type="dxa"/>
            </w:tcMar>
            <w:vAlign w:val="bottom"/>
            <w:hideMark/>
          </w:tcPr>
          <w:p w14:paraId="780FFA9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4,137</w:t>
            </w:r>
          </w:p>
        </w:tc>
        <w:tc>
          <w:tcPr>
            <w:tcW w:w="50" w:type="pct"/>
            <w:shd w:val="clear" w:color="auto" w:fill="CFF0FC"/>
            <w:noWrap/>
            <w:tcMar>
              <w:top w:w="15" w:type="dxa"/>
              <w:left w:w="0" w:type="dxa"/>
              <w:bottom w:w="0" w:type="dxa"/>
              <w:right w:w="15" w:type="dxa"/>
            </w:tcMar>
            <w:vAlign w:val="bottom"/>
            <w:hideMark/>
          </w:tcPr>
          <w:p w14:paraId="180E26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71F9819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EE1A2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CFF0FC"/>
            <w:noWrap/>
            <w:tcMar>
              <w:top w:w="15" w:type="dxa"/>
              <w:left w:w="0" w:type="dxa"/>
              <w:bottom w:w="0" w:type="dxa"/>
              <w:right w:w="15" w:type="dxa"/>
            </w:tcMar>
            <w:vAlign w:val="bottom"/>
            <w:hideMark/>
          </w:tcPr>
          <w:p w14:paraId="486D69E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3,975</w:t>
            </w:r>
          </w:p>
        </w:tc>
        <w:tc>
          <w:tcPr>
            <w:tcW w:w="50" w:type="pct"/>
            <w:shd w:val="clear" w:color="auto" w:fill="CFF0FC"/>
            <w:noWrap/>
            <w:tcMar>
              <w:top w:w="15" w:type="dxa"/>
              <w:left w:w="0" w:type="dxa"/>
              <w:bottom w:w="0" w:type="dxa"/>
              <w:right w:w="15" w:type="dxa"/>
            </w:tcMar>
            <w:vAlign w:val="bottom"/>
            <w:hideMark/>
          </w:tcPr>
          <w:p w14:paraId="2883F3A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C1B149F" w14:textId="77777777">
        <w:trPr>
          <w:divId w:val="632907690"/>
          <w:jc w:val="center"/>
        </w:trPr>
        <w:tc>
          <w:tcPr>
            <w:tcW w:w="3585" w:type="pct"/>
            <w:shd w:val="clear" w:color="auto" w:fill="FFFFFF"/>
            <w:tcMar>
              <w:top w:w="15" w:type="dxa"/>
              <w:left w:w="0" w:type="dxa"/>
              <w:bottom w:w="0" w:type="dxa"/>
              <w:right w:w="15" w:type="dxa"/>
            </w:tcMar>
            <w:hideMark/>
          </w:tcPr>
          <w:p w14:paraId="11A147F8"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non-current assets</w:t>
            </w:r>
          </w:p>
        </w:tc>
        <w:tc>
          <w:tcPr>
            <w:tcW w:w="85" w:type="pct"/>
            <w:shd w:val="clear" w:color="auto" w:fill="FFFFFF"/>
            <w:tcMar>
              <w:top w:w="15" w:type="dxa"/>
              <w:left w:w="0" w:type="dxa"/>
              <w:bottom w:w="0" w:type="dxa"/>
              <w:right w:w="15" w:type="dxa"/>
            </w:tcMar>
            <w:vAlign w:val="bottom"/>
            <w:hideMark/>
          </w:tcPr>
          <w:p w14:paraId="7352C1BE"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DF8F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87ACE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61,821</w:t>
            </w:r>
          </w:p>
        </w:tc>
        <w:tc>
          <w:tcPr>
            <w:tcW w:w="50" w:type="pct"/>
            <w:shd w:val="clear" w:color="auto" w:fill="FFFFFF"/>
            <w:noWrap/>
            <w:tcMar>
              <w:top w:w="15" w:type="dxa"/>
              <w:left w:w="0" w:type="dxa"/>
              <w:bottom w:w="0" w:type="dxa"/>
              <w:right w:w="15" w:type="dxa"/>
            </w:tcMar>
            <w:vAlign w:val="bottom"/>
            <w:hideMark/>
          </w:tcPr>
          <w:p w14:paraId="47019A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238A2BA9"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B9AD2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34012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61,692</w:t>
            </w:r>
          </w:p>
        </w:tc>
        <w:tc>
          <w:tcPr>
            <w:tcW w:w="50" w:type="pct"/>
            <w:shd w:val="clear" w:color="auto" w:fill="FFFFFF"/>
            <w:noWrap/>
            <w:tcMar>
              <w:top w:w="15" w:type="dxa"/>
              <w:left w:w="0" w:type="dxa"/>
              <w:bottom w:w="0" w:type="dxa"/>
              <w:right w:w="15" w:type="dxa"/>
            </w:tcMar>
            <w:vAlign w:val="bottom"/>
            <w:hideMark/>
          </w:tcPr>
          <w:p w14:paraId="121C8B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01D7DFB" w14:textId="77777777">
        <w:trPr>
          <w:divId w:val="632907690"/>
          <w:jc w:val="center"/>
        </w:trPr>
        <w:tc>
          <w:tcPr>
            <w:tcW w:w="3585" w:type="pct"/>
            <w:shd w:val="clear" w:color="auto" w:fill="CFF0FC"/>
            <w:tcMar>
              <w:top w:w="15" w:type="dxa"/>
              <w:left w:w="0" w:type="dxa"/>
              <w:bottom w:w="0" w:type="dxa"/>
              <w:right w:w="15" w:type="dxa"/>
            </w:tcMar>
            <w:hideMark/>
          </w:tcPr>
          <w:p w14:paraId="65F30D8C"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Total assets</w:t>
            </w:r>
          </w:p>
        </w:tc>
        <w:tc>
          <w:tcPr>
            <w:tcW w:w="85" w:type="pct"/>
            <w:shd w:val="clear" w:color="auto" w:fill="CFF0FC"/>
            <w:tcMar>
              <w:top w:w="15" w:type="dxa"/>
              <w:left w:w="0" w:type="dxa"/>
              <w:bottom w:w="0" w:type="dxa"/>
              <w:right w:w="15" w:type="dxa"/>
            </w:tcMar>
            <w:vAlign w:val="bottom"/>
            <w:hideMark/>
          </w:tcPr>
          <w:p w14:paraId="385BA26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713A0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CB1F3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109,438</w:t>
            </w:r>
          </w:p>
        </w:tc>
        <w:tc>
          <w:tcPr>
            <w:tcW w:w="50" w:type="pct"/>
            <w:shd w:val="clear" w:color="auto" w:fill="CFF0FC"/>
            <w:noWrap/>
            <w:tcMar>
              <w:top w:w="15" w:type="dxa"/>
              <w:left w:w="0" w:type="dxa"/>
              <w:bottom w:w="0" w:type="dxa"/>
              <w:right w:w="15" w:type="dxa"/>
            </w:tcMar>
            <w:vAlign w:val="bottom"/>
            <w:hideMark/>
          </w:tcPr>
          <w:p w14:paraId="337A50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765E34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17B9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43798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137,851</w:t>
            </w:r>
          </w:p>
        </w:tc>
        <w:tc>
          <w:tcPr>
            <w:tcW w:w="50" w:type="pct"/>
            <w:shd w:val="clear" w:color="auto" w:fill="CFF0FC"/>
            <w:noWrap/>
            <w:tcMar>
              <w:top w:w="15" w:type="dxa"/>
              <w:left w:w="0" w:type="dxa"/>
              <w:bottom w:w="0" w:type="dxa"/>
              <w:right w:w="15" w:type="dxa"/>
            </w:tcMar>
            <w:vAlign w:val="bottom"/>
            <w:hideMark/>
          </w:tcPr>
          <w:p w14:paraId="2B99389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3B924CF" w14:textId="77777777">
        <w:trPr>
          <w:divId w:val="632907690"/>
          <w:jc w:val="center"/>
        </w:trPr>
        <w:tc>
          <w:tcPr>
            <w:tcW w:w="3585" w:type="pct"/>
            <w:shd w:val="clear" w:color="auto" w:fill="FFFFFF"/>
            <w:tcMar>
              <w:top w:w="15" w:type="dxa"/>
              <w:left w:w="0" w:type="dxa"/>
              <w:bottom w:w="0" w:type="dxa"/>
              <w:right w:w="15" w:type="dxa"/>
            </w:tcMar>
            <w:vAlign w:val="bottom"/>
            <w:hideMark/>
          </w:tcPr>
          <w:p w14:paraId="7676E0B2"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LIABILITIES AND EQUITY</w:t>
            </w:r>
          </w:p>
        </w:tc>
        <w:tc>
          <w:tcPr>
            <w:tcW w:w="85" w:type="pct"/>
            <w:shd w:val="clear" w:color="auto" w:fill="FFFFFF"/>
            <w:tcMar>
              <w:top w:w="15" w:type="dxa"/>
              <w:left w:w="0" w:type="dxa"/>
              <w:bottom w:w="0" w:type="dxa"/>
              <w:right w:w="15" w:type="dxa"/>
            </w:tcMar>
            <w:vAlign w:val="bottom"/>
            <w:hideMark/>
          </w:tcPr>
          <w:p w14:paraId="4996F6B0"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F8298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double" w:sz="6" w:space="0" w:color="000000"/>
            </w:tcBorders>
            <w:shd w:val="clear" w:color="auto" w:fill="FFFFFF"/>
            <w:noWrap/>
            <w:tcMar>
              <w:top w:w="15" w:type="dxa"/>
              <w:left w:w="0" w:type="dxa"/>
              <w:bottom w:w="0" w:type="dxa"/>
              <w:right w:w="15" w:type="dxa"/>
            </w:tcMar>
            <w:vAlign w:val="bottom"/>
            <w:hideMark/>
          </w:tcPr>
          <w:p w14:paraId="1027FD6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93199C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2EE66CEC"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8ED61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double" w:sz="6" w:space="0" w:color="000000"/>
            </w:tcBorders>
            <w:shd w:val="clear" w:color="auto" w:fill="FFFFFF"/>
            <w:noWrap/>
            <w:tcMar>
              <w:top w:w="15" w:type="dxa"/>
              <w:left w:w="0" w:type="dxa"/>
              <w:bottom w:w="0" w:type="dxa"/>
              <w:right w:w="15" w:type="dxa"/>
            </w:tcMar>
            <w:vAlign w:val="bottom"/>
            <w:hideMark/>
          </w:tcPr>
          <w:p w14:paraId="25C5BF1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418C8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2548ECA" w14:textId="77777777">
        <w:trPr>
          <w:divId w:val="632907690"/>
          <w:jc w:val="center"/>
        </w:trPr>
        <w:tc>
          <w:tcPr>
            <w:tcW w:w="3585" w:type="pct"/>
            <w:shd w:val="clear" w:color="auto" w:fill="CFF0FC"/>
            <w:tcMar>
              <w:top w:w="15" w:type="dxa"/>
              <w:left w:w="0" w:type="dxa"/>
              <w:bottom w:w="0" w:type="dxa"/>
              <w:right w:w="15" w:type="dxa"/>
            </w:tcMar>
            <w:hideMark/>
          </w:tcPr>
          <w:p w14:paraId="10C5E62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Current liabilities:</w:t>
            </w:r>
          </w:p>
        </w:tc>
        <w:tc>
          <w:tcPr>
            <w:tcW w:w="85" w:type="pct"/>
            <w:shd w:val="clear" w:color="auto" w:fill="CFF0FC"/>
            <w:tcMar>
              <w:top w:w="15" w:type="dxa"/>
              <w:left w:w="0" w:type="dxa"/>
              <w:bottom w:w="0" w:type="dxa"/>
              <w:right w:w="15" w:type="dxa"/>
            </w:tcMar>
            <w:vAlign w:val="bottom"/>
            <w:hideMark/>
          </w:tcPr>
          <w:p w14:paraId="131B2E8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D59C8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61E2E7E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8E80C6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5930595A"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EE0C9A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00A504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A8A87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48EF4EA" w14:textId="77777777">
        <w:trPr>
          <w:divId w:val="632907690"/>
          <w:jc w:val="center"/>
        </w:trPr>
        <w:tc>
          <w:tcPr>
            <w:tcW w:w="3585" w:type="pct"/>
            <w:shd w:val="clear" w:color="auto" w:fill="FFFFFF"/>
            <w:tcMar>
              <w:top w:w="15" w:type="dxa"/>
              <w:left w:w="0" w:type="dxa"/>
              <w:bottom w:w="0" w:type="dxa"/>
              <w:right w:w="15" w:type="dxa"/>
            </w:tcMar>
            <w:hideMark/>
          </w:tcPr>
          <w:p w14:paraId="40F6B659"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Notes payable and other borrowings, current</w:t>
            </w:r>
          </w:p>
        </w:tc>
        <w:tc>
          <w:tcPr>
            <w:tcW w:w="85" w:type="pct"/>
            <w:shd w:val="clear" w:color="auto" w:fill="FFFFFF"/>
            <w:tcMar>
              <w:top w:w="15" w:type="dxa"/>
              <w:left w:w="0" w:type="dxa"/>
              <w:bottom w:w="0" w:type="dxa"/>
              <w:right w:w="15" w:type="dxa"/>
            </w:tcMar>
            <w:vAlign w:val="bottom"/>
            <w:hideMark/>
          </w:tcPr>
          <w:p w14:paraId="53BE3B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FB1FF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140700C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4,487</w:t>
            </w:r>
          </w:p>
        </w:tc>
        <w:tc>
          <w:tcPr>
            <w:tcW w:w="50" w:type="pct"/>
            <w:shd w:val="clear" w:color="auto" w:fill="FFFFFF"/>
            <w:noWrap/>
            <w:tcMar>
              <w:top w:w="15" w:type="dxa"/>
              <w:left w:w="0" w:type="dxa"/>
              <w:bottom w:w="0" w:type="dxa"/>
              <w:right w:w="15" w:type="dxa"/>
            </w:tcMar>
            <w:vAlign w:val="bottom"/>
            <w:hideMark/>
          </w:tcPr>
          <w:p w14:paraId="6BB4CFC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1293826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FD4D3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7387A3C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4,491</w:t>
            </w:r>
          </w:p>
        </w:tc>
        <w:tc>
          <w:tcPr>
            <w:tcW w:w="50" w:type="pct"/>
            <w:shd w:val="clear" w:color="auto" w:fill="FFFFFF"/>
            <w:noWrap/>
            <w:tcMar>
              <w:top w:w="15" w:type="dxa"/>
              <w:left w:w="0" w:type="dxa"/>
              <w:bottom w:w="0" w:type="dxa"/>
              <w:right w:w="15" w:type="dxa"/>
            </w:tcMar>
            <w:vAlign w:val="bottom"/>
            <w:hideMark/>
          </w:tcPr>
          <w:p w14:paraId="35A3B62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EC7C392" w14:textId="77777777">
        <w:trPr>
          <w:divId w:val="632907690"/>
          <w:jc w:val="center"/>
        </w:trPr>
        <w:tc>
          <w:tcPr>
            <w:tcW w:w="3585" w:type="pct"/>
            <w:shd w:val="clear" w:color="auto" w:fill="CFF0FC"/>
            <w:tcMar>
              <w:top w:w="15" w:type="dxa"/>
              <w:left w:w="0" w:type="dxa"/>
              <w:bottom w:w="0" w:type="dxa"/>
              <w:right w:w="15" w:type="dxa"/>
            </w:tcMar>
            <w:hideMark/>
          </w:tcPr>
          <w:p w14:paraId="5B56A88C"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Accounts payable</w:t>
            </w:r>
          </w:p>
        </w:tc>
        <w:tc>
          <w:tcPr>
            <w:tcW w:w="85" w:type="pct"/>
            <w:shd w:val="clear" w:color="auto" w:fill="CFF0FC"/>
            <w:tcMar>
              <w:top w:w="15" w:type="dxa"/>
              <w:left w:w="0" w:type="dxa"/>
              <w:bottom w:w="0" w:type="dxa"/>
              <w:right w:w="15" w:type="dxa"/>
            </w:tcMar>
            <w:vAlign w:val="bottom"/>
            <w:hideMark/>
          </w:tcPr>
          <w:p w14:paraId="268CE0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57FCA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1292036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603</w:t>
            </w:r>
          </w:p>
        </w:tc>
        <w:tc>
          <w:tcPr>
            <w:tcW w:w="50" w:type="pct"/>
            <w:shd w:val="clear" w:color="auto" w:fill="CFF0FC"/>
            <w:noWrap/>
            <w:tcMar>
              <w:top w:w="15" w:type="dxa"/>
              <w:left w:w="0" w:type="dxa"/>
              <w:bottom w:w="0" w:type="dxa"/>
              <w:right w:w="15" w:type="dxa"/>
            </w:tcMar>
            <w:vAlign w:val="bottom"/>
            <w:hideMark/>
          </w:tcPr>
          <w:p w14:paraId="0698CC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2EE734C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6E1C06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4D9F8CD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529</w:t>
            </w:r>
          </w:p>
        </w:tc>
        <w:tc>
          <w:tcPr>
            <w:tcW w:w="50" w:type="pct"/>
            <w:shd w:val="clear" w:color="auto" w:fill="CFF0FC"/>
            <w:noWrap/>
            <w:tcMar>
              <w:top w:w="15" w:type="dxa"/>
              <w:left w:w="0" w:type="dxa"/>
              <w:bottom w:w="0" w:type="dxa"/>
              <w:right w:w="15" w:type="dxa"/>
            </w:tcMar>
            <w:vAlign w:val="bottom"/>
            <w:hideMark/>
          </w:tcPr>
          <w:p w14:paraId="7CEA97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A3B78F1" w14:textId="77777777">
        <w:trPr>
          <w:divId w:val="632907690"/>
          <w:jc w:val="center"/>
        </w:trPr>
        <w:tc>
          <w:tcPr>
            <w:tcW w:w="3585" w:type="pct"/>
            <w:shd w:val="clear" w:color="auto" w:fill="FFFFFF"/>
            <w:tcMar>
              <w:top w:w="15" w:type="dxa"/>
              <w:left w:w="0" w:type="dxa"/>
              <w:bottom w:w="0" w:type="dxa"/>
              <w:right w:w="15" w:type="dxa"/>
            </w:tcMar>
            <w:hideMark/>
          </w:tcPr>
          <w:p w14:paraId="60A687FC"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Accrued compensation and related benefits</w:t>
            </w:r>
          </w:p>
        </w:tc>
        <w:tc>
          <w:tcPr>
            <w:tcW w:w="85" w:type="pct"/>
            <w:shd w:val="clear" w:color="auto" w:fill="FFFFFF"/>
            <w:tcMar>
              <w:top w:w="15" w:type="dxa"/>
              <w:left w:w="0" w:type="dxa"/>
              <w:bottom w:w="0" w:type="dxa"/>
              <w:right w:w="15" w:type="dxa"/>
            </w:tcMar>
            <w:vAlign w:val="bottom"/>
            <w:hideMark/>
          </w:tcPr>
          <w:p w14:paraId="6FBBC7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E099F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07F824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1,258</w:t>
            </w:r>
          </w:p>
        </w:tc>
        <w:tc>
          <w:tcPr>
            <w:tcW w:w="50" w:type="pct"/>
            <w:shd w:val="clear" w:color="auto" w:fill="FFFFFF"/>
            <w:noWrap/>
            <w:tcMar>
              <w:top w:w="15" w:type="dxa"/>
              <w:left w:w="0" w:type="dxa"/>
              <w:bottom w:w="0" w:type="dxa"/>
              <w:right w:w="15" w:type="dxa"/>
            </w:tcMar>
            <w:vAlign w:val="bottom"/>
            <w:hideMark/>
          </w:tcPr>
          <w:p w14:paraId="66B6C1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0C2C28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51C530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AAA416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1,806</w:t>
            </w:r>
          </w:p>
        </w:tc>
        <w:tc>
          <w:tcPr>
            <w:tcW w:w="50" w:type="pct"/>
            <w:shd w:val="clear" w:color="auto" w:fill="FFFFFF"/>
            <w:noWrap/>
            <w:tcMar>
              <w:top w:w="15" w:type="dxa"/>
              <w:left w:w="0" w:type="dxa"/>
              <w:bottom w:w="0" w:type="dxa"/>
              <w:right w:w="15" w:type="dxa"/>
            </w:tcMar>
            <w:vAlign w:val="bottom"/>
            <w:hideMark/>
          </w:tcPr>
          <w:p w14:paraId="709B20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368A918" w14:textId="77777777">
        <w:trPr>
          <w:divId w:val="632907690"/>
          <w:jc w:val="center"/>
        </w:trPr>
        <w:tc>
          <w:tcPr>
            <w:tcW w:w="3585" w:type="pct"/>
            <w:shd w:val="clear" w:color="auto" w:fill="CFF0FC"/>
            <w:tcMar>
              <w:top w:w="15" w:type="dxa"/>
              <w:left w:w="0" w:type="dxa"/>
              <w:bottom w:w="0" w:type="dxa"/>
              <w:right w:w="15" w:type="dxa"/>
            </w:tcMar>
            <w:hideMark/>
          </w:tcPr>
          <w:p w14:paraId="269B7B50"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Deferred revenues</w:t>
            </w:r>
          </w:p>
        </w:tc>
        <w:tc>
          <w:tcPr>
            <w:tcW w:w="85" w:type="pct"/>
            <w:shd w:val="clear" w:color="auto" w:fill="CFF0FC"/>
            <w:tcMar>
              <w:top w:w="15" w:type="dxa"/>
              <w:left w:w="0" w:type="dxa"/>
              <w:bottom w:w="0" w:type="dxa"/>
              <w:right w:w="15" w:type="dxa"/>
            </w:tcMar>
            <w:vAlign w:val="bottom"/>
            <w:hideMark/>
          </w:tcPr>
          <w:p w14:paraId="35D663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BA1BB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0AC5323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8,007</w:t>
            </w:r>
          </w:p>
        </w:tc>
        <w:tc>
          <w:tcPr>
            <w:tcW w:w="50" w:type="pct"/>
            <w:shd w:val="clear" w:color="auto" w:fill="CFF0FC"/>
            <w:noWrap/>
            <w:tcMar>
              <w:top w:w="15" w:type="dxa"/>
              <w:left w:w="0" w:type="dxa"/>
              <w:bottom w:w="0" w:type="dxa"/>
              <w:right w:w="15" w:type="dxa"/>
            </w:tcMar>
            <w:vAlign w:val="bottom"/>
            <w:hideMark/>
          </w:tcPr>
          <w:p w14:paraId="4A2424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679719A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AC01F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2789C53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8,341</w:t>
            </w:r>
          </w:p>
        </w:tc>
        <w:tc>
          <w:tcPr>
            <w:tcW w:w="50" w:type="pct"/>
            <w:shd w:val="clear" w:color="auto" w:fill="CFF0FC"/>
            <w:noWrap/>
            <w:tcMar>
              <w:top w:w="15" w:type="dxa"/>
              <w:left w:w="0" w:type="dxa"/>
              <w:bottom w:w="0" w:type="dxa"/>
              <w:right w:w="15" w:type="dxa"/>
            </w:tcMar>
            <w:vAlign w:val="bottom"/>
            <w:hideMark/>
          </w:tcPr>
          <w:p w14:paraId="6B5FC0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743DA20" w14:textId="77777777">
        <w:trPr>
          <w:divId w:val="632907690"/>
          <w:jc w:val="center"/>
        </w:trPr>
        <w:tc>
          <w:tcPr>
            <w:tcW w:w="3585" w:type="pct"/>
            <w:shd w:val="clear" w:color="auto" w:fill="FFFFFF"/>
            <w:tcMar>
              <w:top w:w="15" w:type="dxa"/>
              <w:left w:w="0" w:type="dxa"/>
              <w:bottom w:w="0" w:type="dxa"/>
              <w:right w:w="15" w:type="dxa"/>
            </w:tcMar>
            <w:hideMark/>
          </w:tcPr>
          <w:p w14:paraId="712BD95A"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current liabilities</w:t>
            </w:r>
          </w:p>
        </w:tc>
        <w:tc>
          <w:tcPr>
            <w:tcW w:w="85" w:type="pct"/>
            <w:shd w:val="clear" w:color="auto" w:fill="FFFFFF"/>
            <w:tcMar>
              <w:top w:w="15" w:type="dxa"/>
              <w:left w:w="0" w:type="dxa"/>
              <w:bottom w:w="0" w:type="dxa"/>
              <w:right w:w="15" w:type="dxa"/>
            </w:tcMar>
            <w:vAlign w:val="bottom"/>
            <w:hideMark/>
          </w:tcPr>
          <w:p w14:paraId="3A3E57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B04CA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7A7A6DF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3,631</w:t>
            </w:r>
          </w:p>
        </w:tc>
        <w:tc>
          <w:tcPr>
            <w:tcW w:w="50" w:type="pct"/>
            <w:shd w:val="clear" w:color="auto" w:fill="FFFFFF"/>
            <w:noWrap/>
            <w:tcMar>
              <w:top w:w="15" w:type="dxa"/>
              <w:left w:w="0" w:type="dxa"/>
              <w:bottom w:w="0" w:type="dxa"/>
              <w:right w:w="15" w:type="dxa"/>
            </w:tcMar>
            <w:vAlign w:val="bottom"/>
            <w:hideMark/>
          </w:tcPr>
          <w:p w14:paraId="45DAD81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77A06E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C0D7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611922F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3,957</w:t>
            </w:r>
          </w:p>
        </w:tc>
        <w:tc>
          <w:tcPr>
            <w:tcW w:w="50" w:type="pct"/>
            <w:shd w:val="clear" w:color="auto" w:fill="FFFFFF"/>
            <w:noWrap/>
            <w:tcMar>
              <w:top w:w="15" w:type="dxa"/>
              <w:left w:w="0" w:type="dxa"/>
              <w:bottom w:w="0" w:type="dxa"/>
              <w:right w:w="15" w:type="dxa"/>
            </w:tcMar>
            <w:vAlign w:val="bottom"/>
            <w:hideMark/>
          </w:tcPr>
          <w:p w14:paraId="1C60590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9D4620F" w14:textId="77777777">
        <w:trPr>
          <w:divId w:val="632907690"/>
          <w:jc w:val="center"/>
        </w:trPr>
        <w:tc>
          <w:tcPr>
            <w:tcW w:w="3585" w:type="pct"/>
            <w:shd w:val="clear" w:color="auto" w:fill="CFF0FC"/>
            <w:tcMar>
              <w:top w:w="15" w:type="dxa"/>
              <w:left w:w="0" w:type="dxa"/>
              <w:bottom w:w="0" w:type="dxa"/>
              <w:right w:w="15" w:type="dxa"/>
            </w:tcMar>
            <w:hideMark/>
          </w:tcPr>
          <w:p w14:paraId="4113D823"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current liabilities</w:t>
            </w:r>
          </w:p>
        </w:tc>
        <w:tc>
          <w:tcPr>
            <w:tcW w:w="85" w:type="pct"/>
            <w:shd w:val="clear" w:color="auto" w:fill="CFF0FC"/>
            <w:tcMar>
              <w:top w:w="15" w:type="dxa"/>
              <w:left w:w="0" w:type="dxa"/>
              <w:bottom w:w="0" w:type="dxa"/>
              <w:right w:w="15" w:type="dxa"/>
            </w:tcMar>
            <w:vAlign w:val="bottom"/>
            <w:hideMark/>
          </w:tcPr>
          <w:p w14:paraId="3157A0B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BE4D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A93AB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17,986</w:t>
            </w:r>
          </w:p>
        </w:tc>
        <w:tc>
          <w:tcPr>
            <w:tcW w:w="50" w:type="pct"/>
            <w:shd w:val="clear" w:color="auto" w:fill="CFF0FC"/>
            <w:noWrap/>
            <w:tcMar>
              <w:top w:w="15" w:type="dxa"/>
              <w:left w:w="0" w:type="dxa"/>
              <w:bottom w:w="0" w:type="dxa"/>
              <w:right w:w="15" w:type="dxa"/>
            </w:tcMar>
            <w:vAlign w:val="bottom"/>
            <w:hideMark/>
          </w:tcPr>
          <w:p w14:paraId="4B3FAA2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64702C54"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6184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1BA77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19,124</w:t>
            </w:r>
          </w:p>
        </w:tc>
        <w:tc>
          <w:tcPr>
            <w:tcW w:w="50" w:type="pct"/>
            <w:shd w:val="clear" w:color="auto" w:fill="CFF0FC"/>
            <w:noWrap/>
            <w:tcMar>
              <w:top w:w="15" w:type="dxa"/>
              <w:left w:w="0" w:type="dxa"/>
              <w:bottom w:w="0" w:type="dxa"/>
              <w:right w:w="15" w:type="dxa"/>
            </w:tcMar>
            <w:vAlign w:val="bottom"/>
            <w:hideMark/>
          </w:tcPr>
          <w:p w14:paraId="45F4C2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701C90F" w14:textId="77777777">
        <w:trPr>
          <w:divId w:val="632907690"/>
          <w:jc w:val="center"/>
        </w:trPr>
        <w:tc>
          <w:tcPr>
            <w:tcW w:w="3585" w:type="pct"/>
            <w:shd w:val="clear" w:color="auto" w:fill="FFFFFF"/>
            <w:tcMar>
              <w:top w:w="15" w:type="dxa"/>
              <w:left w:w="0" w:type="dxa"/>
              <w:bottom w:w="0" w:type="dxa"/>
              <w:right w:w="15" w:type="dxa"/>
            </w:tcMar>
            <w:hideMark/>
          </w:tcPr>
          <w:p w14:paraId="43C2C0B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Non-current liabilities:</w:t>
            </w:r>
          </w:p>
        </w:tc>
        <w:tc>
          <w:tcPr>
            <w:tcW w:w="85" w:type="pct"/>
            <w:shd w:val="clear" w:color="auto" w:fill="FFFFFF"/>
            <w:tcMar>
              <w:top w:w="15" w:type="dxa"/>
              <w:left w:w="0" w:type="dxa"/>
              <w:bottom w:w="0" w:type="dxa"/>
              <w:right w:w="15" w:type="dxa"/>
            </w:tcMar>
            <w:vAlign w:val="bottom"/>
            <w:hideMark/>
          </w:tcPr>
          <w:p w14:paraId="21677868"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982FE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FFFFFF"/>
            <w:noWrap/>
            <w:tcMar>
              <w:top w:w="15" w:type="dxa"/>
              <w:left w:w="0" w:type="dxa"/>
              <w:bottom w:w="0" w:type="dxa"/>
              <w:right w:w="15" w:type="dxa"/>
            </w:tcMar>
            <w:vAlign w:val="bottom"/>
            <w:hideMark/>
          </w:tcPr>
          <w:p w14:paraId="5166A05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9220B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5A1310C4"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877061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FFFFFF"/>
            <w:noWrap/>
            <w:tcMar>
              <w:top w:w="15" w:type="dxa"/>
              <w:left w:w="0" w:type="dxa"/>
              <w:bottom w:w="0" w:type="dxa"/>
              <w:right w:w="15" w:type="dxa"/>
            </w:tcMar>
            <w:vAlign w:val="bottom"/>
            <w:hideMark/>
          </w:tcPr>
          <w:p w14:paraId="7932A1B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672A3C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765BBCB" w14:textId="77777777">
        <w:trPr>
          <w:divId w:val="632907690"/>
          <w:jc w:val="center"/>
        </w:trPr>
        <w:tc>
          <w:tcPr>
            <w:tcW w:w="3585" w:type="pct"/>
            <w:shd w:val="clear" w:color="auto" w:fill="CFF0FC"/>
            <w:tcMar>
              <w:top w:w="15" w:type="dxa"/>
              <w:left w:w="0" w:type="dxa"/>
              <w:bottom w:w="0" w:type="dxa"/>
              <w:right w:w="15" w:type="dxa"/>
            </w:tcMar>
            <w:hideMark/>
          </w:tcPr>
          <w:p w14:paraId="3A8B0E0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5" w:type="pct"/>
            <w:shd w:val="clear" w:color="auto" w:fill="CFF0FC"/>
            <w:tcMar>
              <w:top w:w="15" w:type="dxa"/>
              <w:left w:w="0" w:type="dxa"/>
              <w:bottom w:w="0" w:type="dxa"/>
              <w:right w:w="15" w:type="dxa"/>
            </w:tcMar>
            <w:vAlign w:val="bottom"/>
            <w:hideMark/>
          </w:tcPr>
          <w:p w14:paraId="03A60A9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F234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4DDCA70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51,672</w:t>
            </w:r>
          </w:p>
        </w:tc>
        <w:tc>
          <w:tcPr>
            <w:tcW w:w="50" w:type="pct"/>
            <w:shd w:val="clear" w:color="auto" w:fill="CFF0FC"/>
            <w:noWrap/>
            <w:tcMar>
              <w:top w:w="15" w:type="dxa"/>
              <w:left w:w="0" w:type="dxa"/>
              <w:bottom w:w="0" w:type="dxa"/>
              <w:right w:w="15" w:type="dxa"/>
            </w:tcMar>
            <w:vAlign w:val="bottom"/>
            <w:hideMark/>
          </w:tcPr>
          <w:p w14:paraId="250140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3C02A0D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BE03BF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7468EB2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56,128</w:t>
            </w:r>
          </w:p>
        </w:tc>
        <w:tc>
          <w:tcPr>
            <w:tcW w:w="50" w:type="pct"/>
            <w:shd w:val="clear" w:color="auto" w:fill="CFF0FC"/>
            <w:noWrap/>
            <w:tcMar>
              <w:top w:w="15" w:type="dxa"/>
              <w:left w:w="0" w:type="dxa"/>
              <w:bottom w:w="0" w:type="dxa"/>
              <w:right w:w="15" w:type="dxa"/>
            </w:tcMar>
            <w:vAlign w:val="bottom"/>
            <w:hideMark/>
          </w:tcPr>
          <w:p w14:paraId="781276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9D0714C" w14:textId="77777777">
        <w:trPr>
          <w:divId w:val="632907690"/>
          <w:jc w:val="center"/>
        </w:trPr>
        <w:tc>
          <w:tcPr>
            <w:tcW w:w="3585" w:type="pct"/>
            <w:shd w:val="clear" w:color="auto" w:fill="FFFFFF"/>
            <w:tcMar>
              <w:top w:w="15" w:type="dxa"/>
              <w:left w:w="0" w:type="dxa"/>
              <w:bottom w:w="0" w:type="dxa"/>
              <w:right w:w="15" w:type="dxa"/>
            </w:tcMar>
            <w:hideMark/>
          </w:tcPr>
          <w:p w14:paraId="14E242A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Income taxes payable</w:t>
            </w:r>
          </w:p>
        </w:tc>
        <w:tc>
          <w:tcPr>
            <w:tcW w:w="85" w:type="pct"/>
            <w:shd w:val="clear" w:color="auto" w:fill="FFFFFF"/>
            <w:tcMar>
              <w:top w:w="15" w:type="dxa"/>
              <w:left w:w="0" w:type="dxa"/>
              <w:bottom w:w="0" w:type="dxa"/>
              <w:right w:w="15" w:type="dxa"/>
            </w:tcMar>
            <w:vAlign w:val="bottom"/>
            <w:hideMark/>
          </w:tcPr>
          <w:p w14:paraId="472497E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E537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31A0C28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13,208</w:t>
            </w:r>
          </w:p>
        </w:tc>
        <w:tc>
          <w:tcPr>
            <w:tcW w:w="50" w:type="pct"/>
            <w:shd w:val="clear" w:color="auto" w:fill="FFFFFF"/>
            <w:noWrap/>
            <w:tcMar>
              <w:top w:w="15" w:type="dxa"/>
              <w:left w:w="0" w:type="dxa"/>
              <w:bottom w:w="0" w:type="dxa"/>
              <w:right w:w="15" w:type="dxa"/>
            </w:tcMar>
            <w:vAlign w:val="bottom"/>
            <w:hideMark/>
          </w:tcPr>
          <w:p w14:paraId="7F5410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5712C5A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6356AE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4A53654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13,429</w:t>
            </w:r>
          </w:p>
        </w:tc>
        <w:tc>
          <w:tcPr>
            <w:tcW w:w="50" w:type="pct"/>
            <w:shd w:val="clear" w:color="auto" w:fill="FFFFFF"/>
            <w:noWrap/>
            <w:tcMar>
              <w:top w:w="15" w:type="dxa"/>
              <w:left w:w="0" w:type="dxa"/>
              <w:bottom w:w="0" w:type="dxa"/>
              <w:right w:w="15" w:type="dxa"/>
            </w:tcMar>
            <w:vAlign w:val="bottom"/>
            <w:hideMark/>
          </w:tcPr>
          <w:p w14:paraId="7C613F9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150C078" w14:textId="77777777">
        <w:trPr>
          <w:divId w:val="632907690"/>
          <w:jc w:val="center"/>
        </w:trPr>
        <w:tc>
          <w:tcPr>
            <w:tcW w:w="3585" w:type="pct"/>
            <w:shd w:val="clear" w:color="auto" w:fill="CFF0FC"/>
            <w:tcMar>
              <w:top w:w="15" w:type="dxa"/>
              <w:left w:w="0" w:type="dxa"/>
              <w:bottom w:w="0" w:type="dxa"/>
              <w:right w:w="15" w:type="dxa"/>
            </w:tcMar>
            <w:hideMark/>
          </w:tcPr>
          <w:p w14:paraId="0C973F5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non-current liabilities</w:t>
            </w:r>
          </w:p>
        </w:tc>
        <w:tc>
          <w:tcPr>
            <w:tcW w:w="85" w:type="pct"/>
            <w:shd w:val="clear" w:color="auto" w:fill="CFF0FC"/>
            <w:tcMar>
              <w:top w:w="15" w:type="dxa"/>
              <w:left w:w="0" w:type="dxa"/>
              <w:bottom w:w="0" w:type="dxa"/>
              <w:right w:w="15" w:type="dxa"/>
            </w:tcMar>
            <w:vAlign w:val="bottom"/>
            <w:hideMark/>
          </w:tcPr>
          <w:p w14:paraId="216682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ACB0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CFF0FC"/>
            <w:noWrap/>
            <w:tcMar>
              <w:top w:w="15" w:type="dxa"/>
              <w:left w:w="0" w:type="dxa"/>
              <w:bottom w:w="0" w:type="dxa"/>
              <w:right w:w="15" w:type="dxa"/>
            </w:tcMar>
            <w:vAlign w:val="bottom"/>
            <w:hideMark/>
          </w:tcPr>
          <w:p w14:paraId="1FF629D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2,334</w:t>
            </w:r>
          </w:p>
        </w:tc>
        <w:tc>
          <w:tcPr>
            <w:tcW w:w="50" w:type="pct"/>
            <w:shd w:val="clear" w:color="auto" w:fill="CFF0FC"/>
            <w:noWrap/>
            <w:tcMar>
              <w:top w:w="15" w:type="dxa"/>
              <w:left w:w="0" w:type="dxa"/>
              <w:bottom w:w="0" w:type="dxa"/>
              <w:right w:w="15" w:type="dxa"/>
            </w:tcMar>
            <w:vAlign w:val="bottom"/>
            <w:hideMark/>
          </w:tcPr>
          <w:p w14:paraId="41AFD8F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1223A7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D6A6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CFF0FC"/>
            <w:noWrap/>
            <w:tcMar>
              <w:top w:w="15" w:type="dxa"/>
              <w:left w:w="0" w:type="dxa"/>
              <w:bottom w:w="0" w:type="dxa"/>
              <w:right w:w="15" w:type="dxa"/>
            </w:tcMar>
            <w:vAlign w:val="bottom"/>
            <w:hideMark/>
          </w:tcPr>
          <w:p w14:paraId="51C2CD3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2,297</w:t>
            </w:r>
          </w:p>
        </w:tc>
        <w:tc>
          <w:tcPr>
            <w:tcW w:w="50" w:type="pct"/>
            <w:shd w:val="clear" w:color="auto" w:fill="CFF0FC"/>
            <w:noWrap/>
            <w:tcMar>
              <w:top w:w="15" w:type="dxa"/>
              <w:left w:w="0" w:type="dxa"/>
              <w:bottom w:w="0" w:type="dxa"/>
              <w:right w:w="15" w:type="dxa"/>
            </w:tcMar>
            <w:vAlign w:val="bottom"/>
            <w:hideMark/>
          </w:tcPr>
          <w:p w14:paraId="3947C4A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0FD3FB5" w14:textId="77777777">
        <w:trPr>
          <w:divId w:val="632907690"/>
          <w:jc w:val="center"/>
        </w:trPr>
        <w:tc>
          <w:tcPr>
            <w:tcW w:w="3585" w:type="pct"/>
            <w:shd w:val="clear" w:color="auto" w:fill="FFFFFF"/>
            <w:tcMar>
              <w:top w:w="15" w:type="dxa"/>
              <w:left w:w="0" w:type="dxa"/>
              <w:bottom w:w="0" w:type="dxa"/>
              <w:right w:w="15" w:type="dxa"/>
            </w:tcMar>
            <w:hideMark/>
          </w:tcPr>
          <w:p w14:paraId="61F48818"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non-current liabilities</w:t>
            </w:r>
          </w:p>
        </w:tc>
        <w:tc>
          <w:tcPr>
            <w:tcW w:w="85" w:type="pct"/>
            <w:shd w:val="clear" w:color="auto" w:fill="FFFFFF"/>
            <w:tcMar>
              <w:top w:w="15" w:type="dxa"/>
              <w:left w:w="0" w:type="dxa"/>
              <w:bottom w:w="0" w:type="dxa"/>
              <w:right w:w="15" w:type="dxa"/>
            </w:tcMar>
            <w:vAlign w:val="bottom"/>
            <w:hideMark/>
          </w:tcPr>
          <w:p w14:paraId="7D15EC03"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0C33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201AC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67,214</w:t>
            </w:r>
          </w:p>
        </w:tc>
        <w:tc>
          <w:tcPr>
            <w:tcW w:w="50" w:type="pct"/>
            <w:shd w:val="clear" w:color="auto" w:fill="FFFFFF"/>
            <w:noWrap/>
            <w:tcMar>
              <w:top w:w="15" w:type="dxa"/>
              <w:left w:w="0" w:type="dxa"/>
              <w:bottom w:w="0" w:type="dxa"/>
              <w:right w:w="15" w:type="dxa"/>
            </w:tcMar>
            <w:vAlign w:val="bottom"/>
            <w:hideMark/>
          </w:tcPr>
          <w:p w14:paraId="32AF178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0225B551"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A984C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584B9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71,854</w:t>
            </w:r>
          </w:p>
        </w:tc>
        <w:tc>
          <w:tcPr>
            <w:tcW w:w="50" w:type="pct"/>
            <w:shd w:val="clear" w:color="auto" w:fill="FFFFFF"/>
            <w:noWrap/>
            <w:tcMar>
              <w:top w:w="15" w:type="dxa"/>
              <w:left w:w="0" w:type="dxa"/>
              <w:bottom w:w="0" w:type="dxa"/>
              <w:right w:w="15" w:type="dxa"/>
            </w:tcMar>
            <w:vAlign w:val="bottom"/>
            <w:hideMark/>
          </w:tcPr>
          <w:p w14:paraId="2357F92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49CF4F2" w14:textId="77777777">
        <w:trPr>
          <w:divId w:val="632907690"/>
          <w:jc w:val="center"/>
        </w:trPr>
        <w:tc>
          <w:tcPr>
            <w:tcW w:w="3585" w:type="pct"/>
            <w:shd w:val="clear" w:color="auto" w:fill="CFF0FC"/>
            <w:tcMar>
              <w:top w:w="15" w:type="dxa"/>
              <w:left w:w="0" w:type="dxa"/>
              <w:bottom w:w="0" w:type="dxa"/>
              <w:right w:w="15" w:type="dxa"/>
            </w:tcMar>
            <w:hideMark/>
          </w:tcPr>
          <w:p w14:paraId="0E81B8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Commitments and contingencies</w:t>
            </w:r>
          </w:p>
        </w:tc>
        <w:tc>
          <w:tcPr>
            <w:tcW w:w="85" w:type="pct"/>
            <w:shd w:val="clear" w:color="auto" w:fill="CFF0FC"/>
            <w:tcMar>
              <w:top w:w="15" w:type="dxa"/>
              <w:left w:w="0" w:type="dxa"/>
              <w:bottom w:w="0" w:type="dxa"/>
              <w:right w:w="15" w:type="dxa"/>
            </w:tcMar>
            <w:vAlign w:val="bottom"/>
            <w:hideMark/>
          </w:tcPr>
          <w:p w14:paraId="2194C2F8"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08783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56F8256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8BF3BD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2B6801D3"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1AB72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2BF0E8D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20AD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1EA25E5" w14:textId="77777777">
        <w:trPr>
          <w:divId w:val="632907690"/>
          <w:jc w:val="center"/>
        </w:trPr>
        <w:tc>
          <w:tcPr>
            <w:tcW w:w="3585" w:type="pct"/>
            <w:shd w:val="clear" w:color="auto" w:fill="FFFFFF"/>
            <w:tcMar>
              <w:top w:w="15" w:type="dxa"/>
              <w:left w:w="0" w:type="dxa"/>
              <w:bottom w:w="0" w:type="dxa"/>
              <w:right w:w="15" w:type="dxa"/>
            </w:tcMar>
            <w:hideMark/>
          </w:tcPr>
          <w:p w14:paraId="146D942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Oracle Corporation stockholders’ equity:</w:t>
            </w:r>
          </w:p>
        </w:tc>
        <w:tc>
          <w:tcPr>
            <w:tcW w:w="85" w:type="pct"/>
            <w:shd w:val="clear" w:color="auto" w:fill="FFFFFF"/>
            <w:tcMar>
              <w:top w:w="15" w:type="dxa"/>
              <w:left w:w="0" w:type="dxa"/>
              <w:bottom w:w="0" w:type="dxa"/>
              <w:right w:w="15" w:type="dxa"/>
            </w:tcMar>
            <w:vAlign w:val="bottom"/>
            <w:hideMark/>
          </w:tcPr>
          <w:p w14:paraId="4AD8498B"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8A42F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613900E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E3CC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582AE6A8"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0DFA6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1EF1431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A6CBE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AD8FABF" w14:textId="77777777">
        <w:trPr>
          <w:divId w:val="632907690"/>
          <w:jc w:val="center"/>
        </w:trPr>
        <w:tc>
          <w:tcPr>
            <w:tcW w:w="3585" w:type="pct"/>
            <w:shd w:val="clear" w:color="auto" w:fill="CFF0FC"/>
            <w:tcMar>
              <w:top w:w="15" w:type="dxa"/>
              <w:left w:w="0" w:type="dxa"/>
              <w:bottom w:w="0" w:type="dxa"/>
              <w:right w:w="15" w:type="dxa"/>
            </w:tcMar>
            <w:hideMark/>
          </w:tcPr>
          <w:p w14:paraId="2EBC756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Preferred stock, $0.01 par value—authorized: 1.0 shares; outstanding: none</w:t>
            </w:r>
          </w:p>
        </w:tc>
        <w:tc>
          <w:tcPr>
            <w:tcW w:w="85" w:type="pct"/>
            <w:shd w:val="clear" w:color="auto" w:fill="CFF0FC"/>
            <w:tcMar>
              <w:top w:w="15" w:type="dxa"/>
              <w:left w:w="0" w:type="dxa"/>
              <w:bottom w:w="0" w:type="dxa"/>
              <w:right w:w="15" w:type="dxa"/>
            </w:tcMar>
            <w:vAlign w:val="bottom"/>
            <w:hideMark/>
          </w:tcPr>
          <w:p w14:paraId="0EF0E34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4ABC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302F073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7353A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7013FE1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070A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0B24E4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15D141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F8D0473" w14:textId="77777777">
        <w:trPr>
          <w:divId w:val="632907690"/>
          <w:jc w:val="center"/>
        </w:trPr>
        <w:tc>
          <w:tcPr>
            <w:tcW w:w="3585" w:type="pct"/>
            <w:shd w:val="clear" w:color="auto" w:fill="FFFFFF"/>
            <w:tcMar>
              <w:top w:w="15" w:type="dxa"/>
              <w:left w:w="0" w:type="dxa"/>
              <w:bottom w:w="0" w:type="dxa"/>
              <w:right w:w="15" w:type="dxa"/>
            </w:tcMar>
            <w:hideMark/>
          </w:tcPr>
          <w:p w14:paraId="411827EF"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Common stock, $0.01 par value and additional paid in capital—authorized:</w:t>
            </w:r>
          </w:p>
          <w:p w14:paraId="56C0DEA7"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   11,000 shares; outstanding: 3,443 shares and 3,997 shares as of</w:t>
            </w:r>
          </w:p>
          <w:p w14:paraId="402A9CE9"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    February 28, 2019 and May 31, 2018, respectively</w:t>
            </w:r>
          </w:p>
        </w:tc>
        <w:tc>
          <w:tcPr>
            <w:tcW w:w="85" w:type="pct"/>
            <w:shd w:val="clear" w:color="auto" w:fill="FFFFFF"/>
            <w:tcMar>
              <w:top w:w="15" w:type="dxa"/>
              <w:left w:w="0" w:type="dxa"/>
              <w:bottom w:w="0" w:type="dxa"/>
              <w:right w:w="15" w:type="dxa"/>
            </w:tcMar>
            <w:vAlign w:val="bottom"/>
            <w:hideMark/>
          </w:tcPr>
          <w:p w14:paraId="3DD2743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C1D04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1F5F18C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26,732</w:t>
            </w:r>
          </w:p>
        </w:tc>
        <w:tc>
          <w:tcPr>
            <w:tcW w:w="50" w:type="pct"/>
            <w:shd w:val="clear" w:color="auto" w:fill="FFFFFF"/>
            <w:noWrap/>
            <w:tcMar>
              <w:top w:w="15" w:type="dxa"/>
              <w:left w:w="0" w:type="dxa"/>
              <w:bottom w:w="0" w:type="dxa"/>
              <w:right w:w="15" w:type="dxa"/>
            </w:tcMar>
            <w:vAlign w:val="bottom"/>
            <w:hideMark/>
          </w:tcPr>
          <w:p w14:paraId="1E45F8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7D4E186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0A392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FFFFFF"/>
            <w:noWrap/>
            <w:tcMar>
              <w:top w:w="15" w:type="dxa"/>
              <w:left w:w="0" w:type="dxa"/>
              <w:bottom w:w="0" w:type="dxa"/>
              <w:right w:w="15" w:type="dxa"/>
            </w:tcMar>
            <w:vAlign w:val="bottom"/>
            <w:hideMark/>
          </w:tcPr>
          <w:p w14:paraId="7B3E4C1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28,950</w:t>
            </w:r>
          </w:p>
        </w:tc>
        <w:tc>
          <w:tcPr>
            <w:tcW w:w="50" w:type="pct"/>
            <w:shd w:val="clear" w:color="auto" w:fill="FFFFFF"/>
            <w:noWrap/>
            <w:tcMar>
              <w:top w:w="15" w:type="dxa"/>
              <w:left w:w="0" w:type="dxa"/>
              <w:bottom w:w="0" w:type="dxa"/>
              <w:right w:w="15" w:type="dxa"/>
            </w:tcMar>
            <w:vAlign w:val="bottom"/>
            <w:hideMark/>
          </w:tcPr>
          <w:p w14:paraId="1FF971B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263E6BA" w14:textId="77777777">
        <w:trPr>
          <w:divId w:val="632907690"/>
          <w:jc w:val="center"/>
        </w:trPr>
        <w:tc>
          <w:tcPr>
            <w:tcW w:w="3585" w:type="pct"/>
            <w:shd w:val="clear" w:color="auto" w:fill="CFF0FC"/>
            <w:tcMar>
              <w:top w:w="15" w:type="dxa"/>
              <w:left w:w="0" w:type="dxa"/>
              <w:bottom w:w="0" w:type="dxa"/>
              <w:right w:w="15" w:type="dxa"/>
            </w:tcMar>
            <w:hideMark/>
          </w:tcPr>
          <w:p w14:paraId="1FF090B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(Accumulated deficit) retained earnings</w:t>
            </w:r>
          </w:p>
        </w:tc>
        <w:tc>
          <w:tcPr>
            <w:tcW w:w="85" w:type="pct"/>
            <w:shd w:val="clear" w:color="auto" w:fill="CFF0FC"/>
            <w:tcMar>
              <w:top w:w="15" w:type="dxa"/>
              <w:left w:w="0" w:type="dxa"/>
              <w:bottom w:w="0" w:type="dxa"/>
              <w:right w:w="15" w:type="dxa"/>
            </w:tcMar>
            <w:vAlign w:val="bottom"/>
            <w:hideMark/>
          </w:tcPr>
          <w:p w14:paraId="6AED57C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E4D8B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6FEF1E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(1,284</w:t>
            </w:r>
          </w:p>
        </w:tc>
        <w:tc>
          <w:tcPr>
            <w:tcW w:w="50" w:type="pct"/>
            <w:shd w:val="clear" w:color="auto" w:fill="CFF0FC"/>
            <w:noWrap/>
            <w:tcMar>
              <w:top w:w="15" w:type="dxa"/>
              <w:left w:w="0" w:type="dxa"/>
              <w:bottom w:w="0" w:type="dxa"/>
              <w:right w:w="15" w:type="dxa"/>
            </w:tcMar>
            <w:vAlign w:val="bottom"/>
            <w:hideMark/>
          </w:tcPr>
          <w:p w14:paraId="438326B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5" w:type="pct"/>
            <w:shd w:val="clear" w:color="auto" w:fill="CFF0FC"/>
            <w:tcMar>
              <w:top w:w="15" w:type="dxa"/>
              <w:left w:w="0" w:type="dxa"/>
              <w:bottom w:w="0" w:type="dxa"/>
              <w:right w:w="15" w:type="dxa"/>
            </w:tcMar>
            <w:vAlign w:val="bottom"/>
            <w:hideMark/>
          </w:tcPr>
          <w:p w14:paraId="197238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DEFE7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shd w:val="clear" w:color="auto" w:fill="CFF0FC"/>
            <w:noWrap/>
            <w:tcMar>
              <w:top w:w="15" w:type="dxa"/>
              <w:left w:w="0" w:type="dxa"/>
              <w:bottom w:w="0" w:type="dxa"/>
              <w:right w:w="15" w:type="dxa"/>
            </w:tcMar>
            <w:vAlign w:val="bottom"/>
            <w:hideMark/>
          </w:tcPr>
          <w:p w14:paraId="078138D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19,111</w:t>
            </w:r>
          </w:p>
        </w:tc>
        <w:tc>
          <w:tcPr>
            <w:tcW w:w="50" w:type="pct"/>
            <w:shd w:val="clear" w:color="auto" w:fill="CFF0FC"/>
            <w:noWrap/>
            <w:tcMar>
              <w:top w:w="15" w:type="dxa"/>
              <w:left w:w="0" w:type="dxa"/>
              <w:bottom w:w="0" w:type="dxa"/>
              <w:right w:w="15" w:type="dxa"/>
            </w:tcMar>
            <w:vAlign w:val="bottom"/>
            <w:hideMark/>
          </w:tcPr>
          <w:p w14:paraId="036E87F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7B66493" w14:textId="77777777">
        <w:trPr>
          <w:divId w:val="632907690"/>
          <w:jc w:val="center"/>
        </w:trPr>
        <w:tc>
          <w:tcPr>
            <w:tcW w:w="3585" w:type="pct"/>
            <w:shd w:val="clear" w:color="auto" w:fill="FFFFFF"/>
            <w:tcMar>
              <w:top w:w="15" w:type="dxa"/>
              <w:left w:w="0" w:type="dxa"/>
              <w:bottom w:w="0" w:type="dxa"/>
              <w:right w:w="15" w:type="dxa"/>
            </w:tcMar>
            <w:hideMark/>
          </w:tcPr>
          <w:p w14:paraId="0D97440A"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Accumulated other comprehensive loss</w:t>
            </w:r>
          </w:p>
        </w:tc>
        <w:tc>
          <w:tcPr>
            <w:tcW w:w="85" w:type="pct"/>
            <w:shd w:val="clear" w:color="auto" w:fill="FFFFFF"/>
            <w:tcMar>
              <w:top w:w="15" w:type="dxa"/>
              <w:left w:w="0" w:type="dxa"/>
              <w:bottom w:w="0" w:type="dxa"/>
              <w:right w:w="15" w:type="dxa"/>
            </w:tcMar>
            <w:vAlign w:val="bottom"/>
            <w:hideMark/>
          </w:tcPr>
          <w:p w14:paraId="7F19FEA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4A863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7D0C8F8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(1,734</w:t>
            </w:r>
          </w:p>
        </w:tc>
        <w:tc>
          <w:tcPr>
            <w:tcW w:w="50" w:type="pct"/>
            <w:shd w:val="clear" w:color="auto" w:fill="FFFFFF"/>
            <w:noWrap/>
            <w:tcMar>
              <w:top w:w="15" w:type="dxa"/>
              <w:left w:w="0" w:type="dxa"/>
              <w:bottom w:w="0" w:type="dxa"/>
              <w:right w:w="15" w:type="dxa"/>
            </w:tcMar>
            <w:vAlign w:val="bottom"/>
            <w:hideMark/>
          </w:tcPr>
          <w:p w14:paraId="65EAFED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5" w:type="pct"/>
            <w:shd w:val="clear" w:color="auto" w:fill="FFFFFF"/>
            <w:tcMar>
              <w:top w:w="15" w:type="dxa"/>
              <w:left w:w="0" w:type="dxa"/>
              <w:bottom w:w="0" w:type="dxa"/>
              <w:right w:w="15" w:type="dxa"/>
            </w:tcMar>
            <w:vAlign w:val="bottom"/>
            <w:hideMark/>
          </w:tcPr>
          <w:p w14:paraId="033E6A9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C8B4A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56ADDE4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(1,689</w:t>
            </w:r>
          </w:p>
        </w:tc>
        <w:tc>
          <w:tcPr>
            <w:tcW w:w="50" w:type="pct"/>
            <w:shd w:val="clear" w:color="auto" w:fill="FFFFFF"/>
            <w:noWrap/>
            <w:tcMar>
              <w:top w:w="15" w:type="dxa"/>
              <w:left w:w="0" w:type="dxa"/>
              <w:bottom w:w="0" w:type="dxa"/>
              <w:right w:w="15" w:type="dxa"/>
            </w:tcMar>
            <w:vAlign w:val="bottom"/>
            <w:hideMark/>
          </w:tcPr>
          <w:p w14:paraId="673497F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249ED4E9" w14:textId="77777777">
        <w:trPr>
          <w:divId w:val="632907690"/>
          <w:jc w:val="center"/>
        </w:trPr>
        <w:tc>
          <w:tcPr>
            <w:tcW w:w="3585" w:type="pct"/>
            <w:shd w:val="clear" w:color="auto" w:fill="CFF0FC"/>
            <w:tcMar>
              <w:top w:w="15" w:type="dxa"/>
              <w:left w:w="0" w:type="dxa"/>
              <w:bottom w:w="0" w:type="dxa"/>
              <w:right w:w="15" w:type="dxa"/>
            </w:tcMar>
            <w:hideMark/>
          </w:tcPr>
          <w:p w14:paraId="5B3D3BAF"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Oracle Corporation stockholders’ equity</w:t>
            </w:r>
          </w:p>
        </w:tc>
        <w:tc>
          <w:tcPr>
            <w:tcW w:w="85" w:type="pct"/>
            <w:shd w:val="clear" w:color="auto" w:fill="CFF0FC"/>
            <w:tcMar>
              <w:top w:w="15" w:type="dxa"/>
              <w:left w:w="0" w:type="dxa"/>
              <w:bottom w:w="0" w:type="dxa"/>
              <w:right w:w="15" w:type="dxa"/>
            </w:tcMar>
            <w:vAlign w:val="bottom"/>
            <w:hideMark/>
          </w:tcPr>
          <w:p w14:paraId="57279212"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1BB32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55B4A73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23,714</w:t>
            </w:r>
          </w:p>
        </w:tc>
        <w:tc>
          <w:tcPr>
            <w:tcW w:w="50" w:type="pct"/>
            <w:shd w:val="clear" w:color="auto" w:fill="CFF0FC"/>
            <w:noWrap/>
            <w:tcMar>
              <w:top w:w="15" w:type="dxa"/>
              <w:left w:w="0" w:type="dxa"/>
              <w:bottom w:w="0" w:type="dxa"/>
              <w:right w:w="15" w:type="dxa"/>
            </w:tcMar>
            <w:vAlign w:val="bottom"/>
            <w:hideMark/>
          </w:tcPr>
          <w:p w14:paraId="0E81120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089E415C"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3E28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7DA7C4E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46,372</w:t>
            </w:r>
          </w:p>
        </w:tc>
        <w:tc>
          <w:tcPr>
            <w:tcW w:w="50" w:type="pct"/>
            <w:shd w:val="clear" w:color="auto" w:fill="CFF0FC"/>
            <w:noWrap/>
            <w:tcMar>
              <w:top w:w="15" w:type="dxa"/>
              <w:left w:w="0" w:type="dxa"/>
              <w:bottom w:w="0" w:type="dxa"/>
              <w:right w:w="15" w:type="dxa"/>
            </w:tcMar>
            <w:vAlign w:val="bottom"/>
            <w:hideMark/>
          </w:tcPr>
          <w:p w14:paraId="2838C3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FBDD6E1" w14:textId="77777777">
        <w:trPr>
          <w:divId w:val="632907690"/>
          <w:jc w:val="center"/>
        </w:trPr>
        <w:tc>
          <w:tcPr>
            <w:tcW w:w="3585" w:type="pct"/>
            <w:shd w:val="clear" w:color="auto" w:fill="FFFFFF"/>
            <w:tcMar>
              <w:top w:w="15" w:type="dxa"/>
              <w:left w:w="0" w:type="dxa"/>
              <w:bottom w:w="0" w:type="dxa"/>
              <w:right w:w="15" w:type="dxa"/>
            </w:tcMar>
            <w:hideMark/>
          </w:tcPr>
          <w:p w14:paraId="7C5AC1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Noncontrolling interests</w:t>
            </w:r>
          </w:p>
        </w:tc>
        <w:tc>
          <w:tcPr>
            <w:tcW w:w="85" w:type="pct"/>
            <w:shd w:val="clear" w:color="auto" w:fill="FFFFFF"/>
            <w:tcMar>
              <w:top w:w="15" w:type="dxa"/>
              <w:left w:w="0" w:type="dxa"/>
              <w:bottom w:w="0" w:type="dxa"/>
              <w:right w:w="15" w:type="dxa"/>
            </w:tcMar>
            <w:vAlign w:val="bottom"/>
            <w:hideMark/>
          </w:tcPr>
          <w:p w14:paraId="40C47A7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9BDE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12AA637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524</w:t>
            </w:r>
          </w:p>
        </w:tc>
        <w:tc>
          <w:tcPr>
            <w:tcW w:w="50" w:type="pct"/>
            <w:shd w:val="clear" w:color="auto" w:fill="FFFFFF"/>
            <w:noWrap/>
            <w:tcMar>
              <w:top w:w="15" w:type="dxa"/>
              <w:left w:w="0" w:type="dxa"/>
              <w:bottom w:w="0" w:type="dxa"/>
              <w:right w:w="15" w:type="dxa"/>
            </w:tcMar>
            <w:vAlign w:val="bottom"/>
            <w:hideMark/>
          </w:tcPr>
          <w:p w14:paraId="2DB5BB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2FDD2785"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41E5A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bottom w:val="single" w:sz="6" w:space="0" w:color="000000"/>
            </w:tcBorders>
            <w:shd w:val="clear" w:color="auto" w:fill="FFFFFF"/>
            <w:noWrap/>
            <w:tcMar>
              <w:top w:w="15" w:type="dxa"/>
              <w:left w:w="0" w:type="dxa"/>
              <w:bottom w:w="0" w:type="dxa"/>
              <w:right w:w="15" w:type="dxa"/>
            </w:tcMar>
            <w:vAlign w:val="bottom"/>
            <w:hideMark/>
          </w:tcPr>
          <w:p w14:paraId="4514AE7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501</w:t>
            </w:r>
          </w:p>
        </w:tc>
        <w:tc>
          <w:tcPr>
            <w:tcW w:w="50" w:type="pct"/>
            <w:shd w:val="clear" w:color="auto" w:fill="FFFFFF"/>
            <w:noWrap/>
            <w:tcMar>
              <w:top w:w="15" w:type="dxa"/>
              <w:left w:w="0" w:type="dxa"/>
              <w:bottom w:w="0" w:type="dxa"/>
              <w:right w:w="15" w:type="dxa"/>
            </w:tcMar>
            <w:vAlign w:val="bottom"/>
            <w:hideMark/>
          </w:tcPr>
          <w:p w14:paraId="45768A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8DB9265" w14:textId="77777777">
        <w:trPr>
          <w:divId w:val="632907690"/>
          <w:jc w:val="center"/>
        </w:trPr>
        <w:tc>
          <w:tcPr>
            <w:tcW w:w="3585" w:type="pct"/>
            <w:shd w:val="clear" w:color="auto" w:fill="CFF0FC"/>
            <w:tcMar>
              <w:top w:w="15" w:type="dxa"/>
              <w:left w:w="0" w:type="dxa"/>
              <w:bottom w:w="0" w:type="dxa"/>
              <w:right w:w="15" w:type="dxa"/>
            </w:tcMar>
            <w:hideMark/>
          </w:tcPr>
          <w:p w14:paraId="60E97BEF"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Total equity</w:t>
            </w:r>
          </w:p>
        </w:tc>
        <w:tc>
          <w:tcPr>
            <w:tcW w:w="85" w:type="pct"/>
            <w:shd w:val="clear" w:color="auto" w:fill="CFF0FC"/>
            <w:tcMar>
              <w:top w:w="15" w:type="dxa"/>
              <w:left w:w="0" w:type="dxa"/>
              <w:bottom w:w="0" w:type="dxa"/>
              <w:right w:w="15" w:type="dxa"/>
            </w:tcMar>
            <w:vAlign w:val="bottom"/>
            <w:hideMark/>
          </w:tcPr>
          <w:p w14:paraId="784465F3"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080B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A34B9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24,238</w:t>
            </w:r>
          </w:p>
        </w:tc>
        <w:tc>
          <w:tcPr>
            <w:tcW w:w="50" w:type="pct"/>
            <w:shd w:val="clear" w:color="auto" w:fill="CFF0FC"/>
            <w:noWrap/>
            <w:tcMar>
              <w:top w:w="15" w:type="dxa"/>
              <w:left w:w="0" w:type="dxa"/>
              <w:bottom w:w="0" w:type="dxa"/>
              <w:right w:w="15" w:type="dxa"/>
            </w:tcMar>
            <w:vAlign w:val="bottom"/>
            <w:hideMark/>
          </w:tcPr>
          <w:p w14:paraId="1196ECF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660E94A7"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69B65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2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A85021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46,873</w:t>
            </w:r>
          </w:p>
        </w:tc>
        <w:tc>
          <w:tcPr>
            <w:tcW w:w="50" w:type="pct"/>
            <w:shd w:val="clear" w:color="auto" w:fill="CFF0FC"/>
            <w:noWrap/>
            <w:tcMar>
              <w:top w:w="15" w:type="dxa"/>
              <w:left w:w="0" w:type="dxa"/>
              <w:bottom w:w="0" w:type="dxa"/>
              <w:right w:w="15" w:type="dxa"/>
            </w:tcMar>
            <w:vAlign w:val="bottom"/>
            <w:hideMark/>
          </w:tcPr>
          <w:p w14:paraId="0BAF22E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874FC38" w14:textId="77777777">
        <w:trPr>
          <w:divId w:val="632907690"/>
          <w:jc w:val="center"/>
        </w:trPr>
        <w:tc>
          <w:tcPr>
            <w:tcW w:w="3585" w:type="pct"/>
            <w:shd w:val="clear" w:color="auto" w:fill="FFFFFF"/>
            <w:tcMar>
              <w:top w:w="15" w:type="dxa"/>
              <w:left w:w="0" w:type="dxa"/>
              <w:bottom w:w="0" w:type="dxa"/>
              <w:right w:w="15" w:type="dxa"/>
            </w:tcMar>
            <w:hideMark/>
          </w:tcPr>
          <w:p w14:paraId="7A8C24A6"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Total liabilities and equity</w:t>
            </w:r>
          </w:p>
        </w:tc>
        <w:tc>
          <w:tcPr>
            <w:tcW w:w="85" w:type="pct"/>
            <w:shd w:val="clear" w:color="auto" w:fill="FFFFFF"/>
            <w:tcMar>
              <w:top w:w="15" w:type="dxa"/>
              <w:left w:w="0" w:type="dxa"/>
              <w:bottom w:w="0" w:type="dxa"/>
              <w:right w:w="15" w:type="dxa"/>
            </w:tcMar>
            <w:vAlign w:val="bottom"/>
            <w:hideMark/>
          </w:tcPr>
          <w:p w14:paraId="6D66ED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A25D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F18DD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109,438</w:t>
            </w:r>
          </w:p>
        </w:tc>
        <w:tc>
          <w:tcPr>
            <w:tcW w:w="50" w:type="pct"/>
            <w:shd w:val="clear" w:color="auto" w:fill="FFFFFF"/>
            <w:noWrap/>
            <w:tcMar>
              <w:top w:w="15" w:type="dxa"/>
              <w:left w:w="0" w:type="dxa"/>
              <w:bottom w:w="0" w:type="dxa"/>
              <w:right w:w="15" w:type="dxa"/>
            </w:tcMar>
            <w:vAlign w:val="bottom"/>
            <w:hideMark/>
          </w:tcPr>
          <w:p w14:paraId="40DB6D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3D155B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5839D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AF110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137,851</w:t>
            </w:r>
          </w:p>
        </w:tc>
        <w:tc>
          <w:tcPr>
            <w:tcW w:w="50" w:type="pct"/>
            <w:shd w:val="clear" w:color="auto" w:fill="FFFFFF"/>
            <w:noWrap/>
            <w:tcMar>
              <w:top w:w="15" w:type="dxa"/>
              <w:left w:w="0" w:type="dxa"/>
              <w:bottom w:w="0" w:type="dxa"/>
              <w:right w:w="15" w:type="dxa"/>
            </w:tcMar>
            <w:vAlign w:val="bottom"/>
            <w:hideMark/>
          </w:tcPr>
          <w:p w14:paraId="6D2CBDA9"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AFCEC0C" w14:textId="77777777" w:rsidR="00716E85" w:rsidRDefault="00716E85">
      <w:pPr>
        <w:pStyle w:val="a3"/>
        <w:spacing w:before="0" w:beforeAutospacing="0" w:after="0" w:afterAutospacing="0"/>
        <w:rPr>
          <w:sz w:val="12"/>
          <w:szCs w:val="12"/>
        </w:rPr>
      </w:pPr>
      <w:r>
        <w:rPr>
          <w:sz w:val="12"/>
          <w:szCs w:val="12"/>
        </w:rPr>
        <w:t> </w:t>
      </w:r>
    </w:p>
    <w:p w14:paraId="03F8844B" w14:textId="77777777" w:rsidR="00716E85" w:rsidRDefault="00716E85">
      <w:pPr>
        <w:pStyle w:val="a3"/>
        <w:spacing w:before="0" w:beforeAutospacing="0" w:after="0" w:afterAutospacing="0"/>
        <w:jc w:val="both"/>
      </w:pPr>
      <w:r>
        <w:t> </w:t>
      </w:r>
    </w:p>
    <w:p w14:paraId="6FF7F581" w14:textId="77777777" w:rsidR="00716E85" w:rsidRDefault="00716E85">
      <w:pPr>
        <w:pStyle w:val="a3"/>
        <w:spacing w:before="0" w:beforeAutospacing="0" w:after="0" w:afterAutospacing="0"/>
        <w:jc w:val="both"/>
      </w:pPr>
      <w:r>
        <w:t> </w:t>
      </w:r>
    </w:p>
    <w:p w14:paraId="169241EA"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3F75ECA"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w:t>
      </w:r>
    </w:p>
    <w:p w14:paraId="43FC2860" w14:textId="77777777" w:rsidR="00716E85" w:rsidRDefault="00716E85">
      <w:pPr>
        <w:rPr>
          <w:rFonts w:ascii="Times New Roman" w:eastAsia="Times New Roman" w:hAnsi="Times New Roman" w:cs="Times New Roman"/>
          <w:sz w:val="24"/>
          <w:szCs w:val="24"/>
        </w:rPr>
      </w:pPr>
      <w:r>
        <w:rPr>
          <w:rFonts w:eastAsia="Times New Roman"/>
        </w:rPr>
        <w:pict w14:anchorId="0AE8AC3E">
          <v:rect id="_x0000_i1029" style="width:415.3pt;height:1.5pt" o:hralign="center" o:hrstd="t" o:hr="t" fillcolor="#a0a0a0" stroked="f"/>
        </w:pict>
      </w:r>
    </w:p>
    <w:p w14:paraId="3BA5BF2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60A3BBB9" w14:textId="77777777" w:rsidR="00716E85" w:rsidRDefault="00716E85">
      <w:pPr>
        <w:pStyle w:val="a3"/>
      </w:pPr>
      <w:r>
        <w:t> </w:t>
      </w:r>
    </w:p>
    <w:p w14:paraId="04657FA7" w14:textId="77777777" w:rsidR="00716E85" w:rsidRDefault="00716E85">
      <w:pPr>
        <w:pStyle w:val="a3"/>
        <w:spacing w:before="0" w:beforeAutospacing="0" w:after="0" w:afterAutospacing="0"/>
        <w:jc w:val="center"/>
        <w:rPr>
          <w:rFonts w:ascii="Calibri" w:hAnsi="Calibri" w:cs="Calibri"/>
          <w:b/>
          <w:bCs/>
          <w:sz w:val="20"/>
          <w:szCs w:val="20"/>
        </w:rPr>
      </w:pPr>
      <w:bookmarkStart w:id="8" w:name="_AEIOULastRenderedPageBreakAEIOU6"/>
      <w:bookmarkEnd w:id="8"/>
      <w:r>
        <w:rPr>
          <w:rFonts w:ascii="Calibri" w:hAnsi="Calibri" w:cs="Calibri"/>
          <w:b/>
          <w:bCs/>
          <w:sz w:val="20"/>
          <w:szCs w:val="20"/>
        </w:rPr>
        <w:t>ORACLE CORPORATION</w:t>
      </w:r>
    </w:p>
    <w:p w14:paraId="44DEDC2B" w14:textId="77777777" w:rsidR="00716E85" w:rsidRDefault="00716E85">
      <w:pPr>
        <w:pStyle w:val="a3"/>
        <w:spacing w:before="0" w:beforeAutospacing="0" w:after="0" w:afterAutospacing="0"/>
        <w:jc w:val="center"/>
        <w:rPr>
          <w:rFonts w:ascii="Calibri" w:hAnsi="Calibri" w:cs="Calibri"/>
          <w:b/>
          <w:bCs/>
          <w:sz w:val="20"/>
          <w:szCs w:val="20"/>
        </w:rPr>
      </w:pPr>
      <w:bookmarkStart w:id="9" w:name="CONDENSED_CONSOLIDATED_STATEMENTS_OPERAT"/>
      <w:bookmarkEnd w:id="9"/>
      <w:r>
        <w:rPr>
          <w:rFonts w:ascii="Calibri" w:hAnsi="Calibri" w:cs="Calibri"/>
          <w:b/>
          <w:bCs/>
          <w:sz w:val="20"/>
          <w:szCs w:val="20"/>
        </w:rPr>
        <w:t>CONDENSED CONSOLIDATED STATEMENTS OF OPERATIONS</w:t>
      </w:r>
    </w:p>
    <w:p w14:paraId="34B147CC"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Three and Nine Months Ended February 28, 2019 and 2018</w:t>
      </w:r>
    </w:p>
    <w:p w14:paraId="101C1F59"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(Unaudited)</w:t>
      </w:r>
    </w:p>
    <w:p w14:paraId="21EB62B0"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642"/>
        <w:gridCol w:w="102"/>
        <w:gridCol w:w="102"/>
        <w:gridCol w:w="634"/>
        <w:gridCol w:w="77"/>
        <w:gridCol w:w="102"/>
        <w:gridCol w:w="102"/>
        <w:gridCol w:w="635"/>
        <w:gridCol w:w="77"/>
        <w:gridCol w:w="102"/>
        <w:gridCol w:w="102"/>
        <w:gridCol w:w="634"/>
        <w:gridCol w:w="77"/>
        <w:gridCol w:w="102"/>
        <w:gridCol w:w="102"/>
        <w:gridCol w:w="636"/>
        <w:gridCol w:w="78"/>
      </w:tblGrid>
      <w:tr w:rsidR="00716E85" w14:paraId="77CC5D23" w14:textId="77777777">
        <w:trPr>
          <w:divId w:val="1369135896"/>
          <w:jc w:val="center"/>
        </w:trPr>
        <w:tc>
          <w:tcPr>
            <w:tcW w:w="2797" w:type="pct"/>
            <w:shd w:val="clear" w:color="auto" w:fill="FFFFFF"/>
            <w:tcMar>
              <w:top w:w="15" w:type="dxa"/>
              <w:left w:w="0" w:type="dxa"/>
              <w:bottom w:w="0" w:type="dxa"/>
              <w:right w:w="15" w:type="dxa"/>
            </w:tcMar>
            <w:vAlign w:val="bottom"/>
            <w:hideMark/>
          </w:tcPr>
          <w:p w14:paraId="5E35CD1B" w14:textId="77777777" w:rsidR="00716E85" w:rsidRDefault="00716E85">
            <w:pPr>
              <w:pStyle w:val="a3"/>
              <w:spacing w:before="0" w:beforeAutospacing="0" w:after="0" w:afterAutospacing="0"/>
              <w:jc w:val="center"/>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14:paraId="510A767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86" w:type="pct"/>
            <w:gridSpan w:val="6"/>
            <w:tcBorders>
              <w:bottom w:val="single" w:sz="6" w:space="0" w:color="000000"/>
            </w:tcBorders>
            <w:shd w:val="clear" w:color="auto" w:fill="FFFFFF"/>
            <w:tcMar>
              <w:top w:w="15" w:type="dxa"/>
              <w:left w:w="0" w:type="dxa"/>
              <w:bottom w:w="0" w:type="dxa"/>
              <w:right w:w="15" w:type="dxa"/>
            </w:tcMar>
            <w:vAlign w:val="bottom"/>
            <w:hideMark/>
          </w:tcPr>
          <w:p w14:paraId="196FEED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762AF47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68F0655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left w:w="0" w:type="dxa"/>
              <w:bottom w:w="0" w:type="dxa"/>
              <w:right w:w="15" w:type="dxa"/>
            </w:tcMar>
            <w:vAlign w:val="bottom"/>
            <w:hideMark/>
          </w:tcPr>
          <w:p w14:paraId="696BE5B6" w14:textId="77777777" w:rsidR="00716E85" w:rsidRDefault="00716E85">
            <w:pPr>
              <w:pStyle w:val="a3"/>
              <w:spacing w:before="0" w:beforeAutospacing="0" w:after="0" w:afterAutospacing="0"/>
              <w:jc w:val="center"/>
              <w:rPr>
                <w:b/>
                <w:bCs/>
                <w:color w:val="000000"/>
                <w:sz w:val="15"/>
                <w:szCs w:val="15"/>
              </w:rPr>
            </w:pPr>
            <w:r>
              <w:rPr>
                <w:b/>
                <w:bCs/>
                <w:color w:val="000000"/>
                <w:sz w:val="15"/>
                <w:szCs w:val="15"/>
              </w:rPr>
              <w:t> </w:t>
            </w:r>
          </w:p>
        </w:tc>
        <w:tc>
          <w:tcPr>
            <w:tcW w:w="986" w:type="pct"/>
            <w:gridSpan w:val="6"/>
            <w:tcBorders>
              <w:bottom w:val="single" w:sz="6" w:space="0" w:color="000000"/>
            </w:tcBorders>
            <w:shd w:val="clear" w:color="auto" w:fill="FFFFFF"/>
            <w:tcMar>
              <w:top w:w="15" w:type="dxa"/>
              <w:left w:w="0" w:type="dxa"/>
              <w:bottom w:w="0" w:type="dxa"/>
              <w:right w:w="15" w:type="dxa"/>
            </w:tcMar>
            <w:vAlign w:val="bottom"/>
            <w:hideMark/>
          </w:tcPr>
          <w:p w14:paraId="6B5858A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374EAB5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6010990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823A716" w14:textId="77777777">
        <w:trPr>
          <w:divId w:val="1369135896"/>
          <w:jc w:val="center"/>
        </w:trPr>
        <w:tc>
          <w:tcPr>
            <w:tcW w:w="2797" w:type="pct"/>
            <w:tcBorders>
              <w:bottom w:val="single" w:sz="6" w:space="0" w:color="000000"/>
            </w:tcBorders>
            <w:shd w:val="clear" w:color="auto" w:fill="FFFFFF"/>
            <w:tcMar>
              <w:top w:w="15" w:type="dxa"/>
              <w:left w:w="0" w:type="dxa"/>
              <w:bottom w:w="0" w:type="dxa"/>
              <w:right w:w="15" w:type="dxa"/>
            </w:tcMar>
            <w:vAlign w:val="bottom"/>
            <w:hideMark/>
          </w:tcPr>
          <w:p w14:paraId="761E0A9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5" w:type="pct"/>
            <w:shd w:val="clear" w:color="auto" w:fill="FFFFFF"/>
            <w:tcMar>
              <w:top w:w="15" w:type="dxa"/>
              <w:left w:w="0" w:type="dxa"/>
              <w:bottom w:w="0" w:type="dxa"/>
              <w:right w:w="15" w:type="dxa"/>
            </w:tcMar>
            <w:vAlign w:val="bottom"/>
            <w:hideMark/>
          </w:tcPr>
          <w:p w14:paraId="798A0F7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80076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AA88C5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14:paraId="7F1C35C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48D7A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D862E5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shd w:val="clear" w:color="auto" w:fill="FFFFFF"/>
            <w:tcMar>
              <w:top w:w="15" w:type="dxa"/>
              <w:left w:w="0" w:type="dxa"/>
              <w:bottom w:w="0" w:type="dxa"/>
              <w:right w:w="15" w:type="dxa"/>
            </w:tcMar>
            <w:vAlign w:val="bottom"/>
            <w:hideMark/>
          </w:tcPr>
          <w:p w14:paraId="3FAB644A" w14:textId="77777777" w:rsidR="00716E85" w:rsidRDefault="00716E85">
            <w:pPr>
              <w:pStyle w:val="a3"/>
              <w:spacing w:before="0" w:beforeAutospacing="0" w:after="0" w:afterAutospacing="0"/>
              <w:jc w:val="center"/>
              <w:rPr>
                <w:b/>
                <w:bCs/>
                <w:color w:val="000000"/>
                <w:sz w:val="15"/>
                <w:szCs w:val="15"/>
              </w:rPr>
            </w:pPr>
            <w:r>
              <w:rPr>
                <w:b/>
                <w:bCs/>
                <w:color w:val="000000"/>
                <w:sz w:val="15"/>
                <w:szCs w:val="15"/>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3351B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4D1888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 w:type="pct"/>
            <w:tcBorders>
              <w:top w:val="single" w:sz="6" w:space="0" w:color="000000"/>
            </w:tcBorders>
            <w:shd w:val="clear" w:color="auto" w:fill="FFFFFF"/>
            <w:tcMar>
              <w:top w:w="15" w:type="dxa"/>
              <w:left w:w="0" w:type="dxa"/>
              <w:bottom w:w="0" w:type="dxa"/>
              <w:right w:w="15" w:type="dxa"/>
            </w:tcMar>
            <w:vAlign w:val="bottom"/>
            <w:hideMark/>
          </w:tcPr>
          <w:p w14:paraId="156EA63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EB4E4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E27639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F9DE099" w14:textId="77777777">
        <w:trPr>
          <w:divId w:val="1369135896"/>
          <w:jc w:val="center"/>
        </w:trPr>
        <w:tc>
          <w:tcPr>
            <w:tcW w:w="2797" w:type="pct"/>
            <w:tcBorders>
              <w:top w:val="single" w:sz="6" w:space="0" w:color="000000"/>
            </w:tcBorders>
            <w:shd w:val="clear" w:color="auto" w:fill="CFF0FC"/>
            <w:tcMar>
              <w:top w:w="15" w:type="dxa"/>
              <w:left w:w="0" w:type="dxa"/>
              <w:bottom w:w="0" w:type="dxa"/>
              <w:right w:w="15" w:type="dxa"/>
            </w:tcMar>
            <w:hideMark/>
          </w:tcPr>
          <w:p w14:paraId="0ACDE91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Revenues:</w:t>
            </w:r>
          </w:p>
        </w:tc>
        <w:tc>
          <w:tcPr>
            <w:tcW w:w="65" w:type="pct"/>
            <w:shd w:val="clear" w:color="auto" w:fill="CFF0FC"/>
            <w:tcMar>
              <w:top w:w="15" w:type="dxa"/>
              <w:left w:w="0" w:type="dxa"/>
              <w:bottom w:w="0" w:type="dxa"/>
              <w:right w:w="15" w:type="dxa"/>
            </w:tcMar>
            <w:vAlign w:val="bottom"/>
            <w:hideMark/>
          </w:tcPr>
          <w:p w14:paraId="1874A33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A6A98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0DC3A35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55E635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31163B4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EBF1F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42AFA51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75E55C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90E7483"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9893A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3A65C4F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D40FF6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719318E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2FA4A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45CC2D7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4F96B8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3F62E2A" w14:textId="77777777">
        <w:trPr>
          <w:divId w:val="1369135896"/>
          <w:jc w:val="center"/>
        </w:trPr>
        <w:tc>
          <w:tcPr>
            <w:tcW w:w="2797" w:type="pct"/>
            <w:shd w:val="clear" w:color="auto" w:fill="FFFFFF"/>
            <w:tcMar>
              <w:top w:w="15" w:type="dxa"/>
              <w:left w:w="0" w:type="dxa"/>
              <w:bottom w:w="0" w:type="dxa"/>
              <w:right w:w="15" w:type="dxa"/>
            </w:tcMar>
            <w:hideMark/>
          </w:tcPr>
          <w:p w14:paraId="56BE11EA"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Cloud services and license support</w:t>
            </w:r>
          </w:p>
        </w:tc>
        <w:tc>
          <w:tcPr>
            <w:tcW w:w="65" w:type="pct"/>
            <w:shd w:val="clear" w:color="auto" w:fill="FFFFFF"/>
            <w:tcMar>
              <w:top w:w="15" w:type="dxa"/>
              <w:left w:w="0" w:type="dxa"/>
              <w:bottom w:w="0" w:type="dxa"/>
              <w:right w:w="15" w:type="dxa"/>
            </w:tcMar>
            <w:vAlign w:val="bottom"/>
            <w:hideMark/>
          </w:tcPr>
          <w:p w14:paraId="54C231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8DF860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shd w:val="clear" w:color="auto" w:fill="FFFFFF"/>
            <w:noWrap/>
            <w:tcMar>
              <w:top w:w="15" w:type="dxa"/>
              <w:left w:w="0" w:type="dxa"/>
              <w:bottom w:w="0" w:type="dxa"/>
              <w:right w:w="15" w:type="dxa"/>
            </w:tcMar>
            <w:vAlign w:val="bottom"/>
            <w:hideMark/>
          </w:tcPr>
          <w:p w14:paraId="7226768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6,662</w:t>
            </w:r>
          </w:p>
        </w:tc>
        <w:tc>
          <w:tcPr>
            <w:tcW w:w="50" w:type="pct"/>
            <w:shd w:val="clear" w:color="auto" w:fill="FFFFFF"/>
            <w:noWrap/>
            <w:tcMar>
              <w:top w:w="15" w:type="dxa"/>
              <w:left w:w="0" w:type="dxa"/>
              <w:bottom w:w="0" w:type="dxa"/>
              <w:right w:w="15" w:type="dxa"/>
            </w:tcMar>
            <w:vAlign w:val="bottom"/>
            <w:hideMark/>
          </w:tcPr>
          <w:p w14:paraId="489D7EF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5D1CC1D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345357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shd w:val="clear" w:color="auto" w:fill="FFFFFF"/>
            <w:noWrap/>
            <w:tcMar>
              <w:top w:w="15" w:type="dxa"/>
              <w:left w:w="0" w:type="dxa"/>
              <w:bottom w:w="0" w:type="dxa"/>
              <w:right w:w="15" w:type="dxa"/>
            </w:tcMar>
            <w:vAlign w:val="bottom"/>
            <w:hideMark/>
          </w:tcPr>
          <w:p w14:paraId="0120E05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6,587</w:t>
            </w:r>
          </w:p>
        </w:tc>
        <w:tc>
          <w:tcPr>
            <w:tcW w:w="50" w:type="pct"/>
            <w:shd w:val="clear" w:color="auto" w:fill="FFFFFF"/>
            <w:noWrap/>
            <w:tcMar>
              <w:top w:w="15" w:type="dxa"/>
              <w:left w:w="0" w:type="dxa"/>
              <w:bottom w:w="0" w:type="dxa"/>
              <w:right w:w="15" w:type="dxa"/>
            </w:tcMar>
            <w:vAlign w:val="bottom"/>
            <w:hideMark/>
          </w:tcPr>
          <w:p w14:paraId="654B0F5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0B9977F9"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99C3CD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shd w:val="clear" w:color="auto" w:fill="FFFFFF"/>
            <w:noWrap/>
            <w:tcMar>
              <w:top w:w="15" w:type="dxa"/>
              <w:left w:w="0" w:type="dxa"/>
              <w:bottom w:w="0" w:type="dxa"/>
              <w:right w:w="15" w:type="dxa"/>
            </w:tcMar>
            <w:vAlign w:val="bottom"/>
            <w:hideMark/>
          </w:tcPr>
          <w:p w14:paraId="19D6AC1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19,908</w:t>
            </w:r>
          </w:p>
        </w:tc>
        <w:tc>
          <w:tcPr>
            <w:tcW w:w="50" w:type="pct"/>
            <w:shd w:val="clear" w:color="auto" w:fill="FFFFFF"/>
            <w:noWrap/>
            <w:tcMar>
              <w:top w:w="15" w:type="dxa"/>
              <w:left w:w="0" w:type="dxa"/>
              <w:bottom w:w="0" w:type="dxa"/>
              <w:right w:w="15" w:type="dxa"/>
            </w:tcMar>
            <w:vAlign w:val="bottom"/>
            <w:hideMark/>
          </w:tcPr>
          <w:p w14:paraId="5B95D49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E09689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9FE4A7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shd w:val="clear" w:color="auto" w:fill="FFFFFF"/>
            <w:noWrap/>
            <w:tcMar>
              <w:top w:w="15" w:type="dxa"/>
              <w:left w:w="0" w:type="dxa"/>
              <w:bottom w:w="0" w:type="dxa"/>
              <w:right w:w="15" w:type="dxa"/>
            </w:tcMar>
            <w:vAlign w:val="bottom"/>
            <w:hideMark/>
          </w:tcPr>
          <w:p w14:paraId="5B7C6AE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19,454</w:t>
            </w:r>
          </w:p>
        </w:tc>
        <w:tc>
          <w:tcPr>
            <w:tcW w:w="50" w:type="pct"/>
            <w:shd w:val="clear" w:color="auto" w:fill="FFFFFF"/>
            <w:noWrap/>
            <w:tcMar>
              <w:top w:w="15" w:type="dxa"/>
              <w:left w:w="0" w:type="dxa"/>
              <w:bottom w:w="0" w:type="dxa"/>
              <w:right w:w="15" w:type="dxa"/>
            </w:tcMar>
            <w:vAlign w:val="bottom"/>
            <w:hideMark/>
          </w:tcPr>
          <w:p w14:paraId="4F1D594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657F445F" w14:textId="77777777">
        <w:trPr>
          <w:divId w:val="1369135896"/>
          <w:jc w:val="center"/>
        </w:trPr>
        <w:tc>
          <w:tcPr>
            <w:tcW w:w="2797" w:type="pct"/>
            <w:shd w:val="clear" w:color="auto" w:fill="CFF0FC"/>
            <w:tcMar>
              <w:top w:w="15" w:type="dxa"/>
              <w:left w:w="0" w:type="dxa"/>
              <w:bottom w:w="0" w:type="dxa"/>
              <w:right w:w="15" w:type="dxa"/>
            </w:tcMar>
            <w:hideMark/>
          </w:tcPr>
          <w:p w14:paraId="0655DE66"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Cloud license and on-premise license</w:t>
            </w:r>
          </w:p>
        </w:tc>
        <w:tc>
          <w:tcPr>
            <w:tcW w:w="65" w:type="pct"/>
            <w:shd w:val="clear" w:color="auto" w:fill="CFF0FC"/>
            <w:tcMar>
              <w:top w:w="15" w:type="dxa"/>
              <w:left w:w="0" w:type="dxa"/>
              <w:bottom w:w="0" w:type="dxa"/>
              <w:right w:w="15" w:type="dxa"/>
            </w:tcMar>
            <w:vAlign w:val="bottom"/>
            <w:hideMark/>
          </w:tcPr>
          <w:p w14:paraId="27419A1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AC03BB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5BBED40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1,251</w:t>
            </w:r>
          </w:p>
        </w:tc>
        <w:tc>
          <w:tcPr>
            <w:tcW w:w="50" w:type="pct"/>
            <w:shd w:val="clear" w:color="auto" w:fill="CFF0FC"/>
            <w:noWrap/>
            <w:tcMar>
              <w:top w:w="15" w:type="dxa"/>
              <w:left w:w="0" w:type="dxa"/>
              <w:bottom w:w="0" w:type="dxa"/>
              <w:right w:w="15" w:type="dxa"/>
            </w:tcMar>
            <w:vAlign w:val="bottom"/>
            <w:hideMark/>
          </w:tcPr>
          <w:p w14:paraId="42D8415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7D4FA70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3C7C47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51C9962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1,299</w:t>
            </w:r>
          </w:p>
        </w:tc>
        <w:tc>
          <w:tcPr>
            <w:tcW w:w="50" w:type="pct"/>
            <w:shd w:val="clear" w:color="auto" w:fill="CFF0FC"/>
            <w:noWrap/>
            <w:tcMar>
              <w:top w:w="15" w:type="dxa"/>
              <w:left w:w="0" w:type="dxa"/>
              <w:bottom w:w="0" w:type="dxa"/>
              <w:right w:w="15" w:type="dxa"/>
            </w:tcMar>
            <w:vAlign w:val="bottom"/>
            <w:hideMark/>
          </w:tcPr>
          <w:p w14:paraId="3D92063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6049690"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910E97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38D8EA7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3,334</w:t>
            </w:r>
          </w:p>
        </w:tc>
        <w:tc>
          <w:tcPr>
            <w:tcW w:w="50" w:type="pct"/>
            <w:shd w:val="clear" w:color="auto" w:fill="CFF0FC"/>
            <w:noWrap/>
            <w:tcMar>
              <w:top w:w="15" w:type="dxa"/>
              <w:left w:w="0" w:type="dxa"/>
              <w:bottom w:w="0" w:type="dxa"/>
              <w:right w:w="15" w:type="dxa"/>
            </w:tcMar>
            <w:vAlign w:val="bottom"/>
            <w:hideMark/>
          </w:tcPr>
          <w:p w14:paraId="74A8DE6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0D6A091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7EA824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3A93D07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3,525</w:t>
            </w:r>
          </w:p>
        </w:tc>
        <w:tc>
          <w:tcPr>
            <w:tcW w:w="50" w:type="pct"/>
            <w:shd w:val="clear" w:color="auto" w:fill="CFF0FC"/>
            <w:noWrap/>
            <w:tcMar>
              <w:top w:w="15" w:type="dxa"/>
              <w:left w:w="0" w:type="dxa"/>
              <w:bottom w:w="0" w:type="dxa"/>
              <w:right w:w="15" w:type="dxa"/>
            </w:tcMar>
            <w:vAlign w:val="bottom"/>
            <w:hideMark/>
          </w:tcPr>
          <w:p w14:paraId="53B1C27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2AA06CFA" w14:textId="77777777">
        <w:trPr>
          <w:divId w:val="1369135896"/>
          <w:jc w:val="center"/>
        </w:trPr>
        <w:tc>
          <w:tcPr>
            <w:tcW w:w="2797" w:type="pct"/>
            <w:shd w:val="clear" w:color="auto" w:fill="FFFFFF"/>
            <w:tcMar>
              <w:top w:w="15" w:type="dxa"/>
              <w:left w:w="0" w:type="dxa"/>
              <w:bottom w:w="0" w:type="dxa"/>
              <w:right w:w="15" w:type="dxa"/>
            </w:tcMar>
            <w:hideMark/>
          </w:tcPr>
          <w:p w14:paraId="5E6EE03A"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Hardware</w:t>
            </w:r>
          </w:p>
        </w:tc>
        <w:tc>
          <w:tcPr>
            <w:tcW w:w="65" w:type="pct"/>
            <w:shd w:val="clear" w:color="auto" w:fill="FFFFFF"/>
            <w:tcMar>
              <w:top w:w="15" w:type="dxa"/>
              <w:left w:w="0" w:type="dxa"/>
              <w:bottom w:w="0" w:type="dxa"/>
              <w:right w:w="15" w:type="dxa"/>
            </w:tcMar>
            <w:vAlign w:val="bottom"/>
            <w:hideMark/>
          </w:tcPr>
          <w:p w14:paraId="5E9D0A9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9ACA79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7FA6FA9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915</w:t>
            </w:r>
          </w:p>
        </w:tc>
        <w:tc>
          <w:tcPr>
            <w:tcW w:w="50" w:type="pct"/>
            <w:shd w:val="clear" w:color="auto" w:fill="FFFFFF"/>
            <w:noWrap/>
            <w:tcMar>
              <w:top w:w="15" w:type="dxa"/>
              <w:left w:w="0" w:type="dxa"/>
              <w:bottom w:w="0" w:type="dxa"/>
              <w:right w:w="15" w:type="dxa"/>
            </w:tcMar>
            <w:vAlign w:val="bottom"/>
            <w:hideMark/>
          </w:tcPr>
          <w:p w14:paraId="43E75FE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E57B31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57DF80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6CA0343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994</w:t>
            </w:r>
          </w:p>
        </w:tc>
        <w:tc>
          <w:tcPr>
            <w:tcW w:w="50" w:type="pct"/>
            <w:shd w:val="clear" w:color="auto" w:fill="FFFFFF"/>
            <w:noWrap/>
            <w:tcMar>
              <w:top w:w="15" w:type="dxa"/>
              <w:left w:w="0" w:type="dxa"/>
              <w:bottom w:w="0" w:type="dxa"/>
              <w:right w:w="15" w:type="dxa"/>
            </w:tcMar>
            <w:vAlign w:val="bottom"/>
            <w:hideMark/>
          </w:tcPr>
          <w:p w14:paraId="5900643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7F10A4CE"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C8F807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683FA14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2,711</w:t>
            </w:r>
          </w:p>
        </w:tc>
        <w:tc>
          <w:tcPr>
            <w:tcW w:w="50" w:type="pct"/>
            <w:shd w:val="clear" w:color="auto" w:fill="FFFFFF"/>
            <w:noWrap/>
            <w:tcMar>
              <w:top w:w="15" w:type="dxa"/>
              <w:left w:w="0" w:type="dxa"/>
              <w:bottom w:w="0" w:type="dxa"/>
              <w:right w:w="15" w:type="dxa"/>
            </w:tcMar>
            <w:vAlign w:val="bottom"/>
            <w:hideMark/>
          </w:tcPr>
          <w:p w14:paraId="6C1C0BE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0B0132E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809776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2E36242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2,878</w:t>
            </w:r>
          </w:p>
        </w:tc>
        <w:tc>
          <w:tcPr>
            <w:tcW w:w="50" w:type="pct"/>
            <w:shd w:val="clear" w:color="auto" w:fill="FFFFFF"/>
            <w:noWrap/>
            <w:tcMar>
              <w:top w:w="15" w:type="dxa"/>
              <w:left w:w="0" w:type="dxa"/>
              <w:bottom w:w="0" w:type="dxa"/>
              <w:right w:w="15" w:type="dxa"/>
            </w:tcMar>
            <w:vAlign w:val="bottom"/>
            <w:hideMark/>
          </w:tcPr>
          <w:p w14:paraId="6E14AF9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42B60B0" w14:textId="77777777">
        <w:trPr>
          <w:divId w:val="1369135896"/>
          <w:jc w:val="center"/>
        </w:trPr>
        <w:tc>
          <w:tcPr>
            <w:tcW w:w="2797" w:type="pct"/>
            <w:shd w:val="clear" w:color="auto" w:fill="CFF0FC"/>
            <w:tcMar>
              <w:top w:w="15" w:type="dxa"/>
              <w:left w:w="0" w:type="dxa"/>
              <w:bottom w:w="0" w:type="dxa"/>
              <w:right w:w="15" w:type="dxa"/>
            </w:tcMar>
            <w:hideMark/>
          </w:tcPr>
          <w:p w14:paraId="67816CE3"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Services</w:t>
            </w:r>
          </w:p>
        </w:tc>
        <w:tc>
          <w:tcPr>
            <w:tcW w:w="65" w:type="pct"/>
            <w:shd w:val="clear" w:color="auto" w:fill="CFF0FC"/>
            <w:tcMar>
              <w:top w:w="15" w:type="dxa"/>
              <w:left w:w="0" w:type="dxa"/>
              <w:bottom w:w="0" w:type="dxa"/>
              <w:right w:w="15" w:type="dxa"/>
            </w:tcMar>
            <w:vAlign w:val="bottom"/>
            <w:hideMark/>
          </w:tcPr>
          <w:p w14:paraId="6B3B37E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DC60E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67F2D0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786</w:t>
            </w:r>
          </w:p>
        </w:tc>
        <w:tc>
          <w:tcPr>
            <w:tcW w:w="50" w:type="pct"/>
            <w:shd w:val="clear" w:color="auto" w:fill="CFF0FC"/>
            <w:noWrap/>
            <w:tcMar>
              <w:top w:w="15" w:type="dxa"/>
              <w:left w:w="0" w:type="dxa"/>
              <w:bottom w:w="0" w:type="dxa"/>
              <w:right w:w="15" w:type="dxa"/>
            </w:tcMar>
            <w:vAlign w:val="bottom"/>
            <w:hideMark/>
          </w:tcPr>
          <w:p w14:paraId="07EE4F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5C5CE30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7E237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6C234E3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796</w:t>
            </w:r>
          </w:p>
        </w:tc>
        <w:tc>
          <w:tcPr>
            <w:tcW w:w="50" w:type="pct"/>
            <w:shd w:val="clear" w:color="auto" w:fill="CFF0FC"/>
            <w:noWrap/>
            <w:tcMar>
              <w:top w:w="15" w:type="dxa"/>
              <w:left w:w="0" w:type="dxa"/>
              <w:bottom w:w="0" w:type="dxa"/>
              <w:right w:w="15" w:type="dxa"/>
            </w:tcMar>
            <w:vAlign w:val="bottom"/>
            <w:hideMark/>
          </w:tcPr>
          <w:p w14:paraId="217D7B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65F451B8"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EFF33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5853142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2,416</w:t>
            </w:r>
          </w:p>
        </w:tc>
        <w:tc>
          <w:tcPr>
            <w:tcW w:w="50" w:type="pct"/>
            <w:shd w:val="clear" w:color="auto" w:fill="CFF0FC"/>
            <w:noWrap/>
            <w:tcMar>
              <w:top w:w="15" w:type="dxa"/>
              <w:left w:w="0" w:type="dxa"/>
              <w:bottom w:w="0" w:type="dxa"/>
              <w:right w:w="15" w:type="dxa"/>
            </w:tcMar>
            <w:vAlign w:val="bottom"/>
            <w:hideMark/>
          </w:tcPr>
          <w:p w14:paraId="0638B6F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48D1092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659506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B6E1F1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2,512</w:t>
            </w:r>
          </w:p>
        </w:tc>
        <w:tc>
          <w:tcPr>
            <w:tcW w:w="50" w:type="pct"/>
            <w:shd w:val="clear" w:color="auto" w:fill="CFF0FC"/>
            <w:noWrap/>
            <w:tcMar>
              <w:top w:w="15" w:type="dxa"/>
              <w:left w:w="0" w:type="dxa"/>
              <w:bottom w:w="0" w:type="dxa"/>
              <w:right w:w="15" w:type="dxa"/>
            </w:tcMar>
            <w:vAlign w:val="bottom"/>
            <w:hideMark/>
          </w:tcPr>
          <w:p w14:paraId="4AAC6F0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83B5B35" w14:textId="77777777">
        <w:trPr>
          <w:divId w:val="1369135896"/>
          <w:jc w:val="center"/>
        </w:trPr>
        <w:tc>
          <w:tcPr>
            <w:tcW w:w="2797" w:type="pct"/>
            <w:shd w:val="clear" w:color="auto" w:fill="FFFFFF"/>
            <w:tcMar>
              <w:top w:w="15" w:type="dxa"/>
              <w:left w:w="0" w:type="dxa"/>
              <w:bottom w:w="0" w:type="dxa"/>
              <w:right w:w="15" w:type="dxa"/>
            </w:tcMar>
            <w:hideMark/>
          </w:tcPr>
          <w:p w14:paraId="1F292C49" w14:textId="77777777" w:rsidR="00716E85" w:rsidRDefault="00716E85">
            <w:pPr>
              <w:pStyle w:val="a3"/>
              <w:spacing w:before="0" w:beforeAutospacing="0" w:after="0" w:afterAutospacing="0"/>
              <w:ind w:left="821"/>
              <w:rPr>
                <w:rFonts w:ascii="Calibri" w:hAnsi="Calibri" w:cs="Calibri"/>
                <w:color w:val="000000"/>
                <w:sz w:val="17"/>
                <w:szCs w:val="17"/>
              </w:rPr>
            </w:pPr>
            <w:r>
              <w:rPr>
                <w:rFonts w:ascii="Calibri" w:hAnsi="Calibri" w:cs="Calibri"/>
                <w:color w:val="000000"/>
                <w:sz w:val="17"/>
                <w:szCs w:val="17"/>
              </w:rPr>
              <w:t>Total revenues</w:t>
            </w:r>
          </w:p>
        </w:tc>
        <w:tc>
          <w:tcPr>
            <w:tcW w:w="65" w:type="pct"/>
            <w:shd w:val="clear" w:color="auto" w:fill="FFFFFF"/>
            <w:tcMar>
              <w:top w:w="15" w:type="dxa"/>
              <w:left w:w="0" w:type="dxa"/>
              <w:bottom w:w="0" w:type="dxa"/>
              <w:right w:w="15" w:type="dxa"/>
            </w:tcMar>
            <w:vAlign w:val="bottom"/>
            <w:hideMark/>
          </w:tcPr>
          <w:p w14:paraId="0994B9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8AE01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C4969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9,614</w:t>
            </w:r>
          </w:p>
        </w:tc>
        <w:tc>
          <w:tcPr>
            <w:tcW w:w="50" w:type="pct"/>
            <w:shd w:val="clear" w:color="auto" w:fill="FFFFFF"/>
            <w:noWrap/>
            <w:tcMar>
              <w:top w:w="15" w:type="dxa"/>
              <w:left w:w="0" w:type="dxa"/>
              <w:bottom w:w="0" w:type="dxa"/>
              <w:right w:w="15" w:type="dxa"/>
            </w:tcMar>
            <w:vAlign w:val="bottom"/>
            <w:hideMark/>
          </w:tcPr>
          <w:p w14:paraId="43D1374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4C43842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530A2D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E38BB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9,676</w:t>
            </w:r>
          </w:p>
        </w:tc>
        <w:tc>
          <w:tcPr>
            <w:tcW w:w="50" w:type="pct"/>
            <w:shd w:val="clear" w:color="auto" w:fill="FFFFFF"/>
            <w:noWrap/>
            <w:tcMar>
              <w:top w:w="15" w:type="dxa"/>
              <w:left w:w="0" w:type="dxa"/>
              <w:bottom w:w="0" w:type="dxa"/>
              <w:right w:w="15" w:type="dxa"/>
            </w:tcMar>
            <w:vAlign w:val="bottom"/>
            <w:hideMark/>
          </w:tcPr>
          <w:p w14:paraId="45749AA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255D5C46"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A9A2F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BDE177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28,369</w:t>
            </w:r>
          </w:p>
        </w:tc>
        <w:tc>
          <w:tcPr>
            <w:tcW w:w="50" w:type="pct"/>
            <w:shd w:val="clear" w:color="auto" w:fill="FFFFFF"/>
            <w:noWrap/>
            <w:tcMar>
              <w:top w:w="15" w:type="dxa"/>
              <w:left w:w="0" w:type="dxa"/>
              <w:bottom w:w="0" w:type="dxa"/>
              <w:right w:w="15" w:type="dxa"/>
            </w:tcMar>
            <w:vAlign w:val="bottom"/>
            <w:hideMark/>
          </w:tcPr>
          <w:p w14:paraId="2237882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476FEC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BD2E4F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A7C33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28,369</w:t>
            </w:r>
          </w:p>
        </w:tc>
        <w:tc>
          <w:tcPr>
            <w:tcW w:w="50" w:type="pct"/>
            <w:shd w:val="clear" w:color="auto" w:fill="FFFFFF"/>
            <w:noWrap/>
            <w:tcMar>
              <w:top w:w="15" w:type="dxa"/>
              <w:left w:w="0" w:type="dxa"/>
              <w:bottom w:w="0" w:type="dxa"/>
              <w:right w:w="15" w:type="dxa"/>
            </w:tcMar>
            <w:vAlign w:val="bottom"/>
            <w:hideMark/>
          </w:tcPr>
          <w:p w14:paraId="42F8A7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79468F9" w14:textId="77777777">
        <w:trPr>
          <w:divId w:val="1369135896"/>
          <w:jc w:val="center"/>
        </w:trPr>
        <w:tc>
          <w:tcPr>
            <w:tcW w:w="2797" w:type="pct"/>
            <w:shd w:val="clear" w:color="auto" w:fill="CFF0FC"/>
            <w:tcMar>
              <w:top w:w="15" w:type="dxa"/>
              <w:left w:w="0" w:type="dxa"/>
              <w:bottom w:w="0" w:type="dxa"/>
              <w:right w:w="15" w:type="dxa"/>
            </w:tcMar>
            <w:hideMark/>
          </w:tcPr>
          <w:p w14:paraId="7826E7F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Operating expenses:</w:t>
            </w:r>
          </w:p>
        </w:tc>
        <w:tc>
          <w:tcPr>
            <w:tcW w:w="65" w:type="pct"/>
            <w:shd w:val="clear" w:color="auto" w:fill="CFF0FC"/>
            <w:tcMar>
              <w:top w:w="15" w:type="dxa"/>
              <w:left w:w="0" w:type="dxa"/>
              <w:bottom w:w="0" w:type="dxa"/>
              <w:right w:w="15" w:type="dxa"/>
            </w:tcMar>
            <w:vAlign w:val="bottom"/>
            <w:hideMark/>
          </w:tcPr>
          <w:p w14:paraId="079D647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24079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4D43137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14E117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4B00271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E9888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1D27B30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70CFE4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68838344"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4FBE9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465070F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70B7F9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F2A89F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FC895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2C2DFE6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B84FAB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C224C74" w14:textId="77777777">
        <w:trPr>
          <w:divId w:val="1369135896"/>
          <w:jc w:val="center"/>
        </w:trPr>
        <w:tc>
          <w:tcPr>
            <w:tcW w:w="2797" w:type="pct"/>
            <w:shd w:val="clear" w:color="auto" w:fill="FFFFFF"/>
            <w:tcMar>
              <w:top w:w="15" w:type="dxa"/>
              <w:left w:w="0" w:type="dxa"/>
              <w:bottom w:w="0" w:type="dxa"/>
              <w:right w:w="15" w:type="dxa"/>
            </w:tcMar>
            <w:hideMark/>
          </w:tcPr>
          <w:p w14:paraId="538BEE66"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vertAlign w:val="superscript"/>
              </w:rPr>
              <w:t>(1)</w:t>
            </w:r>
          </w:p>
        </w:tc>
        <w:tc>
          <w:tcPr>
            <w:tcW w:w="65" w:type="pct"/>
            <w:shd w:val="clear" w:color="auto" w:fill="FFFFFF"/>
            <w:tcMar>
              <w:top w:w="15" w:type="dxa"/>
              <w:left w:w="0" w:type="dxa"/>
              <w:bottom w:w="0" w:type="dxa"/>
              <w:right w:w="15" w:type="dxa"/>
            </w:tcMar>
            <w:vAlign w:val="bottom"/>
            <w:hideMark/>
          </w:tcPr>
          <w:p w14:paraId="3A45A60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CFE643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66580C8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937</w:t>
            </w:r>
          </w:p>
        </w:tc>
        <w:tc>
          <w:tcPr>
            <w:tcW w:w="50" w:type="pct"/>
            <w:shd w:val="clear" w:color="auto" w:fill="FFFFFF"/>
            <w:noWrap/>
            <w:tcMar>
              <w:top w:w="15" w:type="dxa"/>
              <w:left w:w="0" w:type="dxa"/>
              <w:bottom w:w="0" w:type="dxa"/>
              <w:right w:w="15" w:type="dxa"/>
            </w:tcMar>
            <w:vAlign w:val="bottom"/>
            <w:hideMark/>
          </w:tcPr>
          <w:p w14:paraId="5AE5F3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42BD7E3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AA069A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770161A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894</w:t>
            </w:r>
          </w:p>
        </w:tc>
        <w:tc>
          <w:tcPr>
            <w:tcW w:w="50" w:type="pct"/>
            <w:shd w:val="clear" w:color="auto" w:fill="FFFFFF"/>
            <w:noWrap/>
            <w:tcMar>
              <w:top w:w="15" w:type="dxa"/>
              <w:left w:w="0" w:type="dxa"/>
              <w:bottom w:w="0" w:type="dxa"/>
              <w:right w:w="15" w:type="dxa"/>
            </w:tcMar>
            <w:vAlign w:val="bottom"/>
            <w:hideMark/>
          </w:tcPr>
          <w:p w14:paraId="0B0B98B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56EF3B23"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2BC9B9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08A8A1B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2,807</w:t>
            </w:r>
          </w:p>
        </w:tc>
        <w:tc>
          <w:tcPr>
            <w:tcW w:w="50" w:type="pct"/>
            <w:shd w:val="clear" w:color="auto" w:fill="FFFFFF"/>
            <w:noWrap/>
            <w:tcMar>
              <w:top w:w="15" w:type="dxa"/>
              <w:left w:w="0" w:type="dxa"/>
              <w:bottom w:w="0" w:type="dxa"/>
              <w:right w:w="15" w:type="dxa"/>
            </w:tcMar>
            <w:vAlign w:val="bottom"/>
            <w:hideMark/>
          </w:tcPr>
          <w:p w14:paraId="4851422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7064778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949BB2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7C9D83A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2,645</w:t>
            </w:r>
          </w:p>
        </w:tc>
        <w:tc>
          <w:tcPr>
            <w:tcW w:w="50" w:type="pct"/>
            <w:shd w:val="clear" w:color="auto" w:fill="FFFFFF"/>
            <w:noWrap/>
            <w:tcMar>
              <w:top w:w="15" w:type="dxa"/>
              <w:left w:w="0" w:type="dxa"/>
              <w:bottom w:w="0" w:type="dxa"/>
              <w:right w:w="15" w:type="dxa"/>
            </w:tcMar>
            <w:vAlign w:val="bottom"/>
            <w:hideMark/>
          </w:tcPr>
          <w:p w14:paraId="41CFCE1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2D973D74" w14:textId="77777777">
        <w:trPr>
          <w:divId w:val="1369135896"/>
          <w:jc w:val="center"/>
        </w:trPr>
        <w:tc>
          <w:tcPr>
            <w:tcW w:w="2797" w:type="pct"/>
            <w:shd w:val="clear" w:color="auto" w:fill="CFF0FC"/>
            <w:tcMar>
              <w:top w:w="15" w:type="dxa"/>
              <w:left w:w="0" w:type="dxa"/>
              <w:bottom w:w="0" w:type="dxa"/>
              <w:right w:w="15" w:type="dxa"/>
            </w:tcMar>
            <w:hideMark/>
          </w:tcPr>
          <w:p w14:paraId="2ADBE0E6"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Hardware</w:t>
            </w:r>
            <w:r>
              <w:rPr>
                <w:rFonts w:ascii="Calibri" w:hAnsi="Calibri" w:cs="Calibri"/>
                <w:color w:val="000000"/>
                <w:sz w:val="14"/>
                <w:szCs w:val="14"/>
                <w:vertAlign w:val="superscript"/>
              </w:rPr>
              <w:t>(1)</w:t>
            </w:r>
          </w:p>
        </w:tc>
        <w:tc>
          <w:tcPr>
            <w:tcW w:w="65" w:type="pct"/>
            <w:shd w:val="clear" w:color="auto" w:fill="CFF0FC"/>
            <w:tcMar>
              <w:top w:w="15" w:type="dxa"/>
              <w:left w:w="0" w:type="dxa"/>
              <w:bottom w:w="0" w:type="dxa"/>
              <w:right w:w="15" w:type="dxa"/>
            </w:tcMar>
            <w:vAlign w:val="bottom"/>
            <w:hideMark/>
          </w:tcPr>
          <w:p w14:paraId="504F9A7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8E5A8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3D8ED3A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339</w:t>
            </w:r>
          </w:p>
        </w:tc>
        <w:tc>
          <w:tcPr>
            <w:tcW w:w="50" w:type="pct"/>
            <w:shd w:val="clear" w:color="auto" w:fill="CFF0FC"/>
            <w:noWrap/>
            <w:tcMar>
              <w:top w:w="15" w:type="dxa"/>
              <w:left w:w="0" w:type="dxa"/>
              <w:bottom w:w="0" w:type="dxa"/>
              <w:right w:w="15" w:type="dxa"/>
            </w:tcMar>
            <w:vAlign w:val="bottom"/>
            <w:hideMark/>
          </w:tcPr>
          <w:p w14:paraId="2B59BC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CA2563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AD3622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4A68BBD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393</w:t>
            </w:r>
          </w:p>
        </w:tc>
        <w:tc>
          <w:tcPr>
            <w:tcW w:w="50" w:type="pct"/>
            <w:shd w:val="clear" w:color="auto" w:fill="CFF0FC"/>
            <w:noWrap/>
            <w:tcMar>
              <w:top w:w="15" w:type="dxa"/>
              <w:left w:w="0" w:type="dxa"/>
              <w:bottom w:w="0" w:type="dxa"/>
              <w:right w:w="15" w:type="dxa"/>
            </w:tcMar>
            <w:vAlign w:val="bottom"/>
            <w:hideMark/>
          </w:tcPr>
          <w:p w14:paraId="2EFB334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75EBBEAD"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FFEEB6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2199D8A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998</w:t>
            </w:r>
          </w:p>
        </w:tc>
        <w:tc>
          <w:tcPr>
            <w:tcW w:w="50" w:type="pct"/>
            <w:shd w:val="clear" w:color="auto" w:fill="CFF0FC"/>
            <w:noWrap/>
            <w:tcMar>
              <w:top w:w="15" w:type="dxa"/>
              <w:left w:w="0" w:type="dxa"/>
              <w:bottom w:w="0" w:type="dxa"/>
              <w:right w:w="15" w:type="dxa"/>
            </w:tcMar>
            <w:vAlign w:val="bottom"/>
            <w:hideMark/>
          </w:tcPr>
          <w:p w14:paraId="2619AA2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41A277E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0DFE1C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77E5032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1,116</w:t>
            </w:r>
          </w:p>
        </w:tc>
        <w:tc>
          <w:tcPr>
            <w:tcW w:w="50" w:type="pct"/>
            <w:shd w:val="clear" w:color="auto" w:fill="CFF0FC"/>
            <w:noWrap/>
            <w:tcMar>
              <w:top w:w="15" w:type="dxa"/>
              <w:left w:w="0" w:type="dxa"/>
              <w:bottom w:w="0" w:type="dxa"/>
              <w:right w:w="15" w:type="dxa"/>
            </w:tcMar>
            <w:vAlign w:val="bottom"/>
            <w:hideMark/>
          </w:tcPr>
          <w:p w14:paraId="27B6DF0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4406DD50" w14:textId="77777777">
        <w:trPr>
          <w:divId w:val="1369135896"/>
          <w:jc w:val="center"/>
        </w:trPr>
        <w:tc>
          <w:tcPr>
            <w:tcW w:w="2797" w:type="pct"/>
            <w:shd w:val="clear" w:color="auto" w:fill="FFFFFF"/>
            <w:tcMar>
              <w:top w:w="15" w:type="dxa"/>
              <w:left w:w="0" w:type="dxa"/>
              <w:bottom w:w="0" w:type="dxa"/>
              <w:right w:w="15" w:type="dxa"/>
            </w:tcMar>
            <w:hideMark/>
          </w:tcPr>
          <w:p w14:paraId="1E1D552C"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Services</w:t>
            </w:r>
            <w:r>
              <w:rPr>
                <w:rFonts w:ascii="Calibri" w:hAnsi="Calibri" w:cs="Calibri"/>
                <w:color w:val="000000"/>
                <w:sz w:val="14"/>
                <w:szCs w:val="14"/>
                <w:vertAlign w:val="superscript"/>
              </w:rPr>
              <w:t>(1)</w:t>
            </w:r>
          </w:p>
        </w:tc>
        <w:tc>
          <w:tcPr>
            <w:tcW w:w="65" w:type="pct"/>
            <w:shd w:val="clear" w:color="auto" w:fill="FFFFFF"/>
            <w:tcMar>
              <w:top w:w="15" w:type="dxa"/>
              <w:left w:w="0" w:type="dxa"/>
              <w:bottom w:w="0" w:type="dxa"/>
              <w:right w:w="15" w:type="dxa"/>
            </w:tcMar>
            <w:vAlign w:val="bottom"/>
            <w:hideMark/>
          </w:tcPr>
          <w:p w14:paraId="66593E2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8B1DE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2A9F31B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700</w:t>
            </w:r>
          </w:p>
        </w:tc>
        <w:tc>
          <w:tcPr>
            <w:tcW w:w="50" w:type="pct"/>
            <w:shd w:val="clear" w:color="auto" w:fill="FFFFFF"/>
            <w:noWrap/>
            <w:tcMar>
              <w:top w:w="15" w:type="dxa"/>
              <w:left w:w="0" w:type="dxa"/>
              <w:bottom w:w="0" w:type="dxa"/>
              <w:right w:w="15" w:type="dxa"/>
            </w:tcMar>
            <w:vAlign w:val="bottom"/>
            <w:hideMark/>
          </w:tcPr>
          <w:p w14:paraId="384339C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060BA01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70A742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3717643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709</w:t>
            </w:r>
          </w:p>
        </w:tc>
        <w:tc>
          <w:tcPr>
            <w:tcW w:w="50" w:type="pct"/>
            <w:shd w:val="clear" w:color="auto" w:fill="FFFFFF"/>
            <w:noWrap/>
            <w:tcMar>
              <w:top w:w="15" w:type="dxa"/>
              <w:left w:w="0" w:type="dxa"/>
              <w:bottom w:w="0" w:type="dxa"/>
              <w:right w:w="15" w:type="dxa"/>
            </w:tcMar>
            <w:vAlign w:val="bottom"/>
            <w:hideMark/>
          </w:tcPr>
          <w:p w14:paraId="176CA6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3E4D22EC"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0419A7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5FD096A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2,127</w:t>
            </w:r>
          </w:p>
        </w:tc>
        <w:tc>
          <w:tcPr>
            <w:tcW w:w="50" w:type="pct"/>
            <w:shd w:val="clear" w:color="auto" w:fill="FFFFFF"/>
            <w:noWrap/>
            <w:tcMar>
              <w:top w:w="15" w:type="dxa"/>
              <w:left w:w="0" w:type="dxa"/>
              <w:bottom w:w="0" w:type="dxa"/>
              <w:right w:w="15" w:type="dxa"/>
            </w:tcMar>
            <w:vAlign w:val="bottom"/>
            <w:hideMark/>
          </w:tcPr>
          <w:p w14:paraId="603199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69D2339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012699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1D6AC7F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2,126</w:t>
            </w:r>
          </w:p>
        </w:tc>
        <w:tc>
          <w:tcPr>
            <w:tcW w:w="50" w:type="pct"/>
            <w:shd w:val="clear" w:color="auto" w:fill="FFFFFF"/>
            <w:noWrap/>
            <w:tcMar>
              <w:top w:w="15" w:type="dxa"/>
              <w:left w:w="0" w:type="dxa"/>
              <w:bottom w:w="0" w:type="dxa"/>
              <w:right w:w="15" w:type="dxa"/>
            </w:tcMar>
            <w:vAlign w:val="bottom"/>
            <w:hideMark/>
          </w:tcPr>
          <w:p w14:paraId="248601F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1C3B7024" w14:textId="77777777">
        <w:trPr>
          <w:divId w:val="1369135896"/>
          <w:jc w:val="center"/>
        </w:trPr>
        <w:tc>
          <w:tcPr>
            <w:tcW w:w="2797" w:type="pct"/>
            <w:shd w:val="clear" w:color="auto" w:fill="CFF0FC"/>
            <w:tcMar>
              <w:top w:w="15" w:type="dxa"/>
              <w:left w:w="0" w:type="dxa"/>
              <w:bottom w:w="0" w:type="dxa"/>
              <w:right w:w="15" w:type="dxa"/>
            </w:tcMar>
            <w:hideMark/>
          </w:tcPr>
          <w:p w14:paraId="56652BD0"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vertAlign w:val="superscript"/>
              </w:rPr>
              <w:t>(1)</w:t>
            </w:r>
          </w:p>
        </w:tc>
        <w:tc>
          <w:tcPr>
            <w:tcW w:w="65" w:type="pct"/>
            <w:shd w:val="clear" w:color="auto" w:fill="CFF0FC"/>
            <w:tcMar>
              <w:top w:w="15" w:type="dxa"/>
              <w:left w:w="0" w:type="dxa"/>
              <w:bottom w:w="0" w:type="dxa"/>
              <w:right w:w="15" w:type="dxa"/>
            </w:tcMar>
            <w:vAlign w:val="bottom"/>
            <w:hideMark/>
          </w:tcPr>
          <w:p w14:paraId="024EBE0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1DCE8D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32DE235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2,051</w:t>
            </w:r>
          </w:p>
        </w:tc>
        <w:tc>
          <w:tcPr>
            <w:tcW w:w="50" w:type="pct"/>
            <w:shd w:val="clear" w:color="auto" w:fill="CFF0FC"/>
            <w:noWrap/>
            <w:tcMar>
              <w:top w:w="15" w:type="dxa"/>
              <w:left w:w="0" w:type="dxa"/>
              <w:bottom w:w="0" w:type="dxa"/>
              <w:right w:w="15" w:type="dxa"/>
            </w:tcMar>
            <w:vAlign w:val="bottom"/>
            <w:hideMark/>
          </w:tcPr>
          <w:p w14:paraId="0EFF25F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6D6028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CF62AC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2AD4A97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2,042</w:t>
            </w:r>
          </w:p>
        </w:tc>
        <w:tc>
          <w:tcPr>
            <w:tcW w:w="50" w:type="pct"/>
            <w:shd w:val="clear" w:color="auto" w:fill="CFF0FC"/>
            <w:noWrap/>
            <w:tcMar>
              <w:top w:w="15" w:type="dxa"/>
              <w:left w:w="0" w:type="dxa"/>
              <w:bottom w:w="0" w:type="dxa"/>
              <w:right w:w="15" w:type="dxa"/>
            </w:tcMar>
            <w:vAlign w:val="bottom"/>
            <w:hideMark/>
          </w:tcPr>
          <w:p w14:paraId="3B759CB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A09B63B"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1A0AD2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1C209CF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6,191</w:t>
            </w:r>
          </w:p>
        </w:tc>
        <w:tc>
          <w:tcPr>
            <w:tcW w:w="50" w:type="pct"/>
            <w:shd w:val="clear" w:color="auto" w:fill="CFF0FC"/>
            <w:noWrap/>
            <w:tcMar>
              <w:top w:w="15" w:type="dxa"/>
              <w:left w:w="0" w:type="dxa"/>
              <w:bottom w:w="0" w:type="dxa"/>
              <w:right w:w="15" w:type="dxa"/>
            </w:tcMar>
            <w:vAlign w:val="bottom"/>
            <w:hideMark/>
          </w:tcPr>
          <w:p w14:paraId="2A31C49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524F6BB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BE3E7F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0146566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6,118</w:t>
            </w:r>
          </w:p>
        </w:tc>
        <w:tc>
          <w:tcPr>
            <w:tcW w:w="50" w:type="pct"/>
            <w:shd w:val="clear" w:color="auto" w:fill="CFF0FC"/>
            <w:noWrap/>
            <w:tcMar>
              <w:top w:w="15" w:type="dxa"/>
              <w:left w:w="0" w:type="dxa"/>
              <w:bottom w:w="0" w:type="dxa"/>
              <w:right w:w="15" w:type="dxa"/>
            </w:tcMar>
            <w:vAlign w:val="bottom"/>
            <w:hideMark/>
          </w:tcPr>
          <w:p w14:paraId="026C9FC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69BC15C9" w14:textId="77777777">
        <w:trPr>
          <w:divId w:val="1369135896"/>
          <w:jc w:val="center"/>
        </w:trPr>
        <w:tc>
          <w:tcPr>
            <w:tcW w:w="2797" w:type="pct"/>
            <w:shd w:val="clear" w:color="auto" w:fill="FFFFFF"/>
            <w:tcMar>
              <w:top w:w="15" w:type="dxa"/>
              <w:left w:w="0" w:type="dxa"/>
              <w:bottom w:w="0" w:type="dxa"/>
              <w:right w:w="15" w:type="dxa"/>
            </w:tcMar>
            <w:hideMark/>
          </w:tcPr>
          <w:p w14:paraId="2F49CCF0"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Research and development</w:t>
            </w:r>
          </w:p>
        </w:tc>
        <w:tc>
          <w:tcPr>
            <w:tcW w:w="65" w:type="pct"/>
            <w:shd w:val="clear" w:color="auto" w:fill="FFFFFF"/>
            <w:tcMar>
              <w:top w:w="15" w:type="dxa"/>
              <w:left w:w="0" w:type="dxa"/>
              <w:bottom w:w="0" w:type="dxa"/>
              <w:right w:w="15" w:type="dxa"/>
            </w:tcMar>
            <w:vAlign w:val="bottom"/>
            <w:hideMark/>
          </w:tcPr>
          <w:p w14:paraId="3D47D2B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76A94A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1ED66DD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1,426</w:t>
            </w:r>
          </w:p>
        </w:tc>
        <w:tc>
          <w:tcPr>
            <w:tcW w:w="50" w:type="pct"/>
            <w:shd w:val="clear" w:color="auto" w:fill="FFFFFF"/>
            <w:noWrap/>
            <w:tcMar>
              <w:top w:w="15" w:type="dxa"/>
              <w:left w:w="0" w:type="dxa"/>
              <w:bottom w:w="0" w:type="dxa"/>
              <w:right w:w="15" w:type="dxa"/>
            </w:tcMar>
            <w:vAlign w:val="bottom"/>
            <w:hideMark/>
          </w:tcPr>
          <w:p w14:paraId="2340A56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0216212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602D2F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5564735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1,496</w:t>
            </w:r>
          </w:p>
        </w:tc>
        <w:tc>
          <w:tcPr>
            <w:tcW w:w="50" w:type="pct"/>
            <w:shd w:val="clear" w:color="auto" w:fill="FFFFFF"/>
            <w:noWrap/>
            <w:tcMar>
              <w:top w:w="15" w:type="dxa"/>
              <w:left w:w="0" w:type="dxa"/>
              <w:bottom w:w="0" w:type="dxa"/>
              <w:right w:w="15" w:type="dxa"/>
            </w:tcMar>
            <w:vAlign w:val="bottom"/>
            <w:hideMark/>
          </w:tcPr>
          <w:p w14:paraId="09A911F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36231044"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A33CAE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2FFB133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4,464</w:t>
            </w:r>
          </w:p>
        </w:tc>
        <w:tc>
          <w:tcPr>
            <w:tcW w:w="50" w:type="pct"/>
            <w:shd w:val="clear" w:color="auto" w:fill="FFFFFF"/>
            <w:noWrap/>
            <w:tcMar>
              <w:top w:w="15" w:type="dxa"/>
              <w:left w:w="0" w:type="dxa"/>
              <w:bottom w:w="0" w:type="dxa"/>
              <w:right w:w="15" w:type="dxa"/>
            </w:tcMar>
            <w:vAlign w:val="bottom"/>
            <w:hideMark/>
          </w:tcPr>
          <w:p w14:paraId="4E1C4FF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2F337DC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56E3CF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51250C7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4,541</w:t>
            </w:r>
          </w:p>
        </w:tc>
        <w:tc>
          <w:tcPr>
            <w:tcW w:w="50" w:type="pct"/>
            <w:shd w:val="clear" w:color="auto" w:fill="FFFFFF"/>
            <w:noWrap/>
            <w:tcMar>
              <w:top w:w="15" w:type="dxa"/>
              <w:left w:w="0" w:type="dxa"/>
              <w:bottom w:w="0" w:type="dxa"/>
              <w:right w:w="15" w:type="dxa"/>
            </w:tcMar>
            <w:vAlign w:val="bottom"/>
            <w:hideMark/>
          </w:tcPr>
          <w:p w14:paraId="155B46E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8E4FD4F" w14:textId="77777777">
        <w:trPr>
          <w:divId w:val="1369135896"/>
          <w:jc w:val="center"/>
        </w:trPr>
        <w:tc>
          <w:tcPr>
            <w:tcW w:w="2797" w:type="pct"/>
            <w:shd w:val="clear" w:color="auto" w:fill="CFF0FC"/>
            <w:tcMar>
              <w:top w:w="15" w:type="dxa"/>
              <w:left w:w="0" w:type="dxa"/>
              <w:bottom w:w="0" w:type="dxa"/>
              <w:right w:w="15" w:type="dxa"/>
            </w:tcMar>
            <w:hideMark/>
          </w:tcPr>
          <w:p w14:paraId="6F9CA23F"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General and administrative</w:t>
            </w:r>
          </w:p>
        </w:tc>
        <w:tc>
          <w:tcPr>
            <w:tcW w:w="65" w:type="pct"/>
            <w:shd w:val="clear" w:color="auto" w:fill="CFF0FC"/>
            <w:tcMar>
              <w:top w:w="15" w:type="dxa"/>
              <w:left w:w="0" w:type="dxa"/>
              <w:bottom w:w="0" w:type="dxa"/>
              <w:right w:w="15" w:type="dxa"/>
            </w:tcMar>
            <w:vAlign w:val="bottom"/>
            <w:hideMark/>
          </w:tcPr>
          <w:p w14:paraId="6709501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B531A8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6E2CF35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316</w:t>
            </w:r>
          </w:p>
        </w:tc>
        <w:tc>
          <w:tcPr>
            <w:tcW w:w="50" w:type="pct"/>
            <w:shd w:val="clear" w:color="auto" w:fill="CFF0FC"/>
            <w:noWrap/>
            <w:tcMar>
              <w:top w:w="15" w:type="dxa"/>
              <w:left w:w="0" w:type="dxa"/>
              <w:bottom w:w="0" w:type="dxa"/>
              <w:right w:w="15" w:type="dxa"/>
            </w:tcMar>
            <w:vAlign w:val="bottom"/>
            <w:hideMark/>
          </w:tcPr>
          <w:p w14:paraId="4D807C9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55379B6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152426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5BCAE7F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339</w:t>
            </w:r>
          </w:p>
        </w:tc>
        <w:tc>
          <w:tcPr>
            <w:tcW w:w="50" w:type="pct"/>
            <w:shd w:val="clear" w:color="auto" w:fill="CFF0FC"/>
            <w:noWrap/>
            <w:tcMar>
              <w:top w:w="15" w:type="dxa"/>
              <w:left w:w="0" w:type="dxa"/>
              <w:bottom w:w="0" w:type="dxa"/>
              <w:right w:w="15" w:type="dxa"/>
            </w:tcMar>
            <w:vAlign w:val="bottom"/>
            <w:hideMark/>
          </w:tcPr>
          <w:p w14:paraId="1231306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041A4160"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E4AB99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13BDEAA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935</w:t>
            </w:r>
          </w:p>
        </w:tc>
        <w:tc>
          <w:tcPr>
            <w:tcW w:w="50" w:type="pct"/>
            <w:shd w:val="clear" w:color="auto" w:fill="CFF0FC"/>
            <w:noWrap/>
            <w:tcMar>
              <w:top w:w="15" w:type="dxa"/>
              <w:left w:w="0" w:type="dxa"/>
              <w:bottom w:w="0" w:type="dxa"/>
              <w:right w:w="15" w:type="dxa"/>
            </w:tcMar>
            <w:vAlign w:val="bottom"/>
            <w:hideMark/>
          </w:tcPr>
          <w:p w14:paraId="77DF258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46AFED0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6262EB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61DA18C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977</w:t>
            </w:r>
          </w:p>
        </w:tc>
        <w:tc>
          <w:tcPr>
            <w:tcW w:w="50" w:type="pct"/>
            <w:shd w:val="clear" w:color="auto" w:fill="CFF0FC"/>
            <w:noWrap/>
            <w:tcMar>
              <w:top w:w="15" w:type="dxa"/>
              <w:left w:w="0" w:type="dxa"/>
              <w:bottom w:w="0" w:type="dxa"/>
              <w:right w:w="15" w:type="dxa"/>
            </w:tcMar>
            <w:vAlign w:val="bottom"/>
            <w:hideMark/>
          </w:tcPr>
          <w:p w14:paraId="06F4D03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1CDCE19" w14:textId="77777777">
        <w:trPr>
          <w:divId w:val="1369135896"/>
          <w:jc w:val="center"/>
        </w:trPr>
        <w:tc>
          <w:tcPr>
            <w:tcW w:w="2797" w:type="pct"/>
            <w:shd w:val="clear" w:color="auto" w:fill="FFFFFF"/>
            <w:tcMar>
              <w:top w:w="15" w:type="dxa"/>
              <w:left w:w="0" w:type="dxa"/>
              <w:bottom w:w="0" w:type="dxa"/>
              <w:right w:w="15" w:type="dxa"/>
            </w:tcMar>
            <w:hideMark/>
          </w:tcPr>
          <w:p w14:paraId="03D6C167"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Amortization of intangible assets</w:t>
            </w:r>
          </w:p>
        </w:tc>
        <w:tc>
          <w:tcPr>
            <w:tcW w:w="65" w:type="pct"/>
            <w:shd w:val="clear" w:color="auto" w:fill="FFFFFF"/>
            <w:tcMar>
              <w:top w:w="15" w:type="dxa"/>
              <w:left w:w="0" w:type="dxa"/>
              <w:bottom w:w="0" w:type="dxa"/>
              <w:right w:w="15" w:type="dxa"/>
            </w:tcMar>
            <w:vAlign w:val="bottom"/>
            <w:hideMark/>
          </w:tcPr>
          <w:p w14:paraId="60C6501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2FAE9E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5EED210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407</w:t>
            </w:r>
          </w:p>
        </w:tc>
        <w:tc>
          <w:tcPr>
            <w:tcW w:w="50" w:type="pct"/>
            <w:shd w:val="clear" w:color="auto" w:fill="FFFFFF"/>
            <w:noWrap/>
            <w:tcMar>
              <w:top w:w="15" w:type="dxa"/>
              <w:left w:w="0" w:type="dxa"/>
              <w:bottom w:w="0" w:type="dxa"/>
              <w:right w:w="15" w:type="dxa"/>
            </w:tcMar>
            <w:vAlign w:val="bottom"/>
            <w:hideMark/>
          </w:tcPr>
          <w:p w14:paraId="4A1A0ED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64B9535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4BFBBC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3A9476F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394</w:t>
            </w:r>
          </w:p>
        </w:tc>
        <w:tc>
          <w:tcPr>
            <w:tcW w:w="50" w:type="pct"/>
            <w:shd w:val="clear" w:color="auto" w:fill="FFFFFF"/>
            <w:noWrap/>
            <w:tcMar>
              <w:top w:w="15" w:type="dxa"/>
              <w:left w:w="0" w:type="dxa"/>
              <w:bottom w:w="0" w:type="dxa"/>
              <w:right w:w="15" w:type="dxa"/>
            </w:tcMar>
            <w:vAlign w:val="bottom"/>
            <w:hideMark/>
          </w:tcPr>
          <w:p w14:paraId="6CA4FD9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0A10FC7"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DE7064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72E7D7F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1,265</w:t>
            </w:r>
          </w:p>
        </w:tc>
        <w:tc>
          <w:tcPr>
            <w:tcW w:w="50" w:type="pct"/>
            <w:shd w:val="clear" w:color="auto" w:fill="FFFFFF"/>
            <w:noWrap/>
            <w:tcMar>
              <w:top w:w="15" w:type="dxa"/>
              <w:left w:w="0" w:type="dxa"/>
              <w:bottom w:w="0" w:type="dxa"/>
              <w:right w:w="15" w:type="dxa"/>
            </w:tcMar>
            <w:vAlign w:val="bottom"/>
            <w:hideMark/>
          </w:tcPr>
          <w:p w14:paraId="4354C4D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261164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436F8D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FFFFFF"/>
            <w:noWrap/>
            <w:tcMar>
              <w:top w:w="15" w:type="dxa"/>
              <w:left w:w="0" w:type="dxa"/>
              <w:bottom w:w="0" w:type="dxa"/>
              <w:right w:w="15" w:type="dxa"/>
            </w:tcMar>
            <w:vAlign w:val="bottom"/>
            <w:hideMark/>
          </w:tcPr>
          <w:p w14:paraId="4BF4646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1,205</w:t>
            </w:r>
          </w:p>
        </w:tc>
        <w:tc>
          <w:tcPr>
            <w:tcW w:w="50" w:type="pct"/>
            <w:shd w:val="clear" w:color="auto" w:fill="FFFFFF"/>
            <w:noWrap/>
            <w:tcMar>
              <w:top w:w="15" w:type="dxa"/>
              <w:left w:w="0" w:type="dxa"/>
              <w:bottom w:w="0" w:type="dxa"/>
              <w:right w:w="15" w:type="dxa"/>
            </w:tcMar>
            <w:vAlign w:val="bottom"/>
            <w:hideMark/>
          </w:tcPr>
          <w:p w14:paraId="79BDCF7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13ABB127" w14:textId="77777777">
        <w:trPr>
          <w:divId w:val="1369135896"/>
          <w:jc w:val="center"/>
        </w:trPr>
        <w:tc>
          <w:tcPr>
            <w:tcW w:w="2797" w:type="pct"/>
            <w:shd w:val="clear" w:color="auto" w:fill="CFF0FC"/>
            <w:tcMar>
              <w:top w:w="15" w:type="dxa"/>
              <w:left w:w="0" w:type="dxa"/>
              <w:bottom w:w="0" w:type="dxa"/>
              <w:right w:w="15" w:type="dxa"/>
            </w:tcMar>
            <w:hideMark/>
          </w:tcPr>
          <w:p w14:paraId="4F6846E9"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Acquisition related and other</w:t>
            </w:r>
          </w:p>
        </w:tc>
        <w:tc>
          <w:tcPr>
            <w:tcW w:w="65" w:type="pct"/>
            <w:shd w:val="clear" w:color="auto" w:fill="CFF0FC"/>
            <w:tcMar>
              <w:top w:w="15" w:type="dxa"/>
              <w:left w:w="0" w:type="dxa"/>
              <w:bottom w:w="0" w:type="dxa"/>
              <w:right w:w="15" w:type="dxa"/>
            </w:tcMar>
            <w:vAlign w:val="bottom"/>
            <w:hideMark/>
          </w:tcPr>
          <w:p w14:paraId="6E752A7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FEB159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18A6F26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CFF0FC"/>
            <w:noWrap/>
            <w:tcMar>
              <w:top w:w="15" w:type="dxa"/>
              <w:left w:w="0" w:type="dxa"/>
              <w:bottom w:w="0" w:type="dxa"/>
              <w:right w:w="15" w:type="dxa"/>
            </w:tcMar>
            <w:vAlign w:val="bottom"/>
            <w:hideMark/>
          </w:tcPr>
          <w:p w14:paraId="57AD4E8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CFF0FC"/>
            <w:tcMar>
              <w:top w:w="15" w:type="dxa"/>
              <w:left w:w="0" w:type="dxa"/>
              <w:bottom w:w="0" w:type="dxa"/>
              <w:right w:w="15" w:type="dxa"/>
            </w:tcMar>
            <w:vAlign w:val="bottom"/>
            <w:hideMark/>
          </w:tcPr>
          <w:p w14:paraId="2EA9677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3F3B18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26ED50D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w:t>
            </w:r>
          </w:p>
        </w:tc>
        <w:tc>
          <w:tcPr>
            <w:tcW w:w="50" w:type="pct"/>
            <w:shd w:val="clear" w:color="auto" w:fill="CFF0FC"/>
            <w:noWrap/>
            <w:tcMar>
              <w:top w:w="15" w:type="dxa"/>
              <w:left w:w="0" w:type="dxa"/>
              <w:bottom w:w="0" w:type="dxa"/>
              <w:right w:w="15" w:type="dxa"/>
            </w:tcMar>
            <w:vAlign w:val="bottom"/>
            <w:hideMark/>
          </w:tcPr>
          <w:p w14:paraId="7943440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495F7BF"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84E123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561D617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left w:w="0" w:type="dxa"/>
              <w:bottom w:w="0" w:type="dxa"/>
              <w:right w:w="15" w:type="dxa"/>
            </w:tcMar>
            <w:vAlign w:val="bottom"/>
            <w:hideMark/>
          </w:tcPr>
          <w:p w14:paraId="4030960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2F954A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232568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shd w:val="clear" w:color="auto" w:fill="CFF0FC"/>
            <w:noWrap/>
            <w:tcMar>
              <w:top w:w="15" w:type="dxa"/>
              <w:left w:w="0" w:type="dxa"/>
              <w:bottom w:w="0" w:type="dxa"/>
              <w:right w:w="15" w:type="dxa"/>
            </w:tcMar>
            <w:vAlign w:val="bottom"/>
            <w:hideMark/>
          </w:tcPr>
          <w:p w14:paraId="702E3F2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32</w:t>
            </w:r>
          </w:p>
        </w:tc>
        <w:tc>
          <w:tcPr>
            <w:tcW w:w="50" w:type="pct"/>
            <w:shd w:val="clear" w:color="auto" w:fill="CFF0FC"/>
            <w:noWrap/>
            <w:tcMar>
              <w:top w:w="15" w:type="dxa"/>
              <w:left w:w="0" w:type="dxa"/>
              <w:bottom w:w="0" w:type="dxa"/>
              <w:right w:w="15" w:type="dxa"/>
            </w:tcMar>
            <w:vAlign w:val="bottom"/>
            <w:hideMark/>
          </w:tcPr>
          <w:p w14:paraId="393A7BC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155F0D66" w14:textId="77777777">
        <w:trPr>
          <w:divId w:val="1369135896"/>
          <w:jc w:val="center"/>
        </w:trPr>
        <w:tc>
          <w:tcPr>
            <w:tcW w:w="2797" w:type="pct"/>
            <w:shd w:val="clear" w:color="auto" w:fill="FFFFFF"/>
            <w:tcMar>
              <w:top w:w="15" w:type="dxa"/>
              <w:left w:w="0" w:type="dxa"/>
              <w:bottom w:w="0" w:type="dxa"/>
              <w:right w:w="15" w:type="dxa"/>
            </w:tcMar>
            <w:hideMark/>
          </w:tcPr>
          <w:p w14:paraId="3CB7E48F"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Restructuring</w:t>
            </w:r>
          </w:p>
        </w:tc>
        <w:tc>
          <w:tcPr>
            <w:tcW w:w="65" w:type="pct"/>
            <w:shd w:val="clear" w:color="auto" w:fill="FFFFFF"/>
            <w:tcMar>
              <w:top w:w="15" w:type="dxa"/>
              <w:left w:w="0" w:type="dxa"/>
              <w:bottom w:w="0" w:type="dxa"/>
              <w:right w:w="15" w:type="dxa"/>
            </w:tcMar>
            <w:vAlign w:val="bottom"/>
            <w:hideMark/>
          </w:tcPr>
          <w:p w14:paraId="75C80F0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F63C0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7F6A2F0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FFFFFF"/>
            <w:noWrap/>
            <w:tcMar>
              <w:top w:w="15" w:type="dxa"/>
              <w:left w:w="0" w:type="dxa"/>
              <w:bottom w:w="0" w:type="dxa"/>
              <w:right w:w="15" w:type="dxa"/>
            </w:tcMar>
            <w:vAlign w:val="bottom"/>
            <w:hideMark/>
          </w:tcPr>
          <w:p w14:paraId="279C541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3352400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56F58A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4BA9187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91</w:t>
            </w:r>
          </w:p>
        </w:tc>
        <w:tc>
          <w:tcPr>
            <w:tcW w:w="50" w:type="pct"/>
            <w:shd w:val="clear" w:color="auto" w:fill="FFFFFF"/>
            <w:noWrap/>
            <w:tcMar>
              <w:top w:w="15" w:type="dxa"/>
              <w:left w:w="0" w:type="dxa"/>
              <w:bottom w:w="0" w:type="dxa"/>
              <w:right w:w="15" w:type="dxa"/>
            </w:tcMar>
            <w:vAlign w:val="bottom"/>
            <w:hideMark/>
          </w:tcPr>
          <w:p w14:paraId="311D968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5724A371"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9EFD3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7564242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275</w:t>
            </w:r>
          </w:p>
        </w:tc>
        <w:tc>
          <w:tcPr>
            <w:tcW w:w="50" w:type="pct"/>
            <w:shd w:val="clear" w:color="auto" w:fill="FFFFFF"/>
            <w:noWrap/>
            <w:tcMar>
              <w:top w:w="15" w:type="dxa"/>
              <w:left w:w="0" w:type="dxa"/>
              <w:bottom w:w="0" w:type="dxa"/>
              <w:right w:w="15" w:type="dxa"/>
            </w:tcMar>
            <w:vAlign w:val="bottom"/>
            <w:hideMark/>
          </w:tcPr>
          <w:p w14:paraId="1DCBE6D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326313D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DFC8A6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7C574C5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506</w:t>
            </w:r>
          </w:p>
        </w:tc>
        <w:tc>
          <w:tcPr>
            <w:tcW w:w="50" w:type="pct"/>
            <w:shd w:val="clear" w:color="auto" w:fill="FFFFFF"/>
            <w:noWrap/>
            <w:tcMar>
              <w:top w:w="15" w:type="dxa"/>
              <w:left w:w="0" w:type="dxa"/>
              <w:bottom w:w="0" w:type="dxa"/>
              <w:right w:w="15" w:type="dxa"/>
            </w:tcMar>
            <w:vAlign w:val="bottom"/>
            <w:hideMark/>
          </w:tcPr>
          <w:p w14:paraId="3C1890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4E7DD06" w14:textId="77777777">
        <w:trPr>
          <w:divId w:val="1369135896"/>
          <w:jc w:val="center"/>
        </w:trPr>
        <w:tc>
          <w:tcPr>
            <w:tcW w:w="2797" w:type="pct"/>
            <w:shd w:val="clear" w:color="auto" w:fill="CFF0FC"/>
            <w:tcMar>
              <w:top w:w="15" w:type="dxa"/>
              <w:left w:w="0" w:type="dxa"/>
              <w:bottom w:w="0" w:type="dxa"/>
              <w:right w:w="15" w:type="dxa"/>
            </w:tcMar>
            <w:vAlign w:val="bottom"/>
            <w:hideMark/>
          </w:tcPr>
          <w:p w14:paraId="7A91C4BD" w14:textId="77777777" w:rsidR="00716E85" w:rsidRDefault="00716E85">
            <w:pPr>
              <w:pStyle w:val="a3"/>
              <w:spacing w:before="0" w:beforeAutospacing="0" w:after="0" w:afterAutospacing="0"/>
              <w:ind w:left="821"/>
              <w:rPr>
                <w:rFonts w:ascii="Calibri" w:hAnsi="Calibri" w:cs="Calibri"/>
                <w:color w:val="000000"/>
                <w:sz w:val="17"/>
                <w:szCs w:val="17"/>
              </w:rPr>
            </w:pPr>
            <w:r>
              <w:rPr>
                <w:rFonts w:ascii="Calibri" w:hAnsi="Calibri" w:cs="Calibri"/>
                <w:color w:val="000000"/>
                <w:sz w:val="17"/>
                <w:szCs w:val="17"/>
              </w:rPr>
              <w:t>Total operating expenses</w:t>
            </w:r>
          </w:p>
        </w:tc>
        <w:tc>
          <w:tcPr>
            <w:tcW w:w="65" w:type="pct"/>
            <w:shd w:val="clear" w:color="auto" w:fill="CFF0FC"/>
            <w:tcMar>
              <w:top w:w="15" w:type="dxa"/>
              <w:left w:w="0" w:type="dxa"/>
              <w:bottom w:w="0" w:type="dxa"/>
              <w:right w:w="15" w:type="dxa"/>
            </w:tcMar>
            <w:vAlign w:val="bottom"/>
            <w:hideMark/>
          </w:tcPr>
          <w:p w14:paraId="453579D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8F748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76804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6,215</w:t>
            </w:r>
          </w:p>
        </w:tc>
        <w:tc>
          <w:tcPr>
            <w:tcW w:w="50" w:type="pct"/>
            <w:shd w:val="clear" w:color="auto" w:fill="CFF0FC"/>
            <w:noWrap/>
            <w:tcMar>
              <w:top w:w="15" w:type="dxa"/>
              <w:left w:w="0" w:type="dxa"/>
              <w:bottom w:w="0" w:type="dxa"/>
              <w:right w:w="15" w:type="dxa"/>
            </w:tcMar>
            <w:vAlign w:val="bottom"/>
            <w:hideMark/>
          </w:tcPr>
          <w:p w14:paraId="36246C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E64421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49794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8BD6BD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6,361</w:t>
            </w:r>
          </w:p>
        </w:tc>
        <w:tc>
          <w:tcPr>
            <w:tcW w:w="50" w:type="pct"/>
            <w:shd w:val="clear" w:color="auto" w:fill="CFF0FC"/>
            <w:noWrap/>
            <w:tcMar>
              <w:top w:w="15" w:type="dxa"/>
              <w:left w:w="0" w:type="dxa"/>
              <w:bottom w:w="0" w:type="dxa"/>
              <w:right w:w="15" w:type="dxa"/>
            </w:tcMar>
            <w:vAlign w:val="bottom"/>
            <w:hideMark/>
          </w:tcPr>
          <w:p w14:paraId="55DFA81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003F8985"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08B51A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C8AFE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19,091</w:t>
            </w:r>
          </w:p>
        </w:tc>
        <w:tc>
          <w:tcPr>
            <w:tcW w:w="50" w:type="pct"/>
            <w:shd w:val="clear" w:color="auto" w:fill="CFF0FC"/>
            <w:noWrap/>
            <w:tcMar>
              <w:top w:w="15" w:type="dxa"/>
              <w:left w:w="0" w:type="dxa"/>
              <w:bottom w:w="0" w:type="dxa"/>
              <w:right w:w="15" w:type="dxa"/>
            </w:tcMar>
            <w:vAlign w:val="bottom"/>
            <w:hideMark/>
          </w:tcPr>
          <w:p w14:paraId="7D108A7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7E9D638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0114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7D661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19,266</w:t>
            </w:r>
          </w:p>
        </w:tc>
        <w:tc>
          <w:tcPr>
            <w:tcW w:w="50" w:type="pct"/>
            <w:shd w:val="clear" w:color="auto" w:fill="CFF0FC"/>
            <w:noWrap/>
            <w:tcMar>
              <w:top w:w="15" w:type="dxa"/>
              <w:left w:w="0" w:type="dxa"/>
              <w:bottom w:w="0" w:type="dxa"/>
              <w:right w:w="15" w:type="dxa"/>
            </w:tcMar>
            <w:vAlign w:val="bottom"/>
            <w:hideMark/>
          </w:tcPr>
          <w:p w14:paraId="08C191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270FB93D" w14:textId="77777777">
        <w:trPr>
          <w:divId w:val="1369135896"/>
          <w:jc w:val="center"/>
        </w:trPr>
        <w:tc>
          <w:tcPr>
            <w:tcW w:w="2797" w:type="pct"/>
            <w:shd w:val="clear" w:color="auto" w:fill="FFFFFF"/>
            <w:tcMar>
              <w:top w:w="15" w:type="dxa"/>
              <w:left w:w="0" w:type="dxa"/>
              <w:bottom w:w="0" w:type="dxa"/>
              <w:right w:w="15" w:type="dxa"/>
            </w:tcMar>
            <w:hideMark/>
          </w:tcPr>
          <w:p w14:paraId="4E16F57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Operating income</w:t>
            </w:r>
          </w:p>
        </w:tc>
        <w:tc>
          <w:tcPr>
            <w:tcW w:w="65" w:type="pct"/>
            <w:shd w:val="clear" w:color="auto" w:fill="FFFFFF"/>
            <w:tcMar>
              <w:top w:w="15" w:type="dxa"/>
              <w:left w:w="0" w:type="dxa"/>
              <w:bottom w:w="0" w:type="dxa"/>
              <w:right w:w="15" w:type="dxa"/>
            </w:tcMar>
            <w:vAlign w:val="bottom"/>
            <w:hideMark/>
          </w:tcPr>
          <w:p w14:paraId="61D3983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845D5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FD8BC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3,399</w:t>
            </w:r>
          </w:p>
        </w:tc>
        <w:tc>
          <w:tcPr>
            <w:tcW w:w="50" w:type="pct"/>
            <w:shd w:val="clear" w:color="auto" w:fill="FFFFFF"/>
            <w:noWrap/>
            <w:tcMar>
              <w:top w:w="15" w:type="dxa"/>
              <w:left w:w="0" w:type="dxa"/>
              <w:bottom w:w="0" w:type="dxa"/>
              <w:right w:w="15" w:type="dxa"/>
            </w:tcMar>
            <w:vAlign w:val="bottom"/>
            <w:hideMark/>
          </w:tcPr>
          <w:p w14:paraId="7EE81B7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2972C40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D8117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2408C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3,315</w:t>
            </w:r>
          </w:p>
        </w:tc>
        <w:tc>
          <w:tcPr>
            <w:tcW w:w="50" w:type="pct"/>
            <w:shd w:val="clear" w:color="auto" w:fill="FFFFFF"/>
            <w:noWrap/>
            <w:tcMar>
              <w:top w:w="15" w:type="dxa"/>
              <w:left w:w="0" w:type="dxa"/>
              <w:bottom w:w="0" w:type="dxa"/>
              <w:right w:w="15" w:type="dxa"/>
            </w:tcMar>
            <w:vAlign w:val="bottom"/>
            <w:hideMark/>
          </w:tcPr>
          <w:p w14:paraId="4F70C93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34E48C3D"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E4D5A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BE54B2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9,278</w:t>
            </w:r>
          </w:p>
        </w:tc>
        <w:tc>
          <w:tcPr>
            <w:tcW w:w="50" w:type="pct"/>
            <w:shd w:val="clear" w:color="auto" w:fill="FFFFFF"/>
            <w:noWrap/>
            <w:tcMar>
              <w:top w:w="15" w:type="dxa"/>
              <w:left w:w="0" w:type="dxa"/>
              <w:bottom w:w="0" w:type="dxa"/>
              <w:right w:w="15" w:type="dxa"/>
            </w:tcMar>
            <w:vAlign w:val="bottom"/>
            <w:hideMark/>
          </w:tcPr>
          <w:p w14:paraId="5681B93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49AB51E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725D2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6D085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9,103</w:t>
            </w:r>
          </w:p>
        </w:tc>
        <w:tc>
          <w:tcPr>
            <w:tcW w:w="50" w:type="pct"/>
            <w:shd w:val="clear" w:color="auto" w:fill="FFFFFF"/>
            <w:noWrap/>
            <w:tcMar>
              <w:top w:w="15" w:type="dxa"/>
              <w:left w:w="0" w:type="dxa"/>
              <w:bottom w:w="0" w:type="dxa"/>
              <w:right w:w="15" w:type="dxa"/>
            </w:tcMar>
            <w:vAlign w:val="bottom"/>
            <w:hideMark/>
          </w:tcPr>
          <w:p w14:paraId="23E5197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D803898" w14:textId="77777777">
        <w:trPr>
          <w:divId w:val="1369135896"/>
          <w:jc w:val="center"/>
        </w:trPr>
        <w:tc>
          <w:tcPr>
            <w:tcW w:w="2797" w:type="pct"/>
            <w:shd w:val="clear" w:color="auto" w:fill="CFF0FC"/>
            <w:tcMar>
              <w:top w:w="15" w:type="dxa"/>
              <w:left w:w="0" w:type="dxa"/>
              <w:bottom w:w="0" w:type="dxa"/>
              <w:right w:w="15" w:type="dxa"/>
            </w:tcMar>
            <w:hideMark/>
          </w:tcPr>
          <w:p w14:paraId="2142110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Interest expense</w:t>
            </w:r>
          </w:p>
        </w:tc>
        <w:tc>
          <w:tcPr>
            <w:tcW w:w="65" w:type="pct"/>
            <w:shd w:val="clear" w:color="auto" w:fill="CFF0FC"/>
            <w:tcMar>
              <w:top w:w="15" w:type="dxa"/>
              <w:left w:w="0" w:type="dxa"/>
              <w:bottom w:w="0" w:type="dxa"/>
              <w:right w:w="15" w:type="dxa"/>
            </w:tcMar>
            <w:vAlign w:val="bottom"/>
            <w:hideMark/>
          </w:tcPr>
          <w:p w14:paraId="7E95334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DC376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67464EB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(509</w:t>
            </w:r>
          </w:p>
        </w:tc>
        <w:tc>
          <w:tcPr>
            <w:tcW w:w="50" w:type="pct"/>
            <w:shd w:val="clear" w:color="auto" w:fill="CFF0FC"/>
            <w:noWrap/>
            <w:tcMar>
              <w:top w:w="15" w:type="dxa"/>
              <w:left w:w="0" w:type="dxa"/>
              <w:bottom w:w="0" w:type="dxa"/>
              <w:right w:w="15" w:type="dxa"/>
            </w:tcMar>
            <w:vAlign w:val="bottom"/>
            <w:hideMark/>
          </w:tcPr>
          <w:p w14:paraId="0F47D78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CFF0FC"/>
            <w:tcMar>
              <w:top w:w="15" w:type="dxa"/>
              <w:left w:w="0" w:type="dxa"/>
              <w:bottom w:w="0" w:type="dxa"/>
              <w:right w:w="15" w:type="dxa"/>
            </w:tcMar>
            <w:vAlign w:val="bottom"/>
            <w:hideMark/>
          </w:tcPr>
          <w:p w14:paraId="5224C76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01FD4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2F5E5E3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(533</w:t>
            </w:r>
          </w:p>
        </w:tc>
        <w:tc>
          <w:tcPr>
            <w:tcW w:w="50" w:type="pct"/>
            <w:shd w:val="clear" w:color="auto" w:fill="CFF0FC"/>
            <w:noWrap/>
            <w:tcMar>
              <w:top w:w="15" w:type="dxa"/>
              <w:left w:w="0" w:type="dxa"/>
              <w:bottom w:w="0" w:type="dxa"/>
              <w:right w:w="15" w:type="dxa"/>
            </w:tcMar>
            <w:vAlign w:val="bottom"/>
            <w:hideMark/>
          </w:tcPr>
          <w:p w14:paraId="5252350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CFF0FC"/>
            <w:tcMar>
              <w:top w:w="15" w:type="dxa"/>
              <w:left w:w="0" w:type="dxa"/>
              <w:bottom w:w="0" w:type="dxa"/>
              <w:right w:w="15" w:type="dxa"/>
            </w:tcMar>
            <w:vAlign w:val="bottom"/>
            <w:hideMark/>
          </w:tcPr>
          <w:p w14:paraId="36C86851"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56B60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36930DA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(1,557</w:t>
            </w:r>
          </w:p>
        </w:tc>
        <w:tc>
          <w:tcPr>
            <w:tcW w:w="50" w:type="pct"/>
            <w:shd w:val="clear" w:color="auto" w:fill="CFF0FC"/>
            <w:noWrap/>
            <w:tcMar>
              <w:top w:w="15" w:type="dxa"/>
              <w:left w:w="0" w:type="dxa"/>
              <w:bottom w:w="0" w:type="dxa"/>
              <w:right w:w="15" w:type="dxa"/>
            </w:tcMar>
            <w:vAlign w:val="bottom"/>
            <w:hideMark/>
          </w:tcPr>
          <w:p w14:paraId="427EAB7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CFF0FC"/>
            <w:tcMar>
              <w:top w:w="15" w:type="dxa"/>
              <w:left w:w="0" w:type="dxa"/>
              <w:bottom w:w="0" w:type="dxa"/>
              <w:right w:w="15" w:type="dxa"/>
            </w:tcMar>
            <w:vAlign w:val="bottom"/>
            <w:hideMark/>
          </w:tcPr>
          <w:p w14:paraId="10849CC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7EEF4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02AF76F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(1,477</w:t>
            </w:r>
          </w:p>
        </w:tc>
        <w:tc>
          <w:tcPr>
            <w:tcW w:w="50" w:type="pct"/>
            <w:shd w:val="clear" w:color="auto" w:fill="CFF0FC"/>
            <w:noWrap/>
            <w:tcMar>
              <w:top w:w="15" w:type="dxa"/>
              <w:left w:w="0" w:type="dxa"/>
              <w:bottom w:w="0" w:type="dxa"/>
              <w:right w:w="15" w:type="dxa"/>
            </w:tcMar>
            <w:vAlign w:val="bottom"/>
            <w:hideMark/>
          </w:tcPr>
          <w:p w14:paraId="20732C8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716E85" w14:paraId="7D777D02" w14:textId="77777777">
        <w:trPr>
          <w:divId w:val="1369135896"/>
          <w:jc w:val="center"/>
        </w:trPr>
        <w:tc>
          <w:tcPr>
            <w:tcW w:w="2797" w:type="pct"/>
            <w:shd w:val="clear" w:color="auto" w:fill="FFFFFF"/>
            <w:tcMar>
              <w:top w:w="15" w:type="dxa"/>
              <w:left w:w="0" w:type="dxa"/>
              <w:bottom w:w="0" w:type="dxa"/>
              <w:right w:w="15" w:type="dxa"/>
            </w:tcMar>
            <w:hideMark/>
          </w:tcPr>
          <w:p w14:paraId="3B08123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Non-operating income, net</w:t>
            </w:r>
          </w:p>
        </w:tc>
        <w:tc>
          <w:tcPr>
            <w:tcW w:w="65" w:type="pct"/>
            <w:shd w:val="clear" w:color="auto" w:fill="FFFFFF"/>
            <w:tcMar>
              <w:top w:w="15" w:type="dxa"/>
              <w:left w:w="0" w:type="dxa"/>
              <w:bottom w:w="0" w:type="dxa"/>
              <w:right w:w="15" w:type="dxa"/>
            </w:tcMar>
            <w:vAlign w:val="bottom"/>
            <w:hideMark/>
          </w:tcPr>
          <w:p w14:paraId="3FB05AB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B9607C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75B57EE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198</w:t>
            </w:r>
          </w:p>
        </w:tc>
        <w:tc>
          <w:tcPr>
            <w:tcW w:w="50" w:type="pct"/>
            <w:shd w:val="clear" w:color="auto" w:fill="FFFFFF"/>
            <w:noWrap/>
            <w:tcMar>
              <w:top w:w="15" w:type="dxa"/>
              <w:left w:w="0" w:type="dxa"/>
              <w:bottom w:w="0" w:type="dxa"/>
              <w:right w:w="15" w:type="dxa"/>
            </w:tcMar>
            <w:vAlign w:val="bottom"/>
            <w:hideMark/>
          </w:tcPr>
          <w:p w14:paraId="4ED2A93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02B213C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AD4B4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072DAD0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409</w:t>
            </w:r>
          </w:p>
        </w:tc>
        <w:tc>
          <w:tcPr>
            <w:tcW w:w="50" w:type="pct"/>
            <w:shd w:val="clear" w:color="auto" w:fill="FFFFFF"/>
            <w:noWrap/>
            <w:tcMar>
              <w:top w:w="15" w:type="dxa"/>
              <w:left w:w="0" w:type="dxa"/>
              <w:bottom w:w="0" w:type="dxa"/>
              <w:right w:w="15" w:type="dxa"/>
            </w:tcMar>
            <w:vAlign w:val="bottom"/>
            <w:hideMark/>
          </w:tcPr>
          <w:p w14:paraId="7E5496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0E1B5521"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9D7FD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3A3F604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681</w:t>
            </w:r>
          </w:p>
        </w:tc>
        <w:tc>
          <w:tcPr>
            <w:tcW w:w="50" w:type="pct"/>
            <w:shd w:val="clear" w:color="auto" w:fill="FFFFFF"/>
            <w:noWrap/>
            <w:tcMar>
              <w:top w:w="15" w:type="dxa"/>
              <w:left w:w="0" w:type="dxa"/>
              <w:bottom w:w="0" w:type="dxa"/>
              <w:right w:w="15" w:type="dxa"/>
            </w:tcMar>
            <w:vAlign w:val="bottom"/>
            <w:hideMark/>
          </w:tcPr>
          <w:p w14:paraId="2C5D94E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D27421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61EEE6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6BABD56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891</w:t>
            </w:r>
          </w:p>
        </w:tc>
        <w:tc>
          <w:tcPr>
            <w:tcW w:w="50" w:type="pct"/>
            <w:shd w:val="clear" w:color="auto" w:fill="FFFFFF"/>
            <w:noWrap/>
            <w:tcMar>
              <w:top w:w="15" w:type="dxa"/>
              <w:left w:w="0" w:type="dxa"/>
              <w:bottom w:w="0" w:type="dxa"/>
              <w:right w:w="15" w:type="dxa"/>
            </w:tcMar>
            <w:vAlign w:val="bottom"/>
            <w:hideMark/>
          </w:tcPr>
          <w:p w14:paraId="3A26CC4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6791C155" w14:textId="77777777">
        <w:trPr>
          <w:divId w:val="1369135896"/>
          <w:jc w:val="center"/>
        </w:trPr>
        <w:tc>
          <w:tcPr>
            <w:tcW w:w="2797" w:type="pct"/>
            <w:shd w:val="clear" w:color="auto" w:fill="CFF0FC"/>
            <w:tcMar>
              <w:top w:w="15" w:type="dxa"/>
              <w:left w:w="0" w:type="dxa"/>
              <w:bottom w:w="0" w:type="dxa"/>
              <w:right w:w="15" w:type="dxa"/>
            </w:tcMar>
            <w:hideMark/>
          </w:tcPr>
          <w:p w14:paraId="6C039EE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Income before provision for income taxes</w:t>
            </w:r>
          </w:p>
        </w:tc>
        <w:tc>
          <w:tcPr>
            <w:tcW w:w="65" w:type="pct"/>
            <w:shd w:val="clear" w:color="auto" w:fill="CFF0FC"/>
            <w:tcMar>
              <w:top w:w="15" w:type="dxa"/>
              <w:left w:w="0" w:type="dxa"/>
              <w:bottom w:w="0" w:type="dxa"/>
              <w:right w:w="15" w:type="dxa"/>
            </w:tcMar>
            <w:vAlign w:val="bottom"/>
            <w:hideMark/>
          </w:tcPr>
          <w:p w14:paraId="61F4C4D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301E6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0A6AD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3,088</w:t>
            </w:r>
          </w:p>
        </w:tc>
        <w:tc>
          <w:tcPr>
            <w:tcW w:w="50" w:type="pct"/>
            <w:shd w:val="clear" w:color="auto" w:fill="CFF0FC"/>
            <w:noWrap/>
            <w:tcMar>
              <w:top w:w="15" w:type="dxa"/>
              <w:left w:w="0" w:type="dxa"/>
              <w:bottom w:w="0" w:type="dxa"/>
              <w:right w:w="15" w:type="dxa"/>
            </w:tcMar>
            <w:vAlign w:val="bottom"/>
            <w:hideMark/>
          </w:tcPr>
          <w:p w14:paraId="4DB2BB9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5CD43E5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568744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42D95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3,191</w:t>
            </w:r>
          </w:p>
        </w:tc>
        <w:tc>
          <w:tcPr>
            <w:tcW w:w="50" w:type="pct"/>
            <w:shd w:val="clear" w:color="auto" w:fill="CFF0FC"/>
            <w:noWrap/>
            <w:tcMar>
              <w:top w:w="15" w:type="dxa"/>
              <w:left w:w="0" w:type="dxa"/>
              <w:bottom w:w="0" w:type="dxa"/>
              <w:right w:w="15" w:type="dxa"/>
            </w:tcMar>
            <w:vAlign w:val="bottom"/>
            <w:hideMark/>
          </w:tcPr>
          <w:p w14:paraId="56987B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32C7C83B"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593F4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BDD30F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8,402</w:t>
            </w:r>
          </w:p>
        </w:tc>
        <w:tc>
          <w:tcPr>
            <w:tcW w:w="50" w:type="pct"/>
            <w:shd w:val="clear" w:color="auto" w:fill="CFF0FC"/>
            <w:noWrap/>
            <w:tcMar>
              <w:top w:w="15" w:type="dxa"/>
              <w:left w:w="0" w:type="dxa"/>
              <w:bottom w:w="0" w:type="dxa"/>
              <w:right w:w="15" w:type="dxa"/>
            </w:tcMar>
            <w:vAlign w:val="bottom"/>
            <w:hideMark/>
          </w:tcPr>
          <w:p w14:paraId="2FACCAC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12EBF39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ED6DC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9A524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8,517</w:t>
            </w:r>
          </w:p>
        </w:tc>
        <w:tc>
          <w:tcPr>
            <w:tcW w:w="50" w:type="pct"/>
            <w:shd w:val="clear" w:color="auto" w:fill="CFF0FC"/>
            <w:noWrap/>
            <w:tcMar>
              <w:top w:w="15" w:type="dxa"/>
              <w:left w:w="0" w:type="dxa"/>
              <w:bottom w:w="0" w:type="dxa"/>
              <w:right w:w="15" w:type="dxa"/>
            </w:tcMar>
            <w:vAlign w:val="bottom"/>
            <w:hideMark/>
          </w:tcPr>
          <w:p w14:paraId="4E532A7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47A5F016" w14:textId="77777777">
        <w:trPr>
          <w:divId w:val="1369135896"/>
          <w:jc w:val="center"/>
        </w:trPr>
        <w:tc>
          <w:tcPr>
            <w:tcW w:w="2797" w:type="pct"/>
            <w:shd w:val="clear" w:color="auto" w:fill="FFFFFF"/>
            <w:tcMar>
              <w:top w:w="15" w:type="dxa"/>
              <w:left w:w="0" w:type="dxa"/>
              <w:bottom w:w="0" w:type="dxa"/>
              <w:right w:w="15" w:type="dxa"/>
            </w:tcMar>
            <w:hideMark/>
          </w:tcPr>
          <w:p w14:paraId="5DB2B9C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Provision for income taxes</w:t>
            </w:r>
          </w:p>
        </w:tc>
        <w:tc>
          <w:tcPr>
            <w:tcW w:w="65" w:type="pct"/>
            <w:shd w:val="clear" w:color="auto" w:fill="FFFFFF"/>
            <w:tcMar>
              <w:top w:w="15" w:type="dxa"/>
              <w:left w:w="0" w:type="dxa"/>
              <w:bottom w:w="0" w:type="dxa"/>
              <w:right w:w="15" w:type="dxa"/>
            </w:tcMar>
            <w:vAlign w:val="bottom"/>
            <w:hideMark/>
          </w:tcPr>
          <w:p w14:paraId="2C8E410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62017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DFDE9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343</w:t>
            </w:r>
          </w:p>
        </w:tc>
        <w:tc>
          <w:tcPr>
            <w:tcW w:w="50" w:type="pct"/>
            <w:shd w:val="clear" w:color="auto" w:fill="FFFFFF"/>
            <w:noWrap/>
            <w:tcMar>
              <w:top w:w="15" w:type="dxa"/>
              <w:left w:w="0" w:type="dxa"/>
              <w:bottom w:w="0" w:type="dxa"/>
              <w:right w:w="15" w:type="dxa"/>
            </w:tcMar>
            <w:vAlign w:val="bottom"/>
            <w:hideMark/>
          </w:tcPr>
          <w:p w14:paraId="316C34C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F32A1C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74E1B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046A4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7,238</w:t>
            </w:r>
          </w:p>
        </w:tc>
        <w:tc>
          <w:tcPr>
            <w:tcW w:w="50" w:type="pct"/>
            <w:shd w:val="clear" w:color="auto" w:fill="FFFFFF"/>
            <w:noWrap/>
            <w:tcMar>
              <w:top w:w="15" w:type="dxa"/>
              <w:left w:w="0" w:type="dxa"/>
              <w:bottom w:w="0" w:type="dxa"/>
              <w:right w:w="15" w:type="dxa"/>
            </w:tcMar>
            <w:vAlign w:val="bottom"/>
            <w:hideMark/>
          </w:tcPr>
          <w:p w14:paraId="1B6DC0D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5C8BE7E6"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4C3CB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C13FD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1,059</w:t>
            </w:r>
          </w:p>
        </w:tc>
        <w:tc>
          <w:tcPr>
            <w:tcW w:w="50" w:type="pct"/>
            <w:shd w:val="clear" w:color="auto" w:fill="FFFFFF"/>
            <w:noWrap/>
            <w:tcMar>
              <w:top w:w="15" w:type="dxa"/>
              <w:left w:w="0" w:type="dxa"/>
              <w:bottom w:w="0" w:type="dxa"/>
              <w:right w:w="15" w:type="dxa"/>
            </w:tcMar>
            <w:vAlign w:val="bottom"/>
            <w:hideMark/>
          </w:tcPr>
          <w:p w14:paraId="09BB30E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6D4F521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70E71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021B69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8,206</w:t>
            </w:r>
          </w:p>
        </w:tc>
        <w:tc>
          <w:tcPr>
            <w:tcW w:w="50" w:type="pct"/>
            <w:shd w:val="clear" w:color="auto" w:fill="FFFFFF"/>
            <w:noWrap/>
            <w:tcMar>
              <w:top w:w="15" w:type="dxa"/>
              <w:left w:w="0" w:type="dxa"/>
              <w:bottom w:w="0" w:type="dxa"/>
              <w:right w:w="15" w:type="dxa"/>
            </w:tcMar>
            <w:vAlign w:val="bottom"/>
            <w:hideMark/>
          </w:tcPr>
          <w:p w14:paraId="48678D5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5C0A9B4" w14:textId="77777777">
        <w:trPr>
          <w:divId w:val="1369135896"/>
          <w:jc w:val="center"/>
        </w:trPr>
        <w:tc>
          <w:tcPr>
            <w:tcW w:w="2797" w:type="pct"/>
            <w:shd w:val="clear" w:color="auto" w:fill="CFF0FC"/>
            <w:tcMar>
              <w:top w:w="15" w:type="dxa"/>
              <w:left w:w="0" w:type="dxa"/>
              <w:bottom w:w="0" w:type="dxa"/>
              <w:right w:w="15" w:type="dxa"/>
            </w:tcMar>
            <w:hideMark/>
          </w:tcPr>
          <w:p w14:paraId="43F85FA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Net income (loss)</w:t>
            </w:r>
          </w:p>
        </w:tc>
        <w:tc>
          <w:tcPr>
            <w:tcW w:w="65" w:type="pct"/>
            <w:shd w:val="clear" w:color="auto" w:fill="CFF0FC"/>
            <w:tcMar>
              <w:top w:w="15" w:type="dxa"/>
              <w:left w:w="0" w:type="dxa"/>
              <w:bottom w:w="0" w:type="dxa"/>
              <w:right w:w="15" w:type="dxa"/>
            </w:tcMar>
            <w:vAlign w:val="bottom"/>
            <w:hideMark/>
          </w:tcPr>
          <w:p w14:paraId="2A7A2D1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2161C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B15B5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2,745</w:t>
            </w:r>
          </w:p>
        </w:tc>
        <w:tc>
          <w:tcPr>
            <w:tcW w:w="50" w:type="pct"/>
            <w:shd w:val="clear" w:color="auto" w:fill="CFF0FC"/>
            <w:noWrap/>
            <w:tcMar>
              <w:top w:w="15" w:type="dxa"/>
              <w:left w:w="0" w:type="dxa"/>
              <w:bottom w:w="0" w:type="dxa"/>
              <w:right w:w="15" w:type="dxa"/>
            </w:tcMar>
            <w:vAlign w:val="bottom"/>
            <w:hideMark/>
          </w:tcPr>
          <w:p w14:paraId="0A0949E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16613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17CE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516FC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(4,047</w:t>
            </w:r>
          </w:p>
        </w:tc>
        <w:tc>
          <w:tcPr>
            <w:tcW w:w="50" w:type="pct"/>
            <w:shd w:val="clear" w:color="auto" w:fill="CFF0FC"/>
            <w:noWrap/>
            <w:tcMar>
              <w:top w:w="15" w:type="dxa"/>
              <w:left w:w="0" w:type="dxa"/>
              <w:bottom w:w="0" w:type="dxa"/>
              <w:right w:w="15" w:type="dxa"/>
            </w:tcMar>
            <w:vAlign w:val="bottom"/>
            <w:hideMark/>
          </w:tcPr>
          <w:p w14:paraId="4F3B0EE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CFF0FC"/>
            <w:tcMar>
              <w:top w:w="15" w:type="dxa"/>
              <w:left w:w="0" w:type="dxa"/>
              <w:bottom w:w="0" w:type="dxa"/>
              <w:right w:w="15" w:type="dxa"/>
            </w:tcMar>
            <w:vAlign w:val="bottom"/>
            <w:hideMark/>
          </w:tcPr>
          <w:p w14:paraId="27B757F6"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B6486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03FDD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7,343</w:t>
            </w:r>
          </w:p>
        </w:tc>
        <w:tc>
          <w:tcPr>
            <w:tcW w:w="50" w:type="pct"/>
            <w:shd w:val="clear" w:color="auto" w:fill="CFF0FC"/>
            <w:noWrap/>
            <w:tcMar>
              <w:top w:w="15" w:type="dxa"/>
              <w:left w:w="0" w:type="dxa"/>
              <w:bottom w:w="0" w:type="dxa"/>
              <w:right w:w="15" w:type="dxa"/>
            </w:tcMar>
            <w:vAlign w:val="bottom"/>
            <w:hideMark/>
          </w:tcPr>
          <w:p w14:paraId="672F09C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1298341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1289A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36BF5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311</w:t>
            </w:r>
          </w:p>
        </w:tc>
        <w:tc>
          <w:tcPr>
            <w:tcW w:w="50" w:type="pct"/>
            <w:shd w:val="clear" w:color="auto" w:fill="CFF0FC"/>
            <w:noWrap/>
            <w:tcMar>
              <w:top w:w="15" w:type="dxa"/>
              <w:left w:w="0" w:type="dxa"/>
              <w:bottom w:w="0" w:type="dxa"/>
              <w:right w:w="15" w:type="dxa"/>
            </w:tcMar>
            <w:vAlign w:val="bottom"/>
            <w:hideMark/>
          </w:tcPr>
          <w:p w14:paraId="7D56CB4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C7D4E58" w14:textId="77777777">
        <w:trPr>
          <w:divId w:val="1369135896"/>
          <w:jc w:val="center"/>
        </w:trPr>
        <w:tc>
          <w:tcPr>
            <w:tcW w:w="2797" w:type="pct"/>
            <w:shd w:val="clear" w:color="auto" w:fill="FFFFFF"/>
            <w:tcMar>
              <w:top w:w="15" w:type="dxa"/>
              <w:left w:w="0" w:type="dxa"/>
              <w:bottom w:w="0" w:type="dxa"/>
              <w:right w:w="15" w:type="dxa"/>
            </w:tcMar>
            <w:hideMark/>
          </w:tcPr>
          <w:p w14:paraId="4B3B024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Earnings (loss) per share:</w:t>
            </w:r>
          </w:p>
        </w:tc>
        <w:tc>
          <w:tcPr>
            <w:tcW w:w="65" w:type="pct"/>
            <w:shd w:val="clear" w:color="auto" w:fill="FFFFFF"/>
            <w:tcMar>
              <w:top w:w="15" w:type="dxa"/>
              <w:left w:w="0" w:type="dxa"/>
              <w:bottom w:w="0" w:type="dxa"/>
              <w:right w:w="15" w:type="dxa"/>
            </w:tcMar>
            <w:vAlign w:val="bottom"/>
            <w:hideMark/>
          </w:tcPr>
          <w:p w14:paraId="31D35E3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4D270E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FFFFFF"/>
            <w:noWrap/>
            <w:tcMar>
              <w:top w:w="15" w:type="dxa"/>
              <w:left w:w="0" w:type="dxa"/>
              <w:bottom w:w="0" w:type="dxa"/>
              <w:right w:w="15" w:type="dxa"/>
            </w:tcMar>
            <w:vAlign w:val="bottom"/>
            <w:hideMark/>
          </w:tcPr>
          <w:p w14:paraId="6842DAC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7CF3A3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3F82AF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29606C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FFFFFF"/>
            <w:noWrap/>
            <w:tcMar>
              <w:top w:w="15" w:type="dxa"/>
              <w:left w:w="0" w:type="dxa"/>
              <w:bottom w:w="0" w:type="dxa"/>
              <w:right w:w="15" w:type="dxa"/>
            </w:tcMar>
            <w:vAlign w:val="bottom"/>
            <w:hideMark/>
          </w:tcPr>
          <w:p w14:paraId="408FA69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1F79B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7305BB30"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DEB079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FFFFFF"/>
            <w:noWrap/>
            <w:tcMar>
              <w:top w:w="15" w:type="dxa"/>
              <w:left w:w="0" w:type="dxa"/>
              <w:bottom w:w="0" w:type="dxa"/>
              <w:right w:w="15" w:type="dxa"/>
            </w:tcMar>
            <w:vAlign w:val="bottom"/>
            <w:hideMark/>
          </w:tcPr>
          <w:p w14:paraId="7C8FF08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90AFA0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7526C4F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B5F438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FFFFFF"/>
            <w:noWrap/>
            <w:tcMar>
              <w:top w:w="15" w:type="dxa"/>
              <w:left w:w="0" w:type="dxa"/>
              <w:bottom w:w="0" w:type="dxa"/>
              <w:right w:w="15" w:type="dxa"/>
            </w:tcMar>
            <w:vAlign w:val="bottom"/>
            <w:hideMark/>
          </w:tcPr>
          <w:p w14:paraId="40AF299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ADBC76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19D471D1" w14:textId="77777777">
        <w:trPr>
          <w:divId w:val="1369135896"/>
          <w:jc w:val="center"/>
        </w:trPr>
        <w:tc>
          <w:tcPr>
            <w:tcW w:w="2797" w:type="pct"/>
            <w:shd w:val="clear" w:color="auto" w:fill="CFF0FC"/>
            <w:tcMar>
              <w:top w:w="15" w:type="dxa"/>
              <w:left w:w="0" w:type="dxa"/>
              <w:bottom w:w="0" w:type="dxa"/>
              <w:right w:w="15" w:type="dxa"/>
            </w:tcMar>
            <w:hideMark/>
          </w:tcPr>
          <w:p w14:paraId="6E33924F"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Basic</w:t>
            </w:r>
          </w:p>
        </w:tc>
        <w:tc>
          <w:tcPr>
            <w:tcW w:w="65" w:type="pct"/>
            <w:shd w:val="clear" w:color="auto" w:fill="CFF0FC"/>
            <w:tcMar>
              <w:top w:w="15" w:type="dxa"/>
              <w:left w:w="0" w:type="dxa"/>
              <w:bottom w:w="0" w:type="dxa"/>
              <w:right w:w="15" w:type="dxa"/>
            </w:tcMar>
            <w:vAlign w:val="bottom"/>
            <w:hideMark/>
          </w:tcPr>
          <w:p w14:paraId="4B80C2C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25BD43A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bottom w:val="double" w:sz="6" w:space="0" w:color="000000"/>
            </w:tcBorders>
            <w:shd w:val="clear" w:color="auto" w:fill="CFF0FC"/>
            <w:noWrap/>
            <w:tcMar>
              <w:top w:w="15" w:type="dxa"/>
              <w:left w:w="0" w:type="dxa"/>
              <w:bottom w:w="0" w:type="dxa"/>
              <w:right w:w="15" w:type="dxa"/>
            </w:tcMar>
            <w:vAlign w:val="bottom"/>
            <w:hideMark/>
          </w:tcPr>
          <w:p w14:paraId="68D9451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0.78</w:t>
            </w:r>
          </w:p>
        </w:tc>
        <w:tc>
          <w:tcPr>
            <w:tcW w:w="50" w:type="pct"/>
            <w:shd w:val="clear" w:color="auto" w:fill="CFF0FC"/>
            <w:noWrap/>
            <w:tcMar>
              <w:top w:w="15" w:type="dxa"/>
              <w:left w:w="0" w:type="dxa"/>
              <w:bottom w:w="0" w:type="dxa"/>
              <w:right w:w="15" w:type="dxa"/>
            </w:tcMar>
            <w:vAlign w:val="bottom"/>
            <w:hideMark/>
          </w:tcPr>
          <w:p w14:paraId="723B907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7222FA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42E395F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bottom w:val="double" w:sz="6" w:space="0" w:color="000000"/>
            </w:tcBorders>
            <w:shd w:val="clear" w:color="auto" w:fill="CFF0FC"/>
            <w:noWrap/>
            <w:tcMar>
              <w:top w:w="15" w:type="dxa"/>
              <w:left w:w="0" w:type="dxa"/>
              <w:bottom w:w="0" w:type="dxa"/>
              <w:right w:w="15" w:type="dxa"/>
            </w:tcMar>
            <w:vAlign w:val="bottom"/>
            <w:hideMark/>
          </w:tcPr>
          <w:p w14:paraId="2FFDF37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(0.98</w:t>
            </w:r>
          </w:p>
        </w:tc>
        <w:tc>
          <w:tcPr>
            <w:tcW w:w="50" w:type="pct"/>
            <w:shd w:val="clear" w:color="auto" w:fill="CFF0FC"/>
            <w:noWrap/>
            <w:tcMar>
              <w:top w:w="15" w:type="dxa"/>
              <w:left w:w="0" w:type="dxa"/>
              <w:bottom w:w="0" w:type="dxa"/>
              <w:right w:w="15" w:type="dxa"/>
            </w:tcMar>
            <w:vAlign w:val="bottom"/>
            <w:hideMark/>
          </w:tcPr>
          <w:p w14:paraId="3C70D21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CFF0FC"/>
            <w:tcMar>
              <w:top w:w="15" w:type="dxa"/>
              <w:left w:w="0" w:type="dxa"/>
              <w:bottom w:w="0" w:type="dxa"/>
              <w:right w:w="15" w:type="dxa"/>
            </w:tcMar>
            <w:vAlign w:val="bottom"/>
            <w:hideMark/>
          </w:tcPr>
          <w:p w14:paraId="4F37FA31"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31861B1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bottom w:val="double" w:sz="6" w:space="0" w:color="000000"/>
            </w:tcBorders>
            <w:shd w:val="clear" w:color="auto" w:fill="CFF0FC"/>
            <w:noWrap/>
            <w:tcMar>
              <w:top w:w="15" w:type="dxa"/>
              <w:left w:w="0" w:type="dxa"/>
              <w:bottom w:w="0" w:type="dxa"/>
              <w:right w:w="15" w:type="dxa"/>
            </w:tcMar>
            <w:vAlign w:val="bottom"/>
            <w:hideMark/>
          </w:tcPr>
          <w:p w14:paraId="00CA33C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1.98</w:t>
            </w:r>
          </w:p>
        </w:tc>
        <w:tc>
          <w:tcPr>
            <w:tcW w:w="50" w:type="pct"/>
            <w:shd w:val="clear" w:color="auto" w:fill="CFF0FC"/>
            <w:noWrap/>
            <w:tcMar>
              <w:top w:w="15" w:type="dxa"/>
              <w:left w:w="0" w:type="dxa"/>
              <w:bottom w:w="0" w:type="dxa"/>
              <w:right w:w="15" w:type="dxa"/>
            </w:tcMar>
            <w:vAlign w:val="bottom"/>
            <w:hideMark/>
          </w:tcPr>
          <w:p w14:paraId="6830F4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391D7D4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3B5BA18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bottom w:val="double" w:sz="6" w:space="0" w:color="000000"/>
            </w:tcBorders>
            <w:shd w:val="clear" w:color="auto" w:fill="CFF0FC"/>
            <w:noWrap/>
            <w:tcMar>
              <w:top w:w="15" w:type="dxa"/>
              <w:left w:w="0" w:type="dxa"/>
              <w:bottom w:w="0" w:type="dxa"/>
              <w:right w:w="15" w:type="dxa"/>
            </w:tcMar>
            <w:vAlign w:val="bottom"/>
            <w:hideMark/>
          </w:tcPr>
          <w:p w14:paraId="45515DC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0.07</w:t>
            </w:r>
          </w:p>
        </w:tc>
        <w:tc>
          <w:tcPr>
            <w:tcW w:w="50" w:type="pct"/>
            <w:shd w:val="clear" w:color="auto" w:fill="CFF0FC"/>
            <w:noWrap/>
            <w:tcMar>
              <w:top w:w="15" w:type="dxa"/>
              <w:left w:w="0" w:type="dxa"/>
              <w:bottom w:w="0" w:type="dxa"/>
              <w:right w:w="15" w:type="dxa"/>
            </w:tcMar>
            <w:vAlign w:val="bottom"/>
            <w:hideMark/>
          </w:tcPr>
          <w:p w14:paraId="5D86DCE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1C0E45E" w14:textId="77777777">
        <w:trPr>
          <w:divId w:val="1369135896"/>
          <w:jc w:val="center"/>
        </w:trPr>
        <w:tc>
          <w:tcPr>
            <w:tcW w:w="2797" w:type="pct"/>
            <w:shd w:val="clear" w:color="auto" w:fill="FFFFFF"/>
            <w:tcMar>
              <w:top w:w="15" w:type="dxa"/>
              <w:left w:w="0" w:type="dxa"/>
              <w:bottom w:w="0" w:type="dxa"/>
              <w:right w:w="15" w:type="dxa"/>
            </w:tcMar>
            <w:hideMark/>
          </w:tcPr>
          <w:p w14:paraId="061F1CBF"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Diluted</w:t>
            </w:r>
          </w:p>
        </w:tc>
        <w:tc>
          <w:tcPr>
            <w:tcW w:w="65" w:type="pct"/>
            <w:shd w:val="clear" w:color="auto" w:fill="FFFFFF"/>
            <w:tcMar>
              <w:top w:w="15" w:type="dxa"/>
              <w:left w:w="0" w:type="dxa"/>
              <w:bottom w:w="0" w:type="dxa"/>
              <w:right w:w="15" w:type="dxa"/>
            </w:tcMar>
            <w:vAlign w:val="bottom"/>
            <w:hideMark/>
          </w:tcPr>
          <w:p w14:paraId="729E793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49E1FA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1314BA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0.76</w:t>
            </w:r>
          </w:p>
        </w:tc>
        <w:tc>
          <w:tcPr>
            <w:tcW w:w="50" w:type="pct"/>
            <w:shd w:val="clear" w:color="auto" w:fill="FFFFFF"/>
            <w:noWrap/>
            <w:tcMar>
              <w:top w:w="15" w:type="dxa"/>
              <w:left w:w="0" w:type="dxa"/>
              <w:bottom w:w="0" w:type="dxa"/>
              <w:right w:w="15" w:type="dxa"/>
            </w:tcMar>
            <w:vAlign w:val="bottom"/>
            <w:hideMark/>
          </w:tcPr>
          <w:p w14:paraId="5B30BE9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780C1D5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3CE754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27653E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(0.98</w:t>
            </w:r>
          </w:p>
        </w:tc>
        <w:tc>
          <w:tcPr>
            <w:tcW w:w="50" w:type="pct"/>
            <w:shd w:val="clear" w:color="auto" w:fill="FFFFFF"/>
            <w:noWrap/>
            <w:tcMar>
              <w:top w:w="15" w:type="dxa"/>
              <w:left w:w="0" w:type="dxa"/>
              <w:bottom w:w="0" w:type="dxa"/>
              <w:right w:w="15" w:type="dxa"/>
            </w:tcMar>
            <w:vAlign w:val="bottom"/>
            <w:hideMark/>
          </w:tcPr>
          <w:p w14:paraId="307D8B5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65" w:type="pct"/>
            <w:shd w:val="clear" w:color="auto" w:fill="FFFFFF"/>
            <w:tcMar>
              <w:top w:w="15" w:type="dxa"/>
              <w:left w:w="0" w:type="dxa"/>
              <w:bottom w:w="0" w:type="dxa"/>
              <w:right w:w="15" w:type="dxa"/>
            </w:tcMar>
            <w:vAlign w:val="bottom"/>
            <w:hideMark/>
          </w:tcPr>
          <w:p w14:paraId="5B57CBA4"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22C4B8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859C0E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1.93</w:t>
            </w:r>
          </w:p>
        </w:tc>
        <w:tc>
          <w:tcPr>
            <w:tcW w:w="50" w:type="pct"/>
            <w:shd w:val="clear" w:color="auto" w:fill="FFFFFF"/>
            <w:noWrap/>
            <w:tcMar>
              <w:top w:w="15" w:type="dxa"/>
              <w:left w:w="0" w:type="dxa"/>
              <w:bottom w:w="0" w:type="dxa"/>
              <w:right w:w="15" w:type="dxa"/>
            </w:tcMar>
            <w:vAlign w:val="bottom"/>
            <w:hideMark/>
          </w:tcPr>
          <w:p w14:paraId="7649148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6CA4B5D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5E0C14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A62FE2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0.07</w:t>
            </w:r>
          </w:p>
        </w:tc>
        <w:tc>
          <w:tcPr>
            <w:tcW w:w="50" w:type="pct"/>
            <w:shd w:val="clear" w:color="auto" w:fill="FFFFFF"/>
            <w:noWrap/>
            <w:tcMar>
              <w:top w:w="15" w:type="dxa"/>
              <w:left w:w="0" w:type="dxa"/>
              <w:bottom w:w="0" w:type="dxa"/>
              <w:right w:w="15" w:type="dxa"/>
            </w:tcMar>
            <w:vAlign w:val="bottom"/>
            <w:hideMark/>
          </w:tcPr>
          <w:p w14:paraId="62BE18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F69C688" w14:textId="77777777">
        <w:trPr>
          <w:divId w:val="1369135896"/>
          <w:jc w:val="center"/>
        </w:trPr>
        <w:tc>
          <w:tcPr>
            <w:tcW w:w="2797" w:type="pct"/>
            <w:shd w:val="clear" w:color="auto" w:fill="CFF0FC"/>
            <w:tcMar>
              <w:top w:w="15" w:type="dxa"/>
              <w:left w:w="0" w:type="dxa"/>
              <w:bottom w:w="0" w:type="dxa"/>
              <w:right w:w="15" w:type="dxa"/>
            </w:tcMar>
            <w:hideMark/>
          </w:tcPr>
          <w:p w14:paraId="5005A96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Weighted average common shares outstanding:</w:t>
            </w:r>
          </w:p>
        </w:tc>
        <w:tc>
          <w:tcPr>
            <w:tcW w:w="65" w:type="pct"/>
            <w:shd w:val="clear" w:color="auto" w:fill="CFF0FC"/>
            <w:tcMar>
              <w:top w:w="15" w:type="dxa"/>
              <w:left w:w="0" w:type="dxa"/>
              <w:bottom w:w="0" w:type="dxa"/>
              <w:right w:w="15" w:type="dxa"/>
            </w:tcMar>
            <w:vAlign w:val="bottom"/>
            <w:hideMark/>
          </w:tcPr>
          <w:p w14:paraId="0440207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B2B605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3A1B7F8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BF9734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3BC76A7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C4B451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1EA7887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C2AD46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32229250"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353D15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7191EA7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5DDA42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22EEAD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98C933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60F77C9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1748D9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6877DA5D" w14:textId="77777777">
        <w:trPr>
          <w:divId w:val="1369135896"/>
          <w:jc w:val="center"/>
        </w:trPr>
        <w:tc>
          <w:tcPr>
            <w:tcW w:w="2797" w:type="pct"/>
            <w:shd w:val="clear" w:color="auto" w:fill="FFFFFF"/>
            <w:tcMar>
              <w:top w:w="15" w:type="dxa"/>
              <w:left w:w="0" w:type="dxa"/>
              <w:bottom w:w="0" w:type="dxa"/>
              <w:right w:w="15" w:type="dxa"/>
            </w:tcMar>
            <w:hideMark/>
          </w:tcPr>
          <w:p w14:paraId="57F22AF8"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Basic</w:t>
            </w:r>
          </w:p>
        </w:tc>
        <w:tc>
          <w:tcPr>
            <w:tcW w:w="65" w:type="pct"/>
            <w:shd w:val="clear" w:color="auto" w:fill="FFFFFF"/>
            <w:tcMar>
              <w:top w:w="15" w:type="dxa"/>
              <w:left w:w="0" w:type="dxa"/>
              <w:bottom w:w="0" w:type="dxa"/>
              <w:right w:w="15" w:type="dxa"/>
            </w:tcMar>
            <w:vAlign w:val="bottom"/>
            <w:hideMark/>
          </w:tcPr>
          <w:p w14:paraId="0067449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4BEF5D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double" w:sz="6" w:space="0" w:color="000000"/>
            </w:tcBorders>
            <w:shd w:val="clear" w:color="auto" w:fill="FFFFFF"/>
            <w:noWrap/>
            <w:tcMar>
              <w:top w:w="15" w:type="dxa"/>
              <w:left w:w="0" w:type="dxa"/>
              <w:bottom w:w="0" w:type="dxa"/>
              <w:right w:w="15" w:type="dxa"/>
            </w:tcMar>
            <w:vAlign w:val="bottom"/>
            <w:hideMark/>
          </w:tcPr>
          <w:p w14:paraId="7CE9767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3,526</w:t>
            </w:r>
          </w:p>
        </w:tc>
        <w:tc>
          <w:tcPr>
            <w:tcW w:w="50" w:type="pct"/>
            <w:shd w:val="clear" w:color="auto" w:fill="FFFFFF"/>
            <w:noWrap/>
            <w:tcMar>
              <w:top w:w="15" w:type="dxa"/>
              <w:left w:w="0" w:type="dxa"/>
              <w:bottom w:w="0" w:type="dxa"/>
              <w:right w:w="15" w:type="dxa"/>
            </w:tcMar>
            <w:vAlign w:val="bottom"/>
            <w:hideMark/>
          </w:tcPr>
          <w:p w14:paraId="2373BBF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29FF9A7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4DD5EB5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double" w:sz="6" w:space="0" w:color="000000"/>
            </w:tcBorders>
            <w:shd w:val="clear" w:color="auto" w:fill="FFFFFF"/>
            <w:noWrap/>
            <w:tcMar>
              <w:top w:w="15" w:type="dxa"/>
              <w:left w:w="0" w:type="dxa"/>
              <w:bottom w:w="0" w:type="dxa"/>
              <w:right w:w="15" w:type="dxa"/>
            </w:tcMar>
            <w:vAlign w:val="bottom"/>
            <w:hideMark/>
          </w:tcPr>
          <w:p w14:paraId="22B1A10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4,122</w:t>
            </w:r>
          </w:p>
        </w:tc>
        <w:tc>
          <w:tcPr>
            <w:tcW w:w="50" w:type="pct"/>
            <w:shd w:val="clear" w:color="auto" w:fill="FFFFFF"/>
            <w:noWrap/>
            <w:tcMar>
              <w:top w:w="15" w:type="dxa"/>
              <w:left w:w="0" w:type="dxa"/>
              <w:bottom w:w="0" w:type="dxa"/>
              <w:right w:w="15" w:type="dxa"/>
            </w:tcMar>
            <w:vAlign w:val="bottom"/>
            <w:hideMark/>
          </w:tcPr>
          <w:p w14:paraId="137C37A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1F6FE9E5"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36CC31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double" w:sz="6" w:space="0" w:color="000000"/>
            </w:tcBorders>
            <w:shd w:val="clear" w:color="auto" w:fill="FFFFFF"/>
            <w:noWrap/>
            <w:tcMar>
              <w:top w:w="15" w:type="dxa"/>
              <w:left w:w="0" w:type="dxa"/>
              <w:bottom w:w="0" w:type="dxa"/>
              <w:right w:w="15" w:type="dxa"/>
            </w:tcMar>
            <w:vAlign w:val="bottom"/>
            <w:hideMark/>
          </w:tcPr>
          <w:p w14:paraId="1E844AF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3,716</w:t>
            </w:r>
          </w:p>
        </w:tc>
        <w:tc>
          <w:tcPr>
            <w:tcW w:w="50" w:type="pct"/>
            <w:shd w:val="clear" w:color="auto" w:fill="FFFFFF"/>
            <w:noWrap/>
            <w:tcMar>
              <w:top w:w="15" w:type="dxa"/>
              <w:left w:w="0" w:type="dxa"/>
              <w:bottom w:w="0" w:type="dxa"/>
              <w:right w:w="15" w:type="dxa"/>
            </w:tcMar>
            <w:vAlign w:val="bottom"/>
            <w:hideMark/>
          </w:tcPr>
          <w:p w14:paraId="543C3C1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FFFFFF"/>
            <w:tcMar>
              <w:top w:w="15" w:type="dxa"/>
              <w:left w:w="0" w:type="dxa"/>
              <w:bottom w:w="0" w:type="dxa"/>
              <w:right w:w="15" w:type="dxa"/>
            </w:tcMar>
            <w:vAlign w:val="bottom"/>
            <w:hideMark/>
          </w:tcPr>
          <w:p w14:paraId="25D958A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1E2BD26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bottom w:val="double" w:sz="6" w:space="0" w:color="000000"/>
            </w:tcBorders>
            <w:shd w:val="clear" w:color="auto" w:fill="FFFFFF"/>
            <w:noWrap/>
            <w:tcMar>
              <w:top w:w="15" w:type="dxa"/>
              <w:left w:w="0" w:type="dxa"/>
              <w:bottom w:w="0" w:type="dxa"/>
              <w:right w:w="15" w:type="dxa"/>
            </w:tcMar>
            <w:vAlign w:val="bottom"/>
            <w:hideMark/>
          </w:tcPr>
          <w:p w14:paraId="1233359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4,146</w:t>
            </w:r>
          </w:p>
        </w:tc>
        <w:tc>
          <w:tcPr>
            <w:tcW w:w="50" w:type="pct"/>
            <w:shd w:val="clear" w:color="auto" w:fill="FFFFFF"/>
            <w:noWrap/>
            <w:tcMar>
              <w:top w:w="15" w:type="dxa"/>
              <w:left w:w="0" w:type="dxa"/>
              <w:bottom w:w="0" w:type="dxa"/>
              <w:right w:w="15" w:type="dxa"/>
            </w:tcMar>
            <w:vAlign w:val="bottom"/>
            <w:hideMark/>
          </w:tcPr>
          <w:p w14:paraId="519BFE4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20AFD82" w14:textId="77777777">
        <w:trPr>
          <w:divId w:val="1369135896"/>
          <w:jc w:val="center"/>
        </w:trPr>
        <w:tc>
          <w:tcPr>
            <w:tcW w:w="2797" w:type="pct"/>
            <w:shd w:val="clear" w:color="auto" w:fill="CFF0FC"/>
            <w:tcMar>
              <w:top w:w="15" w:type="dxa"/>
              <w:left w:w="0" w:type="dxa"/>
              <w:bottom w:w="0" w:type="dxa"/>
              <w:right w:w="15" w:type="dxa"/>
            </w:tcMar>
            <w:hideMark/>
          </w:tcPr>
          <w:p w14:paraId="59010E6E" w14:textId="77777777" w:rsidR="00716E85" w:rsidRDefault="00716E85">
            <w:pPr>
              <w:pStyle w:val="a3"/>
              <w:spacing w:before="0" w:beforeAutospacing="0" w:after="0" w:afterAutospacing="0"/>
              <w:ind w:left="410"/>
              <w:rPr>
                <w:rFonts w:ascii="Calibri" w:hAnsi="Calibri" w:cs="Calibri"/>
                <w:color w:val="000000"/>
                <w:sz w:val="17"/>
                <w:szCs w:val="17"/>
              </w:rPr>
            </w:pPr>
            <w:r>
              <w:rPr>
                <w:rFonts w:ascii="Calibri" w:hAnsi="Calibri" w:cs="Calibri"/>
                <w:color w:val="000000"/>
                <w:sz w:val="17"/>
                <w:szCs w:val="17"/>
              </w:rPr>
              <w:t>Diluted</w:t>
            </w:r>
          </w:p>
        </w:tc>
        <w:tc>
          <w:tcPr>
            <w:tcW w:w="65" w:type="pct"/>
            <w:shd w:val="clear" w:color="auto" w:fill="CFF0FC"/>
            <w:tcMar>
              <w:top w:w="15" w:type="dxa"/>
              <w:left w:w="0" w:type="dxa"/>
              <w:bottom w:w="0" w:type="dxa"/>
              <w:right w:w="15" w:type="dxa"/>
            </w:tcMar>
            <w:vAlign w:val="bottom"/>
            <w:hideMark/>
          </w:tcPr>
          <w:p w14:paraId="18937A5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CC9100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879C89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3,617</w:t>
            </w:r>
          </w:p>
        </w:tc>
        <w:tc>
          <w:tcPr>
            <w:tcW w:w="50" w:type="pct"/>
            <w:shd w:val="clear" w:color="auto" w:fill="CFF0FC"/>
            <w:noWrap/>
            <w:tcMar>
              <w:top w:w="15" w:type="dxa"/>
              <w:left w:w="0" w:type="dxa"/>
              <w:bottom w:w="0" w:type="dxa"/>
              <w:right w:w="15" w:type="dxa"/>
            </w:tcMar>
            <w:vAlign w:val="bottom"/>
            <w:hideMark/>
          </w:tcPr>
          <w:p w14:paraId="7312460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1F14E19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F1F4B7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E9F573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4,122</w:t>
            </w:r>
          </w:p>
        </w:tc>
        <w:tc>
          <w:tcPr>
            <w:tcW w:w="50" w:type="pct"/>
            <w:shd w:val="clear" w:color="auto" w:fill="CFF0FC"/>
            <w:noWrap/>
            <w:tcMar>
              <w:top w:w="15" w:type="dxa"/>
              <w:left w:w="0" w:type="dxa"/>
              <w:bottom w:w="0" w:type="dxa"/>
              <w:right w:w="15" w:type="dxa"/>
            </w:tcMar>
            <w:vAlign w:val="bottom"/>
            <w:hideMark/>
          </w:tcPr>
          <w:p w14:paraId="71E0E4E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5BBAD76C" w14:textId="77777777" w:rsidR="00716E85" w:rsidRDefault="00716E85">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9E7322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57C264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3,811</w:t>
            </w:r>
          </w:p>
        </w:tc>
        <w:tc>
          <w:tcPr>
            <w:tcW w:w="50" w:type="pct"/>
            <w:shd w:val="clear" w:color="auto" w:fill="CFF0FC"/>
            <w:noWrap/>
            <w:tcMar>
              <w:top w:w="15" w:type="dxa"/>
              <w:left w:w="0" w:type="dxa"/>
              <w:bottom w:w="0" w:type="dxa"/>
              <w:right w:w="15" w:type="dxa"/>
            </w:tcMar>
            <w:vAlign w:val="bottom"/>
            <w:hideMark/>
          </w:tcPr>
          <w:p w14:paraId="26D4AA3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65" w:type="pct"/>
            <w:shd w:val="clear" w:color="auto" w:fill="CFF0FC"/>
            <w:tcMar>
              <w:top w:w="15" w:type="dxa"/>
              <w:left w:w="0" w:type="dxa"/>
              <w:bottom w:w="0" w:type="dxa"/>
              <w:right w:w="15" w:type="dxa"/>
            </w:tcMar>
            <w:vAlign w:val="bottom"/>
            <w:hideMark/>
          </w:tcPr>
          <w:p w14:paraId="4793AE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78A909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9D9710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4,268</w:t>
            </w:r>
          </w:p>
        </w:tc>
        <w:tc>
          <w:tcPr>
            <w:tcW w:w="50" w:type="pct"/>
            <w:shd w:val="clear" w:color="auto" w:fill="CFF0FC"/>
            <w:noWrap/>
            <w:tcMar>
              <w:top w:w="15" w:type="dxa"/>
              <w:left w:w="0" w:type="dxa"/>
              <w:bottom w:w="0" w:type="dxa"/>
              <w:right w:w="15" w:type="dxa"/>
            </w:tcMar>
            <w:vAlign w:val="bottom"/>
            <w:hideMark/>
          </w:tcPr>
          <w:p w14:paraId="55D11B23"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AAC3E5E" w14:textId="77777777" w:rsidR="00716E85" w:rsidRDefault="00716E85">
      <w:pPr>
        <w:pStyle w:val="a3"/>
        <w:pBdr>
          <w:bottom w:val="single" w:sz="6" w:space="1" w:color="auto"/>
        </w:pBdr>
        <w:spacing w:before="0" w:beforeAutospacing="0" w:after="0" w:afterAutospacing="0"/>
        <w:ind w:right="1047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1D3BFABF" w14:textId="77777777">
        <w:tc>
          <w:tcPr>
            <w:tcW w:w="192" w:type="pct"/>
            <w:noWrap/>
            <w:hideMark/>
          </w:tcPr>
          <w:p w14:paraId="0CE16355"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3DAC7CC9"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210F2F0E" w14:textId="77777777" w:rsidR="00716E85" w:rsidRDefault="00716E85">
      <w:pPr>
        <w:pStyle w:val="a3"/>
        <w:spacing w:before="0" w:beforeAutospacing="0" w:after="0" w:afterAutospacing="0"/>
        <w:jc w:val="both"/>
        <w:rPr>
          <w:sz w:val="12"/>
          <w:szCs w:val="12"/>
        </w:rPr>
      </w:pPr>
      <w:r>
        <w:rPr>
          <w:sz w:val="12"/>
          <w:szCs w:val="12"/>
        </w:rPr>
        <w:t> </w:t>
      </w:r>
    </w:p>
    <w:p w14:paraId="5E8CF25E" w14:textId="77777777" w:rsidR="00716E85" w:rsidRDefault="00716E85">
      <w:pPr>
        <w:pStyle w:val="a3"/>
        <w:spacing w:before="0" w:beforeAutospacing="0" w:after="0" w:afterAutospacing="0"/>
        <w:jc w:val="both"/>
      </w:pPr>
      <w:r>
        <w:t> </w:t>
      </w:r>
    </w:p>
    <w:p w14:paraId="603AE886" w14:textId="77777777" w:rsidR="00716E85" w:rsidRDefault="00716E85">
      <w:pPr>
        <w:pStyle w:val="a3"/>
        <w:spacing w:before="0" w:beforeAutospacing="0" w:after="0" w:afterAutospacing="0"/>
        <w:jc w:val="both"/>
      </w:pPr>
      <w:r>
        <w:t> </w:t>
      </w:r>
    </w:p>
    <w:p w14:paraId="4EF7377E"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7D18BC4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w:t>
      </w:r>
    </w:p>
    <w:p w14:paraId="38FCECE1" w14:textId="77777777" w:rsidR="00716E85" w:rsidRDefault="00716E85">
      <w:pPr>
        <w:rPr>
          <w:rFonts w:ascii="Times New Roman" w:eastAsia="Times New Roman" w:hAnsi="Times New Roman" w:cs="Times New Roman"/>
          <w:sz w:val="24"/>
          <w:szCs w:val="24"/>
        </w:rPr>
      </w:pPr>
      <w:r>
        <w:rPr>
          <w:rFonts w:eastAsia="Times New Roman"/>
        </w:rPr>
        <w:pict w14:anchorId="1B24841E">
          <v:rect id="_x0000_i1030" style="width:415.3pt;height:1.5pt" o:hralign="center" o:hrstd="t" o:hr="t" fillcolor="#a0a0a0" stroked="f"/>
        </w:pict>
      </w:r>
    </w:p>
    <w:p w14:paraId="5A1846F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06803D1" w14:textId="77777777" w:rsidR="00716E85" w:rsidRDefault="00716E85">
      <w:pPr>
        <w:pStyle w:val="a3"/>
      </w:pPr>
      <w:r>
        <w:t> </w:t>
      </w:r>
    </w:p>
    <w:p w14:paraId="616753B2" w14:textId="77777777" w:rsidR="00716E85" w:rsidRDefault="00716E85">
      <w:pPr>
        <w:pStyle w:val="a3"/>
        <w:spacing w:before="0" w:beforeAutospacing="0" w:after="0" w:afterAutospacing="0"/>
        <w:jc w:val="center"/>
        <w:rPr>
          <w:rFonts w:ascii="Calibri" w:hAnsi="Calibri" w:cs="Calibri"/>
          <w:b/>
          <w:bCs/>
          <w:sz w:val="20"/>
          <w:szCs w:val="20"/>
        </w:rPr>
      </w:pPr>
      <w:bookmarkStart w:id="10" w:name="_AEIOULastRenderedPageBreakAEIOU7"/>
      <w:bookmarkEnd w:id="10"/>
      <w:r>
        <w:rPr>
          <w:rFonts w:ascii="Calibri" w:hAnsi="Calibri" w:cs="Calibri"/>
          <w:b/>
          <w:bCs/>
          <w:sz w:val="20"/>
          <w:szCs w:val="20"/>
        </w:rPr>
        <w:t>ORACLE CORPORATION</w:t>
      </w:r>
    </w:p>
    <w:p w14:paraId="5402CDB9" w14:textId="77777777" w:rsidR="00716E85" w:rsidRDefault="00716E85">
      <w:pPr>
        <w:pStyle w:val="a3"/>
        <w:spacing w:before="0" w:beforeAutospacing="0" w:after="0" w:afterAutospacing="0"/>
        <w:jc w:val="center"/>
        <w:rPr>
          <w:rFonts w:ascii="Calibri" w:hAnsi="Calibri" w:cs="Calibri"/>
          <w:b/>
          <w:bCs/>
          <w:sz w:val="20"/>
          <w:szCs w:val="20"/>
        </w:rPr>
      </w:pPr>
      <w:bookmarkStart w:id="11" w:name="CONDENSED_CONSOLIDATED_STATEMENTS_COMPRE"/>
      <w:bookmarkEnd w:id="11"/>
      <w:r>
        <w:rPr>
          <w:rFonts w:ascii="Calibri" w:hAnsi="Calibri" w:cs="Calibri"/>
          <w:b/>
          <w:bCs/>
          <w:sz w:val="20"/>
          <w:szCs w:val="20"/>
        </w:rPr>
        <w:t>CONDENSED CONSOLIDATED STATEMENTS OF COMPREHENSIVE INCOME (LOSS)</w:t>
      </w:r>
    </w:p>
    <w:p w14:paraId="0A9B07EE"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Three and Nine Months Ended February 28, 2019 and 2018</w:t>
      </w:r>
    </w:p>
    <w:p w14:paraId="788BE124"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(Unaudited)</w:t>
      </w:r>
    </w:p>
    <w:p w14:paraId="29491E50"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634"/>
        <w:gridCol w:w="98"/>
        <w:gridCol w:w="117"/>
        <w:gridCol w:w="626"/>
        <w:gridCol w:w="76"/>
        <w:gridCol w:w="95"/>
        <w:gridCol w:w="117"/>
        <w:gridCol w:w="629"/>
        <w:gridCol w:w="76"/>
        <w:gridCol w:w="97"/>
        <w:gridCol w:w="117"/>
        <w:gridCol w:w="628"/>
        <w:gridCol w:w="76"/>
        <w:gridCol w:w="97"/>
        <w:gridCol w:w="117"/>
        <w:gridCol w:w="630"/>
        <w:gridCol w:w="76"/>
      </w:tblGrid>
      <w:tr w:rsidR="00716E85" w14:paraId="386B819A" w14:textId="77777777">
        <w:trPr>
          <w:divId w:val="1212577979"/>
          <w:jc w:val="center"/>
        </w:trPr>
        <w:tc>
          <w:tcPr>
            <w:tcW w:w="2795" w:type="pct"/>
            <w:shd w:val="clear" w:color="auto" w:fill="FFFFFF"/>
            <w:tcMar>
              <w:top w:w="15" w:type="dxa"/>
              <w:left w:w="0" w:type="dxa"/>
              <w:bottom w:w="0" w:type="dxa"/>
              <w:right w:w="15" w:type="dxa"/>
            </w:tcMar>
            <w:vAlign w:val="bottom"/>
            <w:hideMark/>
          </w:tcPr>
          <w:p w14:paraId="751C9CD4" w14:textId="77777777" w:rsidR="00716E85" w:rsidRDefault="00716E85">
            <w:pPr>
              <w:pStyle w:val="a3"/>
              <w:spacing w:before="0" w:beforeAutospacing="0" w:after="0" w:afterAutospacing="0"/>
              <w:jc w:val="center"/>
              <w:rPr>
                <w:sz w:val="20"/>
                <w:szCs w:val="20"/>
              </w:rPr>
            </w:pPr>
            <w:r>
              <w:rPr>
                <w:sz w:val="20"/>
                <w:szCs w:val="20"/>
              </w:rPr>
              <w:t> </w:t>
            </w:r>
          </w:p>
        </w:tc>
        <w:tc>
          <w:tcPr>
            <w:tcW w:w="66" w:type="pct"/>
            <w:shd w:val="clear" w:color="auto" w:fill="FFFFFF"/>
            <w:tcMar>
              <w:top w:w="15" w:type="dxa"/>
              <w:left w:w="0" w:type="dxa"/>
              <w:bottom w:w="0" w:type="dxa"/>
              <w:right w:w="15" w:type="dxa"/>
            </w:tcMar>
            <w:vAlign w:val="bottom"/>
            <w:hideMark/>
          </w:tcPr>
          <w:p w14:paraId="65B972F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85" w:type="pct"/>
            <w:gridSpan w:val="6"/>
            <w:tcBorders>
              <w:bottom w:val="single" w:sz="6" w:space="0" w:color="000000"/>
            </w:tcBorders>
            <w:shd w:val="clear" w:color="auto" w:fill="FFFFFF"/>
            <w:tcMar>
              <w:top w:w="15" w:type="dxa"/>
              <w:left w:w="0" w:type="dxa"/>
              <w:bottom w:w="0" w:type="dxa"/>
              <w:right w:w="15" w:type="dxa"/>
            </w:tcMar>
            <w:vAlign w:val="bottom"/>
            <w:hideMark/>
          </w:tcPr>
          <w:p w14:paraId="167B603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16260D1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4CD03A2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left w:w="0" w:type="dxa"/>
              <w:bottom w:w="0" w:type="dxa"/>
              <w:right w:w="15" w:type="dxa"/>
            </w:tcMar>
            <w:vAlign w:val="bottom"/>
            <w:hideMark/>
          </w:tcPr>
          <w:p w14:paraId="6B533F4F"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985" w:type="pct"/>
            <w:gridSpan w:val="6"/>
            <w:tcBorders>
              <w:bottom w:val="single" w:sz="6" w:space="0" w:color="000000"/>
            </w:tcBorders>
            <w:shd w:val="clear" w:color="auto" w:fill="FFFFFF"/>
            <w:tcMar>
              <w:top w:w="15" w:type="dxa"/>
              <w:left w:w="0" w:type="dxa"/>
              <w:bottom w:w="0" w:type="dxa"/>
              <w:right w:w="15" w:type="dxa"/>
            </w:tcMar>
            <w:vAlign w:val="bottom"/>
            <w:hideMark/>
          </w:tcPr>
          <w:p w14:paraId="73B0976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58AE602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34ABA87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4E0BA9F" w14:textId="77777777">
        <w:trPr>
          <w:divId w:val="1212577979"/>
          <w:jc w:val="center"/>
        </w:trPr>
        <w:tc>
          <w:tcPr>
            <w:tcW w:w="2795" w:type="pct"/>
            <w:tcBorders>
              <w:bottom w:val="single" w:sz="6" w:space="0" w:color="000000"/>
            </w:tcBorders>
            <w:shd w:val="clear" w:color="auto" w:fill="FFFFFF"/>
            <w:tcMar>
              <w:top w:w="15" w:type="dxa"/>
              <w:left w:w="0" w:type="dxa"/>
              <w:bottom w:w="0" w:type="dxa"/>
              <w:right w:w="15" w:type="dxa"/>
            </w:tcMar>
            <w:vAlign w:val="bottom"/>
            <w:hideMark/>
          </w:tcPr>
          <w:p w14:paraId="0F57C1A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6" w:type="pct"/>
            <w:shd w:val="clear" w:color="auto" w:fill="FFFFFF"/>
            <w:tcMar>
              <w:top w:w="15" w:type="dxa"/>
              <w:left w:w="0" w:type="dxa"/>
              <w:bottom w:w="0" w:type="dxa"/>
              <w:right w:w="15" w:type="dxa"/>
            </w:tcMar>
            <w:vAlign w:val="bottom"/>
            <w:hideMark/>
          </w:tcPr>
          <w:p w14:paraId="34ACA27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E1B30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69E00C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669118C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7706A8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EB2930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left w:w="0" w:type="dxa"/>
              <w:bottom w:w="0" w:type="dxa"/>
              <w:right w:w="15" w:type="dxa"/>
            </w:tcMar>
            <w:vAlign w:val="bottom"/>
            <w:hideMark/>
          </w:tcPr>
          <w:p w14:paraId="03BF6E48"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F6617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4073ED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6501D78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B63CB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4434C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712380B" w14:textId="77777777">
        <w:trPr>
          <w:divId w:val="1212577979"/>
          <w:jc w:val="center"/>
        </w:trPr>
        <w:tc>
          <w:tcPr>
            <w:tcW w:w="2795" w:type="pct"/>
            <w:tcBorders>
              <w:top w:val="single" w:sz="6" w:space="0" w:color="000000"/>
            </w:tcBorders>
            <w:shd w:val="clear" w:color="auto" w:fill="CFF0FC"/>
            <w:tcMar>
              <w:top w:w="15" w:type="dxa"/>
              <w:left w:w="0" w:type="dxa"/>
              <w:bottom w:w="0" w:type="dxa"/>
              <w:right w:w="15" w:type="dxa"/>
            </w:tcMar>
            <w:hideMark/>
          </w:tcPr>
          <w:p w14:paraId="4C644D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 (loss)</w:t>
            </w:r>
          </w:p>
        </w:tc>
        <w:tc>
          <w:tcPr>
            <w:tcW w:w="66" w:type="pct"/>
            <w:shd w:val="clear" w:color="auto" w:fill="CFF0FC"/>
            <w:tcMar>
              <w:top w:w="15" w:type="dxa"/>
              <w:left w:w="0" w:type="dxa"/>
              <w:bottom w:w="0" w:type="dxa"/>
              <w:right w:w="15" w:type="dxa"/>
            </w:tcMar>
            <w:vAlign w:val="bottom"/>
            <w:hideMark/>
          </w:tcPr>
          <w:p w14:paraId="3F0530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1AF2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tcBorders>
            <w:shd w:val="clear" w:color="auto" w:fill="CFF0FC"/>
            <w:noWrap/>
            <w:tcMar>
              <w:top w:w="15" w:type="dxa"/>
              <w:left w:w="0" w:type="dxa"/>
              <w:bottom w:w="0" w:type="dxa"/>
              <w:right w:w="15" w:type="dxa"/>
            </w:tcMar>
            <w:vAlign w:val="bottom"/>
            <w:hideMark/>
          </w:tcPr>
          <w:p w14:paraId="35CBAFB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2,745</w:t>
            </w:r>
          </w:p>
        </w:tc>
        <w:tc>
          <w:tcPr>
            <w:tcW w:w="50" w:type="pct"/>
            <w:shd w:val="clear" w:color="auto" w:fill="CFF0FC"/>
            <w:noWrap/>
            <w:tcMar>
              <w:top w:w="15" w:type="dxa"/>
              <w:left w:w="0" w:type="dxa"/>
              <w:bottom w:w="0" w:type="dxa"/>
              <w:right w:w="15" w:type="dxa"/>
            </w:tcMar>
            <w:vAlign w:val="bottom"/>
            <w:hideMark/>
          </w:tcPr>
          <w:p w14:paraId="62215A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34A510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897B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tcBorders>
            <w:shd w:val="clear" w:color="auto" w:fill="CFF0FC"/>
            <w:noWrap/>
            <w:tcMar>
              <w:top w:w="15" w:type="dxa"/>
              <w:left w:w="0" w:type="dxa"/>
              <w:bottom w:w="0" w:type="dxa"/>
              <w:right w:w="15" w:type="dxa"/>
            </w:tcMar>
            <w:vAlign w:val="bottom"/>
            <w:hideMark/>
          </w:tcPr>
          <w:p w14:paraId="244CE89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(4,047</w:t>
            </w:r>
          </w:p>
        </w:tc>
        <w:tc>
          <w:tcPr>
            <w:tcW w:w="50" w:type="pct"/>
            <w:shd w:val="clear" w:color="auto" w:fill="CFF0FC"/>
            <w:noWrap/>
            <w:tcMar>
              <w:top w:w="15" w:type="dxa"/>
              <w:left w:w="0" w:type="dxa"/>
              <w:bottom w:w="0" w:type="dxa"/>
              <w:right w:w="15" w:type="dxa"/>
            </w:tcMar>
            <w:vAlign w:val="bottom"/>
            <w:hideMark/>
          </w:tcPr>
          <w:p w14:paraId="358376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CFF0FC"/>
            <w:tcMar>
              <w:top w:w="15" w:type="dxa"/>
              <w:left w:w="0" w:type="dxa"/>
              <w:bottom w:w="0" w:type="dxa"/>
              <w:right w:w="15" w:type="dxa"/>
            </w:tcMar>
            <w:vAlign w:val="bottom"/>
            <w:hideMark/>
          </w:tcPr>
          <w:p w14:paraId="0F5CFC40"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45EC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tcBorders>
            <w:shd w:val="clear" w:color="auto" w:fill="CFF0FC"/>
            <w:noWrap/>
            <w:tcMar>
              <w:top w:w="15" w:type="dxa"/>
              <w:left w:w="0" w:type="dxa"/>
              <w:bottom w:w="0" w:type="dxa"/>
              <w:right w:w="15" w:type="dxa"/>
            </w:tcMar>
            <w:vAlign w:val="bottom"/>
            <w:hideMark/>
          </w:tcPr>
          <w:p w14:paraId="7E818A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7,343</w:t>
            </w:r>
          </w:p>
        </w:tc>
        <w:tc>
          <w:tcPr>
            <w:tcW w:w="50" w:type="pct"/>
            <w:shd w:val="clear" w:color="auto" w:fill="CFF0FC"/>
            <w:noWrap/>
            <w:tcMar>
              <w:top w:w="15" w:type="dxa"/>
              <w:left w:w="0" w:type="dxa"/>
              <w:bottom w:w="0" w:type="dxa"/>
              <w:right w:w="15" w:type="dxa"/>
            </w:tcMar>
            <w:vAlign w:val="bottom"/>
            <w:hideMark/>
          </w:tcPr>
          <w:p w14:paraId="4AA1C3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3ADB57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B0ED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tcBorders>
            <w:shd w:val="clear" w:color="auto" w:fill="CFF0FC"/>
            <w:noWrap/>
            <w:tcMar>
              <w:top w:w="15" w:type="dxa"/>
              <w:left w:w="0" w:type="dxa"/>
              <w:bottom w:w="0" w:type="dxa"/>
              <w:right w:w="15" w:type="dxa"/>
            </w:tcMar>
            <w:vAlign w:val="bottom"/>
            <w:hideMark/>
          </w:tcPr>
          <w:p w14:paraId="1DA580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311</w:t>
            </w:r>
          </w:p>
        </w:tc>
        <w:tc>
          <w:tcPr>
            <w:tcW w:w="50" w:type="pct"/>
            <w:shd w:val="clear" w:color="auto" w:fill="CFF0FC"/>
            <w:noWrap/>
            <w:tcMar>
              <w:top w:w="15" w:type="dxa"/>
              <w:left w:w="0" w:type="dxa"/>
              <w:bottom w:w="0" w:type="dxa"/>
              <w:right w:w="15" w:type="dxa"/>
            </w:tcMar>
            <w:vAlign w:val="bottom"/>
            <w:hideMark/>
          </w:tcPr>
          <w:p w14:paraId="71391C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D71A81B" w14:textId="77777777">
        <w:trPr>
          <w:divId w:val="1212577979"/>
          <w:jc w:val="center"/>
        </w:trPr>
        <w:tc>
          <w:tcPr>
            <w:tcW w:w="2795" w:type="pct"/>
            <w:shd w:val="clear" w:color="auto" w:fill="FFFFFF"/>
            <w:tcMar>
              <w:top w:w="15" w:type="dxa"/>
              <w:left w:w="0" w:type="dxa"/>
              <w:bottom w:w="0" w:type="dxa"/>
              <w:right w:w="15" w:type="dxa"/>
            </w:tcMar>
            <w:hideMark/>
          </w:tcPr>
          <w:p w14:paraId="50FCBC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 comprehensive income (loss), net of tax:</w:t>
            </w:r>
          </w:p>
        </w:tc>
        <w:tc>
          <w:tcPr>
            <w:tcW w:w="66" w:type="pct"/>
            <w:shd w:val="clear" w:color="auto" w:fill="FFFFFF"/>
            <w:tcMar>
              <w:top w:w="15" w:type="dxa"/>
              <w:left w:w="0" w:type="dxa"/>
              <w:bottom w:w="0" w:type="dxa"/>
              <w:right w:w="15" w:type="dxa"/>
            </w:tcMar>
            <w:vAlign w:val="bottom"/>
            <w:hideMark/>
          </w:tcPr>
          <w:p w14:paraId="0ADAAD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3E71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309C98F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A564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1DFDE3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013C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3A701F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70FA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5B394DD5"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6BCF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03139D8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8DDD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3765A2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19C4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649455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903C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22FFEC1" w14:textId="77777777">
        <w:trPr>
          <w:divId w:val="1212577979"/>
          <w:jc w:val="center"/>
        </w:trPr>
        <w:tc>
          <w:tcPr>
            <w:tcW w:w="2795" w:type="pct"/>
            <w:shd w:val="clear" w:color="auto" w:fill="CFF0FC"/>
            <w:tcMar>
              <w:top w:w="15" w:type="dxa"/>
              <w:left w:w="0" w:type="dxa"/>
              <w:bottom w:w="0" w:type="dxa"/>
              <w:right w:w="15" w:type="dxa"/>
            </w:tcMar>
            <w:hideMark/>
          </w:tcPr>
          <w:p w14:paraId="2C4AC43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foreign currency translation gains (losses)</w:t>
            </w:r>
          </w:p>
        </w:tc>
        <w:tc>
          <w:tcPr>
            <w:tcW w:w="66" w:type="pct"/>
            <w:shd w:val="clear" w:color="auto" w:fill="CFF0FC"/>
            <w:tcMar>
              <w:top w:w="15" w:type="dxa"/>
              <w:left w:w="0" w:type="dxa"/>
              <w:bottom w:w="0" w:type="dxa"/>
              <w:right w:w="15" w:type="dxa"/>
            </w:tcMar>
            <w:vAlign w:val="bottom"/>
            <w:hideMark/>
          </w:tcPr>
          <w:p w14:paraId="4B5632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DBF4A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45464F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356CE2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2D2D58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A608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5F8F5B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left w:w="0" w:type="dxa"/>
              <w:bottom w:w="0" w:type="dxa"/>
              <w:right w:w="15" w:type="dxa"/>
            </w:tcMar>
            <w:vAlign w:val="bottom"/>
            <w:hideMark/>
          </w:tcPr>
          <w:p w14:paraId="19B7E3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3EA43BD4"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9811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0DE535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(148</w:t>
            </w:r>
          </w:p>
        </w:tc>
        <w:tc>
          <w:tcPr>
            <w:tcW w:w="50" w:type="pct"/>
            <w:shd w:val="clear" w:color="auto" w:fill="CFF0FC"/>
            <w:noWrap/>
            <w:tcMar>
              <w:top w:w="15" w:type="dxa"/>
              <w:left w:w="0" w:type="dxa"/>
              <w:bottom w:w="0" w:type="dxa"/>
              <w:right w:w="15" w:type="dxa"/>
            </w:tcMar>
            <w:vAlign w:val="bottom"/>
            <w:hideMark/>
          </w:tcPr>
          <w:p w14:paraId="2D51617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CFF0FC"/>
            <w:tcMar>
              <w:top w:w="15" w:type="dxa"/>
              <w:left w:w="0" w:type="dxa"/>
              <w:bottom w:w="0" w:type="dxa"/>
              <w:right w:w="15" w:type="dxa"/>
            </w:tcMar>
            <w:vAlign w:val="bottom"/>
            <w:hideMark/>
          </w:tcPr>
          <w:p w14:paraId="2614F2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B3F49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6EBA6B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00AE1A3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6D2E4A0" w14:textId="77777777">
        <w:trPr>
          <w:divId w:val="1212577979"/>
          <w:jc w:val="center"/>
        </w:trPr>
        <w:tc>
          <w:tcPr>
            <w:tcW w:w="2795" w:type="pct"/>
            <w:shd w:val="clear" w:color="auto" w:fill="FFFFFF"/>
            <w:tcMar>
              <w:top w:w="15" w:type="dxa"/>
              <w:left w:w="0" w:type="dxa"/>
              <w:bottom w:w="0" w:type="dxa"/>
              <w:right w:w="15" w:type="dxa"/>
            </w:tcMar>
            <w:hideMark/>
          </w:tcPr>
          <w:p w14:paraId="764CFEFD"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unrealized gains on defined benefit plans</w:t>
            </w:r>
          </w:p>
        </w:tc>
        <w:tc>
          <w:tcPr>
            <w:tcW w:w="66" w:type="pct"/>
            <w:shd w:val="clear" w:color="auto" w:fill="FFFFFF"/>
            <w:tcMar>
              <w:top w:w="15" w:type="dxa"/>
              <w:left w:w="0" w:type="dxa"/>
              <w:bottom w:w="0" w:type="dxa"/>
              <w:right w:w="15" w:type="dxa"/>
            </w:tcMar>
            <w:vAlign w:val="bottom"/>
            <w:hideMark/>
          </w:tcPr>
          <w:p w14:paraId="02DF23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55C0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05CBB25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72847F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600A12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80F6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576C42E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left w:w="0" w:type="dxa"/>
              <w:bottom w:w="0" w:type="dxa"/>
              <w:right w:w="15" w:type="dxa"/>
            </w:tcMar>
            <w:vAlign w:val="bottom"/>
            <w:hideMark/>
          </w:tcPr>
          <w:p w14:paraId="6F4FDD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6602B666"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1C62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08FA28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left w:w="0" w:type="dxa"/>
              <w:bottom w:w="0" w:type="dxa"/>
              <w:right w:w="15" w:type="dxa"/>
            </w:tcMar>
            <w:vAlign w:val="bottom"/>
            <w:hideMark/>
          </w:tcPr>
          <w:p w14:paraId="0000E0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3CB8C2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1A51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67C758E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FFFFFF"/>
            <w:noWrap/>
            <w:tcMar>
              <w:top w:w="15" w:type="dxa"/>
              <w:left w:w="0" w:type="dxa"/>
              <w:bottom w:w="0" w:type="dxa"/>
              <w:right w:w="15" w:type="dxa"/>
            </w:tcMar>
            <w:vAlign w:val="bottom"/>
            <w:hideMark/>
          </w:tcPr>
          <w:p w14:paraId="65A99C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5E3A92B" w14:textId="77777777">
        <w:trPr>
          <w:divId w:val="1212577979"/>
          <w:jc w:val="center"/>
        </w:trPr>
        <w:tc>
          <w:tcPr>
            <w:tcW w:w="2795" w:type="pct"/>
            <w:shd w:val="clear" w:color="auto" w:fill="CFF0FC"/>
            <w:tcMar>
              <w:top w:w="15" w:type="dxa"/>
              <w:left w:w="0" w:type="dxa"/>
              <w:bottom w:w="0" w:type="dxa"/>
              <w:right w:w="15" w:type="dxa"/>
            </w:tcMar>
            <w:hideMark/>
          </w:tcPr>
          <w:p w14:paraId="5399972E"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unrealized gains (losses) on marketable securities</w:t>
            </w:r>
          </w:p>
        </w:tc>
        <w:tc>
          <w:tcPr>
            <w:tcW w:w="66" w:type="pct"/>
            <w:shd w:val="clear" w:color="auto" w:fill="CFF0FC"/>
            <w:tcMar>
              <w:top w:w="15" w:type="dxa"/>
              <w:left w:w="0" w:type="dxa"/>
              <w:bottom w:w="0" w:type="dxa"/>
              <w:right w:w="15" w:type="dxa"/>
            </w:tcMar>
            <w:vAlign w:val="bottom"/>
            <w:hideMark/>
          </w:tcPr>
          <w:p w14:paraId="46499D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2721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25354E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233</w:t>
            </w:r>
          </w:p>
        </w:tc>
        <w:tc>
          <w:tcPr>
            <w:tcW w:w="50" w:type="pct"/>
            <w:shd w:val="clear" w:color="auto" w:fill="CFF0FC"/>
            <w:noWrap/>
            <w:tcMar>
              <w:top w:w="15" w:type="dxa"/>
              <w:left w:w="0" w:type="dxa"/>
              <w:bottom w:w="0" w:type="dxa"/>
              <w:right w:w="15" w:type="dxa"/>
            </w:tcMar>
            <w:vAlign w:val="bottom"/>
            <w:hideMark/>
          </w:tcPr>
          <w:p w14:paraId="08FE5D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215D4D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77FC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7D28DEE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(439</w:t>
            </w:r>
          </w:p>
        </w:tc>
        <w:tc>
          <w:tcPr>
            <w:tcW w:w="50" w:type="pct"/>
            <w:shd w:val="clear" w:color="auto" w:fill="CFF0FC"/>
            <w:noWrap/>
            <w:tcMar>
              <w:top w:w="15" w:type="dxa"/>
              <w:left w:w="0" w:type="dxa"/>
              <w:bottom w:w="0" w:type="dxa"/>
              <w:right w:w="15" w:type="dxa"/>
            </w:tcMar>
            <w:vAlign w:val="bottom"/>
            <w:hideMark/>
          </w:tcPr>
          <w:p w14:paraId="23FBBC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CFF0FC"/>
            <w:tcMar>
              <w:top w:w="15" w:type="dxa"/>
              <w:left w:w="0" w:type="dxa"/>
              <w:bottom w:w="0" w:type="dxa"/>
              <w:right w:w="15" w:type="dxa"/>
            </w:tcMar>
            <w:vAlign w:val="bottom"/>
            <w:hideMark/>
          </w:tcPr>
          <w:p w14:paraId="0B6A15DE"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D5A2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41CD41D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120</w:t>
            </w:r>
          </w:p>
        </w:tc>
        <w:tc>
          <w:tcPr>
            <w:tcW w:w="50" w:type="pct"/>
            <w:shd w:val="clear" w:color="auto" w:fill="CFF0FC"/>
            <w:noWrap/>
            <w:tcMar>
              <w:top w:w="15" w:type="dxa"/>
              <w:left w:w="0" w:type="dxa"/>
              <w:bottom w:w="0" w:type="dxa"/>
              <w:right w:w="15" w:type="dxa"/>
            </w:tcMar>
            <w:vAlign w:val="bottom"/>
            <w:hideMark/>
          </w:tcPr>
          <w:p w14:paraId="7A64EF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0D38E2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63739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CFF0FC"/>
            <w:noWrap/>
            <w:tcMar>
              <w:top w:w="15" w:type="dxa"/>
              <w:left w:w="0" w:type="dxa"/>
              <w:bottom w:w="0" w:type="dxa"/>
              <w:right w:w="15" w:type="dxa"/>
            </w:tcMar>
            <w:vAlign w:val="bottom"/>
            <w:hideMark/>
          </w:tcPr>
          <w:p w14:paraId="3455B8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(567</w:t>
            </w:r>
          </w:p>
        </w:tc>
        <w:tc>
          <w:tcPr>
            <w:tcW w:w="50" w:type="pct"/>
            <w:shd w:val="clear" w:color="auto" w:fill="CFF0FC"/>
            <w:noWrap/>
            <w:tcMar>
              <w:top w:w="15" w:type="dxa"/>
              <w:left w:w="0" w:type="dxa"/>
              <w:bottom w:w="0" w:type="dxa"/>
              <w:right w:w="15" w:type="dxa"/>
            </w:tcMar>
            <w:vAlign w:val="bottom"/>
            <w:hideMark/>
          </w:tcPr>
          <w:p w14:paraId="57A527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283C9981" w14:textId="77777777">
        <w:trPr>
          <w:divId w:val="1212577979"/>
          <w:jc w:val="center"/>
        </w:trPr>
        <w:tc>
          <w:tcPr>
            <w:tcW w:w="2795" w:type="pct"/>
            <w:shd w:val="clear" w:color="auto" w:fill="FFFFFF"/>
            <w:tcMar>
              <w:top w:w="15" w:type="dxa"/>
              <w:left w:w="0" w:type="dxa"/>
              <w:bottom w:w="0" w:type="dxa"/>
              <w:right w:w="15" w:type="dxa"/>
            </w:tcMar>
            <w:hideMark/>
          </w:tcPr>
          <w:p w14:paraId="39DDD20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Net unrealized (losses) gains on cash flow hedges</w:t>
            </w:r>
          </w:p>
        </w:tc>
        <w:tc>
          <w:tcPr>
            <w:tcW w:w="66" w:type="pct"/>
            <w:shd w:val="clear" w:color="auto" w:fill="FFFFFF"/>
            <w:tcMar>
              <w:top w:w="15" w:type="dxa"/>
              <w:left w:w="0" w:type="dxa"/>
              <w:bottom w:w="0" w:type="dxa"/>
              <w:right w:w="15" w:type="dxa"/>
            </w:tcMar>
            <w:vAlign w:val="bottom"/>
            <w:hideMark/>
          </w:tcPr>
          <w:p w14:paraId="0DCF36A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7166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5672A2A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w:t>
            </w:r>
          </w:p>
        </w:tc>
        <w:tc>
          <w:tcPr>
            <w:tcW w:w="50" w:type="pct"/>
            <w:shd w:val="clear" w:color="auto" w:fill="FFFFFF"/>
            <w:noWrap/>
            <w:tcMar>
              <w:top w:w="15" w:type="dxa"/>
              <w:left w:w="0" w:type="dxa"/>
              <w:bottom w:w="0" w:type="dxa"/>
              <w:right w:w="15" w:type="dxa"/>
            </w:tcMar>
            <w:vAlign w:val="bottom"/>
            <w:hideMark/>
          </w:tcPr>
          <w:p w14:paraId="06D60E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FFFFFF"/>
            <w:tcMar>
              <w:top w:w="15" w:type="dxa"/>
              <w:left w:w="0" w:type="dxa"/>
              <w:bottom w:w="0" w:type="dxa"/>
              <w:right w:w="15" w:type="dxa"/>
            </w:tcMar>
            <w:vAlign w:val="bottom"/>
            <w:hideMark/>
          </w:tcPr>
          <w:p w14:paraId="5CF8E7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DDAB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shd w:val="clear" w:color="auto" w:fill="FFFFFF"/>
            <w:noWrap/>
            <w:tcMar>
              <w:top w:w="15" w:type="dxa"/>
              <w:left w:w="0" w:type="dxa"/>
              <w:bottom w:w="0" w:type="dxa"/>
              <w:right w:w="15" w:type="dxa"/>
            </w:tcMar>
            <w:vAlign w:val="bottom"/>
            <w:hideMark/>
          </w:tcPr>
          <w:p w14:paraId="7A176E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left w:w="0" w:type="dxa"/>
              <w:bottom w:w="0" w:type="dxa"/>
              <w:right w:w="15" w:type="dxa"/>
            </w:tcMar>
            <w:vAlign w:val="bottom"/>
            <w:hideMark/>
          </w:tcPr>
          <w:p w14:paraId="700220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1CB84914"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4D83C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14:paraId="56973D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left w:w="0" w:type="dxa"/>
              <w:bottom w:w="0" w:type="dxa"/>
              <w:right w:w="15" w:type="dxa"/>
            </w:tcMar>
            <w:vAlign w:val="bottom"/>
            <w:hideMark/>
          </w:tcPr>
          <w:p w14:paraId="031C10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FFFFFF"/>
            <w:tcMar>
              <w:top w:w="15" w:type="dxa"/>
              <w:left w:w="0" w:type="dxa"/>
              <w:bottom w:w="0" w:type="dxa"/>
              <w:right w:w="15" w:type="dxa"/>
            </w:tcMar>
            <w:vAlign w:val="bottom"/>
            <w:hideMark/>
          </w:tcPr>
          <w:p w14:paraId="66A0CF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3D1A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tcBorders>
              <w:bottom w:val="single" w:sz="6" w:space="0" w:color="000000"/>
            </w:tcBorders>
            <w:shd w:val="clear" w:color="auto" w:fill="FFFFFF"/>
            <w:noWrap/>
            <w:tcMar>
              <w:top w:w="15" w:type="dxa"/>
              <w:left w:w="0" w:type="dxa"/>
              <w:bottom w:w="0" w:type="dxa"/>
              <w:right w:w="15" w:type="dxa"/>
            </w:tcMar>
            <w:vAlign w:val="bottom"/>
            <w:hideMark/>
          </w:tcPr>
          <w:p w14:paraId="3D2BE8E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left w:w="0" w:type="dxa"/>
              <w:bottom w:w="0" w:type="dxa"/>
              <w:right w:w="15" w:type="dxa"/>
            </w:tcMar>
            <w:vAlign w:val="bottom"/>
            <w:hideMark/>
          </w:tcPr>
          <w:p w14:paraId="58935B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C59EAD5" w14:textId="77777777">
        <w:trPr>
          <w:divId w:val="1212577979"/>
          <w:jc w:val="center"/>
        </w:trPr>
        <w:tc>
          <w:tcPr>
            <w:tcW w:w="2795" w:type="pct"/>
            <w:shd w:val="clear" w:color="auto" w:fill="CFF0FC"/>
            <w:tcMar>
              <w:top w:w="15" w:type="dxa"/>
              <w:left w:w="0" w:type="dxa"/>
              <w:bottom w:w="0" w:type="dxa"/>
              <w:right w:w="15" w:type="dxa"/>
            </w:tcMar>
            <w:hideMark/>
          </w:tcPr>
          <w:p w14:paraId="37D9C43A" w14:textId="77777777" w:rsidR="00716E85" w:rsidRDefault="00716E85">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other comprehensive income (loss), net</w:t>
            </w:r>
          </w:p>
        </w:tc>
        <w:tc>
          <w:tcPr>
            <w:tcW w:w="66" w:type="pct"/>
            <w:shd w:val="clear" w:color="auto" w:fill="CFF0FC"/>
            <w:tcMar>
              <w:top w:w="15" w:type="dxa"/>
              <w:left w:w="0" w:type="dxa"/>
              <w:bottom w:w="0" w:type="dxa"/>
              <w:right w:w="15" w:type="dxa"/>
            </w:tcMar>
            <w:vAlign w:val="bottom"/>
            <w:hideMark/>
          </w:tcPr>
          <w:p w14:paraId="3849C1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83FE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C4DF8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231</w:t>
            </w:r>
          </w:p>
        </w:tc>
        <w:tc>
          <w:tcPr>
            <w:tcW w:w="50" w:type="pct"/>
            <w:shd w:val="clear" w:color="auto" w:fill="CFF0FC"/>
            <w:noWrap/>
            <w:tcMar>
              <w:top w:w="15" w:type="dxa"/>
              <w:left w:w="0" w:type="dxa"/>
              <w:bottom w:w="0" w:type="dxa"/>
              <w:right w:w="15" w:type="dxa"/>
            </w:tcMar>
            <w:vAlign w:val="bottom"/>
            <w:hideMark/>
          </w:tcPr>
          <w:p w14:paraId="35C064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CFF0FC"/>
            <w:tcMar>
              <w:top w:w="15" w:type="dxa"/>
              <w:left w:w="0" w:type="dxa"/>
              <w:bottom w:w="0" w:type="dxa"/>
              <w:right w:w="15" w:type="dxa"/>
            </w:tcMar>
            <w:vAlign w:val="bottom"/>
            <w:hideMark/>
          </w:tcPr>
          <w:p w14:paraId="30D232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E672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B4CAE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(382</w:t>
            </w:r>
          </w:p>
        </w:tc>
        <w:tc>
          <w:tcPr>
            <w:tcW w:w="50" w:type="pct"/>
            <w:shd w:val="clear" w:color="auto" w:fill="CFF0FC"/>
            <w:noWrap/>
            <w:tcMar>
              <w:top w:w="15" w:type="dxa"/>
              <w:left w:w="0" w:type="dxa"/>
              <w:bottom w:w="0" w:type="dxa"/>
              <w:right w:w="15" w:type="dxa"/>
            </w:tcMar>
            <w:vAlign w:val="bottom"/>
            <w:hideMark/>
          </w:tcPr>
          <w:p w14:paraId="43D8F0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CFF0FC"/>
            <w:tcMar>
              <w:top w:w="15" w:type="dxa"/>
              <w:left w:w="0" w:type="dxa"/>
              <w:bottom w:w="0" w:type="dxa"/>
              <w:right w:w="15" w:type="dxa"/>
            </w:tcMar>
            <w:vAlign w:val="bottom"/>
            <w:hideMark/>
          </w:tcPr>
          <w:p w14:paraId="74851259"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1DD7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tcBorders>
              <w:bottom w:val="single" w:sz="6" w:space="0" w:color="000000"/>
            </w:tcBorders>
            <w:shd w:val="clear" w:color="auto" w:fill="CFF0FC"/>
            <w:noWrap/>
            <w:tcMar>
              <w:top w:w="15" w:type="dxa"/>
              <w:left w:w="0" w:type="dxa"/>
              <w:bottom w:w="0" w:type="dxa"/>
              <w:right w:w="15" w:type="dxa"/>
            </w:tcMar>
            <w:vAlign w:val="bottom"/>
            <w:hideMark/>
          </w:tcPr>
          <w:p w14:paraId="03DD094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CFF0FC"/>
            <w:noWrap/>
            <w:tcMar>
              <w:top w:w="15" w:type="dxa"/>
              <w:left w:w="0" w:type="dxa"/>
              <w:bottom w:w="0" w:type="dxa"/>
              <w:right w:w="15" w:type="dxa"/>
            </w:tcMar>
            <w:vAlign w:val="bottom"/>
            <w:hideMark/>
          </w:tcPr>
          <w:p w14:paraId="51BA66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CFF0FC"/>
            <w:tcMar>
              <w:top w:w="15" w:type="dxa"/>
              <w:left w:w="0" w:type="dxa"/>
              <w:bottom w:w="0" w:type="dxa"/>
              <w:right w:w="15" w:type="dxa"/>
            </w:tcMar>
            <w:vAlign w:val="bottom"/>
            <w:hideMark/>
          </w:tcPr>
          <w:p w14:paraId="7700D7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6556A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4" w:type="pct"/>
            <w:tcBorders>
              <w:bottom w:val="single" w:sz="6" w:space="0" w:color="000000"/>
            </w:tcBorders>
            <w:shd w:val="clear" w:color="auto" w:fill="CFF0FC"/>
            <w:noWrap/>
            <w:tcMar>
              <w:top w:w="15" w:type="dxa"/>
              <w:left w:w="0" w:type="dxa"/>
              <w:bottom w:w="0" w:type="dxa"/>
              <w:right w:w="15" w:type="dxa"/>
            </w:tcMar>
            <w:vAlign w:val="bottom"/>
            <w:hideMark/>
          </w:tcPr>
          <w:p w14:paraId="45EC64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(471</w:t>
            </w:r>
          </w:p>
        </w:tc>
        <w:tc>
          <w:tcPr>
            <w:tcW w:w="50" w:type="pct"/>
            <w:shd w:val="clear" w:color="auto" w:fill="CFF0FC"/>
            <w:noWrap/>
            <w:tcMar>
              <w:top w:w="15" w:type="dxa"/>
              <w:left w:w="0" w:type="dxa"/>
              <w:bottom w:w="0" w:type="dxa"/>
              <w:right w:w="15" w:type="dxa"/>
            </w:tcMar>
            <w:vAlign w:val="bottom"/>
            <w:hideMark/>
          </w:tcPr>
          <w:p w14:paraId="18E2B5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2F0F3460" w14:textId="77777777">
        <w:trPr>
          <w:divId w:val="1212577979"/>
          <w:jc w:val="center"/>
        </w:trPr>
        <w:tc>
          <w:tcPr>
            <w:tcW w:w="2795" w:type="pct"/>
            <w:shd w:val="clear" w:color="auto" w:fill="FFFFFF"/>
            <w:tcMar>
              <w:top w:w="15" w:type="dxa"/>
              <w:left w:w="0" w:type="dxa"/>
              <w:bottom w:w="0" w:type="dxa"/>
              <w:right w:w="15" w:type="dxa"/>
            </w:tcMar>
            <w:hideMark/>
          </w:tcPr>
          <w:p w14:paraId="3092C67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Comprehensive income (loss)</w:t>
            </w:r>
          </w:p>
        </w:tc>
        <w:tc>
          <w:tcPr>
            <w:tcW w:w="66" w:type="pct"/>
            <w:shd w:val="clear" w:color="auto" w:fill="FFFFFF"/>
            <w:tcMar>
              <w:top w:w="15" w:type="dxa"/>
              <w:left w:w="0" w:type="dxa"/>
              <w:bottom w:w="0" w:type="dxa"/>
              <w:right w:w="15" w:type="dxa"/>
            </w:tcMar>
            <w:vAlign w:val="bottom"/>
            <w:hideMark/>
          </w:tcPr>
          <w:p w14:paraId="09D4C2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22F2C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DBBD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2,976</w:t>
            </w:r>
          </w:p>
        </w:tc>
        <w:tc>
          <w:tcPr>
            <w:tcW w:w="50" w:type="pct"/>
            <w:shd w:val="clear" w:color="auto" w:fill="FFFFFF"/>
            <w:noWrap/>
            <w:tcMar>
              <w:top w:w="15" w:type="dxa"/>
              <w:left w:w="0" w:type="dxa"/>
              <w:bottom w:w="0" w:type="dxa"/>
              <w:right w:w="15" w:type="dxa"/>
            </w:tcMar>
            <w:vAlign w:val="bottom"/>
            <w:hideMark/>
          </w:tcPr>
          <w:p w14:paraId="570811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6B9CE6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4E7B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D80BD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(4,429</w:t>
            </w:r>
          </w:p>
        </w:tc>
        <w:tc>
          <w:tcPr>
            <w:tcW w:w="50" w:type="pct"/>
            <w:shd w:val="clear" w:color="auto" w:fill="FFFFFF"/>
            <w:noWrap/>
            <w:tcMar>
              <w:top w:w="15" w:type="dxa"/>
              <w:left w:w="0" w:type="dxa"/>
              <w:bottom w:w="0" w:type="dxa"/>
              <w:right w:w="15" w:type="dxa"/>
            </w:tcMar>
            <w:vAlign w:val="bottom"/>
            <w:hideMark/>
          </w:tcPr>
          <w:p w14:paraId="694B34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6" w:type="pct"/>
            <w:shd w:val="clear" w:color="auto" w:fill="FFFFFF"/>
            <w:tcMar>
              <w:top w:w="15" w:type="dxa"/>
              <w:left w:w="0" w:type="dxa"/>
              <w:bottom w:w="0" w:type="dxa"/>
              <w:right w:w="15" w:type="dxa"/>
            </w:tcMar>
            <w:vAlign w:val="bottom"/>
            <w:hideMark/>
          </w:tcPr>
          <w:p w14:paraId="052E2808"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C268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3CC0D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7,298</w:t>
            </w:r>
          </w:p>
        </w:tc>
        <w:tc>
          <w:tcPr>
            <w:tcW w:w="50" w:type="pct"/>
            <w:shd w:val="clear" w:color="auto" w:fill="FFFFFF"/>
            <w:noWrap/>
            <w:tcMar>
              <w:top w:w="15" w:type="dxa"/>
              <w:left w:w="0" w:type="dxa"/>
              <w:bottom w:w="0" w:type="dxa"/>
              <w:right w:w="15" w:type="dxa"/>
            </w:tcMar>
            <w:vAlign w:val="bottom"/>
            <w:hideMark/>
          </w:tcPr>
          <w:p w14:paraId="64BEF5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 w:type="pct"/>
            <w:shd w:val="clear" w:color="auto" w:fill="FFFFFF"/>
            <w:tcMar>
              <w:top w:w="15" w:type="dxa"/>
              <w:left w:w="0" w:type="dxa"/>
              <w:bottom w:w="0" w:type="dxa"/>
              <w:right w:w="15" w:type="dxa"/>
            </w:tcMar>
            <w:vAlign w:val="bottom"/>
            <w:hideMark/>
          </w:tcPr>
          <w:p w14:paraId="0CECC4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3E79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BF308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(160</w:t>
            </w:r>
          </w:p>
        </w:tc>
        <w:tc>
          <w:tcPr>
            <w:tcW w:w="50" w:type="pct"/>
            <w:shd w:val="clear" w:color="auto" w:fill="FFFFFF"/>
            <w:noWrap/>
            <w:tcMar>
              <w:top w:w="15" w:type="dxa"/>
              <w:left w:w="0" w:type="dxa"/>
              <w:bottom w:w="0" w:type="dxa"/>
              <w:right w:w="15" w:type="dxa"/>
            </w:tcMar>
            <w:vAlign w:val="bottom"/>
            <w:hideMark/>
          </w:tcPr>
          <w:p w14:paraId="7EB634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bl>
    <w:p w14:paraId="75591FD0" w14:textId="77777777" w:rsidR="00716E85" w:rsidRDefault="00716E85">
      <w:pPr>
        <w:pStyle w:val="a3"/>
        <w:spacing w:before="0" w:beforeAutospacing="0" w:after="0" w:afterAutospacing="0"/>
        <w:rPr>
          <w:sz w:val="12"/>
          <w:szCs w:val="12"/>
        </w:rPr>
      </w:pPr>
      <w:r>
        <w:rPr>
          <w:sz w:val="12"/>
          <w:szCs w:val="12"/>
        </w:rPr>
        <w:t> </w:t>
      </w:r>
    </w:p>
    <w:p w14:paraId="77265FB4" w14:textId="77777777" w:rsidR="00716E85" w:rsidRDefault="00716E85">
      <w:pPr>
        <w:pStyle w:val="a3"/>
        <w:spacing w:before="0" w:beforeAutospacing="0" w:after="0" w:afterAutospacing="0"/>
        <w:jc w:val="both"/>
      </w:pPr>
      <w:r>
        <w:t> </w:t>
      </w:r>
    </w:p>
    <w:p w14:paraId="16326106" w14:textId="77777777" w:rsidR="00716E85" w:rsidRDefault="00716E85">
      <w:pPr>
        <w:pStyle w:val="a3"/>
        <w:spacing w:before="0" w:beforeAutospacing="0" w:after="0" w:afterAutospacing="0"/>
        <w:jc w:val="both"/>
      </w:pPr>
      <w:r>
        <w:t> </w:t>
      </w:r>
    </w:p>
    <w:p w14:paraId="25C0D48F" w14:textId="77777777" w:rsidR="00716E85" w:rsidRDefault="00716E85">
      <w:pPr>
        <w:pStyle w:val="a3"/>
        <w:spacing w:before="0" w:beforeAutospacing="0" w:after="0" w:afterAutospacing="0"/>
        <w:jc w:val="both"/>
      </w:pPr>
      <w:r>
        <w:t> </w:t>
      </w:r>
    </w:p>
    <w:p w14:paraId="71A74052"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385B89D8" w14:textId="77777777" w:rsidR="00716E85" w:rsidRDefault="00716E85">
      <w:pPr>
        <w:pStyle w:val="a3"/>
        <w:spacing w:before="0" w:beforeAutospacing="0" w:after="0" w:afterAutospacing="0"/>
        <w:rPr>
          <w:sz w:val="12"/>
          <w:szCs w:val="12"/>
        </w:rPr>
      </w:pPr>
      <w:r>
        <w:rPr>
          <w:sz w:val="12"/>
          <w:szCs w:val="12"/>
        </w:rPr>
        <w:t> </w:t>
      </w:r>
    </w:p>
    <w:p w14:paraId="2AC3E748"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5</w:t>
      </w:r>
    </w:p>
    <w:p w14:paraId="388C7765" w14:textId="77777777" w:rsidR="00716E85" w:rsidRDefault="00716E85">
      <w:pPr>
        <w:rPr>
          <w:rFonts w:ascii="Times New Roman" w:eastAsia="Times New Roman" w:hAnsi="Times New Roman" w:cs="Times New Roman"/>
          <w:sz w:val="24"/>
          <w:szCs w:val="24"/>
        </w:rPr>
      </w:pPr>
      <w:r>
        <w:rPr>
          <w:rFonts w:eastAsia="Times New Roman"/>
        </w:rPr>
        <w:pict w14:anchorId="62ED3236">
          <v:rect id="_x0000_i1031" style="width:415.3pt;height:1.5pt" o:hralign="center" o:hrstd="t" o:hr="t" fillcolor="#a0a0a0" stroked="f"/>
        </w:pict>
      </w:r>
    </w:p>
    <w:p w14:paraId="7FCD270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C5FCA87" w14:textId="77777777" w:rsidR="00716E85" w:rsidRDefault="00716E85">
      <w:pPr>
        <w:pStyle w:val="a3"/>
      </w:pPr>
      <w:r>
        <w:t> </w:t>
      </w:r>
    </w:p>
    <w:p w14:paraId="01E98EDD" w14:textId="77777777" w:rsidR="00716E85" w:rsidRDefault="00716E85">
      <w:pPr>
        <w:pStyle w:val="a3"/>
        <w:spacing w:before="0" w:beforeAutospacing="0" w:after="0" w:afterAutospacing="0"/>
        <w:jc w:val="center"/>
        <w:rPr>
          <w:rFonts w:ascii="Calibri" w:hAnsi="Calibri" w:cs="Calibri"/>
          <w:b/>
          <w:bCs/>
          <w:sz w:val="20"/>
          <w:szCs w:val="20"/>
        </w:rPr>
      </w:pPr>
      <w:bookmarkStart w:id="12" w:name="_AEIOULastRenderedPageBreakAEIOU8"/>
      <w:bookmarkEnd w:id="12"/>
      <w:r>
        <w:rPr>
          <w:rFonts w:ascii="Calibri" w:hAnsi="Calibri" w:cs="Calibri"/>
          <w:b/>
          <w:bCs/>
          <w:sz w:val="20"/>
          <w:szCs w:val="20"/>
        </w:rPr>
        <w:t>ORACLE CORPORATION</w:t>
      </w:r>
    </w:p>
    <w:p w14:paraId="781A6476" w14:textId="77777777" w:rsidR="00716E85" w:rsidRDefault="00716E85">
      <w:pPr>
        <w:pStyle w:val="a3"/>
        <w:spacing w:before="0" w:beforeAutospacing="0" w:after="0" w:afterAutospacing="0"/>
        <w:jc w:val="center"/>
        <w:rPr>
          <w:rFonts w:ascii="Calibri" w:hAnsi="Calibri" w:cs="Calibri"/>
          <w:b/>
          <w:bCs/>
          <w:sz w:val="20"/>
          <w:szCs w:val="20"/>
        </w:rPr>
      </w:pPr>
      <w:bookmarkStart w:id="13" w:name="Equity_2019"/>
      <w:bookmarkEnd w:id="13"/>
      <w:r>
        <w:rPr>
          <w:rFonts w:ascii="Calibri" w:hAnsi="Calibri" w:cs="Calibri"/>
          <w:b/>
          <w:bCs/>
          <w:sz w:val="20"/>
          <w:szCs w:val="20"/>
        </w:rPr>
        <w:t>CONDENSED CONSOLIDATED STATEMENTS OF EQUITY</w:t>
      </w:r>
    </w:p>
    <w:p w14:paraId="278CFB35"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Three and Nine Months Ended February 28, 2019 and 2018</w:t>
      </w:r>
    </w:p>
    <w:p w14:paraId="668DDFDE"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(Unaudited)</w:t>
      </w:r>
    </w:p>
    <w:p w14:paraId="6BD229A7" w14:textId="77777777" w:rsidR="00716E85" w:rsidRDefault="00716E85">
      <w:pPr>
        <w:pStyle w:val="a3"/>
        <w:spacing w:before="0" w:beforeAutospacing="0" w:after="0" w:afterAutospacing="0"/>
        <w:rPr>
          <w:b/>
          <w:bCs/>
          <w:sz w:val="16"/>
          <w:szCs w:val="16"/>
        </w:rPr>
      </w:pPr>
      <w:r>
        <w:rPr>
          <w:b/>
          <w:bCs/>
          <w:sz w:val="16"/>
          <w:szCs w:val="16"/>
        </w:rPr>
        <w:t> </w:t>
      </w:r>
    </w:p>
    <w:tbl>
      <w:tblPr>
        <w:tblW w:w="5000" w:type="pct"/>
        <w:jc w:val="center"/>
        <w:tblCellMar>
          <w:left w:w="0" w:type="dxa"/>
          <w:right w:w="0" w:type="dxa"/>
        </w:tblCellMar>
        <w:tblLook w:val="04A0" w:firstRow="1" w:lastRow="0" w:firstColumn="1" w:lastColumn="0" w:noHBand="0" w:noVBand="1"/>
      </w:tblPr>
      <w:tblGrid>
        <w:gridCol w:w="4246"/>
        <w:gridCol w:w="114"/>
        <w:gridCol w:w="107"/>
        <w:gridCol w:w="717"/>
        <w:gridCol w:w="76"/>
        <w:gridCol w:w="114"/>
        <w:gridCol w:w="107"/>
        <w:gridCol w:w="719"/>
        <w:gridCol w:w="76"/>
        <w:gridCol w:w="114"/>
        <w:gridCol w:w="107"/>
        <w:gridCol w:w="717"/>
        <w:gridCol w:w="76"/>
        <w:gridCol w:w="114"/>
        <w:gridCol w:w="107"/>
        <w:gridCol w:w="719"/>
        <w:gridCol w:w="76"/>
      </w:tblGrid>
      <w:tr w:rsidR="00716E85" w14:paraId="7826A5C1" w14:textId="77777777">
        <w:trPr>
          <w:divId w:val="1103451172"/>
          <w:jc w:val="center"/>
        </w:trPr>
        <w:tc>
          <w:tcPr>
            <w:tcW w:w="2558" w:type="pct"/>
            <w:shd w:val="clear" w:color="auto" w:fill="FFFFFF"/>
            <w:tcMar>
              <w:top w:w="15" w:type="dxa"/>
              <w:left w:w="0" w:type="dxa"/>
              <w:bottom w:w="0" w:type="dxa"/>
              <w:right w:w="15" w:type="dxa"/>
            </w:tcMar>
            <w:vAlign w:val="bottom"/>
            <w:hideMark/>
          </w:tcPr>
          <w:p w14:paraId="7894DBFB" w14:textId="77777777" w:rsidR="00716E85" w:rsidRDefault="00716E85">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01C8372E" w14:textId="77777777" w:rsidR="00716E85" w:rsidRDefault="00716E8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96" w:type="pct"/>
            <w:gridSpan w:val="6"/>
            <w:tcBorders>
              <w:bottom w:val="single" w:sz="6" w:space="0" w:color="000000"/>
            </w:tcBorders>
            <w:shd w:val="clear" w:color="auto" w:fill="FFFFFF"/>
            <w:tcMar>
              <w:top w:w="15" w:type="dxa"/>
              <w:left w:w="0" w:type="dxa"/>
              <w:bottom w:w="0" w:type="dxa"/>
              <w:right w:w="15" w:type="dxa"/>
            </w:tcMar>
            <w:vAlign w:val="bottom"/>
            <w:hideMark/>
          </w:tcPr>
          <w:p w14:paraId="78F9911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193FEDB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44900FB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left w:w="0" w:type="dxa"/>
              <w:bottom w:w="0" w:type="dxa"/>
              <w:right w:w="15" w:type="dxa"/>
            </w:tcMar>
            <w:vAlign w:val="bottom"/>
            <w:hideMark/>
          </w:tcPr>
          <w:p w14:paraId="65B72E07" w14:textId="77777777" w:rsidR="00716E85" w:rsidRDefault="00716E8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96" w:type="pct"/>
            <w:gridSpan w:val="6"/>
            <w:tcBorders>
              <w:bottom w:val="single" w:sz="6" w:space="0" w:color="000000"/>
            </w:tcBorders>
            <w:shd w:val="clear" w:color="auto" w:fill="FFFFFF"/>
            <w:tcMar>
              <w:top w:w="15" w:type="dxa"/>
              <w:left w:w="0" w:type="dxa"/>
              <w:bottom w:w="0" w:type="dxa"/>
              <w:right w:w="15" w:type="dxa"/>
            </w:tcMar>
            <w:vAlign w:val="bottom"/>
            <w:hideMark/>
          </w:tcPr>
          <w:p w14:paraId="3F6DA0E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6BC1A58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7EF7814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47A82725" w14:textId="77777777">
        <w:trPr>
          <w:divId w:val="1103451172"/>
          <w:jc w:val="center"/>
        </w:trPr>
        <w:tc>
          <w:tcPr>
            <w:tcW w:w="2558" w:type="pct"/>
            <w:tcBorders>
              <w:bottom w:val="single" w:sz="6" w:space="0" w:color="000000"/>
            </w:tcBorders>
            <w:shd w:val="clear" w:color="auto" w:fill="FFFFFF"/>
            <w:tcMar>
              <w:top w:w="15" w:type="dxa"/>
              <w:left w:w="0" w:type="dxa"/>
              <w:bottom w:w="0" w:type="dxa"/>
              <w:right w:w="15" w:type="dxa"/>
            </w:tcMar>
            <w:vAlign w:val="bottom"/>
            <w:hideMark/>
          </w:tcPr>
          <w:p w14:paraId="7DB1C2C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3" w:type="pct"/>
            <w:shd w:val="clear" w:color="auto" w:fill="FFFFFF"/>
            <w:tcMar>
              <w:top w:w="15" w:type="dxa"/>
              <w:left w:w="0" w:type="dxa"/>
              <w:bottom w:w="0" w:type="dxa"/>
              <w:right w:w="15" w:type="dxa"/>
            </w:tcMar>
            <w:vAlign w:val="bottom"/>
            <w:hideMark/>
          </w:tcPr>
          <w:p w14:paraId="278AABF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F3912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413382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14:paraId="005E7E4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1FF7A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96DD8C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shd w:val="clear" w:color="auto" w:fill="FFFFFF"/>
            <w:tcMar>
              <w:top w:w="15" w:type="dxa"/>
              <w:left w:w="0" w:type="dxa"/>
              <w:bottom w:w="0" w:type="dxa"/>
              <w:right w:w="15" w:type="dxa"/>
            </w:tcMar>
            <w:vAlign w:val="bottom"/>
            <w:hideMark/>
          </w:tcPr>
          <w:p w14:paraId="262146B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A2DC2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3E5BAA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14:paraId="0F36B91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677D1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A3613F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405CCFA" w14:textId="77777777">
        <w:trPr>
          <w:divId w:val="1103451172"/>
          <w:jc w:val="center"/>
        </w:trPr>
        <w:tc>
          <w:tcPr>
            <w:tcW w:w="2558" w:type="pct"/>
            <w:tcBorders>
              <w:top w:val="single" w:sz="6" w:space="0" w:color="000000"/>
            </w:tcBorders>
            <w:shd w:val="clear" w:color="auto" w:fill="CFF0FC"/>
            <w:tcMar>
              <w:top w:w="15" w:type="dxa"/>
              <w:left w:w="0" w:type="dxa"/>
              <w:bottom w:w="0" w:type="dxa"/>
              <w:right w:w="15" w:type="dxa"/>
            </w:tcMar>
            <w:hideMark/>
          </w:tcPr>
          <w:p w14:paraId="18F2966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Common stock and additional paid in capital</w:t>
            </w:r>
          </w:p>
        </w:tc>
        <w:tc>
          <w:tcPr>
            <w:tcW w:w="73" w:type="pct"/>
            <w:shd w:val="clear" w:color="auto" w:fill="CFF0FC"/>
            <w:tcMar>
              <w:top w:w="15" w:type="dxa"/>
              <w:left w:w="0" w:type="dxa"/>
              <w:bottom w:w="0" w:type="dxa"/>
              <w:right w:w="15" w:type="dxa"/>
            </w:tcMar>
            <w:vAlign w:val="bottom"/>
            <w:hideMark/>
          </w:tcPr>
          <w:p w14:paraId="2D81A13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12E87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36" w:type="pct"/>
            <w:tcBorders>
              <w:top w:val="single" w:sz="6" w:space="0" w:color="000000"/>
            </w:tcBorders>
            <w:shd w:val="clear" w:color="auto" w:fill="CFF0FC"/>
            <w:noWrap/>
            <w:tcMar>
              <w:top w:w="15" w:type="dxa"/>
              <w:left w:w="0" w:type="dxa"/>
              <w:bottom w:w="0" w:type="dxa"/>
              <w:right w:w="15" w:type="dxa"/>
            </w:tcMar>
            <w:vAlign w:val="bottom"/>
            <w:hideMark/>
          </w:tcPr>
          <w:p w14:paraId="2D6BFDA2"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2EE0DB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CFF0FC"/>
            <w:tcMar>
              <w:top w:w="15" w:type="dxa"/>
              <w:left w:w="0" w:type="dxa"/>
              <w:bottom w:w="0" w:type="dxa"/>
              <w:right w:w="15" w:type="dxa"/>
            </w:tcMar>
            <w:vAlign w:val="bottom"/>
            <w:hideMark/>
          </w:tcPr>
          <w:p w14:paraId="2191D5FE"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CB2BF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36" w:type="pct"/>
            <w:tcBorders>
              <w:top w:val="single" w:sz="6" w:space="0" w:color="000000"/>
            </w:tcBorders>
            <w:shd w:val="clear" w:color="auto" w:fill="CFF0FC"/>
            <w:noWrap/>
            <w:tcMar>
              <w:top w:w="15" w:type="dxa"/>
              <w:left w:w="0" w:type="dxa"/>
              <w:bottom w:w="0" w:type="dxa"/>
              <w:right w:w="15" w:type="dxa"/>
            </w:tcMar>
            <w:vAlign w:val="bottom"/>
            <w:hideMark/>
          </w:tcPr>
          <w:p w14:paraId="77619F0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71DDD4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CFF0FC"/>
            <w:tcMar>
              <w:top w:w="15" w:type="dxa"/>
              <w:left w:w="0" w:type="dxa"/>
              <w:bottom w:w="0" w:type="dxa"/>
              <w:right w:w="15" w:type="dxa"/>
            </w:tcMar>
            <w:vAlign w:val="bottom"/>
            <w:hideMark/>
          </w:tcPr>
          <w:p w14:paraId="4FBEC6A2"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D7069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36" w:type="pct"/>
            <w:tcBorders>
              <w:top w:val="single" w:sz="6" w:space="0" w:color="000000"/>
            </w:tcBorders>
            <w:shd w:val="clear" w:color="auto" w:fill="CFF0FC"/>
            <w:noWrap/>
            <w:tcMar>
              <w:top w:w="15" w:type="dxa"/>
              <w:left w:w="0" w:type="dxa"/>
              <w:bottom w:w="0" w:type="dxa"/>
              <w:right w:w="15" w:type="dxa"/>
            </w:tcMar>
            <w:vAlign w:val="bottom"/>
            <w:hideMark/>
          </w:tcPr>
          <w:p w14:paraId="2824FBF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DE216A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73" w:type="pct"/>
            <w:shd w:val="clear" w:color="auto" w:fill="CFF0FC"/>
            <w:tcMar>
              <w:top w:w="15" w:type="dxa"/>
              <w:left w:w="0" w:type="dxa"/>
              <w:bottom w:w="0" w:type="dxa"/>
              <w:right w:w="15" w:type="dxa"/>
            </w:tcMar>
            <w:vAlign w:val="bottom"/>
            <w:hideMark/>
          </w:tcPr>
          <w:p w14:paraId="558BF72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95A85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36" w:type="pct"/>
            <w:tcBorders>
              <w:top w:val="single" w:sz="6" w:space="0" w:color="000000"/>
            </w:tcBorders>
            <w:shd w:val="clear" w:color="auto" w:fill="CFF0FC"/>
            <w:noWrap/>
            <w:tcMar>
              <w:top w:w="15" w:type="dxa"/>
              <w:left w:w="0" w:type="dxa"/>
              <w:bottom w:w="0" w:type="dxa"/>
              <w:right w:w="15" w:type="dxa"/>
            </w:tcMar>
            <w:vAlign w:val="bottom"/>
            <w:hideMark/>
          </w:tcPr>
          <w:p w14:paraId="096850FA"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1F7370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6E40933A" w14:textId="77777777">
        <w:trPr>
          <w:divId w:val="1103451172"/>
          <w:jc w:val="center"/>
        </w:trPr>
        <w:tc>
          <w:tcPr>
            <w:tcW w:w="2558" w:type="pct"/>
            <w:shd w:val="clear" w:color="auto" w:fill="FFFFFF"/>
            <w:tcMar>
              <w:top w:w="15" w:type="dxa"/>
              <w:left w:w="0" w:type="dxa"/>
              <w:bottom w:w="0" w:type="dxa"/>
              <w:right w:w="15" w:type="dxa"/>
            </w:tcMar>
            <w:hideMark/>
          </w:tcPr>
          <w:p w14:paraId="6D953B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73" w:type="pct"/>
            <w:shd w:val="clear" w:color="auto" w:fill="FFFFFF"/>
            <w:tcMar>
              <w:top w:w="15" w:type="dxa"/>
              <w:left w:w="0" w:type="dxa"/>
              <w:bottom w:w="0" w:type="dxa"/>
              <w:right w:w="15" w:type="dxa"/>
            </w:tcMar>
            <w:vAlign w:val="bottom"/>
            <w:hideMark/>
          </w:tcPr>
          <w:p w14:paraId="11130D2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2EC92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FFFFFF"/>
            <w:noWrap/>
            <w:tcMar>
              <w:top w:w="15" w:type="dxa"/>
              <w:left w:w="0" w:type="dxa"/>
              <w:bottom w:w="0" w:type="dxa"/>
              <w:right w:w="15" w:type="dxa"/>
            </w:tcMar>
            <w:vAlign w:val="bottom"/>
            <w:hideMark/>
          </w:tcPr>
          <w:p w14:paraId="68CB389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27,430</w:t>
            </w:r>
          </w:p>
        </w:tc>
        <w:tc>
          <w:tcPr>
            <w:tcW w:w="50" w:type="pct"/>
            <w:shd w:val="clear" w:color="auto" w:fill="FFFFFF"/>
            <w:noWrap/>
            <w:tcMar>
              <w:top w:w="15" w:type="dxa"/>
              <w:left w:w="0" w:type="dxa"/>
              <w:bottom w:w="0" w:type="dxa"/>
              <w:right w:w="15" w:type="dxa"/>
            </w:tcMar>
            <w:vAlign w:val="bottom"/>
            <w:hideMark/>
          </w:tcPr>
          <w:p w14:paraId="574719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5DA18E8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9E509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FFFFFF"/>
            <w:noWrap/>
            <w:tcMar>
              <w:top w:w="15" w:type="dxa"/>
              <w:left w:w="0" w:type="dxa"/>
              <w:bottom w:w="0" w:type="dxa"/>
              <w:right w:w="15" w:type="dxa"/>
            </w:tcMar>
            <w:vAlign w:val="bottom"/>
            <w:hideMark/>
          </w:tcPr>
          <w:p w14:paraId="02AF881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28,474</w:t>
            </w:r>
          </w:p>
        </w:tc>
        <w:tc>
          <w:tcPr>
            <w:tcW w:w="50" w:type="pct"/>
            <w:shd w:val="clear" w:color="auto" w:fill="FFFFFF"/>
            <w:noWrap/>
            <w:tcMar>
              <w:top w:w="15" w:type="dxa"/>
              <w:left w:w="0" w:type="dxa"/>
              <w:bottom w:w="0" w:type="dxa"/>
              <w:right w:w="15" w:type="dxa"/>
            </w:tcMar>
            <w:vAlign w:val="bottom"/>
            <w:hideMark/>
          </w:tcPr>
          <w:p w14:paraId="23046D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7BEDEDA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C364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FFFFFF"/>
            <w:noWrap/>
            <w:tcMar>
              <w:top w:w="15" w:type="dxa"/>
              <w:left w:w="0" w:type="dxa"/>
              <w:bottom w:w="0" w:type="dxa"/>
              <w:right w:w="15" w:type="dxa"/>
            </w:tcMar>
            <w:vAlign w:val="bottom"/>
            <w:hideMark/>
          </w:tcPr>
          <w:p w14:paraId="6FE52A0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28,950</w:t>
            </w:r>
          </w:p>
        </w:tc>
        <w:tc>
          <w:tcPr>
            <w:tcW w:w="50" w:type="pct"/>
            <w:shd w:val="clear" w:color="auto" w:fill="FFFFFF"/>
            <w:noWrap/>
            <w:tcMar>
              <w:top w:w="15" w:type="dxa"/>
              <w:left w:w="0" w:type="dxa"/>
              <w:bottom w:w="0" w:type="dxa"/>
              <w:right w:w="15" w:type="dxa"/>
            </w:tcMar>
            <w:vAlign w:val="bottom"/>
            <w:hideMark/>
          </w:tcPr>
          <w:p w14:paraId="4589C8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51D12F6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14601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FFFFFF"/>
            <w:noWrap/>
            <w:tcMar>
              <w:top w:w="15" w:type="dxa"/>
              <w:left w:w="0" w:type="dxa"/>
              <w:bottom w:w="0" w:type="dxa"/>
              <w:right w:w="15" w:type="dxa"/>
            </w:tcMar>
            <w:vAlign w:val="bottom"/>
            <w:hideMark/>
          </w:tcPr>
          <w:p w14:paraId="65B6BB0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27,065</w:t>
            </w:r>
          </w:p>
        </w:tc>
        <w:tc>
          <w:tcPr>
            <w:tcW w:w="50" w:type="pct"/>
            <w:shd w:val="clear" w:color="auto" w:fill="FFFFFF"/>
            <w:noWrap/>
            <w:tcMar>
              <w:top w:w="15" w:type="dxa"/>
              <w:left w:w="0" w:type="dxa"/>
              <w:bottom w:w="0" w:type="dxa"/>
              <w:right w:w="15" w:type="dxa"/>
            </w:tcMar>
            <w:vAlign w:val="bottom"/>
            <w:hideMark/>
          </w:tcPr>
          <w:p w14:paraId="2E32CF1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C77CED8" w14:textId="77777777">
        <w:trPr>
          <w:divId w:val="1103451172"/>
          <w:jc w:val="center"/>
        </w:trPr>
        <w:tc>
          <w:tcPr>
            <w:tcW w:w="2558" w:type="pct"/>
            <w:shd w:val="clear" w:color="auto" w:fill="CFF0FC"/>
            <w:tcMar>
              <w:top w:w="15" w:type="dxa"/>
              <w:left w:w="0" w:type="dxa"/>
              <w:bottom w:w="0" w:type="dxa"/>
              <w:right w:w="15" w:type="dxa"/>
            </w:tcMar>
            <w:hideMark/>
          </w:tcPr>
          <w:p w14:paraId="3E5D16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Common stock issued</w:t>
            </w:r>
          </w:p>
        </w:tc>
        <w:tc>
          <w:tcPr>
            <w:tcW w:w="73" w:type="pct"/>
            <w:shd w:val="clear" w:color="auto" w:fill="CFF0FC"/>
            <w:tcMar>
              <w:top w:w="15" w:type="dxa"/>
              <w:left w:w="0" w:type="dxa"/>
              <w:bottom w:w="0" w:type="dxa"/>
              <w:right w:w="15" w:type="dxa"/>
            </w:tcMar>
            <w:vAlign w:val="bottom"/>
            <w:hideMark/>
          </w:tcPr>
          <w:p w14:paraId="14312A7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3D37B24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1CC063A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450</w:t>
            </w:r>
          </w:p>
        </w:tc>
        <w:tc>
          <w:tcPr>
            <w:tcW w:w="50" w:type="pct"/>
            <w:shd w:val="clear" w:color="auto" w:fill="CFF0FC"/>
            <w:noWrap/>
            <w:tcMar>
              <w:top w:w="15" w:type="dxa"/>
              <w:left w:w="0" w:type="dxa"/>
              <w:bottom w:w="0" w:type="dxa"/>
              <w:right w:w="15" w:type="dxa"/>
            </w:tcMar>
            <w:vAlign w:val="bottom"/>
            <w:hideMark/>
          </w:tcPr>
          <w:p w14:paraId="1BBCE2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3837FBE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6C709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2CB2626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763</w:t>
            </w:r>
          </w:p>
        </w:tc>
        <w:tc>
          <w:tcPr>
            <w:tcW w:w="50" w:type="pct"/>
            <w:shd w:val="clear" w:color="auto" w:fill="CFF0FC"/>
            <w:noWrap/>
            <w:tcMar>
              <w:top w:w="15" w:type="dxa"/>
              <w:left w:w="0" w:type="dxa"/>
              <w:bottom w:w="0" w:type="dxa"/>
              <w:right w:w="15" w:type="dxa"/>
            </w:tcMar>
            <w:vAlign w:val="bottom"/>
            <w:hideMark/>
          </w:tcPr>
          <w:p w14:paraId="527501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6DC1929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62099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1BA7A8B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1,476</w:t>
            </w:r>
          </w:p>
        </w:tc>
        <w:tc>
          <w:tcPr>
            <w:tcW w:w="50" w:type="pct"/>
            <w:shd w:val="clear" w:color="auto" w:fill="CFF0FC"/>
            <w:noWrap/>
            <w:tcMar>
              <w:top w:w="15" w:type="dxa"/>
              <w:left w:w="0" w:type="dxa"/>
              <w:bottom w:w="0" w:type="dxa"/>
              <w:right w:w="15" w:type="dxa"/>
            </w:tcMar>
            <w:vAlign w:val="bottom"/>
            <w:hideMark/>
          </w:tcPr>
          <w:p w14:paraId="09FFABC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306EA9F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07B686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39614B6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2,116</w:t>
            </w:r>
          </w:p>
        </w:tc>
        <w:tc>
          <w:tcPr>
            <w:tcW w:w="50" w:type="pct"/>
            <w:shd w:val="clear" w:color="auto" w:fill="CFF0FC"/>
            <w:noWrap/>
            <w:tcMar>
              <w:top w:w="15" w:type="dxa"/>
              <w:left w:w="0" w:type="dxa"/>
              <w:bottom w:w="0" w:type="dxa"/>
              <w:right w:w="15" w:type="dxa"/>
            </w:tcMar>
            <w:vAlign w:val="bottom"/>
            <w:hideMark/>
          </w:tcPr>
          <w:p w14:paraId="64967E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B4A54BC" w14:textId="77777777">
        <w:trPr>
          <w:divId w:val="1103451172"/>
          <w:jc w:val="center"/>
        </w:trPr>
        <w:tc>
          <w:tcPr>
            <w:tcW w:w="2558" w:type="pct"/>
            <w:shd w:val="clear" w:color="auto" w:fill="FFFFFF"/>
            <w:tcMar>
              <w:top w:w="15" w:type="dxa"/>
              <w:left w:w="0" w:type="dxa"/>
              <w:bottom w:w="0" w:type="dxa"/>
              <w:right w:w="15" w:type="dxa"/>
            </w:tcMar>
            <w:hideMark/>
          </w:tcPr>
          <w:p w14:paraId="1B473F3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Stock-based compensation</w:t>
            </w:r>
          </w:p>
        </w:tc>
        <w:tc>
          <w:tcPr>
            <w:tcW w:w="73" w:type="pct"/>
            <w:shd w:val="clear" w:color="auto" w:fill="FFFFFF"/>
            <w:tcMar>
              <w:top w:w="15" w:type="dxa"/>
              <w:left w:w="0" w:type="dxa"/>
              <w:bottom w:w="0" w:type="dxa"/>
              <w:right w:w="15" w:type="dxa"/>
            </w:tcMar>
            <w:vAlign w:val="bottom"/>
            <w:hideMark/>
          </w:tcPr>
          <w:p w14:paraId="1751C9E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37BC36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4A83CF8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427</w:t>
            </w:r>
          </w:p>
        </w:tc>
        <w:tc>
          <w:tcPr>
            <w:tcW w:w="50" w:type="pct"/>
            <w:shd w:val="clear" w:color="auto" w:fill="FFFFFF"/>
            <w:noWrap/>
            <w:tcMar>
              <w:top w:w="15" w:type="dxa"/>
              <w:left w:w="0" w:type="dxa"/>
              <w:bottom w:w="0" w:type="dxa"/>
              <w:right w:w="15" w:type="dxa"/>
            </w:tcMar>
            <w:vAlign w:val="bottom"/>
            <w:hideMark/>
          </w:tcPr>
          <w:p w14:paraId="3DBE22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4230E20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5CC2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49AAD1A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389</w:t>
            </w:r>
          </w:p>
        </w:tc>
        <w:tc>
          <w:tcPr>
            <w:tcW w:w="50" w:type="pct"/>
            <w:shd w:val="clear" w:color="auto" w:fill="FFFFFF"/>
            <w:noWrap/>
            <w:tcMar>
              <w:top w:w="15" w:type="dxa"/>
              <w:left w:w="0" w:type="dxa"/>
              <w:bottom w:w="0" w:type="dxa"/>
              <w:right w:w="15" w:type="dxa"/>
            </w:tcMar>
            <w:vAlign w:val="bottom"/>
            <w:hideMark/>
          </w:tcPr>
          <w:p w14:paraId="393A96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179CCBB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3F2F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14047DF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1,259</w:t>
            </w:r>
          </w:p>
        </w:tc>
        <w:tc>
          <w:tcPr>
            <w:tcW w:w="50" w:type="pct"/>
            <w:shd w:val="clear" w:color="auto" w:fill="FFFFFF"/>
            <w:noWrap/>
            <w:tcMar>
              <w:top w:w="15" w:type="dxa"/>
              <w:left w:w="0" w:type="dxa"/>
              <w:bottom w:w="0" w:type="dxa"/>
              <w:right w:w="15" w:type="dxa"/>
            </w:tcMar>
            <w:vAlign w:val="bottom"/>
            <w:hideMark/>
          </w:tcPr>
          <w:p w14:paraId="0B6082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108332C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3F81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6350BA6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1,211</w:t>
            </w:r>
          </w:p>
        </w:tc>
        <w:tc>
          <w:tcPr>
            <w:tcW w:w="50" w:type="pct"/>
            <w:shd w:val="clear" w:color="auto" w:fill="FFFFFF"/>
            <w:noWrap/>
            <w:tcMar>
              <w:top w:w="15" w:type="dxa"/>
              <w:left w:w="0" w:type="dxa"/>
              <w:bottom w:w="0" w:type="dxa"/>
              <w:right w:w="15" w:type="dxa"/>
            </w:tcMar>
            <w:vAlign w:val="bottom"/>
            <w:hideMark/>
          </w:tcPr>
          <w:p w14:paraId="2B0C8B5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E0EA578" w14:textId="77777777">
        <w:trPr>
          <w:divId w:val="1103451172"/>
          <w:jc w:val="center"/>
        </w:trPr>
        <w:tc>
          <w:tcPr>
            <w:tcW w:w="2558" w:type="pct"/>
            <w:shd w:val="clear" w:color="auto" w:fill="CFF0FC"/>
            <w:tcMar>
              <w:top w:w="15" w:type="dxa"/>
              <w:left w:w="0" w:type="dxa"/>
              <w:bottom w:w="0" w:type="dxa"/>
              <w:right w:w="15" w:type="dxa"/>
            </w:tcMar>
            <w:hideMark/>
          </w:tcPr>
          <w:p w14:paraId="0DA178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Repurchase of common stock</w:t>
            </w:r>
          </w:p>
        </w:tc>
        <w:tc>
          <w:tcPr>
            <w:tcW w:w="73" w:type="pct"/>
            <w:shd w:val="clear" w:color="auto" w:fill="CFF0FC"/>
            <w:tcMar>
              <w:top w:w="15" w:type="dxa"/>
              <w:left w:w="0" w:type="dxa"/>
              <w:bottom w:w="0" w:type="dxa"/>
              <w:right w:w="15" w:type="dxa"/>
            </w:tcMar>
            <w:vAlign w:val="bottom"/>
            <w:hideMark/>
          </w:tcPr>
          <w:p w14:paraId="06A2506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1BF2E2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4FF0973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(1,533</w:t>
            </w:r>
          </w:p>
        </w:tc>
        <w:tc>
          <w:tcPr>
            <w:tcW w:w="50" w:type="pct"/>
            <w:shd w:val="clear" w:color="auto" w:fill="CFF0FC"/>
            <w:noWrap/>
            <w:tcMar>
              <w:top w:w="15" w:type="dxa"/>
              <w:left w:w="0" w:type="dxa"/>
              <w:bottom w:w="0" w:type="dxa"/>
              <w:right w:w="15" w:type="dxa"/>
            </w:tcMar>
            <w:vAlign w:val="bottom"/>
            <w:hideMark/>
          </w:tcPr>
          <w:p w14:paraId="5BE6FCA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4777E91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36D1D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781C991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(548</w:t>
            </w:r>
          </w:p>
        </w:tc>
        <w:tc>
          <w:tcPr>
            <w:tcW w:w="50" w:type="pct"/>
            <w:shd w:val="clear" w:color="auto" w:fill="CFF0FC"/>
            <w:noWrap/>
            <w:tcMar>
              <w:top w:w="15" w:type="dxa"/>
              <w:left w:w="0" w:type="dxa"/>
              <w:bottom w:w="0" w:type="dxa"/>
              <w:right w:w="15" w:type="dxa"/>
            </w:tcMar>
            <w:vAlign w:val="bottom"/>
            <w:hideMark/>
          </w:tcPr>
          <w:p w14:paraId="7C2AEB5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1593418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D4662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2045CB9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(4,496</w:t>
            </w:r>
          </w:p>
        </w:tc>
        <w:tc>
          <w:tcPr>
            <w:tcW w:w="50" w:type="pct"/>
            <w:shd w:val="clear" w:color="auto" w:fill="CFF0FC"/>
            <w:noWrap/>
            <w:tcMar>
              <w:top w:w="15" w:type="dxa"/>
              <w:left w:w="0" w:type="dxa"/>
              <w:bottom w:w="0" w:type="dxa"/>
              <w:right w:w="15" w:type="dxa"/>
            </w:tcMar>
            <w:vAlign w:val="bottom"/>
            <w:hideMark/>
          </w:tcPr>
          <w:p w14:paraId="309F3F4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684BA38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8CDE50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4DD8666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(884</w:t>
            </w:r>
          </w:p>
        </w:tc>
        <w:tc>
          <w:tcPr>
            <w:tcW w:w="50" w:type="pct"/>
            <w:shd w:val="clear" w:color="auto" w:fill="CFF0FC"/>
            <w:noWrap/>
            <w:tcMar>
              <w:top w:w="15" w:type="dxa"/>
              <w:left w:w="0" w:type="dxa"/>
              <w:bottom w:w="0" w:type="dxa"/>
              <w:right w:w="15" w:type="dxa"/>
            </w:tcMar>
            <w:vAlign w:val="bottom"/>
            <w:hideMark/>
          </w:tcPr>
          <w:p w14:paraId="01DE73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1FCA030E" w14:textId="77777777">
        <w:trPr>
          <w:divId w:val="1103451172"/>
          <w:jc w:val="center"/>
        </w:trPr>
        <w:tc>
          <w:tcPr>
            <w:tcW w:w="2558" w:type="pct"/>
            <w:shd w:val="clear" w:color="auto" w:fill="FFFFFF"/>
            <w:tcMar>
              <w:top w:w="15" w:type="dxa"/>
              <w:left w:w="0" w:type="dxa"/>
              <w:bottom w:w="0" w:type="dxa"/>
              <w:right w:w="15" w:type="dxa"/>
            </w:tcMar>
            <w:hideMark/>
          </w:tcPr>
          <w:p w14:paraId="22EEC6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 net</w:t>
            </w:r>
          </w:p>
        </w:tc>
        <w:tc>
          <w:tcPr>
            <w:tcW w:w="73" w:type="pct"/>
            <w:shd w:val="clear" w:color="auto" w:fill="FFFFFF"/>
            <w:tcMar>
              <w:top w:w="15" w:type="dxa"/>
              <w:left w:w="0" w:type="dxa"/>
              <w:bottom w:w="0" w:type="dxa"/>
              <w:right w:w="15" w:type="dxa"/>
            </w:tcMar>
            <w:vAlign w:val="bottom"/>
            <w:hideMark/>
          </w:tcPr>
          <w:p w14:paraId="3D3F790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11C5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0FCBD03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w:t>
            </w:r>
          </w:p>
        </w:tc>
        <w:tc>
          <w:tcPr>
            <w:tcW w:w="50" w:type="pct"/>
            <w:shd w:val="clear" w:color="auto" w:fill="FFFFFF"/>
            <w:noWrap/>
            <w:tcMar>
              <w:top w:w="15" w:type="dxa"/>
              <w:left w:w="0" w:type="dxa"/>
              <w:bottom w:w="0" w:type="dxa"/>
              <w:right w:w="15" w:type="dxa"/>
            </w:tcMar>
            <w:vAlign w:val="bottom"/>
            <w:hideMark/>
          </w:tcPr>
          <w:p w14:paraId="18FF26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0F77740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ABD5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7F2524E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w:t>
            </w:r>
          </w:p>
        </w:tc>
        <w:tc>
          <w:tcPr>
            <w:tcW w:w="50" w:type="pct"/>
            <w:shd w:val="clear" w:color="auto" w:fill="FFFFFF"/>
            <w:noWrap/>
            <w:tcMar>
              <w:top w:w="15" w:type="dxa"/>
              <w:left w:w="0" w:type="dxa"/>
              <w:bottom w:w="0" w:type="dxa"/>
              <w:right w:w="15" w:type="dxa"/>
            </w:tcMar>
            <w:vAlign w:val="bottom"/>
            <w:hideMark/>
          </w:tcPr>
          <w:p w14:paraId="4F0697B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4AF694C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0B58B1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7FA5455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(457</w:t>
            </w:r>
          </w:p>
        </w:tc>
        <w:tc>
          <w:tcPr>
            <w:tcW w:w="50" w:type="pct"/>
            <w:shd w:val="clear" w:color="auto" w:fill="FFFFFF"/>
            <w:noWrap/>
            <w:tcMar>
              <w:top w:w="15" w:type="dxa"/>
              <w:left w:w="0" w:type="dxa"/>
              <w:bottom w:w="0" w:type="dxa"/>
              <w:right w:w="15" w:type="dxa"/>
            </w:tcMar>
            <w:vAlign w:val="bottom"/>
            <w:hideMark/>
          </w:tcPr>
          <w:p w14:paraId="026335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3317205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41033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6E24989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(460</w:t>
            </w:r>
          </w:p>
        </w:tc>
        <w:tc>
          <w:tcPr>
            <w:tcW w:w="50" w:type="pct"/>
            <w:shd w:val="clear" w:color="auto" w:fill="FFFFFF"/>
            <w:noWrap/>
            <w:tcMar>
              <w:top w:w="15" w:type="dxa"/>
              <w:left w:w="0" w:type="dxa"/>
              <w:bottom w:w="0" w:type="dxa"/>
              <w:right w:w="15" w:type="dxa"/>
            </w:tcMar>
            <w:vAlign w:val="bottom"/>
            <w:hideMark/>
          </w:tcPr>
          <w:p w14:paraId="0CFEA34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4C9E426" w14:textId="77777777">
        <w:trPr>
          <w:divId w:val="1103451172"/>
          <w:jc w:val="center"/>
        </w:trPr>
        <w:tc>
          <w:tcPr>
            <w:tcW w:w="2558" w:type="pct"/>
            <w:shd w:val="clear" w:color="auto" w:fill="CFF0FC"/>
            <w:tcMar>
              <w:top w:w="15" w:type="dxa"/>
              <w:left w:w="0" w:type="dxa"/>
              <w:bottom w:w="0" w:type="dxa"/>
              <w:right w:w="15" w:type="dxa"/>
            </w:tcMar>
            <w:hideMark/>
          </w:tcPr>
          <w:p w14:paraId="23E3EF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73" w:type="pct"/>
            <w:shd w:val="clear" w:color="auto" w:fill="CFF0FC"/>
            <w:tcMar>
              <w:top w:w="15" w:type="dxa"/>
              <w:left w:w="0" w:type="dxa"/>
              <w:bottom w:w="0" w:type="dxa"/>
              <w:right w:w="15" w:type="dxa"/>
            </w:tcMar>
            <w:vAlign w:val="bottom"/>
            <w:hideMark/>
          </w:tcPr>
          <w:p w14:paraId="7A55A93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48D2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BB51C9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26,732</w:t>
            </w:r>
          </w:p>
        </w:tc>
        <w:tc>
          <w:tcPr>
            <w:tcW w:w="50" w:type="pct"/>
            <w:shd w:val="clear" w:color="auto" w:fill="CFF0FC"/>
            <w:noWrap/>
            <w:tcMar>
              <w:top w:w="15" w:type="dxa"/>
              <w:left w:w="0" w:type="dxa"/>
              <w:bottom w:w="0" w:type="dxa"/>
              <w:right w:w="15" w:type="dxa"/>
            </w:tcMar>
            <w:vAlign w:val="bottom"/>
            <w:hideMark/>
          </w:tcPr>
          <w:p w14:paraId="4E167E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4FFE31C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5C8B9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7B503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29,048</w:t>
            </w:r>
          </w:p>
        </w:tc>
        <w:tc>
          <w:tcPr>
            <w:tcW w:w="50" w:type="pct"/>
            <w:shd w:val="clear" w:color="auto" w:fill="CFF0FC"/>
            <w:noWrap/>
            <w:tcMar>
              <w:top w:w="15" w:type="dxa"/>
              <w:left w:w="0" w:type="dxa"/>
              <w:bottom w:w="0" w:type="dxa"/>
              <w:right w:w="15" w:type="dxa"/>
            </w:tcMar>
            <w:vAlign w:val="bottom"/>
            <w:hideMark/>
          </w:tcPr>
          <w:p w14:paraId="75C03ED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6B38A70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76CDC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65DEC4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26,732</w:t>
            </w:r>
          </w:p>
        </w:tc>
        <w:tc>
          <w:tcPr>
            <w:tcW w:w="50" w:type="pct"/>
            <w:shd w:val="clear" w:color="auto" w:fill="CFF0FC"/>
            <w:noWrap/>
            <w:tcMar>
              <w:top w:w="15" w:type="dxa"/>
              <w:left w:w="0" w:type="dxa"/>
              <w:bottom w:w="0" w:type="dxa"/>
              <w:right w:w="15" w:type="dxa"/>
            </w:tcMar>
            <w:vAlign w:val="bottom"/>
            <w:hideMark/>
          </w:tcPr>
          <w:p w14:paraId="7C3D0A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4CD3184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567D0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06982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29,048</w:t>
            </w:r>
          </w:p>
        </w:tc>
        <w:tc>
          <w:tcPr>
            <w:tcW w:w="50" w:type="pct"/>
            <w:shd w:val="clear" w:color="auto" w:fill="CFF0FC"/>
            <w:noWrap/>
            <w:tcMar>
              <w:top w:w="15" w:type="dxa"/>
              <w:left w:w="0" w:type="dxa"/>
              <w:bottom w:w="0" w:type="dxa"/>
              <w:right w:w="15" w:type="dxa"/>
            </w:tcMar>
            <w:vAlign w:val="bottom"/>
            <w:hideMark/>
          </w:tcPr>
          <w:p w14:paraId="2609107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47E7776" w14:textId="77777777">
        <w:trPr>
          <w:divId w:val="1103451172"/>
          <w:jc w:val="center"/>
        </w:trPr>
        <w:tc>
          <w:tcPr>
            <w:tcW w:w="2558" w:type="pct"/>
            <w:shd w:val="clear" w:color="auto" w:fill="FFFFFF"/>
            <w:tcMar>
              <w:top w:w="15" w:type="dxa"/>
              <w:left w:w="0" w:type="dxa"/>
              <w:bottom w:w="0" w:type="dxa"/>
              <w:right w:w="15" w:type="dxa"/>
            </w:tcMar>
            <w:hideMark/>
          </w:tcPr>
          <w:p w14:paraId="104258C1"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(Accumulated deficit) retained earnings</w:t>
            </w:r>
          </w:p>
        </w:tc>
        <w:tc>
          <w:tcPr>
            <w:tcW w:w="73" w:type="pct"/>
            <w:shd w:val="clear" w:color="auto" w:fill="FFFFFF"/>
            <w:tcMar>
              <w:top w:w="15" w:type="dxa"/>
              <w:left w:w="0" w:type="dxa"/>
              <w:bottom w:w="0" w:type="dxa"/>
              <w:right w:w="15" w:type="dxa"/>
            </w:tcMar>
            <w:vAlign w:val="bottom"/>
            <w:hideMark/>
          </w:tcPr>
          <w:p w14:paraId="5C539A8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E5B68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63C42F2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5261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0B71A15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14861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70C98BC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F0361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3FC324F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C6EB6A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7E612B9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D1DE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3E62F8C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5EFB9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08A476D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710FF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267DB99" w14:textId="77777777">
        <w:trPr>
          <w:divId w:val="1103451172"/>
          <w:jc w:val="center"/>
        </w:trPr>
        <w:tc>
          <w:tcPr>
            <w:tcW w:w="2558" w:type="pct"/>
            <w:shd w:val="clear" w:color="auto" w:fill="CFF0FC"/>
            <w:tcMar>
              <w:top w:w="15" w:type="dxa"/>
              <w:left w:w="0" w:type="dxa"/>
              <w:bottom w:w="0" w:type="dxa"/>
              <w:right w:w="15" w:type="dxa"/>
            </w:tcMar>
            <w:hideMark/>
          </w:tcPr>
          <w:p w14:paraId="52B99F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73" w:type="pct"/>
            <w:shd w:val="clear" w:color="auto" w:fill="CFF0FC"/>
            <w:tcMar>
              <w:top w:w="15" w:type="dxa"/>
              <w:left w:w="0" w:type="dxa"/>
              <w:bottom w:w="0" w:type="dxa"/>
              <w:right w:w="15" w:type="dxa"/>
            </w:tcMar>
            <w:vAlign w:val="bottom"/>
            <w:hideMark/>
          </w:tcPr>
          <w:p w14:paraId="362C46C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5BA377B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2933746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5,107</w:t>
            </w:r>
          </w:p>
        </w:tc>
        <w:tc>
          <w:tcPr>
            <w:tcW w:w="50" w:type="pct"/>
            <w:shd w:val="clear" w:color="auto" w:fill="CFF0FC"/>
            <w:noWrap/>
            <w:tcMar>
              <w:top w:w="15" w:type="dxa"/>
              <w:left w:w="0" w:type="dxa"/>
              <w:bottom w:w="0" w:type="dxa"/>
              <w:right w:w="15" w:type="dxa"/>
            </w:tcMar>
            <w:vAlign w:val="bottom"/>
            <w:hideMark/>
          </w:tcPr>
          <w:p w14:paraId="360568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088B16A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AF16A7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7A8E815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29,149</w:t>
            </w:r>
          </w:p>
        </w:tc>
        <w:tc>
          <w:tcPr>
            <w:tcW w:w="50" w:type="pct"/>
            <w:shd w:val="clear" w:color="auto" w:fill="CFF0FC"/>
            <w:noWrap/>
            <w:tcMar>
              <w:top w:w="15" w:type="dxa"/>
              <w:left w:w="0" w:type="dxa"/>
              <w:bottom w:w="0" w:type="dxa"/>
              <w:right w:w="15" w:type="dxa"/>
            </w:tcMar>
            <w:vAlign w:val="bottom"/>
            <w:hideMark/>
          </w:tcPr>
          <w:p w14:paraId="4803E6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58B65EF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766A9F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68940A7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19,111</w:t>
            </w:r>
          </w:p>
        </w:tc>
        <w:tc>
          <w:tcPr>
            <w:tcW w:w="50" w:type="pct"/>
            <w:shd w:val="clear" w:color="auto" w:fill="CFF0FC"/>
            <w:noWrap/>
            <w:tcMar>
              <w:top w:w="15" w:type="dxa"/>
              <w:left w:w="0" w:type="dxa"/>
              <w:bottom w:w="0" w:type="dxa"/>
              <w:right w:w="15" w:type="dxa"/>
            </w:tcMar>
            <w:vAlign w:val="bottom"/>
            <w:hideMark/>
          </w:tcPr>
          <w:p w14:paraId="1262D3A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745F2FC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2B975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1FDAF26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28,535</w:t>
            </w:r>
          </w:p>
        </w:tc>
        <w:tc>
          <w:tcPr>
            <w:tcW w:w="50" w:type="pct"/>
            <w:shd w:val="clear" w:color="auto" w:fill="CFF0FC"/>
            <w:noWrap/>
            <w:tcMar>
              <w:top w:w="15" w:type="dxa"/>
              <w:left w:w="0" w:type="dxa"/>
              <w:bottom w:w="0" w:type="dxa"/>
              <w:right w:w="15" w:type="dxa"/>
            </w:tcMar>
            <w:vAlign w:val="bottom"/>
            <w:hideMark/>
          </w:tcPr>
          <w:p w14:paraId="2D9118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CF598BF" w14:textId="77777777">
        <w:trPr>
          <w:divId w:val="1103451172"/>
          <w:jc w:val="center"/>
        </w:trPr>
        <w:tc>
          <w:tcPr>
            <w:tcW w:w="2558" w:type="pct"/>
            <w:shd w:val="clear" w:color="auto" w:fill="FFFFFF"/>
            <w:tcMar>
              <w:top w:w="15" w:type="dxa"/>
              <w:left w:w="0" w:type="dxa"/>
              <w:bottom w:w="0" w:type="dxa"/>
              <w:right w:w="15" w:type="dxa"/>
            </w:tcMar>
            <w:hideMark/>
          </w:tcPr>
          <w:p w14:paraId="556058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Cumulative-effect of accounting change</w:t>
            </w:r>
          </w:p>
        </w:tc>
        <w:tc>
          <w:tcPr>
            <w:tcW w:w="73" w:type="pct"/>
            <w:shd w:val="clear" w:color="auto" w:fill="FFFFFF"/>
            <w:tcMar>
              <w:top w:w="15" w:type="dxa"/>
              <w:left w:w="0" w:type="dxa"/>
              <w:bottom w:w="0" w:type="dxa"/>
              <w:right w:w="15" w:type="dxa"/>
            </w:tcMar>
            <w:vAlign w:val="bottom"/>
            <w:hideMark/>
          </w:tcPr>
          <w:p w14:paraId="6C30BB4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48DB89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6BF0117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3DABF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29E1024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208D6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53DD395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8EE0D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0F88151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29D819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1F81A28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w:t>
            </w:r>
          </w:p>
        </w:tc>
        <w:tc>
          <w:tcPr>
            <w:tcW w:w="50" w:type="pct"/>
            <w:shd w:val="clear" w:color="auto" w:fill="FFFFFF"/>
            <w:noWrap/>
            <w:tcMar>
              <w:top w:w="15" w:type="dxa"/>
              <w:left w:w="0" w:type="dxa"/>
              <w:bottom w:w="0" w:type="dxa"/>
              <w:right w:w="15" w:type="dxa"/>
            </w:tcMar>
            <w:vAlign w:val="bottom"/>
            <w:hideMark/>
          </w:tcPr>
          <w:p w14:paraId="4B45B8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4CBBCA2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46D0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46B6970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5CDA3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F1185BB" w14:textId="77777777">
        <w:trPr>
          <w:divId w:val="1103451172"/>
          <w:jc w:val="center"/>
        </w:trPr>
        <w:tc>
          <w:tcPr>
            <w:tcW w:w="2558" w:type="pct"/>
            <w:shd w:val="clear" w:color="auto" w:fill="CFF0FC"/>
            <w:tcMar>
              <w:top w:w="15" w:type="dxa"/>
              <w:left w:w="0" w:type="dxa"/>
              <w:bottom w:w="0" w:type="dxa"/>
              <w:right w:w="15" w:type="dxa"/>
            </w:tcMar>
            <w:hideMark/>
          </w:tcPr>
          <w:p w14:paraId="14F19B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Repurchase of common stock</w:t>
            </w:r>
          </w:p>
        </w:tc>
        <w:tc>
          <w:tcPr>
            <w:tcW w:w="73" w:type="pct"/>
            <w:shd w:val="clear" w:color="auto" w:fill="CFF0FC"/>
            <w:tcMar>
              <w:top w:w="15" w:type="dxa"/>
              <w:left w:w="0" w:type="dxa"/>
              <w:bottom w:w="0" w:type="dxa"/>
              <w:right w:w="15" w:type="dxa"/>
            </w:tcMar>
            <w:vAlign w:val="bottom"/>
            <w:hideMark/>
          </w:tcPr>
          <w:p w14:paraId="13E7354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7F2911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1FB626E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(8,466</w:t>
            </w:r>
          </w:p>
        </w:tc>
        <w:tc>
          <w:tcPr>
            <w:tcW w:w="50" w:type="pct"/>
            <w:shd w:val="clear" w:color="auto" w:fill="CFF0FC"/>
            <w:noWrap/>
            <w:tcMar>
              <w:top w:w="15" w:type="dxa"/>
              <w:left w:w="0" w:type="dxa"/>
              <w:bottom w:w="0" w:type="dxa"/>
              <w:right w:w="15" w:type="dxa"/>
            </w:tcMar>
            <w:vAlign w:val="bottom"/>
            <w:hideMark/>
          </w:tcPr>
          <w:p w14:paraId="2A005C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6AD7D4D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50CCA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06B2B98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(3,452</w:t>
            </w:r>
          </w:p>
        </w:tc>
        <w:tc>
          <w:tcPr>
            <w:tcW w:w="50" w:type="pct"/>
            <w:shd w:val="clear" w:color="auto" w:fill="CFF0FC"/>
            <w:noWrap/>
            <w:tcMar>
              <w:top w:w="15" w:type="dxa"/>
              <w:left w:w="0" w:type="dxa"/>
              <w:bottom w:w="0" w:type="dxa"/>
              <w:right w:w="15" w:type="dxa"/>
            </w:tcMar>
            <w:vAlign w:val="bottom"/>
            <w:hideMark/>
          </w:tcPr>
          <w:p w14:paraId="1184B8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2BA5F5E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D6EFF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08BFA84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(25,505</w:t>
            </w:r>
          </w:p>
        </w:tc>
        <w:tc>
          <w:tcPr>
            <w:tcW w:w="50" w:type="pct"/>
            <w:shd w:val="clear" w:color="auto" w:fill="CFF0FC"/>
            <w:noWrap/>
            <w:tcMar>
              <w:top w:w="15" w:type="dxa"/>
              <w:left w:w="0" w:type="dxa"/>
              <w:bottom w:w="0" w:type="dxa"/>
              <w:right w:w="15" w:type="dxa"/>
            </w:tcMar>
            <w:vAlign w:val="bottom"/>
            <w:hideMark/>
          </w:tcPr>
          <w:p w14:paraId="3BA84A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424C152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BD3C3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05F7FD7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(5,617</w:t>
            </w:r>
          </w:p>
        </w:tc>
        <w:tc>
          <w:tcPr>
            <w:tcW w:w="50" w:type="pct"/>
            <w:shd w:val="clear" w:color="auto" w:fill="CFF0FC"/>
            <w:noWrap/>
            <w:tcMar>
              <w:top w:w="15" w:type="dxa"/>
              <w:left w:w="0" w:type="dxa"/>
              <w:bottom w:w="0" w:type="dxa"/>
              <w:right w:w="15" w:type="dxa"/>
            </w:tcMar>
            <w:vAlign w:val="bottom"/>
            <w:hideMark/>
          </w:tcPr>
          <w:p w14:paraId="15C2D9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527825AC" w14:textId="77777777">
        <w:trPr>
          <w:divId w:val="1103451172"/>
          <w:jc w:val="center"/>
        </w:trPr>
        <w:tc>
          <w:tcPr>
            <w:tcW w:w="2558" w:type="pct"/>
            <w:shd w:val="clear" w:color="auto" w:fill="FFFFFF"/>
            <w:tcMar>
              <w:top w:w="15" w:type="dxa"/>
              <w:left w:w="0" w:type="dxa"/>
              <w:bottom w:w="0" w:type="dxa"/>
              <w:right w:w="15" w:type="dxa"/>
            </w:tcMar>
            <w:hideMark/>
          </w:tcPr>
          <w:p w14:paraId="0E444B9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dividends declared</w:t>
            </w:r>
          </w:p>
        </w:tc>
        <w:tc>
          <w:tcPr>
            <w:tcW w:w="73" w:type="pct"/>
            <w:shd w:val="clear" w:color="auto" w:fill="FFFFFF"/>
            <w:tcMar>
              <w:top w:w="15" w:type="dxa"/>
              <w:left w:w="0" w:type="dxa"/>
              <w:bottom w:w="0" w:type="dxa"/>
              <w:right w:w="15" w:type="dxa"/>
            </w:tcMar>
            <w:vAlign w:val="bottom"/>
            <w:hideMark/>
          </w:tcPr>
          <w:p w14:paraId="6D14FF6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995FB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69CD71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(670</w:t>
            </w:r>
          </w:p>
        </w:tc>
        <w:tc>
          <w:tcPr>
            <w:tcW w:w="50" w:type="pct"/>
            <w:shd w:val="clear" w:color="auto" w:fill="FFFFFF"/>
            <w:noWrap/>
            <w:tcMar>
              <w:top w:w="15" w:type="dxa"/>
              <w:left w:w="0" w:type="dxa"/>
              <w:bottom w:w="0" w:type="dxa"/>
              <w:right w:w="15" w:type="dxa"/>
            </w:tcMar>
            <w:vAlign w:val="bottom"/>
            <w:hideMark/>
          </w:tcPr>
          <w:p w14:paraId="099948A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5884EC2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65A5C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1C95DA4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(783</w:t>
            </w:r>
          </w:p>
        </w:tc>
        <w:tc>
          <w:tcPr>
            <w:tcW w:w="50" w:type="pct"/>
            <w:shd w:val="clear" w:color="auto" w:fill="FFFFFF"/>
            <w:noWrap/>
            <w:tcMar>
              <w:top w:w="15" w:type="dxa"/>
              <w:left w:w="0" w:type="dxa"/>
              <w:bottom w:w="0" w:type="dxa"/>
              <w:right w:w="15" w:type="dxa"/>
            </w:tcMar>
            <w:vAlign w:val="bottom"/>
            <w:hideMark/>
          </w:tcPr>
          <w:p w14:paraId="3BE389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23216D3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67EC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31ED12C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(2,126</w:t>
            </w:r>
          </w:p>
        </w:tc>
        <w:tc>
          <w:tcPr>
            <w:tcW w:w="50" w:type="pct"/>
            <w:shd w:val="clear" w:color="auto" w:fill="FFFFFF"/>
            <w:noWrap/>
            <w:tcMar>
              <w:top w:w="15" w:type="dxa"/>
              <w:left w:w="0" w:type="dxa"/>
              <w:bottom w:w="0" w:type="dxa"/>
              <w:right w:w="15" w:type="dxa"/>
            </w:tcMar>
            <w:vAlign w:val="bottom"/>
            <w:hideMark/>
          </w:tcPr>
          <w:p w14:paraId="6EF580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5B4FC18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DBF80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56BB2E8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(2,362</w:t>
            </w:r>
          </w:p>
        </w:tc>
        <w:tc>
          <w:tcPr>
            <w:tcW w:w="50" w:type="pct"/>
            <w:shd w:val="clear" w:color="auto" w:fill="FFFFFF"/>
            <w:noWrap/>
            <w:tcMar>
              <w:top w:w="15" w:type="dxa"/>
              <w:left w:w="0" w:type="dxa"/>
              <w:bottom w:w="0" w:type="dxa"/>
              <w:right w:w="15" w:type="dxa"/>
            </w:tcMar>
            <w:vAlign w:val="bottom"/>
            <w:hideMark/>
          </w:tcPr>
          <w:p w14:paraId="65F3BBC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29ED0872" w14:textId="77777777">
        <w:trPr>
          <w:divId w:val="1103451172"/>
          <w:jc w:val="center"/>
        </w:trPr>
        <w:tc>
          <w:tcPr>
            <w:tcW w:w="2558" w:type="pct"/>
            <w:shd w:val="clear" w:color="auto" w:fill="CFF0FC"/>
            <w:tcMar>
              <w:top w:w="15" w:type="dxa"/>
              <w:left w:w="0" w:type="dxa"/>
              <w:bottom w:w="0" w:type="dxa"/>
              <w:right w:w="15" w:type="dxa"/>
            </w:tcMar>
            <w:hideMark/>
          </w:tcPr>
          <w:p w14:paraId="664A29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Net income (loss)</w:t>
            </w:r>
          </w:p>
        </w:tc>
        <w:tc>
          <w:tcPr>
            <w:tcW w:w="73" w:type="pct"/>
            <w:shd w:val="clear" w:color="auto" w:fill="CFF0FC"/>
            <w:tcMar>
              <w:top w:w="15" w:type="dxa"/>
              <w:left w:w="0" w:type="dxa"/>
              <w:bottom w:w="0" w:type="dxa"/>
              <w:right w:w="15" w:type="dxa"/>
            </w:tcMar>
            <w:vAlign w:val="bottom"/>
            <w:hideMark/>
          </w:tcPr>
          <w:p w14:paraId="4636446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AEB1A2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18582CB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2,745</w:t>
            </w:r>
          </w:p>
        </w:tc>
        <w:tc>
          <w:tcPr>
            <w:tcW w:w="50" w:type="pct"/>
            <w:shd w:val="clear" w:color="auto" w:fill="CFF0FC"/>
            <w:noWrap/>
            <w:tcMar>
              <w:top w:w="15" w:type="dxa"/>
              <w:left w:w="0" w:type="dxa"/>
              <w:bottom w:w="0" w:type="dxa"/>
              <w:right w:w="15" w:type="dxa"/>
            </w:tcMar>
            <w:vAlign w:val="bottom"/>
            <w:hideMark/>
          </w:tcPr>
          <w:p w14:paraId="09B8C97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1116AC2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DD75C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39F1C4F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(4,047</w:t>
            </w:r>
          </w:p>
        </w:tc>
        <w:tc>
          <w:tcPr>
            <w:tcW w:w="50" w:type="pct"/>
            <w:shd w:val="clear" w:color="auto" w:fill="CFF0FC"/>
            <w:noWrap/>
            <w:tcMar>
              <w:top w:w="15" w:type="dxa"/>
              <w:left w:w="0" w:type="dxa"/>
              <w:bottom w:w="0" w:type="dxa"/>
              <w:right w:w="15" w:type="dxa"/>
            </w:tcMar>
            <w:vAlign w:val="bottom"/>
            <w:hideMark/>
          </w:tcPr>
          <w:p w14:paraId="0B1F1F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44010E2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8838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3FFB7D6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7,343</w:t>
            </w:r>
          </w:p>
        </w:tc>
        <w:tc>
          <w:tcPr>
            <w:tcW w:w="50" w:type="pct"/>
            <w:shd w:val="clear" w:color="auto" w:fill="CFF0FC"/>
            <w:noWrap/>
            <w:tcMar>
              <w:top w:w="15" w:type="dxa"/>
              <w:left w:w="0" w:type="dxa"/>
              <w:bottom w:w="0" w:type="dxa"/>
              <w:right w:w="15" w:type="dxa"/>
            </w:tcMar>
            <w:vAlign w:val="bottom"/>
            <w:hideMark/>
          </w:tcPr>
          <w:p w14:paraId="2E0705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5E62505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B18B8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CFF0FC"/>
            <w:noWrap/>
            <w:tcMar>
              <w:top w:w="15" w:type="dxa"/>
              <w:left w:w="0" w:type="dxa"/>
              <w:bottom w:w="0" w:type="dxa"/>
              <w:right w:w="15" w:type="dxa"/>
            </w:tcMar>
            <w:vAlign w:val="bottom"/>
            <w:hideMark/>
          </w:tcPr>
          <w:p w14:paraId="4243678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311</w:t>
            </w:r>
          </w:p>
        </w:tc>
        <w:tc>
          <w:tcPr>
            <w:tcW w:w="50" w:type="pct"/>
            <w:shd w:val="clear" w:color="auto" w:fill="CFF0FC"/>
            <w:noWrap/>
            <w:tcMar>
              <w:top w:w="15" w:type="dxa"/>
              <w:left w:w="0" w:type="dxa"/>
              <w:bottom w:w="0" w:type="dxa"/>
              <w:right w:w="15" w:type="dxa"/>
            </w:tcMar>
            <w:vAlign w:val="bottom"/>
            <w:hideMark/>
          </w:tcPr>
          <w:p w14:paraId="2EE8896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508F720" w14:textId="77777777">
        <w:trPr>
          <w:divId w:val="1103451172"/>
          <w:jc w:val="center"/>
        </w:trPr>
        <w:tc>
          <w:tcPr>
            <w:tcW w:w="2558" w:type="pct"/>
            <w:shd w:val="clear" w:color="auto" w:fill="FFFFFF"/>
            <w:tcMar>
              <w:top w:w="15" w:type="dxa"/>
              <w:left w:w="0" w:type="dxa"/>
              <w:bottom w:w="0" w:type="dxa"/>
              <w:right w:w="15" w:type="dxa"/>
            </w:tcMar>
            <w:hideMark/>
          </w:tcPr>
          <w:p w14:paraId="0569BB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 net</w:t>
            </w:r>
          </w:p>
        </w:tc>
        <w:tc>
          <w:tcPr>
            <w:tcW w:w="73" w:type="pct"/>
            <w:shd w:val="clear" w:color="auto" w:fill="FFFFFF"/>
            <w:tcMar>
              <w:top w:w="15" w:type="dxa"/>
              <w:left w:w="0" w:type="dxa"/>
              <w:bottom w:w="0" w:type="dxa"/>
              <w:right w:w="15" w:type="dxa"/>
            </w:tcMar>
            <w:vAlign w:val="bottom"/>
            <w:hideMark/>
          </w:tcPr>
          <w:p w14:paraId="4457999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AD27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60E18DA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80448D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676C102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7B4F8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34BB4B4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044210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20B4373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CB7878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67D84A7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FFFFFF"/>
            <w:noWrap/>
            <w:tcMar>
              <w:top w:w="15" w:type="dxa"/>
              <w:left w:w="0" w:type="dxa"/>
              <w:bottom w:w="0" w:type="dxa"/>
              <w:right w:w="15" w:type="dxa"/>
            </w:tcMar>
            <w:vAlign w:val="bottom"/>
            <w:hideMark/>
          </w:tcPr>
          <w:p w14:paraId="6FADCF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79FAC59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47BE3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FFFFFF"/>
            <w:noWrap/>
            <w:tcMar>
              <w:top w:w="15" w:type="dxa"/>
              <w:left w:w="0" w:type="dxa"/>
              <w:bottom w:w="0" w:type="dxa"/>
              <w:right w:w="15" w:type="dxa"/>
            </w:tcMar>
            <w:vAlign w:val="bottom"/>
            <w:hideMark/>
          </w:tcPr>
          <w:p w14:paraId="3FC7897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4F1A30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528D0AD" w14:textId="77777777">
        <w:trPr>
          <w:divId w:val="1103451172"/>
          <w:jc w:val="center"/>
        </w:trPr>
        <w:tc>
          <w:tcPr>
            <w:tcW w:w="2558" w:type="pct"/>
            <w:shd w:val="clear" w:color="auto" w:fill="CFF0FC"/>
            <w:tcMar>
              <w:top w:w="15" w:type="dxa"/>
              <w:left w:w="0" w:type="dxa"/>
              <w:bottom w:w="0" w:type="dxa"/>
              <w:right w:w="15" w:type="dxa"/>
            </w:tcMar>
            <w:hideMark/>
          </w:tcPr>
          <w:p w14:paraId="63FD52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73" w:type="pct"/>
            <w:shd w:val="clear" w:color="auto" w:fill="CFF0FC"/>
            <w:tcMar>
              <w:top w:w="15" w:type="dxa"/>
              <w:left w:w="0" w:type="dxa"/>
              <w:bottom w:w="0" w:type="dxa"/>
              <w:right w:w="15" w:type="dxa"/>
            </w:tcMar>
            <w:vAlign w:val="bottom"/>
            <w:hideMark/>
          </w:tcPr>
          <w:p w14:paraId="0850FF1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656CB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AD3800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(1,284</w:t>
            </w:r>
          </w:p>
        </w:tc>
        <w:tc>
          <w:tcPr>
            <w:tcW w:w="50" w:type="pct"/>
            <w:shd w:val="clear" w:color="auto" w:fill="CFF0FC"/>
            <w:noWrap/>
            <w:tcMar>
              <w:top w:w="15" w:type="dxa"/>
              <w:left w:w="0" w:type="dxa"/>
              <w:bottom w:w="0" w:type="dxa"/>
              <w:right w:w="15" w:type="dxa"/>
            </w:tcMar>
            <w:vAlign w:val="bottom"/>
            <w:hideMark/>
          </w:tcPr>
          <w:p w14:paraId="4EE29ED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66F4C7A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9CC6F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48A7F8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20,867</w:t>
            </w:r>
          </w:p>
        </w:tc>
        <w:tc>
          <w:tcPr>
            <w:tcW w:w="50" w:type="pct"/>
            <w:shd w:val="clear" w:color="auto" w:fill="CFF0FC"/>
            <w:noWrap/>
            <w:tcMar>
              <w:top w:w="15" w:type="dxa"/>
              <w:left w:w="0" w:type="dxa"/>
              <w:bottom w:w="0" w:type="dxa"/>
              <w:right w:w="15" w:type="dxa"/>
            </w:tcMar>
            <w:vAlign w:val="bottom"/>
            <w:hideMark/>
          </w:tcPr>
          <w:p w14:paraId="404BFB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3DEBB9E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46CC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20033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(1,284</w:t>
            </w:r>
          </w:p>
        </w:tc>
        <w:tc>
          <w:tcPr>
            <w:tcW w:w="50" w:type="pct"/>
            <w:shd w:val="clear" w:color="auto" w:fill="CFF0FC"/>
            <w:noWrap/>
            <w:tcMar>
              <w:top w:w="15" w:type="dxa"/>
              <w:left w:w="0" w:type="dxa"/>
              <w:bottom w:w="0" w:type="dxa"/>
              <w:right w:w="15" w:type="dxa"/>
            </w:tcMar>
            <w:vAlign w:val="bottom"/>
            <w:hideMark/>
          </w:tcPr>
          <w:p w14:paraId="712868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363B7C8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246F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E0018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20,867</w:t>
            </w:r>
          </w:p>
        </w:tc>
        <w:tc>
          <w:tcPr>
            <w:tcW w:w="50" w:type="pct"/>
            <w:shd w:val="clear" w:color="auto" w:fill="CFF0FC"/>
            <w:noWrap/>
            <w:tcMar>
              <w:top w:w="15" w:type="dxa"/>
              <w:left w:w="0" w:type="dxa"/>
              <w:bottom w:w="0" w:type="dxa"/>
              <w:right w:w="15" w:type="dxa"/>
            </w:tcMar>
            <w:vAlign w:val="bottom"/>
            <w:hideMark/>
          </w:tcPr>
          <w:p w14:paraId="77A662C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1E0A1EE" w14:textId="77777777">
        <w:trPr>
          <w:divId w:val="1103451172"/>
          <w:jc w:val="center"/>
        </w:trPr>
        <w:tc>
          <w:tcPr>
            <w:tcW w:w="2558" w:type="pct"/>
            <w:shd w:val="clear" w:color="auto" w:fill="FFFFFF"/>
            <w:tcMar>
              <w:top w:w="15" w:type="dxa"/>
              <w:left w:w="0" w:type="dxa"/>
              <w:bottom w:w="0" w:type="dxa"/>
              <w:right w:w="15" w:type="dxa"/>
            </w:tcMar>
            <w:hideMark/>
          </w:tcPr>
          <w:p w14:paraId="49DA48E6"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Other equity, net</w:t>
            </w:r>
          </w:p>
        </w:tc>
        <w:tc>
          <w:tcPr>
            <w:tcW w:w="73" w:type="pct"/>
            <w:shd w:val="clear" w:color="auto" w:fill="FFFFFF"/>
            <w:tcMar>
              <w:top w:w="15" w:type="dxa"/>
              <w:left w:w="0" w:type="dxa"/>
              <w:bottom w:w="0" w:type="dxa"/>
              <w:right w:w="15" w:type="dxa"/>
            </w:tcMar>
            <w:vAlign w:val="bottom"/>
            <w:hideMark/>
          </w:tcPr>
          <w:p w14:paraId="562B876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EF6712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2F60C7B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DB187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26475F2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B1A63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5E554FF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9EA9E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08C8312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311EF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622CF86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242B4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040AFA5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4336A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14:paraId="3399AED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9D600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2274532" w14:textId="77777777">
        <w:trPr>
          <w:divId w:val="1103451172"/>
          <w:jc w:val="center"/>
        </w:trPr>
        <w:tc>
          <w:tcPr>
            <w:tcW w:w="2558" w:type="pct"/>
            <w:shd w:val="clear" w:color="auto" w:fill="CFF0FC"/>
            <w:tcMar>
              <w:top w:w="15" w:type="dxa"/>
              <w:left w:w="0" w:type="dxa"/>
              <w:bottom w:w="0" w:type="dxa"/>
              <w:right w:w="15" w:type="dxa"/>
            </w:tcMar>
            <w:hideMark/>
          </w:tcPr>
          <w:p w14:paraId="71B0E67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73" w:type="pct"/>
            <w:shd w:val="clear" w:color="auto" w:fill="CFF0FC"/>
            <w:tcMar>
              <w:top w:w="15" w:type="dxa"/>
              <w:left w:w="0" w:type="dxa"/>
              <w:bottom w:w="0" w:type="dxa"/>
              <w:right w:w="15" w:type="dxa"/>
            </w:tcMar>
            <w:vAlign w:val="bottom"/>
            <w:hideMark/>
          </w:tcPr>
          <w:p w14:paraId="2A86A6F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ABF567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6965418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(1,482</w:t>
            </w:r>
          </w:p>
        </w:tc>
        <w:tc>
          <w:tcPr>
            <w:tcW w:w="50" w:type="pct"/>
            <w:shd w:val="clear" w:color="auto" w:fill="CFF0FC"/>
            <w:noWrap/>
            <w:tcMar>
              <w:top w:w="15" w:type="dxa"/>
              <w:left w:w="0" w:type="dxa"/>
              <w:bottom w:w="0" w:type="dxa"/>
              <w:right w:w="15" w:type="dxa"/>
            </w:tcMar>
            <w:vAlign w:val="bottom"/>
            <w:hideMark/>
          </w:tcPr>
          <w:p w14:paraId="6C8F2B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4B8324C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127017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5070394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(513</w:t>
            </w:r>
          </w:p>
        </w:tc>
        <w:tc>
          <w:tcPr>
            <w:tcW w:w="50" w:type="pct"/>
            <w:shd w:val="clear" w:color="auto" w:fill="CFF0FC"/>
            <w:noWrap/>
            <w:tcMar>
              <w:top w:w="15" w:type="dxa"/>
              <w:left w:w="0" w:type="dxa"/>
              <w:bottom w:w="0" w:type="dxa"/>
              <w:right w:w="15" w:type="dxa"/>
            </w:tcMar>
            <w:vAlign w:val="bottom"/>
            <w:hideMark/>
          </w:tcPr>
          <w:p w14:paraId="7C5132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5200C88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1A3E8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20DCDC0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(1,188</w:t>
            </w:r>
          </w:p>
        </w:tc>
        <w:tc>
          <w:tcPr>
            <w:tcW w:w="50" w:type="pct"/>
            <w:shd w:val="clear" w:color="auto" w:fill="CFF0FC"/>
            <w:noWrap/>
            <w:tcMar>
              <w:top w:w="15" w:type="dxa"/>
              <w:left w:w="0" w:type="dxa"/>
              <w:bottom w:w="0" w:type="dxa"/>
              <w:right w:w="15" w:type="dxa"/>
            </w:tcMar>
            <w:vAlign w:val="bottom"/>
            <w:hideMark/>
          </w:tcPr>
          <w:p w14:paraId="53F24B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CFF0FC"/>
            <w:tcMar>
              <w:top w:w="15" w:type="dxa"/>
              <w:left w:w="0" w:type="dxa"/>
              <w:bottom w:w="0" w:type="dxa"/>
              <w:right w:w="15" w:type="dxa"/>
            </w:tcMar>
            <w:vAlign w:val="bottom"/>
            <w:hideMark/>
          </w:tcPr>
          <w:p w14:paraId="113A91C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F855D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shd w:val="clear" w:color="auto" w:fill="CFF0FC"/>
            <w:noWrap/>
            <w:tcMar>
              <w:top w:w="15" w:type="dxa"/>
              <w:left w:w="0" w:type="dxa"/>
              <w:bottom w:w="0" w:type="dxa"/>
              <w:right w:w="15" w:type="dxa"/>
            </w:tcMar>
            <w:vAlign w:val="bottom"/>
            <w:hideMark/>
          </w:tcPr>
          <w:p w14:paraId="6802EAC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(470</w:t>
            </w:r>
          </w:p>
        </w:tc>
        <w:tc>
          <w:tcPr>
            <w:tcW w:w="50" w:type="pct"/>
            <w:shd w:val="clear" w:color="auto" w:fill="CFF0FC"/>
            <w:noWrap/>
            <w:tcMar>
              <w:top w:w="15" w:type="dxa"/>
              <w:left w:w="0" w:type="dxa"/>
              <w:bottom w:w="0" w:type="dxa"/>
              <w:right w:w="15" w:type="dxa"/>
            </w:tcMar>
            <w:vAlign w:val="bottom"/>
            <w:hideMark/>
          </w:tcPr>
          <w:p w14:paraId="52F6D3C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55701D9" w14:textId="77777777">
        <w:trPr>
          <w:divId w:val="1103451172"/>
          <w:jc w:val="center"/>
        </w:trPr>
        <w:tc>
          <w:tcPr>
            <w:tcW w:w="2558" w:type="pct"/>
            <w:shd w:val="clear" w:color="auto" w:fill="FFFFFF"/>
            <w:tcMar>
              <w:top w:w="15" w:type="dxa"/>
              <w:left w:w="0" w:type="dxa"/>
              <w:bottom w:w="0" w:type="dxa"/>
              <w:right w:w="15" w:type="dxa"/>
            </w:tcMar>
            <w:hideMark/>
          </w:tcPr>
          <w:p w14:paraId="1796691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 comprehensive income (loss), net</w:t>
            </w:r>
          </w:p>
        </w:tc>
        <w:tc>
          <w:tcPr>
            <w:tcW w:w="73" w:type="pct"/>
            <w:shd w:val="clear" w:color="auto" w:fill="FFFFFF"/>
            <w:tcMar>
              <w:top w:w="15" w:type="dxa"/>
              <w:left w:w="0" w:type="dxa"/>
              <w:bottom w:w="0" w:type="dxa"/>
              <w:right w:w="15" w:type="dxa"/>
            </w:tcMar>
            <w:vAlign w:val="bottom"/>
            <w:hideMark/>
          </w:tcPr>
          <w:p w14:paraId="0049FCE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317825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694560D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231</w:t>
            </w:r>
          </w:p>
        </w:tc>
        <w:tc>
          <w:tcPr>
            <w:tcW w:w="50" w:type="pct"/>
            <w:shd w:val="clear" w:color="auto" w:fill="FFFFFF"/>
            <w:noWrap/>
            <w:tcMar>
              <w:top w:w="15" w:type="dxa"/>
              <w:left w:w="0" w:type="dxa"/>
              <w:bottom w:w="0" w:type="dxa"/>
              <w:right w:w="15" w:type="dxa"/>
            </w:tcMar>
            <w:vAlign w:val="bottom"/>
            <w:hideMark/>
          </w:tcPr>
          <w:p w14:paraId="25A0554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12F411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3D44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2179ED5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(382</w:t>
            </w:r>
          </w:p>
        </w:tc>
        <w:tc>
          <w:tcPr>
            <w:tcW w:w="50" w:type="pct"/>
            <w:shd w:val="clear" w:color="auto" w:fill="FFFFFF"/>
            <w:noWrap/>
            <w:tcMar>
              <w:top w:w="15" w:type="dxa"/>
              <w:left w:w="0" w:type="dxa"/>
              <w:bottom w:w="0" w:type="dxa"/>
              <w:right w:w="15" w:type="dxa"/>
            </w:tcMar>
            <w:vAlign w:val="bottom"/>
            <w:hideMark/>
          </w:tcPr>
          <w:p w14:paraId="5D9312B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6E412CA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55BC5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3CC4463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w:t>
            </w:r>
          </w:p>
        </w:tc>
        <w:tc>
          <w:tcPr>
            <w:tcW w:w="50" w:type="pct"/>
            <w:shd w:val="clear" w:color="auto" w:fill="FFFFFF"/>
            <w:noWrap/>
            <w:tcMar>
              <w:top w:w="15" w:type="dxa"/>
              <w:left w:w="0" w:type="dxa"/>
              <w:bottom w:w="0" w:type="dxa"/>
              <w:right w:w="15" w:type="dxa"/>
            </w:tcMar>
            <w:vAlign w:val="bottom"/>
            <w:hideMark/>
          </w:tcPr>
          <w:p w14:paraId="50C5E21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527FD58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2FDD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shd w:val="clear" w:color="auto" w:fill="FFFFFF"/>
            <w:noWrap/>
            <w:tcMar>
              <w:top w:w="15" w:type="dxa"/>
              <w:left w:w="0" w:type="dxa"/>
              <w:bottom w:w="0" w:type="dxa"/>
              <w:right w:w="15" w:type="dxa"/>
            </w:tcMar>
            <w:vAlign w:val="bottom"/>
            <w:hideMark/>
          </w:tcPr>
          <w:p w14:paraId="00575DA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(471</w:t>
            </w:r>
          </w:p>
        </w:tc>
        <w:tc>
          <w:tcPr>
            <w:tcW w:w="50" w:type="pct"/>
            <w:shd w:val="clear" w:color="auto" w:fill="FFFFFF"/>
            <w:noWrap/>
            <w:tcMar>
              <w:top w:w="15" w:type="dxa"/>
              <w:left w:w="0" w:type="dxa"/>
              <w:bottom w:w="0" w:type="dxa"/>
              <w:right w:w="15" w:type="dxa"/>
            </w:tcMar>
            <w:vAlign w:val="bottom"/>
            <w:hideMark/>
          </w:tcPr>
          <w:p w14:paraId="32B0D7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C8ED525" w14:textId="77777777">
        <w:trPr>
          <w:divId w:val="1103451172"/>
          <w:jc w:val="center"/>
        </w:trPr>
        <w:tc>
          <w:tcPr>
            <w:tcW w:w="2558" w:type="pct"/>
            <w:shd w:val="clear" w:color="auto" w:fill="CFF0FC"/>
            <w:tcMar>
              <w:top w:w="15" w:type="dxa"/>
              <w:left w:w="0" w:type="dxa"/>
              <w:bottom w:w="0" w:type="dxa"/>
              <w:right w:w="15" w:type="dxa"/>
            </w:tcMar>
            <w:hideMark/>
          </w:tcPr>
          <w:p w14:paraId="35EEB6A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 net</w:t>
            </w:r>
          </w:p>
        </w:tc>
        <w:tc>
          <w:tcPr>
            <w:tcW w:w="73" w:type="pct"/>
            <w:shd w:val="clear" w:color="auto" w:fill="CFF0FC"/>
            <w:tcMar>
              <w:top w:w="15" w:type="dxa"/>
              <w:left w:w="0" w:type="dxa"/>
              <w:bottom w:w="0" w:type="dxa"/>
              <w:right w:w="15" w:type="dxa"/>
            </w:tcMar>
            <w:vAlign w:val="bottom"/>
            <w:hideMark/>
          </w:tcPr>
          <w:p w14:paraId="21E1EFD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BA2C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CFF0FC"/>
            <w:noWrap/>
            <w:tcMar>
              <w:top w:w="15" w:type="dxa"/>
              <w:left w:w="0" w:type="dxa"/>
              <w:bottom w:w="0" w:type="dxa"/>
              <w:right w:w="15" w:type="dxa"/>
            </w:tcMar>
            <w:vAlign w:val="bottom"/>
            <w:hideMark/>
          </w:tcPr>
          <w:p w14:paraId="4840486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CFF0FC"/>
            <w:noWrap/>
            <w:tcMar>
              <w:top w:w="15" w:type="dxa"/>
              <w:left w:w="0" w:type="dxa"/>
              <w:bottom w:w="0" w:type="dxa"/>
              <w:right w:w="15" w:type="dxa"/>
            </w:tcMar>
            <w:vAlign w:val="bottom"/>
            <w:hideMark/>
          </w:tcPr>
          <w:p w14:paraId="65255C7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6559606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D33B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CFF0FC"/>
            <w:noWrap/>
            <w:tcMar>
              <w:top w:w="15" w:type="dxa"/>
              <w:left w:w="0" w:type="dxa"/>
              <w:bottom w:w="0" w:type="dxa"/>
              <w:right w:w="15" w:type="dxa"/>
            </w:tcMar>
            <w:vAlign w:val="bottom"/>
            <w:hideMark/>
          </w:tcPr>
          <w:p w14:paraId="32A1B4D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w:t>
            </w:r>
          </w:p>
        </w:tc>
        <w:tc>
          <w:tcPr>
            <w:tcW w:w="50" w:type="pct"/>
            <w:shd w:val="clear" w:color="auto" w:fill="CFF0FC"/>
            <w:noWrap/>
            <w:tcMar>
              <w:top w:w="15" w:type="dxa"/>
              <w:left w:w="0" w:type="dxa"/>
              <w:bottom w:w="0" w:type="dxa"/>
              <w:right w:w="15" w:type="dxa"/>
            </w:tcMar>
            <w:vAlign w:val="bottom"/>
            <w:hideMark/>
          </w:tcPr>
          <w:p w14:paraId="00A49E8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4661D6B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76FD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CFF0FC"/>
            <w:noWrap/>
            <w:tcMar>
              <w:top w:w="15" w:type="dxa"/>
              <w:left w:w="0" w:type="dxa"/>
              <w:bottom w:w="0" w:type="dxa"/>
              <w:right w:w="15" w:type="dxa"/>
            </w:tcMar>
            <w:vAlign w:val="bottom"/>
            <w:hideMark/>
          </w:tcPr>
          <w:p w14:paraId="19D9A75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left w:w="0" w:type="dxa"/>
              <w:bottom w:w="0" w:type="dxa"/>
              <w:right w:w="15" w:type="dxa"/>
            </w:tcMar>
            <w:vAlign w:val="bottom"/>
            <w:hideMark/>
          </w:tcPr>
          <w:p w14:paraId="4DF591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60ED97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C6FF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36" w:type="pct"/>
            <w:tcBorders>
              <w:bottom w:val="single" w:sz="6" w:space="0" w:color="000000"/>
            </w:tcBorders>
            <w:shd w:val="clear" w:color="auto" w:fill="CFF0FC"/>
            <w:noWrap/>
            <w:tcMar>
              <w:top w:w="15" w:type="dxa"/>
              <w:left w:w="0" w:type="dxa"/>
              <w:bottom w:w="0" w:type="dxa"/>
              <w:right w:w="15" w:type="dxa"/>
            </w:tcMar>
            <w:vAlign w:val="bottom"/>
            <w:hideMark/>
          </w:tcPr>
          <w:p w14:paraId="0E3ACD5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97</w:t>
            </w:r>
          </w:p>
        </w:tc>
        <w:tc>
          <w:tcPr>
            <w:tcW w:w="50" w:type="pct"/>
            <w:shd w:val="clear" w:color="auto" w:fill="CFF0FC"/>
            <w:noWrap/>
            <w:tcMar>
              <w:top w:w="15" w:type="dxa"/>
              <w:left w:w="0" w:type="dxa"/>
              <w:bottom w:w="0" w:type="dxa"/>
              <w:right w:w="15" w:type="dxa"/>
            </w:tcMar>
            <w:vAlign w:val="bottom"/>
            <w:hideMark/>
          </w:tcPr>
          <w:p w14:paraId="00E502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90C3A1E" w14:textId="77777777">
        <w:trPr>
          <w:divId w:val="1103451172"/>
          <w:jc w:val="center"/>
        </w:trPr>
        <w:tc>
          <w:tcPr>
            <w:tcW w:w="2558" w:type="pct"/>
            <w:shd w:val="clear" w:color="auto" w:fill="FFFFFF"/>
            <w:tcMar>
              <w:top w:w="15" w:type="dxa"/>
              <w:left w:w="0" w:type="dxa"/>
              <w:bottom w:w="0" w:type="dxa"/>
              <w:right w:w="15" w:type="dxa"/>
            </w:tcMar>
            <w:hideMark/>
          </w:tcPr>
          <w:p w14:paraId="3E93D8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73" w:type="pct"/>
            <w:shd w:val="clear" w:color="auto" w:fill="FFFFFF"/>
            <w:tcMar>
              <w:top w:w="15" w:type="dxa"/>
              <w:left w:w="0" w:type="dxa"/>
              <w:bottom w:w="0" w:type="dxa"/>
              <w:right w:w="15" w:type="dxa"/>
            </w:tcMar>
            <w:vAlign w:val="bottom"/>
            <w:hideMark/>
          </w:tcPr>
          <w:p w14:paraId="48EAD5A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1466B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B4CFD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(1,210</w:t>
            </w:r>
          </w:p>
        </w:tc>
        <w:tc>
          <w:tcPr>
            <w:tcW w:w="50" w:type="pct"/>
            <w:shd w:val="clear" w:color="auto" w:fill="FFFFFF"/>
            <w:noWrap/>
            <w:tcMar>
              <w:top w:w="15" w:type="dxa"/>
              <w:left w:w="0" w:type="dxa"/>
              <w:bottom w:w="0" w:type="dxa"/>
              <w:right w:w="15" w:type="dxa"/>
            </w:tcMar>
            <w:vAlign w:val="bottom"/>
            <w:hideMark/>
          </w:tcPr>
          <w:p w14:paraId="2C9684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2559DC7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6A749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080F7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(844</w:t>
            </w:r>
          </w:p>
        </w:tc>
        <w:tc>
          <w:tcPr>
            <w:tcW w:w="50" w:type="pct"/>
            <w:shd w:val="clear" w:color="auto" w:fill="FFFFFF"/>
            <w:noWrap/>
            <w:tcMar>
              <w:top w:w="15" w:type="dxa"/>
              <w:left w:w="0" w:type="dxa"/>
              <w:bottom w:w="0" w:type="dxa"/>
              <w:right w:w="15" w:type="dxa"/>
            </w:tcMar>
            <w:vAlign w:val="bottom"/>
            <w:hideMark/>
          </w:tcPr>
          <w:p w14:paraId="1E4601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7EBC161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A7E6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389E6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(1,210</w:t>
            </w:r>
          </w:p>
        </w:tc>
        <w:tc>
          <w:tcPr>
            <w:tcW w:w="50" w:type="pct"/>
            <w:shd w:val="clear" w:color="auto" w:fill="FFFFFF"/>
            <w:noWrap/>
            <w:tcMar>
              <w:top w:w="15" w:type="dxa"/>
              <w:left w:w="0" w:type="dxa"/>
              <w:bottom w:w="0" w:type="dxa"/>
              <w:right w:w="15" w:type="dxa"/>
            </w:tcMar>
            <w:vAlign w:val="bottom"/>
            <w:hideMark/>
          </w:tcPr>
          <w:p w14:paraId="5B22CDD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3" w:type="pct"/>
            <w:shd w:val="clear" w:color="auto" w:fill="FFFFFF"/>
            <w:tcMar>
              <w:top w:w="15" w:type="dxa"/>
              <w:left w:w="0" w:type="dxa"/>
              <w:bottom w:w="0" w:type="dxa"/>
              <w:right w:w="15" w:type="dxa"/>
            </w:tcMar>
            <w:vAlign w:val="bottom"/>
            <w:hideMark/>
          </w:tcPr>
          <w:p w14:paraId="614039F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FD097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1618F7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(844</w:t>
            </w:r>
          </w:p>
        </w:tc>
        <w:tc>
          <w:tcPr>
            <w:tcW w:w="50" w:type="pct"/>
            <w:shd w:val="clear" w:color="auto" w:fill="FFFFFF"/>
            <w:noWrap/>
            <w:tcMar>
              <w:top w:w="15" w:type="dxa"/>
              <w:left w:w="0" w:type="dxa"/>
              <w:bottom w:w="0" w:type="dxa"/>
              <w:right w:w="15" w:type="dxa"/>
            </w:tcMar>
            <w:vAlign w:val="bottom"/>
            <w:hideMark/>
          </w:tcPr>
          <w:p w14:paraId="56C9DC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6A18B33" w14:textId="77777777">
        <w:trPr>
          <w:divId w:val="1103451172"/>
          <w:jc w:val="center"/>
        </w:trPr>
        <w:tc>
          <w:tcPr>
            <w:tcW w:w="2558" w:type="pct"/>
            <w:shd w:val="clear" w:color="auto" w:fill="CFF0FC"/>
            <w:tcMar>
              <w:top w:w="15" w:type="dxa"/>
              <w:left w:w="0" w:type="dxa"/>
              <w:bottom w:w="0" w:type="dxa"/>
              <w:right w:w="15" w:type="dxa"/>
            </w:tcMar>
            <w:hideMark/>
          </w:tcPr>
          <w:p w14:paraId="051E3E62"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Total stockholders' equity</w:t>
            </w:r>
          </w:p>
        </w:tc>
        <w:tc>
          <w:tcPr>
            <w:tcW w:w="73" w:type="pct"/>
            <w:shd w:val="clear" w:color="auto" w:fill="CFF0FC"/>
            <w:tcMar>
              <w:top w:w="15" w:type="dxa"/>
              <w:left w:w="0" w:type="dxa"/>
              <w:bottom w:w="0" w:type="dxa"/>
              <w:right w:w="15" w:type="dxa"/>
            </w:tcMar>
            <w:vAlign w:val="bottom"/>
            <w:hideMark/>
          </w:tcPr>
          <w:p w14:paraId="744BF2E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B204F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76815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24,238</w:t>
            </w:r>
          </w:p>
        </w:tc>
        <w:tc>
          <w:tcPr>
            <w:tcW w:w="50" w:type="pct"/>
            <w:shd w:val="clear" w:color="auto" w:fill="CFF0FC"/>
            <w:noWrap/>
            <w:tcMar>
              <w:top w:w="15" w:type="dxa"/>
              <w:left w:w="0" w:type="dxa"/>
              <w:bottom w:w="0" w:type="dxa"/>
              <w:right w:w="15" w:type="dxa"/>
            </w:tcMar>
            <w:vAlign w:val="bottom"/>
            <w:hideMark/>
          </w:tcPr>
          <w:p w14:paraId="254C53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7C29434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05F97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4036F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49,071</w:t>
            </w:r>
          </w:p>
        </w:tc>
        <w:tc>
          <w:tcPr>
            <w:tcW w:w="50" w:type="pct"/>
            <w:shd w:val="clear" w:color="auto" w:fill="CFF0FC"/>
            <w:noWrap/>
            <w:tcMar>
              <w:top w:w="15" w:type="dxa"/>
              <w:left w:w="0" w:type="dxa"/>
              <w:bottom w:w="0" w:type="dxa"/>
              <w:right w:w="15" w:type="dxa"/>
            </w:tcMar>
            <w:vAlign w:val="bottom"/>
            <w:hideMark/>
          </w:tcPr>
          <w:p w14:paraId="4088F79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6190657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B90F30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C9006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24,238</w:t>
            </w:r>
          </w:p>
        </w:tc>
        <w:tc>
          <w:tcPr>
            <w:tcW w:w="50" w:type="pct"/>
            <w:shd w:val="clear" w:color="auto" w:fill="CFF0FC"/>
            <w:noWrap/>
            <w:tcMar>
              <w:top w:w="15" w:type="dxa"/>
              <w:left w:w="0" w:type="dxa"/>
              <w:bottom w:w="0" w:type="dxa"/>
              <w:right w:w="15" w:type="dxa"/>
            </w:tcMar>
            <w:vAlign w:val="bottom"/>
            <w:hideMark/>
          </w:tcPr>
          <w:p w14:paraId="74206E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CFF0FC"/>
            <w:tcMar>
              <w:top w:w="15" w:type="dxa"/>
              <w:left w:w="0" w:type="dxa"/>
              <w:bottom w:w="0" w:type="dxa"/>
              <w:right w:w="15" w:type="dxa"/>
            </w:tcMar>
            <w:vAlign w:val="bottom"/>
            <w:hideMark/>
          </w:tcPr>
          <w:p w14:paraId="1B2F34C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096A7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46812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49,071</w:t>
            </w:r>
          </w:p>
        </w:tc>
        <w:tc>
          <w:tcPr>
            <w:tcW w:w="50" w:type="pct"/>
            <w:shd w:val="clear" w:color="auto" w:fill="CFF0FC"/>
            <w:noWrap/>
            <w:tcMar>
              <w:top w:w="15" w:type="dxa"/>
              <w:left w:w="0" w:type="dxa"/>
              <w:bottom w:w="0" w:type="dxa"/>
              <w:right w:w="15" w:type="dxa"/>
            </w:tcMar>
            <w:vAlign w:val="bottom"/>
            <w:hideMark/>
          </w:tcPr>
          <w:p w14:paraId="44D626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1933CD0" w14:textId="77777777">
        <w:trPr>
          <w:divId w:val="1103451172"/>
          <w:jc w:val="center"/>
        </w:trPr>
        <w:tc>
          <w:tcPr>
            <w:tcW w:w="2558" w:type="pct"/>
            <w:shd w:val="clear" w:color="auto" w:fill="FFFFFF"/>
            <w:tcMar>
              <w:top w:w="15" w:type="dxa"/>
              <w:left w:w="0" w:type="dxa"/>
              <w:bottom w:w="0" w:type="dxa"/>
              <w:right w:w="15" w:type="dxa"/>
            </w:tcMar>
            <w:hideMark/>
          </w:tcPr>
          <w:p w14:paraId="5E66099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73" w:type="pct"/>
            <w:shd w:val="clear" w:color="auto" w:fill="FFFFFF"/>
            <w:tcMar>
              <w:top w:w="15" w:type="dxa"/>
              <w:left w:w="0" w:type="dxa"/>
              <w:bottom w:w="0" w:type="dxa"/>
              <w:right w:w="15" w:type="dxa"/>
            </w:tcMar>
            <w:vAlign w:val="bottom"/>
            <w:hideMark/>
          </w:tcPr>
          <w:p w14:paraId="0B8A5BB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5EE4DD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22DAF7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0.19</w:t>
            </w:r>
          </w:p>
        </w:tc>
        <w:tc>
          <w:tcPr>
            <w:tcW w:w="50" w:type="pct"/>
            <w:shd w:val="clear" w:color="auto" w:fill="FFFFFF"/>
            <w:noWrap/>
            <w:tcMar>
              <w:top w:w="15" w:type="dxa"/>
              <w:left w:w="0" w:type="dxa"/>
              <w:bottom w:w="0" w:type="dxa"/>
              <w:right w:w="15" w:type="dxa"/>
            </w:tcMar>
            <w:vAlign w:val="bottom"/>
            <w:hideMark/>
          </w:tcPr>
          <w:p w14:paraId="1DB21B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54D926C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9B17F9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979129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0.19</w:t>
            </w:r>
          </w:p>
        </w:tc>
        <w:tc>
          <w:tcPr>
            <w:tcW w:w="50" w:type="pct"/>
            <w:shd w:val="clear" w:color="auto" w:fill="FFFFFF"/>
            <w:noWrap/>
            <w:tcMar>
              <w:top w:w="15" w:type="dxa"/>
              <w:left w:w="0" w:type="dxa"/>
              <w:bottom w:w="0" w:type="dxa"/>
              <w:right w:w="15" w:type="dxa"/>
            </w:tcMar>
            <w:vAlign w:val="bottom"/>
            <w:hideMark/>
          </w:tcPr>
          <w:p w14:paraId="54CABD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00D80D1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B7A1C6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6A012A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0.57</w:t>
            </w:r>
          </w:p>
        </w:tc>
        <w:tc>
          <w:tcPr>
            <w:tcW w:w="50" w:type="pct"/>
            <w:shd w:val="clear" w:color="auto" w:fill="FFFFFF"/>
            <w:noWrap/>
            <w:tcMar>
              <w:top w:w="15" w:type="dxa"/>
              <w:left w:w="0" w:type="dxa"/>
              <w:bottom w:w="0" w:type="dxa"/>
              <w:right w:w="15" w:type="dxa"/>
            </w:tcMar>
            <w:vAlign w:val="bottom"/>
            <w:hideMark/>
          </w:tcPr>
          <w:p w14:paraId="15F86C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3" w:type="pct"/>
            <w:shd w:val="clear" w:color="auto" w:fill="FFFFFF"/>
            <w:tcMar>
              <w:top w:w="15" w:type="dxa"/>
              <w:left w:w="0" w:type="dxa"/>
              <w:bottom w:w="0" w:type="dxa"/>
              <w:right w:w="15" w:type="dxa"/>
            </w:tcMar>
            <w:vAlign w:val="bottom"/>
            <w:hideMark/>
          </w:tcPr>
          <w:p w14:paraId="76658B8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0A6E81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E23057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0.57</w:t>
            </w:r>
          </w:p>
        </w:tc>
        <w:tc>
          <w:tcPr>
            <w:tcW w:w="50" w:type="pct"/>
            <w:shd w:val="clear" w:color="auto" w:fill="FFFFFF"/>
            <w:noWrap/>
            <w:tcMar>
              <w:top w:w="15" w:type="dxa"/>
              <w:left w:w="0" w:type="dxa"/>
              <w:bottom w:w="0" w:type="dxa"/>
              <w:right w:w="15" w:type="dxa"/>
            </w:tcMar>
            <w:vAlign w:val="bottom"/>
            <w:hideMark/>
          </w:tcPr>
          <w:p w14:paraId="7096504B"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890E33D" w14:textId="77777777" w:rsidR="00716E85" w:rsidRDefault="00716E85">
      <w:pPr>
        <w:pStyle w:val="a3"/>
        <w:spacing w:before="0" w:beforeAutospacing="0" w:after="0" w:afterAutospacing="0"/>
        <w:rPr>
          <w:sz w:val="12"/>
          <w:szCs w:val="12"/>
        </w:rPr>
      </w:pPr>
      <w:r>
        <w:rPr>
          <w:sz w:val="12"/>
          <w:szCs w:val="12"/>
        </w:rPr>
        <w:t> </w:t>
      </w:r>
    </w:p>
    <w:p w14:paraId="096A4F50" w14:textId="77777777" w:rsidR="00716E85" w:rsidRDefault="00716E85">
      <w:pPr>
        <w:pStyle w:val="a3"/>
        <w:spacing w:before="0" w:beforeAutospacing="0" w:after="0" w:afterAutospacing="0"/>
      </w:pPr>
      <w:r>
        <w:t> </w:t>
      </w:r>
    </w:p>
    <w:p w14:paraId="4E7173B9" w14:textId="77777777" w:rsidR="00716E85" w:rsidRDefault="00716E85">
      <w:pPr>
        <w:pStyle w:val="a3"/>
        <w:spacing w:before="0" w:beforeAutospacing="0" w:after="0" w:afterAutospacing="0"/>
      </w:pPr>
      <w:r>
        <w:t> </w:t>
      </w:r>
    </w:p>
    <w:p w14:paraId="71715ADE" w14:textId="77777777" w:rsidR="00716E85" w:rsidRDefault="00716E85">
      <w:pPr>
        <w:pStyle w:val="a3"/>
        <w:spacing w:before="0" w:beforeAutospacing="0" w:after="0" w:afterAutospacing="0"/>
      </w:pPr>
      <w:r>
        <w:t> </w:t>
      </w:r>
    </w:p>
    <w:p w14:paraId="24B7EE9C"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See notes to condensed consolidated financial statements.</w:t>
      </w:r>
    </w:p>
    <w:p w14:paraId="3F49A92B" w14:textId="77777777" w:rsidR="00716E85" w:rsidRDefault="00716E85">
      <w:pPr>
        <w:pStyle w:val="a3"/>
      </w:pPr>
      <w:r>
        <w:t> </w:t>
      </w:r>
    </w:p>
    <w:p w14:paraId="07EBAFF0"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6</w:t>
      </w:r>
    </w:p>
    <w:p w14:paraId="77C95171" w14:textId="77777777" w:rsidR="00716E85" w:rsidRDefault="00716E85">
      <w:pPr>
        <w:rPr>
          <w:rFonts w:ascii="Times New Roman" w:eastAsia="Times New Roman" w:hAnsi="Times New Roman" w:cs="Times New Roman"/>
          <w:sz w:val="24"/>
          <w:szCs w:val="24"/>
        </w:rPr>
      </w:pPr>
      <w:r>
        <w:rPr>
          <w:rFonts w:eastAsia="Times New Roman"/>
        </w:rPr>
        <w:pict w14:anchorId="40AC2E1D">
          <v:rect id="_x0000_i1032" style="width:415.3pt;height:1.5pt" o:hralign="center" o:hrstd="t" o:hr="t" fillcolor="#a0a0a0" stroked="f"/>
        </w:pict>
      </w:r>
    </w:p>
    <w:p w14:paraId="0146524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1CFACA4" w14:textId="77777777" w:rsidR="00716E85" w:rsidRDefault="00716E85">
      <w:pPr>
        <w:pStyle w:val="a3"/>
        <w:spacing w:before="0" w:beforeAutospacing="0" w:after="0" w:afterAutospacing="0"/>
        <w:rPr>
          <w:sz w:val="20"/>
          <w:szCs w:val="20"/>
        </w:rPr>
      </w:pPr>
      <w:r>
        <w:rPr>
          <w:sz w:val="20"/>
          <w:szCs w:val="20"/>
        </w:rPr>
        <w:t> </w:t>
      </w:r>
    </w:p>
    <w:p w14:paraId="171EB532" w14:textId="77777777" w:rsidR="00716E85" w:rsidRDefault="00716E85">
      <w:pPr>
        <w:pStyle w:val="a3"/>
        <w:spacing w:before="0" w:beforeAutospacing="0" w:after="0" w:afterAutospacing="0"/>
        <w:jc w:val="center"/>
        <w:rPr>
          <w:rFonts w:ascii="Calibri" w:hAnsi="Calibri" w:cs="Calibri"/>
          <w:b/>
          <w:bCs/>
          <w:sz w:val="20"/>
          <w:szCs w:val="20"/>
        </w:rPr>
      </w:pPr>
      <w:bookmarkStart w:id="14" w:name="_AEIOULastRenderedPageBreakAEIOU9"/>
      <w:bookmarkEnd w:id="14"/>
      <w:r>
        <w:rPr>
          <w:rFonts w:ascii="Calibri" w:hAnsi="Calibri" w:cs="Calibri"/>
          <w:b/>
          <w:bCs/>
          <w:sz w:val="20"/>
          <w:szCs w:val="20"/>
        </w:rPr>
        <w:t>ORACLE CORPORATION</w:t>
      </w:r>
    </w:p>
    <w:p w14:paraId="101A052F" w14:textId="77777777" w:rsidR="00716E85" w:rsidRDefault="00716E85">
      <w:pPr>
        <w:pStyle w:val="a3"/>
        <w:spacing w:before="0" w:beforeAutospacing="0" w:after="0" w:afterAutospacing="0"/>
        <w:jc w:val="center"/>
        <w:rPr>
          <w:rFonts w:ascii="Calibri" w:hAnsi="Calibri" w:cs="Calibri"/>
          <w:b/>
          <w:bCs/>
          <w:sz w:val="20"/>
          <w:szCs w:val="20"/>
        </w:rPr>
      </w:pPr>
      <w:bookmarkStart w:id="15" w:name="CONDENSED_CONSOLIDATED_STATEMENTS_CASH_F"/>
      <w:bookmarkEnd w:id="15"/>
      <w:r>
        <w:rPr>
          <w:rFonts w:ascii="Calibri" w:hAnsi="Calibri" w:cs="Calibri"/>
          <w:b/>
          <w:bCs/>
          <w:sz w:val="20"/>
          <w:szCs w:val="20"/>
        </w:rPr>
        <w:t>CONDENSED CONSOLIDATED STATEMENTS OF CASH FLOWS</w:t>
      </w:r>
    </w:p>
    <w:p w14:paraId="5145A83D"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For the Nine Months Ended February 28, 2019 and 2018</w:t>
      </w:r>
    </w:p>
    <w:p w14:paraId="78540B47" w14:textId="77777777" w:rsidR="00716E85" w:rsidRDefault="00716E85">
      <w:pPr>
        <w:pStyle w:val="a3"/>
        <w:spacing w:before="0" w:beforeAutospacing="0" w:after="0" w:afterAutospacing="0"/>
        <w:jc w:val="center"/>
        <w:rPr>
          <w:rFonts w:ascii="Calibri" w:hAnsi="Calibri" w:cs="Calibri"/>
          <w:b/>
          <w:bCs/>
          <w:sz w:val="20"/>
          <w:szCs w:val="20"/>
        </w:rPr>
      </w:pPr>
      <w:r>
        <w:rPr>
          <w:rFonts w:ascii="Calibri" w:hAnsi="Calibri" w:cs="Calibri"/>
          <w:b/>
          <w:bCs/>
          <w:sz w:val="20"/>
          <w:szCs w:val="20"/>
        </w:rPr>
        <w:t>(Unaudited)</w:t>
      </w:r>
    </w:p>
    <w:p w14:paraId="4B41A684" w14:textId="77777777" w:rsidR="00716E85" w:rsidRDefault="00716E85">
      <w:pPr>
        <w:pStyle w:val="a3"/>
        <w:spacing w:before="0" w:beforeAutospacing="0" w:after="0" w:afterAutospacing="0"/>
        <w:jc w:val="both"/>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6264"/>
        <w:gridCol w:w="143"/>
        <w:gridCol w:w="107"/>
        <w:gridCol w:w="701"/>
        <w:gridCol w:w="76"/>
        <w:gridCol w:w="143"/>
        <w:gridCol w:w="107"/>
        <w:gridCol w:w="689"/>
        <w:gridCol w:w="76"/>
      </w:tblGrid>
      <w:tr w:rsidR="00716E85" w14:paraId="65C1F04B" w14:textId="77777777">
        <w:trPr>
          <w:divId w:val="754941214"/>
          <w:jc w:val="center"/>
        </w:trPr>
        <w:tc>
          <w:tcPr>
            <w:tcW w:w="3774" w:type="pct"/>
            <w:shd w:val="clear" w:color="auto" w:fill="FFFFFF"/>
            <w:tcMar>
              <w:top w:w="15" w:type="dxa"/>
              <w:left w:w="0" w:type="dxa"/>
              <w:bottom w:w="0" w:type="dxa"/>
              <w:right w:w="15" w:type="dxa"/>
            </w:tcMar>
            <w:vAlign w:val="bottom"/>
            <w:hideMark/>
          </w:tcPr>
          <w:p w14:paraId="309DFC62" w14:textId="77777777" w:rsidR="00716E85" w:rsidRDefault="00716E85">
            <w:pPr>
              <w:pStyle w:val="a3"/>
              <w:spacing w:before="0" w:beforeAutospacing="0" w:after="0" w:afterAutospacing="0"/>
              <w:jc w:val="center"/>
              <w:rPr>
                <w:sz w:val="20"/>
                <w:szCs w:val="20"/>
              </w:rPr>
            </w:pPr>
            <w:r>
              <w:rPr>
                <w:sz w:val="20"/>
                <w:szCs w:val="20"/>
              </w:rPr>
              <w:t> </w:t>
            </w:r>
          </w:p>
        </w:tc>
        <w:tc>
          <w:tcPr>
            <w:tcW w:w="90" w:type="pct"/>
            <w:shd w:val="clear" w:color="auto" w:fill="FFFFFF"/>
            <w:tcMar>
              <w:top w:w="15" w:type="dxa"/>
              <w:left w:w="0" w:type="dxa"/>
              <w:bottom w:w="0" w:type="dxa"/>
              <w:right w:w="15" w:type="dxa"/>
            </w:tcMar>
            <w:vAlign w:val="bottom"/>
            <w:hideMark/>
          </w:tcPr>
          <w:p w14:paraId="37E7FAB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085" w:type="pct"/>
            <w:gridSpan w:val="6"/>
            <w:tcBorders>
              <w:bottom w:val="single" w:sz="6" w:space="0" w:color="000000"/>
            </w:tcBorders>
            <w:shd w:val="clear" w:color="auto" w:fill="FFFFFF"/>
            <w:tcMar>
              <w:top w:w="15" w:type="dxa"/>
              <w:left w:w="0" w:type="dxa"/>
              <w:bottom w:w="0" w:type="dxa"/>
              <w:right w:w="15" w:type="dxa"/>
            </w:tcMar>
            <w:vAlign w:val="bottom"/>
            <w:hideMark/>
          </w:tcPr>
          <w:p w14:paraId="59892FE4" w14:textId="77777777" w:rsidR="00716E85" w:rsidRDefault="00716E85">
            <w:pPr>
              <w:pStyle w:val="a3"/>
              <w:spacing w:before="0" w:beforeAutospacing="0" w:after="0" w:afterAutospacing="0"/>
              <w:jc w:val="center"/>
              <w:rPr>
                <w:rFonts w:ascii="Calibri" w:hAnsi="Calibri" w:cs="Calibri"/>
                <w:b/>
                <w:bCs/>
                <w:color w:val="000000"/>
                <w:sz w:val="17"/>
                <w:szCs w:val="17"/>
              </w:rPr>
            </w:pPr>
            <w:r>
              <w:rPr>
                <w:rFonts w:ascii="Calibri" w:hAnsi="Calibri" w:cs="Calibri"/>
                <w:b/>
                <w:bCs/>
                <w:color w:val="000000"/>
                <w:sz w:val="17"/>
                <w:szCs w:val="17"/>
              </w:rPr>
              <w:t>Nine Months Ended</w:t>
            </w:r>
          </w:p>
          <w:p w14:paraId="7EFF24A0" w14:textId="77777777" w:rsidR="00716E85" w:rsidRDefault="00716E85">
            <w:pPr>
              <w:pStyle w:val="a3"/>
              <w:spacing w:before="0" w:beforeAutospacing="0" w:after="0" w:afterAutospacing="0"/>
              <w:jc w:val="center"/>
              <w:rPr>
                <w:rFonts w:ascii="Calibri" w:hAnsi="Calibri" w:cs="Calibri"/>
                <w:b/>
                <w:bCs/>
                <w:color w:val="000000"/>
                <w:sz w:val="17"/>
                <w:szCs w:val="17"/>
              </w:rPr>
            </w:pPr>
            <w:r>
              <w:rPr>
                <w:rFonts w:ascii="Calibri" w:hAnsi="Calibri" w:cs="Calibri"/>
                <w:b/>
                <w:bCs/>
                <w:color w:val="000000"/>
                <w:sz w:val="17"/>
                <w:szCs w:val="17"/>
              </w:rPr>
              <w:t>February 28,</w:t>
            </w:r>
          </w:p>
        </w:tc>
        <w:tc>
          <w:tcPr>
            <w:tcW w:w="50" w:type="pct"/>
            <w:shd w:val="clear" w:color="auto" w:fill="FFFFFF"/>
            <w:noWrap/>
            <w:tcMar>
              <w:top w:w="15" w:type="dxa"/>
              <w:left w:w="0" w:type="dxa"/>
              <w:bottom w:w="0" w:type="dxa"/>
              <w:right w:w="15" w:type="dxa"/>
            </w:tcMar>
            <w:vAlign w:val="bottom"/>
            <w:hideMark/>
          </w:tcPr>
          <w:p w14:paraId="1D2D166C"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r>
      <w:tr w:rsidR="00716E85" w14:paraId="77535CD5" w14:textId="77777777">
        <w:trPr>
          <w:divId w:val="754941214"/>
          <w:jc w:val="center"/>
        </w:trPr>
        <w:tc>
          <w:tcPr>
            <w:tcW w:w="3774" w:type="pct"/>
            <w:tcBorders>
              <w:bottom w:val="single" w:sz="6" w:space="0" w:color="000000"/>
            </w:tcBorders>
            <w:shd w:val="clear" w:color="auto" w:fill="FFFFFF"/>
            <w:tcMar>
              <w:top w:w="15" w:type="dxa"/>
              <w:left w:w="0" w:type="dxa"/>
              <w:bottom w:w="0" w:type="dxa"/>
              <w:right w:w="15" w:type="dxa"/>
            </w:tcMar>
            <w:vAlign w:val="bottom"/>
            <w:hideMark/>
          </w:tcPr>
          <w:p w14:paraId="5C2C5CE3"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(in millions)</w:t>
            </w:r>
          </w:p>
        </w:tc>
        <w:tc>
          <w:tcPr>
            <w:tcW w:w="90" w:type="pct"/>
            <w:shd w:val="clear" w:color="auto" w:fill="FFFFFF"/>
            <w:tcMar>
              <w:top w:w="15" w:type="dxa"/>
              <w:left w:w="0" w:type="dxa"/>
              <w:bottom w:w="0" w:type="dxa"/>
              <w:right w:w="15" w:type="dxa"/>
            </w:tcMar>
            <w:vAlign w:val="bottom"/>
            <w:hideMark/>
          </w:tcPr>
          <w:p w14:paraId="2CF4630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7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687F955" w14:textId="77777777" w:rsidR="00716E85" w:rsidRDefault="00716E85">
            <w:pPr>
              <w:pStyle w:val="a3"/>
              <w:spacing w:before="0" w:beforeAutospacing="0" w:after="0" w:afterAutospacing="0"/>
              <w:jc w:val="center"/>
              <w:rPr>
                <w:rFonts w:ascii="Calibri" w:hAnsi="Calibri" w:cs="Calibri"/>
                <w:b/>
                <w:bCs/>
                <w:color w:val="000000"/>
                <w:sz w:val="17"/>
                <w:szCs w:val="17"/>
              </w:rPr>
            </w:pPr>
            <w:r>
              <w:rPr>
                <w:rFonts w:ascii="Calibri" w:hAnsi="Calibri" w:cs="Calibri"/>
                <w:b/>
                <w:bCs/>
                <w:color w:val="000000"/>
                <w:sz w:val="17"/>
                <w:szCs w:val="17"/>
              </w:rPr>
              <w:t>2019</w:t>
            </w:r>
          </w:p>
        </w:tc>
        <w:tc>
          <w:tcPr>
            <w:tcW w:w="50" w:type="pct"/>
            <w:shd w:val="clear" w:color="auto" w:fill="FFFFFF"/>
            <w:noWrap/>
            <w:tcMar>
              <w:top w:w="15" w:type="dxa"/>
              <w:left w:w="0" w:type="dxa"/>
              <w:bottom w:w="0" w:type="dxa"/>
              <w:right w:w="15" w:type="dxa"/>
            </w:tcMar>
            <w:vAlign w:val="bottom"/>
            <w:hideMark/>
          </w:tcPr>
          <w:p w14:paraId="1974FA0A"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c>
          <w:tcPr>
            <w:tcW w:w="90" w:type="pct"/>
            <w:tcBorders>
              <w:top w:val="single" w:sz="6" w:space="0" w:color="000000"/>
            </w:tcBorders>
            <w:shd w:val="clear" w:color="auto" w:fill="FFFFFF"/>
            <w:tcMar>
              <w:top w:w="15" w:type="dxa"/>
              <w:left w:w="0" w:type="dxa"/>
              <w:bottom w:w="0" w:type="dxa"/>
              <w:right w:w="15" w:type="dxa"/>
            </w:tcMar>
            <w:vAlign w:val="bottom"/>
            <w:hideMark/>
          </w:tcPr>
          <w:p w14:paraId="37A9020A"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c>
          <w:tcPr>
            <w:tcW w:w="4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BFFA25" w14:textId="77777777" w:rsidR="00716E85" w:rsidRDefault="00716E85">
            <w:pPr>
              <w:pStyle w:val="a3"/>
              <w:spacing w:before="0" w:beforeAutospacing="0" w:after="0" w:afterAutospacing="0"/>
              <w:jc w:val="center"/>
              <w:rPr>
                <w:rFonts w:ascii="Calibri" w:hAnsi="Calibri" w:cs="Calibri"/>
                <w:b/>
                <w:bCs/>
                <w:color w:val="000000"/>
                <w:sz w:val="17"/>
                <w:szCs w:val="17"/>
              </w:rPr>
            </w:pPr>
            <w:r>
              <w:rPr>
                <w:rFonts w:ascii="Calibri" w:hAnsi="Calibri" w:cs="Calibri"/>
                <w:b/>
                <w:bCs/>
                <w:color w:val="000000"/>
                <w:sz w:val="17"/>
                <w:szCs w:val="17"/>
              </w:rPr>
              <w:t>2018</w:t>
            </w:r>
          </w:p>
        </w:tc>
        <w:tc>
          <w:tcPr>
            <w:tcW w:w="50" w:type="pct"/>
            <w:shd w:val="clear" w:color="auto" w:fill="FFFFFF"/>
            <w:noWrap/>
            <w:tcMar>
              <w:top w:w="15" w:type="dxa"/>
              <w:left w:w="0" w:type="dxa"/>
              <w:bottom w:w="0" w:type="dxa"/>
              <w:right w:w="15" w:type="dxa"/>
            </w:tcMar>
            <w:vAlign w:val="bottom"/>
            <w:hideMark/>
          </w:tcPr>
          <w:p w14:paraId="04EC4658"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r>
      <w:tr w:rsidR="00716E85" w14:paraId="21A716F3" w14:textId="77777777">
        <w:trPr>
          <w:divId w:val="754941214"/>
          <w:jc w:val="center"/>
        </w:trPr>
        <w:tc>
          <w:tcPr>
            <w:tcW w:w="3774" w:type="pct"/>
            <w:tcBorders>
              <w:top w:val="single" w:sz="6" w:space="0" w:color="000000"/>
            </w:tcBorders>
            <w:shd w:val="clear" w:color="auto" w:fill="CFF0FC"/>
            <w:tcMar>
              <w:top w:w="15" w:type="dxa"/>
              <w:left w:w="0" w:type="dxa"/>
              <w:bottom w:w="0" w:type="dxa"/>
              <w:right w:w="15" w:type="dxa"/>
            </w:tcMar>
            <w:hideMark/>
          </w:tcPr>
          <w:p w14:paraId="541D40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flows from operating activities:</w:t>
            </w:r>
          </w:p>
        </w:tc>
        <w:tc>
          <w:tcPr>
            <w:tcW w:w="90" w:type="pct"/>
            <w:shd w:val="clear" w:color="auto" w:fill="CFF0FC"/>
            <w:tcMar>
              <w:top w:w="15" w:type="dxa"/>
              <w:left w:w="0" w:type="dxa"/>
              <w:bottom w:w="0" w:type="dxa"/>
              <w:right w:w="15" w:type="dxa"/>
            </w:tcMar>
            <w:vAlign w:val="bottom"/>
            <w:hideMark/>
          </w:tcPr>
          <w:p w14:paraId="013D88E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BA416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tcBorders>
            <w:shd w:val="clear" w:color="auto" w:fill="CFF0FC"/>
            <w:noWrap/>
            <w:tcMar>
              <w:top w:w="15" w:type="dxa"/>
              <w:left w:w="0" w:type="dxa"/>
              <w:bottom w:w="0" w:type="dxa"/>
              <w:right w:w="15" w:type="dxa"/>
            </w:tcMar>
            <w:vAlign w:val="bottom"/>
            <w:hideMark/>
          </w:tcPr>
          <w:p w14:paraId="746B5EA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61A793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50A99EC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3D2A0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tcBorders>
            <w:shd w:val="clear" w:color="auto" w:fill="CFF0FC"/>
            <w:noWrap/>
            <w:tcMar>
              <w:top w:w="15" w:type="dxa"/>
              <w:left w:w="0" w:type="dxa"/>
              <w:bottom w:w="0" w:type="dxa"/>
              <w:right w:w="15" w:type="dxa"/>
            </w:tcMar>
            <w:vAlign w:val="bottom"/>
            <w:hideMark/>
          </w:tcPr>
          <w:p w14:paraId="43826A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46D6B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8D9FFA4" w14:textId="77777777">
        <w:trPr>
          <w:divId w:val="754941214"/>
          <w:jc w:val="center"/>
        </w:trPr>
        <w:tc>
          <w:tcPr>
            <w:tcW w:w="3774" w:type="pct"/>
            <w:shd w:val="clear" w:color="auto" w:fill="FFFFFF"/>
            <w:tcMar>
              <w:top w:w="15" w:type="dxa"/>
              <w:left w:w="0" w:type="dxa"/>
              <w:bottom w:w="0" w:type="dxa"/>
              <w:right w:w="15" w:type="dxa"/>
            </w:tcMar>
            <w:hideMark/>
          </w:tcPr>
          <w:p w14:paraId="2228293E"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Net income</w:t>
            </w:r>
          </w:p>
        </w:tc>
        <w:tc>
          <w:tcPr>
            <w:tcW w:w="90" w:type="pct"/>
            <w:shd w:val="clear" w:color="auto" w:fill="FFFFFF"/>
            <w:tcMar>
              <w:top w:w="15" w:type="dxa"/>
              <w:left w:w="0" w:type="dxa"/>
              <w:bottom w:w="0" w:type="dxa"/>
              <w:right w:w="15" w:type="dxa"/>
            </w:tcMar>
            <w:vAlign w:val="bottom"/>
            <w:hideMark/>
          </w:tcPr>
          <w:p w14:paraId="79C2F5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5148B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26" w:type="pct"/>
            <w:shd w:val="clear" w:color="auto" w:fill="FFFFFF"/>
            <w:noWrap/>
            <w:tcMar>
              <w:top w:w="15" w:type="dxa"/>
              <w:left w:w="0" w:type="dxa"/>
              <w:bottom w:w="0" w:type="dxa"/>
              <w:right w:w="15" w:type="dxa"/>
            </w:tcMar>
            <w:vAlign w:val="bottom"/>
            <w:hideMark/>
          </w:tcPr>
          <w:p w14:paraId="145FF2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7,343</w:t>
            </w:r>
          </w:p>
        </w:tc>
        <w:tc>
          <w:tcPr>
            <w:tcW w:w="50" w:type="pct"/>
            <w:shd w:val="clear" w:color="auto" w:fill="FFFFFF"/>
            <w:noWrap/>
            <w:tcMar>
              <w:top w:w="15" w:type="dxa"/>
              <w:left w:w="0" w:type="dxa"/>
              <w:bottom w:w="0" w:type="dxa"/>
              <w:right w:w="15" w:type="dxa"/>
            </w:tcMar>
            <w:vAlign w:val="bottom"/>
            <w:hideMark/>
          </w:tcPr>
          <w:p w14:paraId="3FF7EC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253AD7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72FA1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8" w:type="pct"/>
            <w:shd w:val="clear" w:color="auto" w:fill="FFFFFF"/>
            <w:noWrap/>
            <w:tcMar>
              <w:top w:w="15" w:type="dxa"/>
              <w:left w:w="0" w:type="dxa"/>
              <w:bottom w:w="0" w:type="dxa"/>
              <w:right w:w="15" w:type="dxa"/>
            </w:tcMar>
            <w:vAlign w:val="bottom"/>
            <w:hideMark/>
          </w:tcPr>
          <w:p w14:paraId="1EF170C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311</w:t>
            </w:r>
          </w:p>
        </w:tc>
        <w:tc>
          <w:tcPr>
            <w:tcW w:w="50" w:type="pct"/>
            <w:shd w:val="clear" w:color="auto" w:fill="FFFFFF"/>
            <w:noWrap/>
            <w:tcMar>
              <w:top w:w="15" w:type="dxa"/>
              <w:left w:w="0" w:type="dxa"/>
              <w:bottom w:w="0" w:type="dxa"/>
              <w:right w:w="15" w:type="dxa"/>
            </w:tcMar>
            <w:vAlign w:val="bottom"/>
            <w:hideMark/>
          </w:tcPr>
          <w:p w14:paraId="2F7FE7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F77AEEB" w14:textId="77777777">
        <w:trPr>
          <w:divId w:val="754941214"/>
          <w:jc w:val="center"/>
        </w:trPr>
        <w:tc>
          <w:tcPr>
            <w:tcW w:w="3774" w:type="pct"/>
            <w:shd w:val="clear" w:color="auto" w:fill="CFF0FC"/>
            <w:tcMar>
              <w:top w:w="15" w:type="dxa"/>
              <w:left w:w="0" w:type="dxa"/>
              <w:bottom w:w="0" w:type="dxa"/>
              <w:right w:w="15" w:type="dxa"/>
            </w:tcMar>
            <w:hideMark/>
          </w:tcPr>
          <w:p w14:paraId="3E312207"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Adjustments to reconcile net income to net cash provided by operating activities:</w:t>
            </w:r>
          </w:p>
        </w:tc>
        <w:tc>
          <w:tcPr>
            <w:tcW w:w="90" w:type="pct"/>
            <w:shd w:val="clear" w:color="auto" w:fill="CFF0FC"/>
            <w:tcMar>
              <w:top w:w="15" w:type="dxa"/>
              <w:left w:w="0" w:type="dxa"/>
              <w:bottom w:w="0" w:type="dxa"/>
              <w:right w:w="15" w:type="dxa"/>
            </w:tcMar>
            <w:vAlign w:val="bottom"/>
            <w:hideMark/>
          </w:tcPr>
          <w:p w14:paraId="7DF32C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4F1A43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7534C55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8376D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4273070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E140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497E023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22779C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7C80C5D" w14:textId="77777777">
        <w:trPr>
          <w:divId w:val="754941214"/>
          <w:jc w:val="center"/>
        </w:trPr>
        <w:tc>
          <w:tcPr>
            <w:tcW w:w="3774" w:type="pct"/>
            <w:shd w:val="clear" w:color="auto" w:fill="FFFFFF"/>
            <w:tcMar>
              <w:top w:w="15" w:type="dxa"/>
              <w:left w:w="0" w:type="dxa"/>
              <w:bottom w:w="0" w:type="dxa"/>
              <w:right w:w="15" w:type="dxa"/>
            </w:tcMar>
            <w:hideMark/>
          </w:tcPr>
          <w:p w14:paraId="6D7E4F3A"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Depreciation</w:t>
            </w:r>
          </w:p>
        </w:tc>
        <w:tc>
          <w:tcPr>
            <w:tcW w:w="90" w:type="pct"/>
            <w:shd w:val="clear" w:color="auto" w:fill="FFFFFF"/>
            <w:tcMar>
              <w:top w:w="15" w:type="dxa"/>
              <w:left w:w="0" w:type="dxa"/>
              <w:bottom w:w="0" w:type="dxa"/>
              <w:right w:w="15" w:type="dxa"/>
            </w:tcMar>
            <w:vAlign w:val="bottom"/>
            <w:hideMark/>
          </w:tcPr>
          <w:p w14:paraId="21B25D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B80E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7A1F51C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900</w:t>
            </w:r>
          </w:p>
        </w:tc>
        <w:tc>
          <w:tcPr>
            <w:tcW w:w="50" w:type="pct"/>
            <w:shd w:val="clear" w:color="auto" w:fill="FFFFFF"/>
            <w:noWrap/>
            <w:tcMar>
              <w:top w:w="15" w:type="dxa"/>
              <w:left w:w="0" w:type="dxa"/>
              <w:bottom w:w="0" w:type="dxa"/>
              <w:right w:w="15" w:type="dxa"/>
            </w:tcMar>
            <w:vAlign w:val="bottom"/>
            <w:hideMark/>
          </w:tcPr>
          <w:p w14:paraId="1E915E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49E3C7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263493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75FBCEE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878</w:t>
            </w:r>
          </w:p>
        </w:tc>
        <w:tc>
          <w:tcPr>
            <w:tcW w:w="50" w:type="pct"/>
            <w:shd w:val="clear" w:color="auto" w:fill="FFFFFF"/>
            <w:noWrap/>
            <w:tcMar>
              <w:top w:w="15" w:type="dxa"/>
              <w:left w:w="0" w:type="dxa"/>
              <w:bottom w:w="0" w:type="dxa"/>
              <w:right w:w="15" w:type="dxa"/>
            </w:tcMar>
            <w:vAlign w:val="bottom"/>
            <w:hideMark/>
          </w:tcPr>
          <w:p w14:paraId="583DD9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3F78E78" w14:textId="77777777">
        <w:trPr>
          <w:divId w:val="754941214"/>
          <w:jc w:val="center"/>
        </w:trPr>
        <w:tc>
          <w:tcPr>
            <w:tcW w:w="3774" w:type="pct"/>
            <w:shd w:val="clear" w:color="auto" w:fill="CFF0FC"/>
            <w:tcMar>
              <w:top w:w="15" w:type="dxa"/>
              <w:left w:w="0" w:type="dxa"/>
              <w:bottom w:w="0" w:type="dxa"/>
              <w:right w:w="15" w:type="dxa"/>
            </w:tcMar>
            <w:hideMark/>
          </w:tcPr>
          <w:p w14:paraId="308F2E3E"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Amortization of intangible assets</w:t>
            </w:r>
          </w:p>
        </w:tc>
        <w:tc>
          <w:tcPr>
            <w:tcW w:w="90" w:type="pct"/>
            <w:shd w:val="clear" w:color="auto" w:fill="CFF0FC"/>
            <w:tcMar>
              <w:top w:w="15" w:type="dxa"/>
              <w:left w:w="0" w:type="dxa"/>
              <w:bottom w:w="0" w:type="dxa"/>
              <w:right w:w="15" w:type="dxa"/>
            </w:tcMar>
            <w:vAlign w:val="bottom"/>
            <w:hideMark/>
          </w:tcPr>
          <w:p w14:paraId="7FEDCD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101C8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1C85FF0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CFF0FC"/>
            <w:noWrap/>
            <w:tcMar>
              <w:top w:w="15" w:type="dxa"/>
              <w:left w:w="0" w:type="dxa"/>
              <w:bottom w:w="0" w:type="dxa"/>
              <w:right w:w="15" w:type="dxa"/>
            </w:tcMar>
            <w:vAlign w:val="bottom"/>
            <w:hideMark/>
          </w:tcPr>
          <w:p w14:paraId="5B9625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2A33585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ED206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2A5551B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1,205</w:t>
            </w:r>
          </w:p>
        </w:tc>
        <w:tc>
          <w:tcPr>
            <w:tcW w:w="50" w:type="pct"/>
            <w:shd w:val="clear" w:color="auto" w:fill="CFF0FC"/>
            <w:noWrap/>
            <w:tcMar>
              <w:top w:w="15" w:type="dxa"/>
              <w:left w:w="0" w:type="dxa"/>
              <w:bottom w:w="0" w:type="dxa"/>
              <w:right w:w="15" w:type="dxa"/>
            </w:tcMar>
            <w:vAlign w:val="bottom"/>
            <w:hideMark/>
          </w:tcPr>
          <w:p w14:paraId="262BA8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D8DD7B3" w14:textId="77777777">
        <w:trPr>
          <w:divId w:val="754941214"/>
          <w:jc w:val="center"/>
        </w:trPr>
        <w:tc>
          <w:tcPr>
            <w:tcW w:w="3774" w:type="pct"/>
            <w:shd w:val="clear" w:color="auto" w:fill="FFFFFF"/>
            <w:tcMar>
              <w:top w:w="15" w:type="dxa"/>
              <w:left w:w="0" w:type="dxa"/>
              <w:bottom w:w="0" w:type="dxa"/>
              <w:right w:w="15" w:type="dxa"/>
            </w:tcMar>
            <w:hideMark/>
          </w:tcPr>
          <w:p w14:paraId="7B21952A"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Deferred income taxes</w:t>
            </w:r>
          </w:p>
        </w:tc>
        <w:tc>
          <w:tcPr>
            <w:tcW w:w="90" w:type="pct"/>
            <w:shd w:val="clear" w:color="auto" w:fill="FFFFFF"/>
            <w:tcMar>
              <w:top w:w="15" w:type="dxa"/>
              <w:left w:w="0" w:type="dxa"/>
              <w:bottom w:w="0" w:type="dxa"/>
              <w:right w:w="15" w:type="dxa"/>
            </w:tcMar>
            <w:vAlign w:val="bottom"/>
            <w:hideMark/>
          </w:tcPr>
          <w:p w14:paraId="52646A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683F3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474D6D9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(741</w:t>
            </w:r>
          </w:p>
        </w:tc>
        <w:tc>
          <w:tcPr>
            <w:tcW w:w="50" w:type="pct"/>
            <w:shd w:val="clear" w:color="auto" w:fill="FFFFFF"/>
            <w:noWrap/>
            <w:tcMar>
              <w:top w:w="15" w:type="dxa"/>
              <w:left w:w="0" w:type="dxa"/>
              <w:bottom w:w="0" w:type="dxa"/>
              <w:right w:w="15" w:type="dxa"/>
            </w:tcMar>
            <w:vAlign w:val="bottom"/>
            <w:hideMark/>
          </w:tcPr>
          <w:p w14:paraId="0071AFE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2475919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5F774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626F6B7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(740</w:t>
            </w:r>
          </w:p>
        </w:tc>
        <w:tc>
          <w:tcPr>
            <w:tcW w:w="50" w:type="pct"/>
            <w:shd w:val="clear" w:color="auto" w:fill="FFFFFF"/>
            <w:noWrap/>
            <w:tcMar>
              <w:top w:w="15" w:type="dxa"/>
              <w:left w:w="0" w:type="dxa"/>
              <w:bottom w:w="0" w:type="dxa"/>
              <w:right w:w="15" w:type="dxa"/>
            </w:tcMar>
            <w:vAlign w:val="bottom"/>
            <w:hideMark/>
          </w:tcPr>
          <w:p w14:paraId="677BA5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18966ED4" w14:textId="77777777">
        <w:trPr>
          <w:divId w:val="754941214"/>
          <w:jc w:val="center"/>
        </w:trPr>
        <w:tc>
          <w:tcPr>
            <w:tcW w:w="3774" w:type="pct"/>
            <w:shd w:val="clear" w:color="auto" w:fill="CFF0FC"/>
            <w:tcMar>
              <w:top w:w="15" w:type="dxa"/>
              <w:left w:w="0" w:type="dxa"/>
              <w:bottom w:w="0" w:type="dxa"/>
              <w:right w:w="15" w:type="dxa"/>
            </w:tcMar>
            <w:hideMark/>
          </w:tcPr>
          <w:p w14:paraId="1598A913"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Stock-based compensation</w:t>
            </w:r>
          </w:p>
        </w:tc>
        <w:tc>
          <w:tcPr>
            <w:tcW w:w="90" w:type="pct"/>
            <w:shd w:val="clear" w:color="auto" w:fill="CFF0FC"/>
            <w:tcMar>
              <w:top w:w="15" w:type="dxa"/>
              <w:left w:w="0" w:type="dxa"/>
              <w:bottom w:w="0" w:type="dxa"/>
              <w:right w:w="15" w:type="dxa"/>
            </w:tcMar>
            <w:vAlign w:val="bottom"/>
            <w:hideMark/>
          </w:tcPr>
          <w:p w14:paraId="1C9AF67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FEE5F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76C3CF9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1,259</w:t>
            </w:r>
          </w:p>
        </w:tc>
        <w:tc>
          <w:tcPr>
            <w:tcW w:w="50" w:type="pct"/>
            <w:shd w:val="clear" w:color="auto" w:fill="CFF0FC"/>
            <w:noWrap/>
            <w:tcMar>
              <w:top w:w="15" w:type="dxa"/>
              <w:left w:w="0" w:type="dxa"/>
              <w:bottom w:w="0" w:type="dxa"/>
              <w:right w:w="15" w:type="dxa"/>
            </w:tcMar>
            <w:vAlign w:val="bottom"/>
            <w:hideMark/>
          </w:tcPr>
          <w:p w14:paraId="510008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094D7AE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71B73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318E2F5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1,211</w:t>
            </w:r>
          </w:p>
        </w:tc>
        <w:tc>
          <w:tcPr>
            <w:tcW w:w="50" w:type="pct"/>
            <w:shd w:val="clear" w:color="auto" w:fill="CFF0FC"/>
            <w:noWrap/>
            <w:tcMar>
              <w:top w:w="15" w:type="dxa"/>
              <w:left w:w="0" w:type="dxa"/>
              <w:bottom w:w="0" w:type="dxa"/>
              <w:right w:w="15" w:type="dxa"/>
            </w:tcMar>
            <w:vAlign w:val="bottom"/>
            <w:hideMark/>
          </w:tcPr>
          <w:p w14:paraId="36B9FFC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2515DAA" w14:textId="77777777">
        <w:trPr>
          <w:divId w:val="754941214"/>
          <w:jc w:val="center"/>
        </w:trPr>
        <w:tc>
          <w:tcPr>
            <w:tcW w:w="3774" w:type="pct"/>
            <w:shd w:val="clear" w:color="auto" w:fill="FFFFFF"/>
            <w:tcMar>
              <w:top w:w="15" w:type="dxa"/>
              <w:left w:w="0" w:type="dxa"/>
              <w:bottom w:w="0" w:type="dxa"/>
              <w:right w:w="15" w:type="dxa"/>
            </w:tcMar>
            <w:hideMark/>
          </w:tcPr>
          <w:p w14:paraId="5E268651"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Other, net</w:t>
            </w:r>
          </w:p>
        </w:tc>
        <w:tc>
          <w:tcPr>
            <w:tcW w:w="90" w:type="pct"/>
            <w:shd w:val="clear" w:color="auto" w:fill="FFFFFF"/>
            <w:tcMar>
              <w:top w:w="15" w:type="dxa"/>
              <w:left w:w="0" w:type="dxa"/>
              <w:bottom w:w="0" w:type="dxa"/>
              <w:right w:w="15" w:type="dxa"/>
            </w:tcMar>
            <w:vAlign w:val="bottom"/>
            <w:hideMark/>
          </w:tcPr>
          <w:p w14:paraId="06FBC0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0DDD0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45E5748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144</w:t>
            </w:r>
          </w:p>
        </w:tc>
        <w:tc>
          <w:tcPr>
            <w:tcW w:w="50" w:type="pct"/>
            <w:shd w:val="clear" w:color="auto" w:fill="FFFFFF"/>
            <w:noWrap/>
            <w:tcMar>
              <w:top w:w="15" w:type="dxa"/>
              <w:left w:w="0" w:type="dxa"/>
              <w:bottom w:w="0" w:type="dxa"/>
              <w:right w:w="15" w:type="dxa"/>
            </w:tcMar>
            <w:vAlign w:val="bottom"/>
            <w:hideMark/>
          </w:tcPr>
          <w:p w14:paraId="0EB4BCE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46BFFAE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E095B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5819E9B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(62</w:t>
            </w:r>
          </w:p>
        </w:tc>
        <w:tc>
          <w:tcPr>
            <w:tcW w:w="50" w:type="pct"/>
            <w:shd w:val="clear" w:color="auto" w:fill="FFFFFF"/>
            <w:noWrap/>
            <w:tcMar>
              <w:top w:w="15" w:type="dxa"/>
              <w:left w:w="0" w:type="dxa"/>
              <w:bottom w:w="0" w:type="dxa"/>
              <w:right w:w="15" w:type="dxa"/>
            </w:tcMar>
            <w:vAlign w:val="bottom"/>
            <w:hideMark/>
          </w:tcPr>
          <w:p w14:paraId="7528339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4165FD7" w14:textId="77777777">
        <w:trPr>
          <w:divId w:val="754941214"/>
          <w:jc w:val="center"/>
        </w:trPr>
        <w:tc>
          <w:tcPr>
            <w:tcW w:w="3774" w:type="pct"/>
            <w:shd w:val="clear" w:color="auto" w:fill="CFF0FC"/>
            <w:tcMar>
              <w:top w:w="15" w:type="dxa"/>
              <w:left w:w="0" w:type="dxa"/>
              <w:bottom w:w="0" w:type="dxa"/>
              <w:right w:w="15" w:type="dxa"/>
            </w:tcMar>
            <w:hideMark/>
          </w:tcPr>
          <w:p w14:paraId="268302D3" w14:textId="77777777" w:rsidR="00716E85" w:rsidRDefault="00716E85">
            <w:pPr>
              <w:pStyle w:val="a3"/>
              <w:spacing w:before="0" w:beforeAutospacing="0" w:after="0" w:afterAutospacing="0"/>
              <w:ind w:left="684"/>
              <w:rPr>
                <w:rFonts w:ascii="Calibri" w:hAnsi="Calibri" w:cs="Calibri"/>
                <w:color w:val="000000"/>
                <w:sz w:val="18"/>
                <w:szCs w:val="18"/>
              </w:rPr>
            </w:pPr>
            <w:r>
              <w:rPr>
                <w:rFonts w:ascii="Calibri" w:hAnsi="Calibri" w:cs="Calibri"/>
                <w:color w:val="000000"/>
                <w:sz w:val="18"/>
                <w:szCs w:val="18"/>
              </w:rPr>
              <w:t>Changes in operating assets and liabilities, net of effects from acquisitions:</w:t>
            </w:r>
          </w:p>
        </w:tc>
        <w:tc>
          <w:tcPr>
            <w:tcW w:w="90" w:type="pct"/>
            <w:shd w:val="clear" w:color="auto" w:fill="CFF0FC"/>
            <w:tcMar>
              <w:top w:w="15" w:type="dxa"/>
              <w:left w:w="0" w:type="dxa"/>
              <w:bottom w:w="0" w:type="dxa"/>
              <w:right w:w="15" w:type="dxa"/>
            </w:tcMar>
            <w:vAlign w:val="bottom"/>
            <w:hideMark/>
          </w:tcPr>
          <w:p w14:paraId="0B1017B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6BAB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54A38CD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15ECF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4D51E2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77EE0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68F45F6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1FD0E3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2583A06" w14:textId="77777777">
        <w:trPr>
          <w:divId w:val="754941214"/>
          <w:jc w:val="center"/>
        </w:trPr>
        <w:tc>
          <w:tcPr>
            <w:tcW w:w="3774" w:type="pct"/>
            <w:shd w:val="clear" w:color="auto" w:fill="FFFFFF"/>
            <w:tcMar>
              <w:top w:w="15" w:type="dxa"/>
              <w:left w:w="0" w:type="dxa"/>
              <w:bottom w:w="0" w:type="dxa"/>
              <w:right w:w="15" w:type="dxa"/>
            </w:tcMar>
            <w:hideMark/>
          </w:tcPr>
          <w:p w14:paraId="4967A67B"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Decrease in trade receivables, net</w:t>
            </w:r>
          </w:p>
        </w:tc>
        <w:tc>
          <w:tcPr>
            <w:tcW w:w="90" w:type="pct"/>
            <w:shd w:val="clear" w:color="auto" w:fill="FFFFFF"/>
            <w:tcMar>
              <w:top w:w="15" w:type="dxa"/>
              <w:left w:w="0" w:type="dxa"/>
              <w:bottom w:w="0" w:type="dxa"/>
              <w:right w:w="15" w:type="dxa"/>
            </w:tcMar>
            <w:vAlign w:val="bottom"/>
            <w:hideMark/>
          </w:tcPr>
          <w:p w14:paraId="286A92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B7C6B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0F38803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1,106</w:t>
            </w:r>
          </w:p>
        </w:tc>
        <w:tc>
          <w:tcPr>
            <w:tcW w:w="50" w:type="pct"/>
            <w:shd w:val="clear" w:color="auto" w:fill="FFFFFF"/>
            <w:noWrap/>
            <w:tcMar>
              <w:top w:w="15" w:type="dxa"/>
              <w:left w:w="0" w:type="dxa"/>
              <w:bottom w:w="0" w:type="dxa"/>
              <w:right w:w="15" w:type="dxa"/>
            </w:tcMar>
            <w:vAlign w:val="bottom"/>
            <w:hideMark/>
          </w:tcPr>
          <w:p w14:paraId="059B50D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3279FF6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D4914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479C92A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1,633</w:t>
            </w:r>
          </w:p>
        </w:tc>
        <w:tc>
          <w:tcPr>
            <w:tcW w:w="50" w:type="pct"/>
            <w:shd w:val="clear" w:color="auto" w:fill="FFFFFF"/>
            <w:noWrap/>
            <w:tcMar>
              <w:top w:w="15" w:type="dxa"/>
              <w:left w:w="0" w:type="dxa"/>
              <w:bottom w:w="0" w:type="dxa"/>
              <w:right w:w="15" w:type="dxa"/>
            </w:tcMar>
            <w:vAlign w:val="bottom"/>
            <w:hideMark/>
          </w:tcPr>
          <w:p w14:paraId="5CB40C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05FDB0E" w14:textId="77777777">
        <w:trPr>
          <w:divId w:val="754941214"/>
          <w:jc w:val="center"/>
        </w:trPr>
        <w:tc>
          <w:tcPr>
            <w:tcW w:w="3774" w:type="pct"/>
            <w:shd w:val="clear" w:color="auto" w:fill="CFF0FC"/>
            <w:tcMar>
              <w:top w:w="15" w:type="dxa"/>
              <w:left w:w="0" w:type="dxa"/>
              <w:bottom w:w="0" w:type="dxa"/>
              <w:right w:w="15" w:type="dxa"/>
            </w:tcMar>
            <w:hideMark/>
          </w:tcPr>
          <w:p w14:paraId="0DB6A97C"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Decrease (increase) in prepaid expenses and other assets</w:t>
            </w:r>
          </w:p>
        </w:tc>
        <w:tc>
          <w:tcPr>
            <w:tcW w:w="90" w:type="pct"/>
            <w:shd w:val="clear" w:color="auto" w:fill="CFF0FC"/>
            <w:tcMar>
              <w:top w:w="15" w:type="dxa"/>
              <w:left w:w="0" w:type="dxa"/>
              <w:bottom w:w="0" w:type="dxa"/>
              <w:right w:w="15" w:type="dxa"/>
            </w:tcMar>
            <w:vAlign w:val="bottom"/>
            <w:hideMark/>
          </w:tcPr>
          <w:p w14:paraId="3390C1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5A73F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501F384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168</w:t>
            </w:r>
          </w:p>
        </w:tc>
        <w:tc>
          <w:tcPr>
            <w:tcW w:w="50" w:type="pct"/>
            <w:shd w:val="clear" w:color="auto" w:fill="CFF0FC"/>
            <w:noWrap/>
            <w:tcMar>
              <w:top w:w="15" w:type="dxa"/>
              <w:left w:w="0" w:type="dxa"/>
              <w:bottom w:w="0" w:type="dxa"/>
              <w:right w:w="15" w:type="dxa"/>
            </w:tcMar>
            <w:vAlign w:val="bottom"/>
            <w:hideMark/>
          </w:tcPr>
          <w:p w14:paraId="58BFA1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4AA6D9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F2CD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66C0BFB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(105</w:t>
            </w:r>
          </w:p>
        </w:tc>
        <w:tc>
          <w:tcPr>
            <w:tcW w:w="50" w:type="pct"/>
            <w:shd w:val="clear" w:color="auto" w:fill="CFF0FC"/>
            <w:noWrap/>
            <w:tcMar>
              <w:top w:w="15" w:type="dxa"/>
              <w:left w:w="0" w:type="dxa"/>
              <w:bottom w:w="0" w:type="dxa"/>
              <w:right w:w="15" w:type="dxa"/>
            </w:tcMar>
            <w:vAlign w:val="bottom"/>
            <w:hideMark/>
          </w:tcPr>
          <w:p w14:paraId="0B86E08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73A1B813" w14:textId="77777777">
        <w:trPr>
          <w:divId w:val="754941214"/>
          <w:jc w:val="center"/>
        </w:trPr>
        <w:tc>
          <w:tcPr>
            <w:tcW w:w="3774" w:type="pct"/>
            <w:shd w:val="clear" w:color="auto" w:fill="FFFFFF"/>
            <w:tcMar>
              <w:top w:w="15" w:type="dxa"/>
              <w:left w:w="0" w:type="dxa"/>
              <w:bottom w:w="0" w:type="dxa"/>
              <w:right w:w="15" w:type="dxa"/>
            </w:tcMar>
            <w:hideMark/>
          </w:tcPr>
          <w:p w14:paraId="08637D48"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Decrease in accounts payable and other liabilities</w:t>
            </w:r>
          </w:p>
        </w:tc>
        <w:tc>
          <w:tcPr>
            <w:tcW w:w="90" w:type="pct"/>
            <w:shd w:val="clear" w:color="auto" w:fill="FFFFFF"/>
            <w:tcMar>
              <w:top w:w="15" w:type="dxa"/>
              <w:left w:w="0" w:type="dxa"/>
              <w:bottom w:w="0" w:type="dxa"/>
              <w:right w:w="15" w:type="dxa"/>
            </w:tcMar>
            <w:vAlign w:val="bottom"/>
            <w:hideMark/>
          </w:tcPr>
          <w:p w14:paraId="6BC9FAC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A6E3B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237B80B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(647</w:t>
            </w:r>
          </w:p>
        </w:tc>
        <w:tc>
          <w:tcPr>
            <w:tcW w:w="50" w:type="pct"/>
            <w:shd w:val="clear" w:color="auto" w:fill="FFFFFF"/>
            <w:noWrap/>
            <w:tcMar>
              <w:top w:w="15" w:type="dxa"/>
              <w:left w:w="0" w:type="dxa"/>
              <w:bottom w:w="0" w:type="dxa"/>
              <w:right w:w="15" w:type="dxa"/>
            </w:tcMar>
            <w:vAlign w:val="bottom"/>
            <w:hideMark/>
          </w:tcPr>
          <w:p w14:paraId="5406732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167D7F1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820F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0386EEF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(607</w:t>
            </w:r>
          </w:p>
        </w:tc>
        <w:tc>
          <w:tcPr>
            <w:tcW w:w="50" w:type="pct"/>
            <w:shd w:val="clear" w:color="auto" w:fill="FFFFFF"/>
            <w:noWrap/>
            <w:tcMar>
              <w:top w:w="15" w:type="dxa"/>
              <w:left w:w="0" w:type="dxa"/>
              <w:bottom w:w="0" w:type="dxa"/>
              <w:right w:w="15" w:type="dxa"/>
            </w:tcMar>
            <w:vAlign w:val="bottom"/>
            <w:hideMark/>
          </w:tcPr>
          <w:p w14:paraId="6A8B0DE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7BC2A9C6" w14:textId="77777777">
        <w:trPr>
          <w:divId w:val="754941214"/>
          <w:jc w:val="center"/>
        </w:trPr>
        <w:tc>
          <w:tcPr>
            <w:tcW w:w="3774" w:type="pct"/>
            <w:shd w:val="clear" w:color="auto" w:fill="CFF0FC"/>
            <w:tcMar>
              <w:top w:w="15" w:type="dxa"/>
              <w:left w:w="0" w:type="dxa"/>
              <w:bottom w:w="0" w:type="dxa"/>
              <w:right w:w="15" w:type="dxa"/>
            </w:tcMar>
            <w:hideMark/>
          </w:tcPr>
          <w:p w14:paraId="1E1FAA97"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(Decrease) increase in income taxes payable</w:t>
            </w:r>
          </w:p>
        </w:tc>
        <w:tc>
          <w:tcPr>
            <w:tcW w:w="90" w:type="pct"/>
            <w:shd w:val="clear" w:color="auto" w:fill="CFF0FC"/>
            <w:tcMar>
              <w:top w:w="15" w:type="dxa"/>
              <w:left w:w="0" w:type="dxa"/>
              <w:bottom w:w="0" w:type="dxa"/>
              <w:right w:w="15" w:type="dxa"/>
            </w:tcMar>
            <w:vAlign w:val="bottom"/>
            <w:hideMark/>
          </w:tcPr>
          <w:p w14:paraId="3FE015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AE8D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4D7A877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(410</w:t>
            </w:r>
          </w:p>
        </w:tc>
        <w:tc>
          <w:tcPr>
            <w:tcW w:w="50" w:type="pct"/>
            <w:shd w:val="clear" w:color="auto" w:fill="CFF0FC"/>
            <w:noWrap/>
            <w:tcMar>
              <w:top w:w="15" w:type="dxa"/>
              <w:left w:w="0" w:type="dxa"/>
              <w:bottom w:w="0" w:type="dxa"/>
              <w:right w:w="15" w:type="dxa"/>
            </w:tcMar>
            <w:vAlign w:val="bottom"/>
            <w:hideMark/>
          </w:tcPr>
          <w:p w14:paraId="70AC91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275C022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FCAF6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7860252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7,444</w:t>
            </w:r>
          </w:p>
        </w:tc>
        <w:tc>
          <w:tcPr>
            <w:tcW w:w="50" w:type="pct"/>
            <w:shd w:val="clear" w:color="auto" w:fill="CFF0FC"/>
            <w:noWrap/>
            <w:tcMar>
              <w:top w:w="15" w:type="dxa"/>
              <w:left w:w="0" w:type="dxa"/>
              <w:bottom w:w="0" w:type="dxa"/>
              <w:right w:w="15" w:type="dxa"/>
            </w:tcMar>
            <w:vAlign w:val="bottom"/>
            <w:hideMark/>
          </w:tcPr>
          <w:p w14:paraId="1B7F3F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B661ED3" w14:textId="77777777">
        <w:trPr>
          <w:divId w:val="754941214"/>
          <w:jc w:val="center"/>
        </w:trPr>
        <w:tc>
          <w:tcPr>
            <w:tcW w:w="3774" w:type="pct"/>
            <w:shd w:val="clear" w:color="auto" w:fill="FFFFFF"/>
            <w:tcMar>
              <w:top w:w="15" w:type="dxa"/>
              <w:left w:w="0" w:type="dxa"/>
              <w:bottom w:w="0" w:type="dxa"/>
              <w:right w:w="15" w:type="dxa"/>
            </w:tcMar>
            <w:hideMark/>
          </w:tcPr>
          <w:p w14:paraId="75F8079D" w14:textId="77777777" w:rsidR="00716E85" w:rsidRDefault="00716E85">
            <w:pPr>
              <w:pStyle w:val="a3"/>
              <w:spacing w:before="0" w:beforeAutospacing="0" w:after="0" w:afterAutospacing="0"/>
              <w:ind w:left="958"/>
              <w:rPr>
                <w:rFonts w:ascii="Calibri" w:hAnsi="Calibri" w:cs="Calibri"/>
                <w:color w:val="000000"/>
                <w:sz w:val="18"/>
                <w:szCs w:val="18"/>
              </w:rPr>
            </w:pPr>
            <w:r>
              <w:rPr>
                <w:rFonts w:ascii="Calibri" w:hAnsi="Calibri" w:cs="Calibri"/>
                <w:color w:val="000000"/>
                <w:sz w:val="18"/>
                <w:szCs w:val="18"/>
              </w:rPr>
              <w:t>Decrease in deferred revenues</w:t>
            </w:r>
          </w:p>
        </w:tc>
        <w:tc>
          <w:tcPr>
            <w:tcW w:w="90" w:type="pct"/>
            <w:shd w:val="clear" w:color="auto" w:fill="FFFFFF"/>
            <w:tcMar>
              <w:top w:w="15" w:type="dxa"/>
              <w:left w:w="0" w:type="dxa"/>
              <w:bottom w:w="0" w:type="dxa"/>
              <w:right w:w="15" w:type="dxa"/>
            </w:tcMar>
            <w:vAlign w:val="bottom"/>
            <w:hideMark/>
          </w:tcPr>
          <w:p w14:paraId="474907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7AF928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bottom w:val="single" w:sz="6" w:space="0" w:color="000000"/>
            </w:tcBorders>
            <w:shd w:val="clear" w:color="auto" w:fill="FFFFFF"/>
            <w:noWrap/>
            <w:tcMar>
              <w:top w:w="15" w:type="dxa"/>
              <w:left w:w="0" w:type="dxa"/>
              <w:bottom w:w="0" w:type="dxa"/>
              <w:right w:w="15" w:type="dxa"/>
            </w:tcMar>
            <w:vAlign w:val="bottom"/>
            <w:hideMark/>
          </w:tcPr>
          <w:p w14:paraId="0595376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(258</w:t>
            </w:r>
          </w:p>
        </w:tc>
        <w:tc>
          <w:tcPr>
            <w:tcW w:w="50" w:type="pct"/>
            <w:shd w:val="clear" w:color="auto" w:fill="FFFFFF"/>
            <w:noWrap/>
            <w:tcMar>
              <w:top w:w="15" w:type="dxa"/>
              <w:left w:w="0" w:type="dxa"/>
              <w:bottom w:w="0" w:type="dxa"/>
              <w:right w:w="15" w:type="dxa"/>
            </w:tcMar>
            <w:vAlign w:val="bottom"/>
            <w:hideMark/>
          </w:tcPr>
          <w:p w14:paraId="487A8B7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2045E8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4F7D8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bottom w:val="single" w:sz="6" w:space="0" w:color="000000"/>
            </w:tcBorders>
            <w:shd w:val="clear" w:color="auto" w:fill="FFFFFF"/>
            <w:noWrap/>
            <w:tcMar>
              <w:top w:w="15" w:type="dxa"/>
              <w:left w:w="0" w:type="dxa"/>
              <w:bottom w:w="0" w:type="dxa"/>
              <w:right w:w="15" w:type="dxa"/>
            </w:tcMar>
            <w:vAlign w:val="bottom"/>
            <w:hideMark/>
          </w:tcPr>
          <w:p w14:paraId="23328CD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(442</w:t>
            </w:r>
          </w:p>
        </w:tc>
        <w:tc>
          <w:tcPr>
            <w:tcW w:w="50" w:type="pct"/>
            <w:shd w:val="clear" w:color="auto" w:fill="FFFFFF"/>
            <w:noWrap/>
            <w:tcMar>
              <w:top w:w="15" w:type="dxa"/>
              <w:left w:w="0" w:type="dxa"/>
              <w:bottom w:w="0" w:type="dxa"/>
              <w:right w:w="15" w:type="dxa"/>
            </w:tcMar>
            <w:vAlign w:val="bottom"/>
            <w:hideMark/>
          </w:tcPr>
          <w:p w14:paraId="6552FA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B226135" w14:textId="77777777">
        <w:trPr>
          <w:divId w:val="754941214"/>
          <w:jc w:val="center"/>
        </w:trPr>
        <w:tc>
          <w:tcPr>
            <w:tcW w:w="3774" w:type="pct"/>
            <w:shd w:val="clear" w:color="auto" w:fill="CFF0FC"/>
            <w:tcMar>
              <w:top w:w="15" w:type="dxa"/>
              <w:left w:w="0" w:type="dxa"/>
              <w:bottom w:w="0" w:type="dxa"/>
              <w:right w:w="15" w:type="dxa"/>
            </w:tcMar>
            <w:hideMark/>
          </w:tcPr>
          <w:p w14:paraId="57B955CC" w14:textId="77777777" w:rsidR="00716E85" w:rsidRDefault="00716E85">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Net cash provided by operating activities</w:t>
            </w:r>
          </w:p>
        </w:tc>
        <w:tc>
          <w:tcPr>
            <w:tcW w:w="90" w:type="pct"/>
            <w:shd w:val="clear" w:color="auto" w:fill="CFF0FC"/>
            <w:tcMar>
              <w:top w:w="15" w:type="dxa"/>
              <w:left w:w="0" w:type="dxa"/>
              <w:bottom w:w="0" w:type="dxa"/>
              <w:right w:w="15" w:type="dxa"/>
            </w:tcMar>
            <w:vAlign w:val="bottom"/>
            <w:hideMark/>
          </w:tcPr>
          <w:p w14:paraId="7C1D68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3CC8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9E42C9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10,129</w:t>
            </w:r>
          </w:p>
        </w:tc>
        <w:tc>
          <w:tcPr>
            <w:tcW w:w="50" w:type="pct"/>
            <w:shd w:val="clear" w:color="auto" w:fill="CFF0FC"/>
            <w:noWrap/>
            <w:tcMar>
              <w:top w:w="15" w:type="dxa"/>
              <w:left w:w="0" w:type="dxa"/>
              <w:bottom w:w="0" w:type="dxa"/>
              <w:right w:w="15" w:type="dxa"/>
            </w:tcMar>
            <w:vAlign w:val="bottom"/>
            <w:hideMark/>
          </w:tcPr>
          <w:p w14:paraId="31906EA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0CF110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0EE0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D44C0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10,726</w:t>
            </w:r>
          </w:p>
        </w:tc>
        <w:tc>
          <w:tcPr>
            <w:tcW w:w="50" w:type="pct"/>
            <w:shd w:val="clear" w:color="auto" w:fill="CFF0FC"/>
            <w:noWrap/>
            <w:tcMar>
              <w:top w:w="15" w:type="dxa"/>
              <w:left w:w="0" w:type="dxa"/>
              <w:bottom w:w="0" w:type="dxa"/>
              <w:right w:w="15" w:type="dxa"/>
            </w:tcMar>
            <w:vAlign w:val="bottom"/>
            <w:hideMark/>
          </w:tcPr>
          <w:p w14:paraId="5B75A40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C24889A" w14:textId="77777777">
        <w:trPr>
          <w:divId w:val="754941214"/>
          <w:jc w:val="center"/>
        </w:trPr>
        <w:tc>
          <w:tcPr>
            <w:tcW w:w="3774" w:type="pct"/>
            <w:shd w:val="clear" w:color="auto" w:fill="FFFFFF"/>
            <w:tcMar>
              <w:top w:w="15" w:type="dxa"/>
              <w:left w:w="0" w:type="dxa"/>
              <w:bottom w:w="0" w:type="dxa"/>
              <w:right w:w="15" w:type="dxa"/>
            </w:tcMar>
            <w:hideMark/>
          </w:tcPr>
          <w:p w14:paraId="00F7FE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flows from investing activities:</w:t>
            </w:r>
          </w:p>
        </w:tc>
        <w:tc>
          <w:tcPr>
            <w:tcW w:w="90" w:type="pct"/>
            <w:shd w:val="clear" w:color="auto" w:fill="FFFFFF"/>
            <w:tcMar>
              <w:top w:w="15" w:type="dxa"/>
              <w:left w:w="0" w:type="dxa"/>
              <w:bottom w:w="0" w:type="dxa"/>
              <w:right w:w="15" w:type="dxa"/>
            </w:tcMar>
            <w:vAlign w:val="bottom"/>
            <w:hideMark/>
          </w:tcPr>
          <w:p w14:paraId="44F402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012EB6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tcBorders>
            <w:shd w:val="clear" w:color="auto" w:fill="FFFFFF"/>
            <w:noWrap/>
            <w:tcMar>
              <w:top w:w="15" w:type="dxa"/>
              <w:left w:w="0" w:type="dxa"/>
              <w:bottom w:w="0" w:type="dxa"/>
              <w:right w:w="15" w:type="dxa"/>
            </w:tcMar>
            <w:vAlign w:val="bottom"/>
            <w:hideMark/>
          </w:tcPr>
          <w:p w14:paraId="50DD063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A43356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0F63B1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E916E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tcBorders>
            <w:shd w:val="clear" w:color="auto" w:fill="FFFFFF"/>
            <w:noWrap/>
            <w:tcMar>
              <w:top w:w="15" w:type="dxa"/>
              <w:left w:w="0" w:type="dxa"/>
              <w:bottom w:w="0" w:type="dxa"/>
              <w:right w:w="15" w:type="dxa"/>
            </w:tcMar>
            <w:vAlign w:val="bottom"/>
            <w:hideMark/>
          </w:tcPr>
          <w:p w14:paraId="2C41877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F5E37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B6D41A8" w14:textId="77777777">
        <w:trPr>
          <w:divId w:val="754941214"/>
          <w:jc w:val="center"/>
        </w:trPr>
        <w:tc>
          <w:tcPr>
            <w:tcW w:w="3774" w:type="pct"/>
            <w:shd w:val="clear" w:color="auto" w:fill="CFF0FC"/>
            <w:tcMar>
              <w:top w:w="15" w:type="dxa"/>
              <w:left w:w="0" w:type="dxa"/>
              <w:bottom w:w="0" w:type="dxa"/>
              <w:right w:w="15" w:type="dxa"/>
            </w:tcMar>
            <w:hideMark/>
          </w:tcPr>
          <w:p w14:paraId="60994825"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Purchases of marketable securities and other investments</w:t>
            </w:r>
          </w:p>
        </w:tc>
        <w:tc>
          <w:tcPr>
            <w:tcW w:w="90" w:type="pct"/>
            <w:shd w:val="clear" w:color="auto" w:fill="CFF0FC"/>
            <w:tcMar>
              <w:top w:w="15" w:type="dxa"/>
              <w:left w:w="0" w:type="dxa"/>
              <w:bottom w:w="0" w:type="dxa"/>
              <w:right w:w="15" w:type="dxa"/>
            </w:tcMar>
            <w:vAlign w:val="bottom"/>
            <w:hideMark/>
          </w:tcPr>
          <w:p w14:paraId="7371A9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A7604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4C9AEBB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(1,310</w:t>
            </w:r>
          </w:p>
        </w:tc>
        <w:tc>
          <w:tcPr>
            <w:tcW w:w="50" w:type="pct"/>
            <w:shd w:val="clear" w:color="auto" w:fill="CFF0FC"/>
            <w:noWrap/>
            <w:tcMar>
              <w:top w:w="15" w:type="dxa"/>
              <w:left w:w="0" w:type="dxa"/>
              <w:bottom w:w="0" w:type="dxa"/>
              <w:right w:w="15" w:type="dxa"/>
            </w:tcMar>
            <w:vAlign w:val="bottom"/>
            <w:hideMark/>
          </w:tcPr>
          <w:p w14:paraId="6E50F98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3380D50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0786D0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56FC052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(24,496</w:t>
            </w:r>
          </w:p>
        </w:tc>
        <w:tc>
          <w:tcPr>
            <w:tcW w:w="50" w:type="pct"/>
            <w:shd w:val="clear" w:color="auto" w:fill="CFF0FC"/>
            <w:noWrap/>
            <w:tcMar>
              <w:top w:w="15" w:type="dxa"/>
              <w:left w:w="0" w:type="dxa"/>
              <w:bottom w:w="0" w:type="dxa"/>
              <w:right w:w="15" w:type="dxa"/>
            </w:tcMar>
            <w:vAlign w:val="bottom"/>
            <w:hideMark/>
          </w:tcPr>
          <w:p w14:paraId="1D5D9D6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7CE5BE6" w14:textId="77777777">
        <w:trPr>
          <w:divId w:val="754941214"/>
          <w:jc w:val="center"/>
        </w:trPr>
        <w:tc>
          <w:tcPr>
            <w:tcW w:w="3774" w:type="pct"/>
            <w:shd w:val="clear" w:color="auto" w:fill="FFFFFF"/>
            <w:tcMar>
              <w:top w:w="15" w:type="dxa"/>
              <w:left w:w="0" w:type="dxa"/>
              <w:bottom w:w="0" w:type="dxa"/>
              <w:right w:w="15" w:type="dxa"/>
            </w:tcMar>
            <w:hideMark/>
          </w:tcPr>
          <w:p w14:paraId="197C8274"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Proceeds from maturities of marketable securities and other investments</w:t>
            </w:r>
          </w:p>
        </w:tc>
        <w:tc>
          <w:tcPr>
            <w:tcW w:w="90" w:type="pct"/>
            <w:shd w:val="clear" w:color="auto" w:fill="FFFFFF"/>
            <w:tcMar>
              <w:top w:w="15" w:type="dxa"/>
              <w:left w:w="0" w:type="dxa"/>
              <w:bottom w:w="0" w:type="dxa"/>
              <w:right w:w="15" w:type="dxa"/>
            </w:tcMar>
            <w:vAlign w:val="bottom"/>
            <w:hideMark/>
          </w:tcPr>
          <w:p w14:paraId="58A56D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615EB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7B7BEC8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10,210</w:t>
            </w:r>
          </w:p>
        </w:tc>
        <w:tc>
          <w:tcPr>
            <w:tcW w:w="50" w:type="pct"/>
            <w:shd w:val="clear" w:color="auto" w:fill="FFFFFF"/>
            <w:noWrap/>
            <w:tcMar>
              <w:top w:w="15" w:type="dxa"/>
              <w:left w:w="0" w:type="dxa"/>
              <w:bottom w:w="0" w:type="dxa"/>
              <w:right w:w="15" w:type="dxa"/>
            </w:tcMar>
            <w:vAlign w:val="bottom"/>
            <w:hideMark/>
          </w:tcPr>
          <w:p w14:paraId="5C2D9A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5C80DE4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DB54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373295E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14,808</w:t>
            </w:r>
          </w:p>
        </w:tc>
        <w:tc>
          <w:tcPr>
            <w:tcW w:w="50" w:type="pct"/>
            <w:shd w:val="clear" w:color="auto" w:fill="FFFFFF"/>
            <w:noWrap/>
            <w:tcMar>
              <w:top w:w="15" w:type="dxa"/>
              <w:left w:w="0" w:type="dxa"/>
              <w:bottom w:w="0" w:type="dxa"/>
              <w:right w:w="15" w:type="dxa"/>
            </w:tcMar>
            <w:vAlign w:val="bottom"/>
            <w:hideMark/>
          </w:tcPr>
          <w:p w14:paraId="2AACF2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110FE3F" w14:textId="77777777">
        <w:trPr>
          <w:divId w:val="754941214"/>
          <w:jc w:val="center"/>
        </w:trPr>
        <w:tc>
          <w:tcPr>
            <w:tcW w:w="3774" w:type="pct"/>
            <w:shd w:val="clear" w:color="auto" w:fill="CFF0FC"/>
            <w:tcMar>
              <w:top w:w="15" w:type="dxa"/>
              <w:left w:w="0" w:type="dxa"/>
              <w:bottom w:w="0" w:type="dxa"/>
              <w:right w:w="15" w:type="dxa"/>
            </w:tcMar>
            <w:hideMark/>
          </w:tcPr>
          <w:p w14:paraId="52A8607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Proceeds from sales of marketable securities</w:t>
            </w:r>
          </w:p>
        </w:tc>
        <w:tc>
          <w:tcPr>
            <w:tcW w:w="90" w:type="pct"/>
            <w:shd w:val="clear" w:color="auto" w:fill="CFF0FC"/>
            <w:tcMar>
              <w:top w:w="15" w:type="dxa"/>
              <w:left w:w="0" w:type="dxa"/>
              <w:bottom w:w="0" w:type="dxa"/>
              <w:right w:w="15" w:type="dxa"/>
            </w:tcMar>
            <w:vAlign w:val="bottom"/>
            <w:hideMark/>
          </w:tcPr>
          <w:p w14:paraId="2089B43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D437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315155C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11,328</w:t>
            </w:r>
          </w:p>
        </w:tc>
        <w:tc>
          <w:tcPr>
            <w:tcW w:w="50" w:type="pct"/>
            <w:shd w:val="clear" w:color="auto" w:fill="CFF0FC"/>
            <w:noWrap/>
            <w:tcMar>
              <w:top w:w="15" w:type="dxa"/>
              <w:left w:w="0" w:type="dxa"/>
              <w:bottom w:w="0" w:type="dxa"/>
              <w:right w:w="15" w:type="dxa"/>
            </w:tcMar>
            <w:vAlign w:val="bottom"/>
            <w:hideMark/>
          </w:tcPr>
          <w:p w14:paraId="18547B8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7C13A16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2442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420EEDC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2,261</w:t>
            </w:r>
          </w:p>
        </w:tc>
        <w:tc>
          <w:tcPr>
            <w:tcW w:w="50" w:type="pct"/>
            <w:shd w:val="clear" w:color="auto" w:fill="CFF0FC"/>
            <w:noWrap/>
            <w:tcMar>
              <w:top w:w="15" w:type="dxa"/>
              <w:left w:w="0" w:type="dxa"/>
              <w:bottom w:w="0" w:type="dxa"/>
              <w:right w:w="15" w:type="dxa"/>
            </w:tcMar>
            <w:vAlign w:val="bottom"/>
            <w:hideMark/>
          </w:tcPr>
          <w:p w14:paraId="51C441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8969FBB" w14:textId="77777777">
        <w:trPr>
          <w:divId w:val="754941214"/>
          <w:jc w:val="center"/>
        </w:trPr>
        <w:tc>
          <w:tcPr>
            <w:tcW w:w="3774" w:type="pct"/>
            <w:shd w:val="clear" w:color="auto" w:fill="FFFFFF"/>
            <w:tcMar>
              <w:top w:w="15" w:type="dxa"/>
              <w:left w:w="0" w:type="dxa"/>
              <w:bottom w:w="0" w:type="dxa"/>
              <w:right w:w="15" w:type="dxa"/>
            </w:tcMar>
            <w:hideMark/>
          </w:tcPr>
          <w:p w14:paraId="33F6ACA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Acquisitions, net of cash acquired</w:t>
            </w:r>
          </w:p>
        </w:tc>
        <w:tc>
          <w:tcPr>
            <w:tcW w:w="90" w:type="pct"/>
            <w:shd w:val="clear" w:color="auto" w:fill="FFFFFF"/>
            <w:tcMar>
              <w:top w:w="15" w:type="dxa"/>
              <w:left w:w="0" w:type="dxa"/>
              <w:bottom w:w="0" w:type="dxa"/>
              <w:right w:w="15" w:type="dxa"/>
            </w:tcMar>
            <w:vAlign w:val="bottom"/>
            <w:hideMark/>
          </w:tcPr>
          <w:p w14:paraId="194B310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A3CA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4A8E3AD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(330</w:t>
            </w:r>
          </w:p>
        </w:tc>
        <w:tc>
          <w:tcPr>
            <w:tcW w:w="50" w:type="pct"/>
            <w:shd w:val="clear" w:color="auto" w:fill="FFFFFF"/>
            <w:noWrap/>
            <w:tcMar>
              <w:top w:w="15" w:type="dxa"/>
              <w:left w:w="0" w:type="dxa"/>
              <w:bottom w:w="0" w:type="dxa"/>
              <w:right w:w="15" w:type="dxa"/>
            </w:tcMar>
            <w:vAlign w:val="bottom"/>
            <w:hideMark/>
          </w:tcPr>
          <w:p w14:paraId="4D7519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2056E5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A2ADE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3BF6B72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2DE63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1E8A733" w14:textId="77777777">
        <w:trPr>
          <w:divId w:val="754941214"/>
          <w:jc w:val="center"/>
        </w:trPr>
        <w:tc>
          <w:tcPr>
            <w:tcW w:w="3774" w:type="pct"/>
            <w:shd w:val="clear" w:color="auto" w:fill="CFF0FC"/>
            <w:tcMar>
              <w:top w:w="15" w:type="dxa"/>
              <w:left w:w="0" w:type="dxa"/>
              <w:bottom w:w="0" w:type="dxa"/>
              <w:right w:w="15" w:type="dxa"/>
            </w:tcMar>
            <w:hideMark/>
          </w:tcPr>
          <w:p w14:paraId="357AA493"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Capital expenditures</w:t>
            </w:r>
          </w:p>
        </w:tc>
        <w:tc>
          <w:tcPr>
            <w:tcW w:w="90" w:type="pct"/>
            <w:shd w:val="clear" w:color="auto" w:fill="CFF0FC"/>
            <w:tcMar>
              <w:top w:w="15" w:type="dxa"/>
              <w:left w:w="0" w:type="dxa"/>
              <w:bottom w:w="0" w:type="dxa"/>
              <w:right w:w="15" w:type="dxa"/>
            </w:tcMar>
            <w:vAlign w:val="bottom"/>
            <w:hideMark/>
          </w:tcPr>
          <w:p w14:paraId="3D086B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10EE0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bottom w:val="single" w:sz="6" w:space="0" w:color="000000"/>
            </w:tcBorders>
            <w:shd w:val="clear" w:color="auto" w:fill="CFF0FC"/>
            <w:noWrap/>
            <w:tcMar>
              <w:top w:w="15" w:type="dxa"/>
              <w:left w:w="0" w:type="dxa"/>
              <w:bottom w:w="0" w:type="dxa"/>
              <w:right w:w="15" w:type="dxa"/>
            </w:tcMar>
            <w:vAlign w:val="bottom"/>
            <w:hideMark/>
          </w:tcPr>
          <w:p w14:paraId="2F879AC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(1,247</w:t>
            </w:r>
          </w:p>
        </w:tc>
        <w:tc>
          <w:tcPr>
            <w:tcW w:w="50" w:type="pct"/>
            <w:shd w:val="clear" w:color="auto" w:fill="CFF0FC"/>
            <w:noWrap/>
            <w:tcMar>
              <w:top w:w="15" w:type="dxa"/>
              <w:left w:w="0" w:type="dxa"/>
              <w:bottom w:w="0" w:type="dxa"/>
              <w:right w:w="15" w:type="dxa"/>
            </w:tcMar>
            <w:vAlign w:val="bottom"/>
            <w:hideMark/>
          </w:tcPr>
          <w:p w14:paraId="00493B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147A9A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E800D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bottom w:val="single" w:sz="6" w:space="0" w:color="000000"/>
            </w:tcBorders>
            <w:shd w:val="clear" w:color="auto" w:fill="CFF0FC"/>
            <w:noWrap/>
            <w:tcMar>
              <w:top w:w="15" w:type="dxa"/>
              <w:left w:w="0" w:type="dxa"/>
              <w:bottom w:w="0" w:type="dxa"/>
              <w:right w:w="15" w:type="dxa"/>
            </w:tcMar>
            <w:vAlign w:val="bottom"/>
            <w:hideMark/>
          </w:tcPr>
          <w:p w14:paraId="5195559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(1,358</w:t>
            </w:r>
          </w:p>
        </w:tc>
        <w:tc>
          <w:tcPr>
            <w:tcW w:w="50" w:type="pct"/>
            <w:shd w:val="clear" w:color="auto" w:fill="CFF0FC"/>
            <w:noWrap/>
            <w:tcMar>
              <w:top w:w="15" w:type="dxa"/>
              <w:left w:w="0" w:type="dxa"/>
              <w:bottom w:w="0" w:type="dxa"/>
              <w:right w:w="15" w:type="dxa"/>
            </w:tcMar>
            <w:vAlign w:val="bottom"/>
            <w:hideMark/>
          </w:tcPr>
          <w:p w14:paraId="69014CB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77093728" w14:textId="77777777">
        <w:trPr>
          <w:divId w:val="754941214"/>
          <w:jc w:val="center"/>
        </w:trPr>
        <w:tc>
          <w:tcPr>
            <w:tcW w:w="3774" w:type="pct"/>
            <w:shd w:val="clear" w:color="auto" w:fill="FFFFFF"/>
            <w:tcMar>
              <w:top w:w="15" w:type="dxa"/>
              <w:left w:w="0" w:type="dxa"/>
              <w:bottom w:w="0" w:type="dxa"/>
              <w:right w:w="15" w:type="dxa"/>
            </w:tcMar>
            <w:hideMark/>
          </w:tcPr>
          <w:p w14:paraId="05633B81" w14:textId="77777777" w:rsidR="00716E85" w:rsidRDefault="00716E85">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Net cash provided by (used for) investing activities</w:t>
            </w:r>
          </w:p>
        </w:tc>
        <w:tc>
          <w:tcPr>
            <w:tcW w:w="90" w:type="pct"/>
            <w:shd w:val="clear" w:color="auto" w:fill="FFFFFF"/>
            <w:tcMar>
              <w:top w:w="15" w:type="dxa"/>
              <w:left w:w="0" w:type="dxa"/>
              <w:bottom w:w="0" w:type="dxa"/>
              <w:right w:w="15" w:type="dxa"/>
            </w:tcMar>
            <w:vAlign w:val="bottom"/>
            <w:hideMark/>
          </w:tcPr>
          <w:p w14:paraId="4AEE6D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EF67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52B56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18,651</w:t>
            </w:r>
          </w:p>
        </w:tc>
        <w:tc>
          <w:tcPr>
            <w:tcW w:w="50" w:type="pct"/>
            <w:shd w:val="clear" w:color="auto" w:fill="FFFFFF"/>
            <w:noWrap/>
            <w:tcMar>
              <w:top w:w="15" w:type="dxa"/>
              <w:left w:w="0" w:type="dxa"/>
              <w:bottom w:w="0" w:type="dxa"/>
              <w:right w:w="15" w:type="dxa"/>
            </w:tcMar>
            <w:vAlign w:val="bottom"/>
            <w:hideMark/>
          </w:tcPr>
          <w:p w14:paraId="5E05CD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1FBA5F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BFE1A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499F7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(8,785</w:t>
            </w:r>
          </w:p>
        </w:tc>
        <w:tc>
          <w:tcPr>
            <w:tcW w:w="50" w:type="pct"/>
            <w:shd w:val="clear" w:color="auto" w:fill="FFFFFF"/>
            <w:noWrap/>
            <w:tcMar>
              <w:top w:w="15" w:type="dxa"/>
              <w:left w:w="0" w:type="dxa"/>
              <w:bottom w:w="0" w:type="dxa"/>
              <w:right w:w="15" w:type="dxa"/>
            </w:tcMar>
            <w:vAlign w:val="bottom"/>
            <w:hideMark/>
          </w:tcPr>
          <w:p w14:paraId="1976A0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3F49BF25" w14:textId="77777777">
        <w:trPr>
          <w:divId w:val="754941214"/>
          <w:jc w:val="center"/>
        </w:trPr>
        <w:tc>
          <w:tcPr>
            <w:tcW w:w="3774" w:type="pct"/>
            <w:shd w:val="clear" w:color="auto" w:fill="CFF0FC"/>
            <w:tcMar>
              <w:top w:w="15" w:type="dxa"/>
              <w:left w:w="0" w:type="dxa"/>
              <w:bottom w:w="0" w:type="dxa"/>
              <w:right w:w="15" w:type="dxa"/>
            </w:tcMar>
            <w:hideMark/>
          </w:tcPr>
          <w:p w14:paraId="3795F2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flows from financing activities:</w:t>
            </w:r>
          </w:p>
        </w:tc>
        <w:tc>
          <w:tcPr>
            <w:tcW w:w="90" w:type="pct"/>
            <w:shd w:val="clear" w:color="auto" w:fill="CFF0FC"/>
            <w:tcMar>
              <w:top w:w="15" w:type="dxa"/>
              <w:left w:w="0" w:type="dxa"/>
              <w:bottom w:w="0" w:type="dxa"/>
              <w:right w:w="15" w:type="dxa"/>
            </w:tcMar>
            <w:vAlign w:val="bottom"/>
            <w:hideMark/>
          </w:tcPr>
          <w:p w14:paraId="0E7820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77664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tcBorders>
            <w:shd w:val="clear" w:color="auto" w:fill="CFF0FC"/>
            <w:noWrap/>
            <w:tcMar>
              <w:top w:w="15" w:type="dxa"/>
              <w:left w:w="0" w:type="dxa"/>
              <w:bottom w:w="0" w:type="dxa"/>
              <w:right w:w="15" w:type="dxa"/>
            </w:tcMar>
            <w:vAlign w:val="bottom"/>
            <w:hideMark/>
          </w:tcPr>
          <w:p w14:paraId="4C9B2B9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E37D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6D4B813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A9E1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tcBorders>
            <w:shd w:val="clear" w:color="auto" w:fill="CFF0FC"/>
            <w:noWrap/>
            <w:tcMar>
              <w:top w:w="15" w:type="dxa"/>
              <w:left w:w="0" w:type="dxa"/>
              <w:bottom w:w="0" w:type="dxa"/>
              <w:right w:w="15" w:type="dxa"/>
            </w:tcMar>
            <w:vAlign w:val="bottom"/>
            <w:hideMark/>
          </w:tcPr>
          <w:p w14:paraId="044BD4D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C316D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1745853" w14:textId="77777777">
        <w:trPr>
          <w:divId w:val="754941214"/>
          <w:jc w:val="center"/>
        </w:trPr>
        <w:tc>
          <w:tcPr>
            <w:tcW w:w="3774" w:type="pct"/>
            <w:shd w:val="clear" w:color="auto" w:fill="FFFFFF"/>
            <w:tcMar>
              <w:top w:w="15" w:type="dxa"/>
              <w:left w:w="0" w:type="dxa"/>
              <w:bottom w:w="0" w:type="dxa"/>
              <w:right w:w="15" w:type="dxa"/>
            </w:tcMar>
            <w:hideMark/>
          </w:tcPr>
          <w:p w14:paraId="0B36CFE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Payments for repurchases of common stock</w:t>
            </w:r>
          </w:p>
        </w:tc>
        <w:tc>
          <w:tcPr>
            <w:tcW w:w="90" w:type="pct"/>
            <w:shd w:val="clear" w:color="auto" w:fill="FFFFFF"/>
            <w:tcMar>
              <w:top w:w="15" w:type="dxa"/>
              <w:left w:w="0" w:type="dxa"/>
              <w:bottom w:w="0" w:type="dxa"/>
              <w:right w:w="15" w:type="dxa"/>
            </w:tcMar>
            <w:vAlign w:val="bottom"/>
            <w:hideMark/>
          </w:tcPr>
          <w:p w14:paraId="50D376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7B264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1E7759B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(29,887</w:t>
            </w:r>
          </w:p>
        </w:tc>
        <w:tc>
          <w:tcPr>
            <w:tcW w:w="50" w:type="pct"/>
            <w:shd w:val="clear" w:color="auto" w:fill="FFFFFF"/>
            <w:noWrap/>
            <w:tcMar>
              <w:top w:w="15" w:type="dxa"/>
              <w:left w:w="0" w:type="dxa"/>
              <w:bottom w:w="0" w:type="dxa"/>
              <w:right w:w="15" w:type="dxa"/>
            </w:tcMar>
            <w:vAlign w:val="bottom"/>
            <w:hideMark/>
          </w:tcPr>
          <w:p w14:paraId="63B899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3BD6E81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93A7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417BB97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(6,421</w:t>
            </w:r>
          </w:p>
        </w:tc>
        <w:tc>
          <w:tcPr>
            <w:tcW w:w="50" w:type="pct"/>
            <w:shd w:val="clear" w:color="auto" w:fill="FFFFFF"/>
            <w:noWrap/>
            <w:tcMar>
              <w:top w:w="15" w:type="dxa"/>
              <w:left w:w="0" w:type="dxa"/>
              <w:bottom w:w="0" w:type="dxa"/>
              <w:right w:w="15" w:type="dxa"/>
            </w:tcMar>
            <w:vAlign w:val="bottom"/>
            <w:hideMark/>
          </w:tcPr>
          <w:p w14:paraId="428709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3BD7C488" w14:textId="77777777">
        <w:trPr>
          <w:divId w:val="754941214"/>
          <w:jc w:val="center"/>
        </w:trPr>
        <w:tc>
          <w:tcPr>
            <w:tcW w:w="3774" w:type="pct"/>
            <w:shd w:val="clear" w:color="auto" w:fill="CFF0FC"/>
            <w:tcMar>
              <w:top w:w="15" w:type="dxa"/>
              <w:left w:w="0" w:type="dxa"/>
              <w:bottom w:w="0" w:type="dxa"/>
              <w:right w:w="15" w:type="dxa"/>
            </w:tcMar>
            <w:hideMark/>
          </w:tcPr>
          <w:p w14:paraId="776D3EFE"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Proceeds from issuances of common stock</w:t>
            </w:r>
          </w:p>
        </w:tc>
        <w:tc>
          <w:tcPr>
            <w:tcW w:w="90" w:type="pct"/>
            <w:shd w:val="clear" w:color="auto" w:fill="CFF0FC"/>
            <w:tcMar>
              <w:top w:w="15" w:type="dxa"/>
              <w:left w:w="0" w:type="dxa"/>
              <w:bottom w:w="0" w:type="dxa"/>
              <w:right w:w="15" w:type="dxa"/>
            </w:tcMar>
            <w:vAlign w:val="bottom"/>
            <w:hideMark/>
          </w:tcPr>
          <w:p w14:paraId="3516841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BD757D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4F512D3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1,468</w:t>
            </w:r>
          </w:p>
        </w:tc>
        <w:tc>
          <w:tcPr>
            <w:tcW w:w="50" w:type="pct"/>
            <w:shd w:val="clear" w:color="auto" w:fill="CFF0FC"/>
            <w:noWrap/>
            <w:tcMar>
              <w:top w:w="15" w:type="dxa"/>
              <w:left w:w="0" w:type="dxa"/>
              <w:bottom w:w="0" w:type="dxa"/>
              <w:right w:w="15" w:type="dxa"/>
            </w:tcMar>
            <w:vAlign w:val="bottom"/>
            <w:hideMark/>
          </w:tcPr>
          <w:p w14:paraId="783F8E1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393AC1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E1682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609D7A2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2,116</w:t>
            </w:r>
          </w:p>
        </w:tc>
        <w:tc>
          <w:tcPr>
            <w:tcW w:w="50" w:type="pct"/>
            <w:shd w:val="clear" w:color="auto" w:fill="CFF0FC"/>
            <w:noWrap/>
            <w:tcMar>
              <w:top w:w="15" w:type="dxa"/>
              <w:left w:w="0" w:type="dxa"/>
              <w:bottom w:w="0" w:type="dxa"/>
              <w:right w:w="15" w:type="dxa"/>
            </w:tcMar>
            <w:vAlign w:val="bottom"/>
            <w:hideMark/>
          </w:tcPr>
          <w:p w14:paraId="14632D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E50D39D" w14:textId="77777777">
        <w:trPr>
          <w:divId w:val="754941214"/>
          <w:jc w:val="center"/>
        </w:trPr>
        <w:tc>
          <w:tcPr>
            <w:tcW w:w="3774" w:type="pct"/>
            <w:shd w:val="clear" w:color="auto" w:fill="FFFFFF"/>
            <w:tcMar>
              <w:top w:w="15" w:type="dxa"/>
              <w:left w:w="0" w:type="dxa"/>
              <w:bottom w:w="0" w:type="dxa"/>
              <w:right w:w="15" w:type="dxa"/>
            </w:tcMar>
            <w:hideMark/>
          </w:tcPr>
          <w:p w14:paraId="5F9B595D"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Shares repurchased for tax withholdings upon vesting of restricted stock-based awards</w:t>
            </w:r>
          </w:p>
        </w:tc>
        <w:tc>
          <w:tcPr>
            <w:tcW w:w="90" w:type="pct"/>
            <w:shd w:val="clear" w:color="auto" w:fill="FFFFFF"/>
            <w:tcMar>
              <w:top w:w="15" w:type="dxa"/>
              <w:left w:w="0" w:type="dxa"/>
              <w:bottom w:w="0" w:type="dxa"/>
              <w:right w:w="15" w:type="dxa"/>
            </w:tcMar>
            <w:vAlign w:val="bottom"/>
            <w:hideMark/>
          </w:tcPr>
          <w:p w14:paraId="65C03B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B0A04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050124A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(455</w:t>
            </w:r>
          </w:p>
        </w:tc>
        <w:tc>
          <w:tcPr>
            <w:tcW w:w="50" w:type="pct"/>
            <w:shd w:val="clear" w:color="auto" w:fill="FFFFFF"/>
            <w:noWrap/>
            <w:tcMar>
              <w:top w:w="15" w:type="dxa"/>
              <w:left w:w="0" w:type="dxa"/>
              <w:bottom w:w="0" w:type="dxa"/>
              <w:right w:w="15" w:type="dxa"/>
            </w:tcMar>
            <w:vAlign w:val="bottom"/>
            <w:hideMark/>
          </w:tcPr>
          <w:p w14:paraId="17E6D26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0D21E5A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873E8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41A3810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(467</w:t>
            </w:r>
          </w:p>
        </w:tc>
        <w:tc>
          <w:tcPr>
            <w:tcW w:w="50" w:type="pct"/>
            <w:shd w:val="clear" w:color="auto" w:fill="FFFFFF"/>
            <w:noWrap/>
            <w:tcMar>
              <w:top w:w="15" w:type="dxa"/>
              <w:left w:w="0" w:type="dxa"/>
              <w:bottom w:w="0" w:type="dxa"/>
              <w:right w:w="15" w:type="dxa"/>
            </w:tcMar>
            <w:vAlign w:val="bottom"/>
            <w:hideMark/>
          </w:tcPr>
          <w:p w14:paraId="3899C61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BEACA1F" w14:textId="77777777">
        <w:trPr>
          <w:divId w:val="754941214"/>
          <w:jc w:val="center"/>
        </w:trPr>
        <w:tc>
          <w:tcPr>
            <w:tcW w:w="3774" w:type="pct"/>
            <w:shd w:val="clear" w:color="auto" w:fill="CFF0FC"/>
            <w:tcMar>
              <w:top w:w="15" w:type="dxa"/>
              <w:left w:w="0" w:type="dxa"/>
              <w:bottom w:w="0" w:type="dxa"/>
              <w:right w:w="15" w:type="dxa"/>
            </w:tcMar>
            <w:hideMark/>
          </w:tcPr>
          <w:p w14:paraId="7DD332E1"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Payments of dividends to stockholders</w:t>
            </w:r>
          </w:p>
        </w:tc>
        <w:tc>
          <w:tcPr>
            <w:tcW w:w="90" w:type="pct"/>
            <w:shd w:val="clear" w:color="auto" w:fill="CFF0FC"/>
            <w:tcMar>
              <w:top w:w="15" w:type="dxa"/>
              <w:left w:w="0" w:type="dxa"/>
              <w:bottom w:w="0" w:type="dxa"/>
              <w:right w:w="15" w:type="dxa"/>
            </w:tcMar>
            <w:vAlign w:val="bottom"/>
            <w:hideMark/>
          </w:tcPr>
          <w:p w14:paraId="2A53E3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F5A68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7A78811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(2,126</w:t>
            </w:r>
          </w:p>
        </w:tc>
        <w:tc>
          <w:tcPr>
            <w:tcW w:w="50" w:type="pct"/>
            <w:shd w:val="clear" w:color="auto" w:fill="CFF0FC"/>
            <w:noWrap/>
            <w:tcMar>
              <w:top w:w="15" w:type="dxa"/>
              <w:left w:w="0" w:type="dxa"/>
              <w:bottom w:w="0" w:type="dxa"/>
              <w:right w:w="15" w:type="dxa"/>
            </w:tcMar>
            <w:vAlign w:val="bottom"/>
            <w:hideMark/>
          </w:tcPr>
          <w:p w14:paraId="7BFE7C7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6CF9EB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AC5A00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1A97F98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(2,362</w:t>
            </w:r>
          </w:p>
        </w:tc>
        <w:tc>
          <w:tcPr>
            <w:tcW w:w="50" w:type="pct"/>
            <w:shd w:val="clear" w:color="auto" w:fill="CFF0FC"/>
            <w:noWrap/>
            <w:tcMar>
              <w:top w:w="15" w:type="dxa"/>
              <w:left w:w="0" w:type="dxa"/>
              <w:bottom w:w="0" w:type="dxa"/>
              <w:right w:w="15" w:type="dxa"/>
            </w:tcMar>
            <w:vAlign w:val="bottom"/>
            <w:hideMark/>
          </w:tcPr>
          <w:p w14:paraId="534CFF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A88E72D" w14:textId="77777777">
        <w:trPr>
          <w:divId w:val="754941214"/>
          <w:jc w:val="center"/>
        </w:trPr>
        <w:tc>
          <w:tcPr>
            <w:tcW w:w="3774" w:type="pct"/>
            <w:shd w:val="clear" w:color="auto" w:fill="FFFFFF"/>
            <w:tcMar>
              <w:top w:w="15" w:type="dxa"/>
              <w:left w:w="0" w:type="dxa"/>
              <w:bottom w:w="0" w:type="dxa"/>
              <w:right w:w="15" w:type="dxa"/>
            </w:tcMar>
            <w:hideMark/>
          </w:tcPr>
          <w:p w14:paraId="0958D3FE"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Proceeds from borrowings, net of issuance costs</w:t>
            </w:r>
          </w:p>
        </w:tc>
        <w:tc>
          <w:tcPr>
            <w:tcW w:w="90" w:type="pct"/>
            <w:shd w:val="clear" w:color="auto" w:fill="FFFFFF"/>
            <w:tcMar>
              <w:top w:w="15" w:type="dxa"/>
              <w:left w:w="0" w:type="dxa"/>
              <w:bottom w:w="0" w:type="dxa"/>
              <w:right w:w="15" w:type="dxa"/>
            </w:tcMar>
            <w:vAlign w:val="bottom"/>
            <w:hideMark/>
          </w:tcPr>
          <w:p w14:paraId="2FC96AC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D1119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74091D9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CC251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65B7B5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B8C8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72FA74F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9,945</w:t>
            </w:r>
          </w:p>
        </w:tc>
        <w:tc>
          <w:tcPr>
            <w:tcW w:w="50" w:type="pct"/>
            <w:shd w:val="clear" w:color="auto" w:fill="FFFFFF"/>
            <w:noWrap/>
            <w:tcMar>
              <w:top w:w="15" w:type="dxa"/>
              <w:left w:w="0" w:type="dxa"/>
              <w:bottom w:w="0" w:type="dxa"/>
              <w:right w:w="15" w:type="dxa"/>
            </w:tcMar>
            <w:vAlign w:val="bottom"/>
            <w:hideMark/>
          </w:tcPr>
          <w:p w14:paraId="0D672F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BCA6118" w14:textId="77777777">
        <w:trPr>
          <w:divId w:val="754941214"/>
          <w:jc w:val="center"/>
        </w:trPr>
        <w:tc>
          <w:tcPr>
            <w:tcW w:w="3774" w:type="pct"/>
            <w:shd w:val="clear" w:color="auto" w:fill="CFF0FC"/>
            <w:tcMar>
              <w:top w:w="15" w:type="dxa"/>
              <w:left w:w="0" w:type="dxa"/>
              <w:bottom w:w="0" w:type="dxa"/>
              <w:right w:w="15" w:type="dxa"/>
            </w:tcMar>
            <w:hideMark/>
          </w:tcPr>
          <w:p w14:paraId="0119746E"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Repayments of borrowings</w:t>
            </w:r>
          </w:p>
        </w:tc>
        <w:tc>
          <w:tcPr>
            <w:tcW w:w="90" w:type="pct"/>
            <w:shd w:val="clear" w:color="auto" w:fill="CFF0FC"/>
            <w:tcMar>
              <w:top w:w="15" w:type="dxa"/>
              <w:left w:w="0" w:type="dxa"/>
              <w:bottom w:w="0" w:type="dxa"/>
              <w:right w:w="15" w:type="dxa"/>
            </w:tcMar>
            <w:vAlign w:val="bottom"/>
            <w:hideMark/>
          </w:tcPr>
          <w:p w14:paraId="489453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57811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CFF0FC"/>
            <w:noWrap/>
            <w:tcMar>
              <w:top w:w="15" w:type="dxa"/>
              <w:left w:w="0" w:type="dxa"/>
              <w:bottom w:w="0" w:type="dxa"/>
              <w:right w:w="15" w:type="dxa"/>
            </w:tcMar>
            <w:vAlign w:val="bottom"/>
            <w:hideMark/>
          </w:tcPr>
          <w:p w14:paraId="21009F0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(4,500</w:t>
            </w:r>
          </w:p>
        </w:tc>
        <w:tc>
          <w:tcPr>
            <w:tcW w:w="50" w:type="pct"/>
            <w:shd w:val="clear" w:color="auto" w:fill="CFF0FC"/>
            <w:noWrap/>
            <w:tcMar>
              <w:top w:w="15" w:type="dxa"/>
              <w:left w:w="0" w:type="dxa"/>
              <w:bottom w:w="0" w:type="dxa"/>
              <w:right w:w="15" w:type="dxa"/>
            </w:tcMar>
            <w:vAlign w:val="bottom"/>
            <w:hideMark/>
          </w:tcPr>
          <w:p w14:paraId="2FE2C9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2A55752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B7BE88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CFF0FC"/>
            <w:noWrap/>
            <w:tcMar>
              <w:top w:w="15" w:type="dxa"/>
              <w:left w:w="0" w:type="dxa"/>
              <w:bottom w:w="0" w:type="dxa"/>
              <w:right w:w="15" w:type="dxa"/>
            </w:tcMar>
            <w:vAlign w:val="bottom"/>
            <w:hideMark/>
          </w:tcPr>
          <w:p w14:paraId="4B9465F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(7,300</w:t>
            </w:r>
          </w:p>
        </w:tc>
        <w:tc>
          <w:tcPr>
            <w:tcW w:w="50" w:type="pct"/>
            <w:shd w:val="clear" w:color="auto" w:fill="CFF0FC"/>
            <w:noWrap/>
            <w:tcMar>
              <w:top w:w="15" w:type="dxa"/>
              <w:left w:w="0" w:type="dxa"/>
              <w:bottom w:w="0" w:type="dxa"/>
              <w:right w:w="15" w:type="dxa"/>
            </w:tcMar>
            <w:vAlign w:val="bottom"/>
            <w:hideMark/>
          </w:tcPr>
          <w:p w14:paraId="1717EC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78D07CB0" w14:textId="77777777">
        <w:trPr>
          <w:divId w:val="754941214"/>
          <w:jc w:val="center"/>
        </w:trPr>
        <w:tc>
          <w:tcPr>
            <w:tcW w:w="3774" w:type="pct"/>
            <w:shd w:val="clear" w:color="auto" w:fill="FFFFFF"/>
            <w:tcMar>
              <w:top w:w="15" w:type="dxa"/>
              <w:left w:w="0" w:type="dxa"/>
              <w:bottom w:w="0" w:type="dxa"/>
              <w:right w:w="15" w:type="dxa"/>
            </w:tcMar>
            <w:hideMark/>
          </w:tcPr>
          <w:p w14:paraId="6DFB848C"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Other, net</w:t>
            </w:r>
          </w:p>
        </w:tc>
        <w:tc>
          <w:tcPr>
            <w:tcW w:w="90" w:type="pct"/>
            <w:shd w:val="clear" w:color="auto" w:fill="FFFFFF"/>
            <w:tcMar>
              <w:top w:w="15" w:type="dxa"/>
              <w:left w:w="0" w:type="dxa"/>
              <w:bottom w:w="0" w:type="dxa"/>
              <w:right w:w="15" w:type="dxa"/>
            </w:tcMar>
            <w:vAlign w:val="bottom"/>
            <w:hideMark/>
          </w:tcPr>
          <w:p w14:paraId="6518DCD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5DD89E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bottom w:val="single" w:sz="6" w:space="0" w:color="000000"/>
            </w:tcBorders>
            <w:shd w:val="clear" w:color="auto" w:fill="FFFFFF"/>
            <w:noWrap/>
            <w:tcMar>
              <w:top w:w="15" w:type="dxa"/>
              <w:left w:w="0" w:type="dxa"/>
              <w:bottom w:w="0" w:type="dxa"/>
              <w:right w:w="15" w:type="dxa"/>
            </w:tcMar>
            <w:vAlign w:val="bottom"/>
            <w:hideMark/>
          </w:tcPr>
          <w:p w14:paraId="1F008D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FFFFFF"/>
            <w:noWrap/>
            <w:tcMar>
              <w:top w:w="15" w:type="dxa"/>
              <w:left w:w="0" w:type="dxa"/>
              <w:bottom w:w="0" w:type="dxa"/>
              <w:right w:w="15" w:type="dxa"/>
            </w:tcMar>
            <w:vAlign w:val="bottom"/>
            <w:hideMark/>
          </w:tcPr>
          <w:p w14:paraId="732E45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51327C1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8CF84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bottom w:val="single" w:sz="6" w:space="0" w:color="000000"/>
            </w:tcBorders>
            <w:shd w:val="clear" w:color="auto" w:fill="FFFFFF"/>
            <w:noWrap/>
            <w:tcMar>
              <w:top w:w="15" w:type="dxa"/>
              <w:left w:w="0" w:type="dxa"/>
              <w:bottom w:w="0" w:type="dxa"/>
              <w:right w:w="15" w:type="dxa"/>
            </w:tcMar>
            <w:vAlign w:val="bottom"/>
            <w:hideMark/>
          </w:tcPr>
          <w:p w14:paraId="6C1CFB4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w:t>
            </w:r>
          </w:p>
        </w:tc>
        <w:tc>
          <w:tcPr>
            <w:tcW w:w="50" w:type="pct"/>
            <w:shd w:val="clear" w:color="auto" w:fill="FFFFFF"/>
            <w:noWrap/>
            <w:tcMar>
              <w:top w:w="15" w:type="dxa"/>
              <w:left w:w="0" w:type="dxa"/>
              <w:bottom w:w="0" w:type="dxa"/>
              <w:right w:w="15" w:type="dxa"/>
            </w:tcMar>
            <w:vAlign w:val="bottom"/>
            <w:hideMark/>
          </w:tcPr>
          <w:p w14:paraId="2EE095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7A987A14" w14:textId="77777777">
        <w:trPr>
          <w:divId w:val="754941214"/>
          <w:jc w:val="center"/>
        </w:trPr>
        <w:tc>
          <w:tcPr>
            <w:tcW w:w="3774" w:type="pct"/>
            <w:shd w:val="clear" w:color="auto" w:fill="CFF0FC"/>
            <w:tcMar>
              <w:top w:w="15" w:type="dxa"/>
              <w:left w:w="0" w:type="dxa"/>
              <w:bottom w:w="0" w:type="dxa"/>
              <w:right w:w="15" w:type="dxa"/>
            </w:tcMar>
            <w:hideMark/>
          </w:tcPr>
          <w:p w14:paraId="714C57D5" w14:textId="77777777" w:rsidR="00716E85" w:rsidRDefault="00716E85">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Net cash used for financing activities</w:t>
            </w:r>
          </w:p>
        </w:tc>
        <w:tc>
          <w:tcPr>
            <w:tcW w:w="90" w:type="pct"/>
            <w:shd w:val="clear" w:color="auto" w:fill="CFF0FC"/>
            <w:tcMar>
              <w:top w:w="15" w:type="dxa"/>
              <w:left w:w="0" w:type="dxa"/>
              <w:bottom w:w="0" w:type="dxa"/>
              <w:right w:w="15" w:type="dxa"/>
            </w:tcMar>
            <w:vAlign w:val="bottom"/>
            <w:hideMark/>
          </w:tcPr>
          <w:p w14:paraId="18D275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FDF0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50D713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(35,595</w:t>
            </w:r>
          </w:p>
        </w:tc>
        <w:tc>
          <w:tcPr>
            <w:tcW w:w="50" w:type="pct"/>
            <w:shd w:val="clear" w:color="auto" w:fill="CFF0FC"/>
            <w:noWrap/>
            <w:tcMar>
              <w:top w:w="15" w:type="dxa"/>
              <w:left w:w="0" w:type="dxa"/>
              <w:bottom w:w="0" w:type="dxa"/>
              <w:right w:w="15" w:type="dxa"/>
            </w:tcMar>
            <w:vAlign w:val="bottom"/>
            <w:hideMark/>
          </w:tcPr>
          <w:p w14:paraId="3FBD80F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6409FE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E84454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625D1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(4,523</w:t>
            </w:r>
          </w:p>
        </w:tc>
        <w:tc>
          <w:tcPr>
            <w:tcW w:w="50" w:type="pct"/>
            <w:shd w:val="clear" w:color="auto" w:fill="CFF0FC"/>
            <w:noWrap/>
            <w:tcMar>
              <w:top w:w="15" w:type="dxa"/>
              <w:left w:w="0" w:type="dxa"/>
              <w:bottom w:w="0" w:type="dxa"/>
              <w:right w:w="15" w:type="dxa"/>
            </w:tcMar>
            <w:vAlign w:val="bottom"/>
            <w:hideMark/>
          </w:tcPr>
          <w:p w14:paraId="4F9AA4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7D9D7FD7" w14:textId="77777777">
        <w:trPr>
          <w:divId w:val="754941214"/>
          <w:jc w:val="center"/>
        </w:trPr>
        <w:tc>
          <w:tcPr>
            <w:tcW w:w="3774" w:type="pct"/>
            <w:shd w:val="clear" w:color="auto" w:fill="FFFFFF"/>
            <w:tcMar>
              <w:top w:w="15" w:type="dxa"/>
              <w:left w:w="0" w:type="dxa"/>
              <w:bottom w:w="0" w:type="dxa"/>
              <w:right w:w="15" w:type="dxa"/>
            </w:tcMar>
            <w:hideMark/>
          </w:tcPr>
          <w:p w14:paraId="4690528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Effect of exchange rate changes on cash and cash equivalents</w:t>
            </w:r>
          </w:p>
        </w:tc>
        <w:tc>
          <w:tcPr>
            <w:tcW w:w="90" w:type="pct"/>
            <w:shd w:val="clear" w:color="auto" w:fill="FFFFFF"/>
            <w:tcMar>
              <w:top w:w="15" w:type="dxa"/>
              <w:left w:w="0" w:type="dxa"/>
              <w:bottom w:w="0" w:type="dxa"/>
              <w:right w:w="15" w:type="dxa"/>
            </w:tcMar>
            <w:vAlign w:val="bottom"/>
            <w:hideMark/>
          </w:tcPr>
          <w:p w14:paraId="29BA788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AEC66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8FF5FA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(85</w:t>
            </w:r>
          </w:p>
        </w:tc>
        <w:tc>
          <w:tcPr>
            <w:tcW w:w="50" w:type="pct"/>
            <w:shd w:val="clear" w:color="auto" w:fill="FFFFFF"/>
            <w:noWrap/>
            <w:tcMar>
              <w:top w:w="15" w:type="dxa"/>
              <w:left w:w="0" w:type="dxa"/>
              <w:bottom w:w="0" w:type="dxa"/>
              <w:right w:w="15" w:type="dxa"/>
            </w:tcMar>
            <w:vAlign w:val="bottom"/>
            <w:hideMark/>
          </w:tcPr>
          <w:p w14:paraId="5806311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0096E1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43ABE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27698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285</w:t>
            </w:r>
          </w:p>
        </w:tc>
        <w:tc>
          <w:tcPr>
            <w:tcW w:w="50" w:type="pct"/>
            <w:shd w:val="clear" w:color="auto" w:fill="FFFFFF"/>
            <w:noWrap/>
            <w:tcMar>
              <w:top w:w="15" w:type="dxa"/>
              <w:left w:w="0" w:type="dxa"/>
              <w:bottom w:w="0" w:type="dxa"/>
              <w:right w:w="15" w:type="dxa"/>
            </w:tcMar>
            <w:vAlign w:val="bottom"/>
            <w:hideMark/>
          </w:tcPr>
          <w:p w14:paraId="150861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78630B6" w14:textId="77777777">
        <w:trPr>
          <w:divId w:val="754941214"/>
          <w:jc w:val="center"/>
        </w:trPr>
        <w:tc>
          <w:tcPr>
            <w:tcW w:w="3774" w:type="pct"/>
            <w:shd w:val="clear" w:color="auto" w:fill="CFF0FC"/>
            <w:tcMar>
              <w:top w:w="15" w:type="dxa"/>
              <w:left w:w="0" w:type="dxa"/>
              <w:bottom w:w="0" w:type="dxa"/>
              <w:right w:w="15" w:type="dxa"/>
            </w:tcMar>
            <w:hideMark/>
          </w:tcPr>
          <w:p w14:paraId="1E3E510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Net decrease in cash and cash equivalents</w:t>
            </w:r>
          </w:p>
        </w:tc>
        <w:tc>
          <w:tcPr>
            <w:tcW w:w="90" w:type="pct"/>
            <w:shd w:val="clear" w:color="auto" w:fill="CFF0FC"/>
            <w:tcMar>
              <w:top w:w="15" w:type="dxa"/>
              <w:left w:w="0" w:type="dxa"/>
              <w:bottom w:w="0" w:type="dxa"/>
              <w:right w:w="15" w:type="dxa"/>
            </w:tcMar>
            <w:vAlign w:val="bottom"/>
            <w:hideMark/>
          </w:tcPr>
          <w:p w14:paraId="57B7E93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7BA59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top w:val="single" w:sz="6" w:space="0" w:color="000000"/>
            </w:tcBorders>
            <w:shd w:val="clear" w:color="auto" w:fill="CFF0FC"/>
            <w:noWrap/>
            <w:tcMar>
              <w:top w:w="15" w:type="dxa"/>
              <w:left w:w="0" w:type="dxa"/>
              <w:bottom w:w="0" w:type="dxa"/>
              <w:right w:w="15" w:type="dxa"/>
            </w:tcMar>
            <w:vAlign w:val="bottom"/>
            <w:hideMark/>
          </w:tcPr>
          <w:p w14:paraId="338DA42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(6,900</w:t>
            </w:r>
          </w:p>
        </w:tc>
        <w:tc>
          <w:tcPr>
            <w:tcW w:w="50" w:type="pct"/>
            <w:shd w:val="clear" w:color="auto" w:fill="CFF0FC"/>
            <w:noWrap/>
            <w:tcMar>
              <w:top w:w="15" w:type="dxa"/>
              <w:left w:w="0" w:type="dxa"/>
              <w:bottom w:w="0" w:type="dxa"/>
              <w:right w:w="15" w:type="dxa"/>
            </w:tcMar>
            <w:vAlign w:val="bottom"/>
            <w:hideMark/>
          </w:tcPr>
          <w:p w14:paraId="5BDF020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CFF0FC"/>
            <w:tcMar>
              <w:top w:w="15" w:type="dxa"/>
              <w:left w:w="0" w:type="dxa"/>
              <w:bottom w:w="0" w:type="dxa"/>
              <w:right w:w="15" w:type="dxa"/>
            </w:tcMar>
            <w:vAlign w:val="bottom"/>
            <w:hideMark/>
          </w:tcPr>
          <w:p w14:paraId="155E61B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D6D39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top w:val="single" w:sz="6" w:space="0" w:color="000000"/>
            </w:tcBorders>
            <w:shd w:val="clear" w:color="auto" w:fill="CFF0FC"/>
            <w:noWrap/>
            <w:tcMar>
              <w:top w:w="15" w:type="dxa"/>
              <w:left w:w="0" w:type="dxa"/>
              <w:bottom w:w="0" w:type="dxa"/>
              <w:right w:w="15" w:type="dxa"/>
            </w:tcMar>
            <w:vAlign w:val="bottom"/>
            <w:hideMark/>
          </w:tcPr>
          <w:p w14:paraId="2C8101B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(2,297</w:t>
            </w:r>
          </w:p>
        </w:tc>
        <w:tc>
          <w:tcPr>
            <w:tcW w:w="50" w:type="pct"/>
            <w:shd w:val="clear" w:color="auto" w:fill="CFF0FC"/>
            <w:noWrap/>
            <w:tcMar>
              <w:top w:w="15" w:type="dxa"/>
              <w:left w:w="0" w:type="dxa"/>
              <w:bottom w:w="0" w:type="dxa"/>
              <w:right w:w="15" w:type="dxa"/>
            </w:tcMar>
            <w:vAlign w:val="bottom"/>
            <w:hideMark/>
          </w:tcPr>
          <w:p w14:paraId="6C2C38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693CBF4" w14:textId="77777777">
        <w:trPr>
          <w:divId w:val="754941214"/>
          <w:jc w:val="center"/>
        </w:trPr>
        <w:tc>
          <w:tcPr>
            <w:tcW w:w="3774" w:type="pct"/>
            <w:shd w:val="clear" w:color="auto" w:fill="FFFFFF"/>
            <w:tcMar>
              <w:top w:w="15" w:type="dxa"/>
              <w:left w:w="0" w:type="dxa"/>
              <w:bottom w:w="0" w:type="dxa"/>
              <w:right w:w="15" w:type="dxa"/>
            </w:tcMar>
            <w:hideMark/>
          </w:tcPr>
          <w:p w14:paraId="7207B2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and cash equivalents at beginning of period</w:t>
            </w:r>
          </w:p>
        </w:tc>
        <w:tc>
          <w:tcPr>
            <w:tcW w:w="90" w:type="pct"/>
            <w:shd w:val="clear" w:color="auto" w:fill="FFFFFF"/>
            <w:tcMar>
              <w:top w:w="15" w:type="dxa"/>
              <w:left w:w="0" w:type="dxa"/>
              <w:bottom w:w="0" w:type="dxa"/>
              <w:right w:w="15" w:type="dxa"/>
            </w:tcMar>
            <w:vAlign w:val="bottom"/>
            <w:hideMark/>
          </w:tcPr>
          <w:p w14:paraId="2C54C04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609A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tcBorders>
              <w:bottom w:val="single" w:sz="6" w:space="0" w:color="000000"/>
            </w:tcBorders>
            <w:shd w:val="clear" w:color="auto" w:fill="FFFFFF"/>
            <w:noWrap/>
            <w:tcMar>
              <w:top w:w="15" w:type="dxa"/>
              <w:left w:w="0" w:type="dxa"/>
              <w:bottom w:w="0" w:type="dxa"/>
              <w:right w:w="15" w:type="dxa"/>
            </w:tcMar>
            <w:vAlign w:val="bottom"/>
            <w:hideMark/>
          </w:tcPr>
          <w:p w14:paraId="7722DA6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21,620</w:t>
            </w:r>
          </w:p>
        </w:tc>
        <w:tc>
          <w:tcPr>
            <w:tcW w:w="50" w:type="pct"/>
            <w:shd w:val="clear" w:color="auto" w:fill="FFFFFF"/>
            <w:noWrap/>
            <w:tcMar>
              <w:top w:w="15" w:type="dxa"/>
              <w:left w:w="0" w:type="dxa"/>
              <w:bottom w:w="0" w:type="dxa"/>
              <w:right w:w="15" w:type="dxa"/>
            </w:tcMar>
            <w:vAlign w:val="bottom"/>
            <w:hideMark/>
          </w:tcPr>
          <w:p w14:paraId="0F2220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2B47876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22368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tcBorders>
              <w:bottom w:val="single" w:sz="6" w:space="0" w:color="000000"/>
            </w:tcBorders>
            <w:shd w:val="clear" w:color="auto" w:fill="FFFFFF"/>
            <w:noWrap/>
            <w:tcMar>
              <w:top w:w="15" w:type="dxa"/>
              <w:left w:w="0" w:type="dxa"/>
              <w:bottom w:w="0" w:type="dxa"/>
              <w:right w:w="15" w:type="dxa"/>
            </w:tcMar>
            <w:vAlign w:val="bottom"/>
            <w:hideMark/>
          </w:tcPr>
          <w:p w14:paraId="5367BD1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21,784</w:t>
            </w:r>
          </w:p>
        </w:tc>
        <w:tc>
          <w:tcPr>
            <w:tcW w:w="50" w:type="pct"/>
            <w:shd w:val="clear" w:color="auto" w:fill="FFFFFF"/>
            <w:noWrap/>
            <w:tcMar>
              <w:top w:w="15" w:type="dxa"/>
              <w:left w:w="0" w:type="dxa"/>
              <w:bottom w:w="0" w:type="dxa"/>
              <w:right w:w="15" w:type="dxa"/>
            </w:tcMar>
            <w:vAlign w:val="bottom"/>
            <w:hideMark/>
          </w:tcPr>
          <w:p w14:paraId="4DCDADD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40333B1" w14:textId="77777777">
        <w:trPr>
          <w:divId w:val="754941214"/>
          <w:jc w:val="center"/>
        </w:trPr>
        <w:tc>
          <w:tcPr>
            <w:tcW w:w="3774" w:type="pct"/>
            <w:shd w:val="clear" w:color="auto" w:fill="CFF0FC"/>
            <w:tcMar>
              <w:top w:w="15" w:type="dxa"/>
              <w:left w:w="0" w:type="dxa"/>
              <w:bottom w:w="0" w:type="dxa"/>
              <w:right w:w="15" w:type="dxa"/>
            </w:tcMar>
            <w:hideMark/>
          </w:tcPr>
          <w:p w14:paraId="4F0433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Cash and cash equivalents at end of period</w:t>
            </w:r>
          </w:p>
        </w:tc>
        <w:tc>
          <w:tcPr>
            <w:tcW w:w="90" w:type="pct"/>
            <w:shd w:val="clear" w:color="auto" w:fill="CFF0FC"/>
            <w:tcMar>
              <w:top w:w="15" w:type="dxa"/>
              <w:left w:w="0" w:type="dxa"/>
              <w:bottom w:w="0" w:type="dxa"/>
              <w:right w:w="15" w:type="dxa"/>
            </w:tcMar>
            <w:vAlign w:val="center"/>
            <w:hideMark/>
          </w:tcPr>
          <w:p w14:paraId="6F2DD48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3FB33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2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CBDD7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14,720</w:t>
            </w:r>
          </w:p>
        </w:tc>
        <w:tc>
          <w:tcPr>
            <w:tcW w:w="50" w:type="pct"/>
            <w:shd w:val="clear" w:color="auto" w:fill="CFF0FC"/>
            <w:noWrap/>
            <w:tcMar>
              <w:top w:w="15" w:type="dxa"/>
              <w:left w:w="0" w:type="dxa"/>
              <w:bottom w:w="0" w:type="dxa"/>
              <w:right w:w="15" w:type="dxa"/>
            </w:tcMar>
            <w:vAlign w:val="bottom"/>
            <w:hideMark/>
          </w:tcPr>
          <w:p w14:paraId="21FAE6F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center"/>
            <w:hideMark/>
          </w:tcPr>
          <w:p w14:paraId="317B139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ABE98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2B30D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19,487</w:t>
            </w:r>
          </w:p>
        </w:tc>
        <w:tc>
          <w:tcPr>
            <w:tcW w:w="50" w:type="pct"/>
            <w:shd w:val="clear" w:color="auto" w:fill="CFF0FC"/>
            <w:noWrap/>
            <w:tcMar>
              <w:top w:w="15" w:type="dxa"/>
              <w:left w:w="0" w:type="dxa"/>
              <w:bottom w:w="0" w:type="dxa"/>
              <w:right w:w="15" w:type="dxa"/>
            </w:tcMar>
            <w:vAlign w:val="bottom"/>
            <w:hideMark/>
          </w:tcPr>
          <w:p w14:paraId="1AFE97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9B5A1E8" w14:textId="77777777">
        <w:trPr>
          <w:divId w:val="754941214"/>
          <w:jc w:val="center"/>
        </w:trPr>
        <w:tc>
          <w:tcPr>
            <w:tcW w:w="3774" w:type="pct"/>
            <w:shd w:val="clear" w:color="auto" w:fill="FFFFFF"/>
            <w:tcMar>
              <w:top w:w="15" w:type="dxa"/>
              <w:left w:w="0" w:type="dxa"/>
              <w:bottom w:w="0" w:type="dxa"/>
              <w:right w:w="15" w:type="dxa"/>
            </w:tcMar>
            <w:hideMark/>
          </w:tcPr>
          <w:p w14:paraId="79E2EF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Non-cash investing and financing transactions:</w:t>
            </w:r>
          </w:p>
        </w:tc>
        <w:tc>
          <w:tcPr>
            <w:tcW w:w="90" w:type="pct"/>
            <w:shd w:val="clear" w:color="auto" w:fill="FFFFFF"/>
            <w:tcMar>
              <w:top w:w="15" w:type="dxa"/>
              <w:left w:w="0" w:type="dxa"/>
              <w:bottom w:w="0" w:type="dxa"/>
              <w:right w:w="15" w:type="dxa"/>
            </w:tcMar>
            <w:vAlign w:val="bottom"/>
            <w:hideMark/>
          </w:tcPr>
          <w:p w14:paraId="11F7F4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5F0A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26" w:type="pct"/>
            <w:shd w:val="clear" w:color="auto" w:fill="FFFFFF"/>
            <w:noWrap/>
            <w:tcMar>
              <w:top w:w="15" w:type="dxa"/>
              <w:left w:w="0" w:type="dxa"/>
              <w:bottom w:w="0" w:type="dxa"/>
              <w:right w:w="15" w:type="dxa"/>
            </w:tcMar>
            <w:vAlign w:val="bottom"/>
            <w:hideMark/>
          </w:tcPr>
          <w:p w14:paraId="092BA47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513E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49E5E2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2D562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418" w:type="pct"/>
            <w:shd w:val="clear" w:color="auto" w:fill="FFFFFF"/>
            <w:noWrap/>
            <w:tcMar>
              <w:top w:w="15" w:type="dxa"/>
              <w:left w:w="0" w:type="dxa"/>
              <w:bottom w:w="0" w:type="dxa"/>
              <w:right w:w="15" w:type="dxa"/>
            </w:tcMar>
            <w:vAlign w:val="bottom"/>
            <w:hideMark/>
          </w:tcPr>
          <w:p w14:paraId="4D4E0F9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B931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6A1B027" w14:textId="77777777">
        <w:trPr>
          <w:divId w:val="754941214"/>
          <w:jc w:val="center"/>
        </w:trPr>
        <w:tc>
          <w:tcPr>
            <w:tcW w:w="3774" w:type="pct"/>
            <w:shd w:val="clear" w:color="auto" w:fill="CFF0FC"/>
            <w:tcMar>
              <w:top w:w="15" w:type="dxa"/>
              <w:left w:w="0" w:type="dxa"/>
              <w:bottom w:w="0" w:type="dxa"/>
              <w:right w:w="15" w:type="dxa"/>
            </w:tcMar>
            <w:hideMark/>
          </w:tcPr>
          <w:p w14:paraId="58112C5A"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Fair values of restricted stock-based awards and stock options assumed in connection with acquisitions</w:t>
            </w:r>
          </w:p>
        </w:tc>
        <w:tc>
          <w:tcPr>
            <w:tcW w:w="90" w:type="pct"/>
            <w:shd w:val="clear" w:color="auto" w:fill="CFF0FC"/>
            <w:tcMar>
              <w:top w:w="15" w:type="dxa"/>
              <w:left w:w="0" w:type="dxa"/>
              <w:bottom w:w="0" w:type="dxa"/>
              <w:right w:w="15" w:type="dxa"/>
            </w:tcMar>
            <w:vAlign w:val="bottom"/>
            <w:hideMark/>
          </w:tcPr>
          <w:p w14:paraId="25DF68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6ACDE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26" w:type="pct"/>
            <w:shd w:val="clear" w:color="auto" w:fill="CFF0FC"/>
            <w:noWrap/>
            <w:tcMar>
              <w:top w:w="15" w:type="dxa"/>
              <w:left w:w="0" w:type="dxa"/>
              <w:bottom w:w="0" w:type="dxa"/>
              <w:right w:w="15" w:type="dxa"/>
            </w:tcMar>
            <w:vAlign w:val="bottom"/>
            <w:hideMark/>
          </w:tcPr>
          <w:p w14:paraId="30D009D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w:t>
            </w:r>
          </w:p>
        </w:tc>
        <w:tc>
          <w:tcPr>
            <w:tcW w:w="50" w:type="pct"/>
            <w:shd w:val="clear" w:color="auto" w:fill="CFF0FC"/>
            <w:noWrap/>
            <w:tcMar>
              <w:top w:w="15" w:type="dxa"/>
              <w:left w:w="0" w:type="dxa"/>
              <w:bottom w:w="0" w:type="dxa"/>
              <w:right w:w="15" w:type="dxa"/>
            </w:tcMar>
            <w:vAlign w:val="bottom"/>
            <w:hideMark/>
          </w:tcPr>
          <w:p w14:paraId="38166AE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4F0EF1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B4781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8" w:type="pct"/>
            <w:shd w:val="clear" w:color="auto" w:fill="CFF0FC"/>
            <w:noWrap/>
            <w:tcMar>
              <w:top w:w="15" w:type="dxa"/>
              <w:left w:w="0" w:type="dxa"/>
              <w:bottom w:w="0" w:type="dxa"/>
              <w:right w:w="15" w:type="dxa"/>
            </w:tcMar>
            <w:vAlign w:val="bottom"/>
            <w:hideMark/>
          </w:tcPr>
          <w:p w14:paraId="514B544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1EC70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62BDD2A4" w14:textId="77777777">
        <w:trPr>
          <w:divId w:val="754941214"/>
          <w:jc w:val="center"/>
        </w:trPr>
        <w:tc>
          <w:tcPr>
            <w:tcW w:w="3774" w:type="pct"/>
            <w:shd w:val="clear" w:color="auto" w:fill="FFFFFF"/>
            <w:tcMar>
              <w:top w:w="15" w:type="dxa"/>
              <w:left w:w="0" w:type="dxa"/>
              <w:bottom w:w="0" w:type="dxa"/>
              <w:right w:w="15" w:type="dxa"/>
            </w:tcMar>
            <w:hideMark/>
          </w:tcPr>
          <w:p w14:paraId="33EFCEF7"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Change in unsettled repurchases of common stock</w:t>
            </w:r>
          </w:p>
        </w:tc>
        <w:tc>
          <w:tcPr>
            <w:tcW w:w="90" w:type="pct"/>
            <w:shd w:val="clear" w:color="auto" w:fill="FFFFFF"/>
            <w:tcMar>
              <w:top w:w="15" w:type="dxa"/>
              <w:left w:w="0" w:type="dxa"/>
              <w:bottom w:w="0" w:type="dxa"/>
              <w:right w:w="15" w:type="dxa"/>
            </w:tcMar>
            <w:vAlign w:val="bottom"/>
            <w:hideMark/>
          </w:tcPr>
          <w:p w14:paraId="11E3AAE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1F48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26" w:type="pct"/>
            <w:shd w:val="clear" w:color="auto" w:fill="FFFFFF"/>
            <w:noWrap/>
            <w:tcMar>
              <w:top w:w="15" w:type="dxa"/>
              <w:left w:w="0" w:type="dxa"/>
              <w:bottom w:w="0" w:type="dxa"/>
              <w:right w:w="15" w:type="dxa"/>
            </w:tcMar>
            <w:vAlign w:val="bottom"/>
            <w:hideMark/>
          </w:tcPr>
          <w:p w14:paraId="5935593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114</w:t>
            </w:r>
          </w:p>
        </w:tc>
        <w:tc>
          <w:tcPr>
            <w:tcW w:w="50" w:type="pct"/>
            <w:shd w:val="clear" w:color="auto" w:fill="FFFFFF"/>
            <w:noWrap/>
            <w:tcMar>
              <w:top w:w="15" w:type="dxa"/>
              <w:left w:w="0" w:type="dxa"/>
              <w:bottom w:w="0" w:type="dxa"/>
              <w:right w:w="15" w:type="dxa"/>
            </w:tcMar>
            <w:vAlign w:val="bottom"/>
            <w:hideMark/>
          </w:tcPr>
          <w:p w14:paraId="6EAB75E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FFFFFF"/>
            <w:tcMar>
              <w:top w:w="15" w:type="dxa"/>
              <w:left w:w="0" w:type="dxa"/>
              <w:bottom w:w="0" w:type="dxa"/>
              <w:right w:w="15" w:type="dxa"/>
            </w:tcMar>
            <w:vAlign w:val="bottom"/>
            <w:hideMark/>
          </w:tcPr>
          <w:p w14:paraId="42D810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EE1A1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8" w:type="pct"/>
            <w:shd w:val="clear" w:color="auto" w:fill="FFFFFF"/>
            <w:noWrap/>
            <w:tcMar>
              <w:top w:w="15" w:type="dxa"/>
              <w:left w:w="0" w:type="dxa"/>
              <w:bottom w:w="0" w:type="dxa"/>
              <w:right w:w="15" w:type="dxa"/>
            </w:tcMar>
            <w:vAlign w:val="bottom"/>
            <w:hideMark/>
          </w:tcPr>
          <w:p w14:paraId="4A6BFF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80</w:t>
            </w:r>
          </w:p>
        </w:tc>
        <w:tc>
          <w:tcPr>
            <w:tcW w:w="50" w:type="pct"/>
            <w:shd w:val="clear" w:color="auto" w:fill="FFFFFF"/>
            <w:noWrap/>
            <w:tcMar>
              <w:top w:w="15" w:type="dxa"/>
              <w:left w:w="0" w:type="dxa"/>
              <w:bottom w:w="0" w:type="dxa"/>
              <w:right w:w="15" w:type="dxa"/>
            </w:tcMar>
            <w:vAlign w:val="bottom"/>
            <w:hideMark/>
          </w:tcPr>
          <w:p w14:paraId="2C3405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CE07870" w14:textId="77777777">
        <w:trPr>
          <w:divId w:val="754941214"/>
          <w:jc w:val="center"/>
        </w:trPr>
        <w:tc>
          <w:tcPr>
            <w:tcW w:w="3774" w:type="pct"/>
            <w:shd w:val="clear" w:color="auto" w:fill="CFF0FC"/>
            <w:tcMar>
              <w:top w:w="15" w:type="dxa"/>
              <w:left w:w="0" w:type="dxa"/>
              <w:bottom w:w="0" w:type="dxa"/>
              <w:right w:w="15" w:type="dxa"/>
            </w:tcMar>
            <w:hideMark/>
          </w:tcPr>
          <w:p w14:paraId="2746B6F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Change in unsettled investment purchases</w:t>
            </w:r>
          </w:p>
        </w:tc>
        <w:tc>
          <w:tcPr>
            <w:tcW w:w="90" w:type="pct"/>
            <w:shd w:val="clear" w:color="auto" w:fill="CFF0FC"/>
            <w:tcMar>
              <w:top w:w="15" w:type="dxa"/>
              <w:left w:w="0" w:type="dxa"/>
              <w:bottom w:w="0" w:type="dxa"/>
              <w:right w:w="15" w:type="dxa"/>
            </w:tcMar>
            <w:vAlign w:val="bottom"/>
            <w:hideMark/>
          </w:tcPr>
          <w:p w14:paraId="5EE616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BF313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26" w:type="pct"/>
            <w:shd w:val="clear" w:color="auto" w:fill="CFF0FC"/>
            <w:noWrap/>
            <w:tcMar>
              <w:top w:w="15" w:type="dxa"/>
              <w:left w:w="0" w:type="dxa"/>
              <w:bottom w:w="0" w:type="dxa"/>
              <w:right w:w="15" w:type="dxa"/>
            </w:tcMar>
            <w:vAlign w:val="bottom"/>
            <w:hideMark/>
          </w:tcPr>
          <w:p w14:paraId="7741877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7F70D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90" w:type="pct"/>
            <w:shd w:val="clear" w:color="auto" w:fill="CFF0FC"/>
            <w:tcMar>
              <w:top w:w="15" w:type="dxa"/>
              <w:left w:w="0" w:type="dxa"/>
              <w:bottom w:w="0" w:type="dxa"/>
              <w:right w:w="15" w:type="dxa"/>
            </w:tcMar>
            <w:vAlign w:val="bottom"/>
            <w:hideMark/>
          </w:tcPr>
          <w:p w14:paraId="4BDAC5B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2DF40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8" w:type="pct"/>
            <w:shd w:val="clear" w:color="auto" w:fill="CFF0FC"/>
            <w:noWrap/>
            <w:tcMar>
              <w:top w:w="15" w:type="dxa"/>
              <w:left w:w="0" w:type="dxa"/>
              <w:bottom w:w="0" w:type="dxa"/>
              <w:right w:w="15" w:type="dxa"/>
            </w:tcMar>
            <w:vAlign w:val="bottom"/>
            <w:hideMark/>
          </w:tcPr>
          <w:p w14:paraId="69BF9A8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(299</w:t>
            </w:r>
          </w:p>
        </w:tc>
        <w:tc>
          <w:tcPr>
            <w:tcW w:w="50" w:type="pct"/>
            <w:shd w:val="clear" w:color="auto" w:fill="CFF0FC"/>
            <w:noWrap/>
            <w:tcMar>
              <w:top w:w="15" w:type="dxa"/>
              <w:left w:w="0" w:type="dxa"/>
              <w:bottom w:w="0" w:type="dxa"/>
              <w:right w:w="15" w:type="dxa"/>
            </w:tcMar>
            <w:vAlign w:val="bottom"/>
            <w:hideMark/>
          </w:tcPr>
          <w:p w14:paraId="769854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D32F17C" w14:textId="77777777">
        <w:trPr>
          <w:divId w:val="754941214"/>
          <w:jc w:val="center"/>
        </w:trPr>
        <w:tc>
          <w:tcPr>
            <w:tcW w:w="3774" w:type="pct"/>
            <w:shd w:val="clear" w:color="auto" w:fill="FFFFFF"/>
            <w:tcMar>
              <w:top w:w="15" w:type="dxa"/>
              <w:left w:w="0" w:type="dxa"/>
              <w:bottom w:w="0" w:type="dxa"/>
              <w:right w:w="15" w:type="dxa"/>
            </w:tcMar>
            <w:hideMark/>
          </w:tcPr>
          <w:p w14:paraId="5A7943AB"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Change in unsettled investment sales</w:t>
            </w:r>
          </w:p>
        </w:tc>
        <w:tc>
          <w:tcPr>
            <w:tcW w:w="90" w:type="pct"/>
            <w:shd w:val="clear" w:color="auto" w:fill="FFFFFF"/>
            <w:tcMar>
              <w:top w:w="15" w:type="dxa"/>
              <w:left w:w="0" w:type="dxa"/>
              <w:bottom w:w="0" w:type="dxa"/>
              <w:right w:w="15" w:type="dxa"/>
            </w:tcMar>
            <w:vAlign w:val="bottom"/>
            <w:hideMark/>
          </w:tcPr>
          <w:p w14:paraId="7925CE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80A28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26" w:type="pct"/>
            <w:shd w:val="clear" w:color="auto" w:fill="FFFFFF"/>
            <w:noWrap/>
            <w:tcMar>
              <w:top w:w="15" w:type="dxa"/>
              <w:left w:w="0" w:type="dxa"/>
              <w:bottom w:w="0" w:type="dxa"/>
              <w:right w:w="15" w:type="dxa"/>
            </w:tcMar>
            <w:vAlign w:val="bottom"/>
            <w:hideMark/>
          </w:tcPr>
          <w:p w14:paraId="73E8110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(168</w:t>
            </w:r>
          </w:p>
        </w:tc>
        <w:tc>
          <w:tcPr>
            <w:tcW w:w="50" w:type="pct"/>
            <w:shd w:val="clear" w:color="auto" w:fill="FFFFFF"/>
            <w:noWrap/>
            <w:tcMar>
              <w:top w:w="15" w:type="dxa"/>
              <w:left w:w="0" w:type="dxa"/>
              <w:bottom w:w="0" w:type="dxa"/>
              <w:right w:w="15" w:type="dxa"/>
            </w:tcMar>
            <w:vAlign w:val="bottom"/>
            <w:hideMark/>
          </w:tcPr>
          <w:p w14:paraId="28E2EA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90" w:type="pct"/>
            <w:shd w:val="clear" w:color="auto" w:fill="FFFFFF"/>
            <w:tcMar>
              <w:top w:w="15" w:type="dxa"/>
              <w:left w:w="0" w:type="dxa"/>
              <w:bottom w:w="0" w:type="dxa"/>
              <w:right w:w="15" w:type="dxa"/>
            </w:tcMar>
            <w:vAlign w:val="bottom"/>
            <w:hideMark/>
          </w:tcPr>
          <w:p w14:paraId="245694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9012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18" w:type="pct"/>
            <w:shd w:val="clear" w:color="auto" w:fill="FFFFFF"/>
            <w:noWrap/>
            <w:tcMar>
              <w:top w:w="15" w:type="dxa"/>
              <w:left w:w="0" w:type="dxa"/>
              <w:bottom w:w="0" w:type="dxa"/>
              <w:right w:w="15" w:type="dxa"/>
            </w:tcMar>
            <w:vAlign w:val="bottom"/>
            <w:hideMark/>
          </w:tcPr>
          <w:p w14:paraId="3A17B74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ADDE1F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bl>
    <w:p w14:paraId="56670EB1" w14:textId="77777777" w:rsidR="00716E85" w:rsidRDefault="00716E85">
      <w:pPr>
        <w:pStyle w:val="a3"/>
        <w:spacing w:before="0" w:beforeAutospacing="0" w:after="0" w:afterAutospacing="0"/>
        <w:jc w:val="both"/>
        <w:rPr>
          <w:sz w:val="12"/>
          <w:szCs w:val="12"/>
        </w:rPr>
      </w:pPr>
      <w:r>
        <w:rPr>
          <w:sz w:val="12"/>
          <w:szCs w:val="12"/>
        </w:rPr>
        <w:t> </w:t>
      </w:r>
    </w:p>
    <w:p w14:paraId="4AAB84D3" w14:textId="77777777" w:rsidR="00716E85" w:rsidRDefault="00716E85">
      <w:pPr>
        <w:pStyle w:val="a3"/>
        <w:spacing w:before="0" w:beforeAutospacing="0" w:after="0" w:afterAutospacing="0"/>
        <w:jc w:val="both"/>
      </w:pPr>
      <w:r>
        <w:t> </w:t>
      </w:r>
    </w:p>
    <w:p w14:paraId="31137B67" w14:textId="77777777" w:rsidR="00716E85" w:rsidRDefault="00716E85">
      <w:pPr>
        <w:pStyle w:val="a3"/>
        <w:spacing w:before="0" w:beforeAutospacing="0" w:after="0" w:afterAutospacing="0"/>
        <w:jc w:val="both"/>
      </w:pPr>
      <w:r>
        <w:t> </w:t>
      </w:r>
    </w:p>
    <w:p w14:paraId="5371F5B5" w14:textId="77777777" w:rsidR="00716E85" w:rsidRDefault="00716E85">
      <w:pPr>
        <w:pStyle w:val="a3"/>
        <w:spacing w:before="0" w:beforeAutospacing="0" w:after="0" w:afterAutospacing="0"/>
        <w:jc w:val="both"/>
      </w:pPr>
      <w:r>
        <w:t> </w:t>
      </w:r>
    </w:p>
    <w:p w14:paraId="55EC120B"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5C7D2269" w14:textId="77777777" w:rsidR="00716E85" w:rsidRDefault="00716E85">
      <w:pPr>
        <w:pStyle w:val="a3"/>
        <w:spacing w:before="0" w:beforeAutospacing="0" w:after="0" w:afterAutospacing="0"/>
        <w:jc w:val="both"/>
        <w:rPr>
          <w:sz w:val="20"/>
          <w:szCs w:val="20"/>
        </w:rPr>
      </w:pPr>
      <w:r>
        <w:rPr>
          <w:sz w:val="20"/>
          <w:szCs w:val="20"/>
        </w:rPr>
        <w:t> </w:t>
      </w:r>
    </w:p>
    <w:p w14:paraId="479DFDFF"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7</w:t>
      </w:r>
    </w:p>
    <w:p w14:paraId="1325F00A" w14:textId="77777777" w:rsidR="00716E85" w:rsidRDefault="00716E85">
      <w:pPr>
        <w:rPr>
          <w:rFonts w:ascii="Times New Roman" w:eastAsia="Times New Roman" w:hAnsi="Times New Roman" w:cs="Times New Roman"/>
          <w:sz w:val="24"/>
          <w:szCs w:val="24"/>
        </w:rPr>
      </w:pPr>
      <w:r>
        <w:rPr>
          <w:rFonts w:eastAsia="Times New Roman"/>
        </w:rPr>
        <w:pict w14:anchorId="2871E8FA">
          <v:rect id="_x0000_i1033" style="width:415.3pt;height:1.5pt" o:hralign="center" o:hrstd="t" o:hr="t" fillcolor="#a0a0a0" stroked="f"/>
        </w:pict>
      </w:r>
    </w:p>
    <w:p w14:paraId="31765F4A"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5326171" w14:textId="77777777" w:rsidR="00716E85" w:rsidRDefault="00716E85">
      <w:pPr>
        <w:pStyle w:val="a3"/>
        <w:spacing w:before="0" w:beforeAutospacing="0" w:after="0" w:afterAutospacing="0"/>
        <w:rPr>
          <w:sz w:val="20"/>
          <w:szCs w:val="20"/>
        </w:rPr>
      </w:pPr>
      <w:r>
        <w:rPr>
          <w:sz w:val="20"/>
          <w:szCs w:val="20"/>
        </w:rPr>
        <w:t> </w:t>
      </w:r>
    </w:p>
    <w:p w14:paraId="18D0F170"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bookmarkStart w:id="16" w:name="_AEIOULastRenderedPageBreakAEIOU10"/>
      <w:bookmarkEnd w:id="16"/>
      <w:r>
        <w:rPr>
          <w:rFonts w:ascii="Calibri" w:hAnsi="Calibri" w:cs="Calibri"/>
          <w:b/>
          <w:bCs/>
          <w:color w:val="000000"/>
          <w:sz w:val="20"/>
          <w:szCs w:val="20"/>
        </w:rPr>
        <w:t>ORACLE CORPORATION</w:t>
      </w:r>
    </w:p>
    <w:p w14:paraId="22CB10C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bookmarkStart w:id="17" w:name="NOTES_TO_CONDENSED_CONSOLIDATED_FINANCIA"/>
      <w:bookmarkEnd w:id="17"/>
      <w:r>
        <w:rPr>
          <w:rFonts w:ascii="Calibri" w:hAnsi="Calibri" w:cs="Calibri"/>
          <w:b/>
          <w:bCs/>
          <w:color w:val="000000"/>
          <w:sz w:val="20"/>
          <w:szCs w:val="20"/>
        </w:rPr>
        <w:t>NOTES TO CONDENSED CONSOLIDATED FINANCIAL STATEMENTS</w:t>
      </w:r>
    </w:p>
    <w:p w14:paraId="635094BD"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2566F1B3"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79532E19" w14:textId="77777777" w:rsidR="00716E85" w:rsidRDefault="00716E85">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4E327CF9" w14:textId="77777777">
        <w:tc>
          <w:tcPr>
            <w:tcW w:w="262" w:type="pct"/>
            <w:noWrap/>
            <w:hideMark/>
          </w:tcPr>
          <w:p w14:paraId="071C7FA1"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1.</w:t>
            </w:r>
          </w:p>
        </w:tc>
        <w:tc>
          <w:tcPr>
            <w:tcW w:w="0" w:type="auto"/>
            <w:hideMark/>
          </w:tcPr>
          <w:p w14:paraId="6B58F16B" w14:textId="77777777" w:rsidR="00716E85" w:rsidRDefault="00716E85">
            <w:pPr>
              <w:pStyle w:val="a3"/>
              <w:spacing w:before="0" w:beforeAutospacing="0" w:after="0" w:afterAutospacing="0"/>
              <w:jc w:val="both"/>
              <w:rPr>
                <w:rFonts w:ascii="Calibri" w:hAnsi="Calibri" w:cs="Calibri"/>
                <w:b/>
                <w:bCs/>
                <w:sz w:val="20"/>
                <w:szCs w:val="20"/>
              </w:rPr>
            </w:pPr>
            <w:bookmarkStart w:id="18" w:name="N1_BASIS_PRESENTATION_RECENT_ACCOUNTING_"/>
            <w:bookmarkEnd w:id="18"/>
            <w:r>
              <w:rPr>
                <w:rFonts w:ascii="Calibri" w:hAnsi="Calibri" w:cs="Calibri"/>
                <w:b/>
                <w:bCs/>
                <w:sz w:val="20"/>
                <w:szCs w:val="20"/>
              </w:rPr>
              <w:t>BASIS OF PRESENTATION AND RECENT ACCOUNTING PRONOUNCEMENTS</w:t>
            </w:r>
          </w:p>
        </w:tc>
      </w:tr>
    </w:tbl>
    <w:p w14:paraId="01F133E7"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Basis of Presentation</w:t>
      </w:r>
    </w:p>
    <w:p w14:paraId="1D60D76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prepared the condensed consolidated financial statements included herein pursuant to the rules and regulations of the U.S. Securities and Exchange Commission (SEC). Certain information and footnote disclosures normally included in financial statements prepared in accordance with U.S. generally accepted accounting principles (GAAP) have been condensed or omitted pursuant to such rules and regulations. However, we believe that the disclosures herein are adequate to ensure the information presented is not misleading. These unaudited condensed consolidated financial statements should be read in conjunction with the audited financial statements and the notes thereto included in our Annual Report on Form 10-K for the fiscal year ended May 31, 2018.</w:t>
      </w:r>
    </w:p>
    <w:p w14:paraId="27350E0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believe that all necessary adjustments, which consisted only of normal recurring items, have been included in the accompanying financial statements to present fairly the results of the interim periods. The results of operations for the interim periods presented are not necessarily indicative of the operating results to be expected for any subsequent interim period or for our fiscal year ending May 31, 2019. </w:t>
      </w:r>
    </w:p>
    <w:p w14:paraId="3968BB9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During the first nine months of fiscal 2019, we adopted the following Accounting Standards Updates:</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5567D562" w14:textId="77777777">
        <w:tc>
          <w:tcPr>
            <w:tcW w:w="262" w:type="pct"/>
            <w:noWrap/>
            <w:hideMark/>
          </w:tcPr>
          <w:p w14:paraId="01F1C33D"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32DBA8CB"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FE73EFA"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Accounting Standards Update (ASU) 2014-09, </w:t>
            </w:r>
            <w:r>
              <w:rPr>
                <w:rFonts w:ascii="Calibri" w:hAnsi="Calibri" w:cs="Calibri"/>
                <w:i/>
                <w:iCs/>
                <w:sz w:val="20"/>
                <w:szCs w:val="20"/>
              </w:rPr>
              <w:t>Revenue from Contracts with Customers</w:t>
            </w:r>
            <w:r>
              <w:rPr>
                <w:rFonts w:ascii="Calibri" w:hAnsi="Calibri" w:cs="Calibri"/>
                <w:sz w:val="20"/>
                <w:szCs w:val="20"/>
              </w:rPr>
              <w:t xml:space="preserve">: </w:t>
            </w:r>
            <w:r>
              <w:rPr>
                <w:rFonts w:ascii="Calibri" w:hAnsi="Calibri" w:cs="Calibri"/>
                <w:i/>
                <w:iCs/>
                <w:sz w:val="20"/>
                <w:szCs w:val="20"/>
              </w:rPr>
              <w:t>Topic 606</w:t>
            </w:r>
            <w:r>
              <w:rPr>
                <w:rFonts w:ascii="Calibri" w:hAnsi="Calibri" w:cs="Calibri"/>
                <w:sz w:val="20"/>
                <w:szCs w:val="20"/>
              </w:rPr>
              <w:t xml:space="preserve"> and subsequent amendments to the initial guidance: ASU 2015-14, ASU 2016-08, ASU 2016-10, ASU 2016-12, ASU 2016-20, ASU 2017-10, ASU 2017-13 and ASU 2017-14 (collectively, Topic 606), utilizing the full retrospective method of transition whereby the results and related disclosures for the comparative fiscal 2018 periods presented in this Form 10-Q were recast to be presented as if Topic 606 had been in effect during such fiscal 2018 periods with any retrospective adjustments applicable prior to June 1, 2016 included as a cumulative-effect adjustment to accumulated other comprehensive loss and retained earnings. Refer to the Revenue Recognition and Deferred Sales Commission sections below for accounting policy updates upon our adoption of Topic 606. </w:t>
            </w:r>
          </w:p>
        </w:tc>
      </w:tr>
    </w:tbl>
    <w:p w14:paraId="0B720545"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1355A0E" w14:textId="77777777">
        <w:tc>
          <w:tcPr>
            <w:tcW w:w="262" w:type="pct"/>
            <w:noWrap/>
            <w:hideMark/>
          </w:tcPr>
          <w:p w14:paraId="3040D46D"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2222174"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26A4066"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ASU 2017-12, </w:t>
            </w:r>
            <w:r>
              <w:rPr>
                <w:rFonts w:ascii="Calibri" w:hAnsi="Calibri" w:cs="Calibri"/>
                <w:i/>
                <w:iCs/>
                <w:sz w:val="20"/>
                <w:szCs w:val="20"/>
              </w:rPr>
              <w:t xml:space="preserve">Derivatives and Hedging (Topic 815): Targeted Improvements to Accounting for Hedging Activities </w:t>
            </w:r>
            <w:r>
              <w:rPr>
                <w:rFonts w:ascii="Calibri" w:hAnsi="Calibri" w:cs="Calibri"/>
                <w:sz w:val="20"/>
                <w:szCs w:val="20"/>
              </w:rPr>
              <w:t>(ASU 2017-12), which amends and simplifies existing guidance in order to allow companies to more accurately present the economic effects of risk management activities in the financial statements. We early adopted this new standard on June 1, 2018 using the modified retrospective method, which</w:t>
            </w:r>
            <w:r>
              <w:t xml:space="preserve"> </w:t>
            </w:r>
            <w:r>
              <w:rPr>
                <w:rFonts w:ascii="Calibri" w:hAnsi="Calibri" w:cs="Calibri"/>
                <w:sz w:val="20"/>
                <w:szCs w:val="20"/>
              </w:rPr>
              <w:t>requires us to account for ASU 2017-12 as of the date of adoption with any retrospective adjustments applicable to prior periods included as a cumulative-effect adjustment to accumulated other comprehensive loss and retained earnings. The adoption of ASU 2017-12 did not have a material impact on our condensed consolidated financial statements as of the adoption date or for any of the periods presented. As a result of the adoption of ASU 2017-12, we have elected to modify certain of our hedge documentation to exclude the fair value of certain components of the related hedging instrument in our assessment of hedge effectiveness. See Note 7 for additional explanations of the impact of adoption.  </w:t>
            </w:r>
          </w:p>
        </w:tc>
      </w:tr>
    </w:tbl>
    <w:p w14:paraId="66CC8C1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1DEBD80D" w14:textId="77777777">
        <w:tc>
          <w:tcPr>
            <w:tcW w:w="262" w:type="pct"/>
            <w:noWrap/>
            <w:hideMark/>
          </w:tcPr>
          <w:p w14:paraId="50287493"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3B0D1A26"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00B0E91E"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ASU 2017-07, </w:t>
            </w:r>
            <w:r>
              <w:rPr>
                <w:rFonts w:ascii="Calibri" w:hAnsi="Calibri" w:cs="Calibri"/>
                <w:i/>
                <w:iCs/>
                <w:sz w:val="20"/>
                <w:szCs w:val="20"/>
              </w:rPr>
              <w:t xml:space="preserve">Compensation—Retirement Benefits (Topic 715): Improving the presentation of Net Periodic Pension Costs and Net Periodic Postretirement Benefit Costs </w:t>
            </w:r>
            <w:r>
              <w:rPr>
                <w:rFonts w:ascii="Calibri" w:hAnsi="Calibri" w:cs="Calibri"/>
                <w:sz w:val="20"/>
                <w:szCs w:val="20"/>
              </w:rPr>
              <w:t>(ASU 2017-07), which provides guidance on the capitalization, presentation and disclosure of net benefit costs related to postretirement benefit plans. We adopted ASU 2017-07 on a full retrospective basis, which resulted in the retrospective reclassification of $14 million and $41 million of non-service net periodic pension cost for the three and nine months ended February 28, 2018, respectively, from line items within operating expenses into non-operating income, net.</w:t>
            </w:r>
          </w:p>
        </w:tc>
      </w:tr>
    </w:tbl>
    <w:p w14:paraId="7BCC2E61"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8</w:t>
      </w:r>
    </w:p>
    <w:p w14:paraId="631C4BC4" w14:textId="77777777" w:rsidR="00716E85" w:rsidRDefault="00716E85">
      <w:pPr>
        <w:rPr>
          <w:rFonts w:ascii="Times New Roman" w:eastAsia="Times New Roman" w:hAnsi="Times New Roman" w:cs="Times New Roman"/>
          <w:sz w:val="24"/>
          <w:szCs w:val="24"/>
        </w:rPr>
      </w:pPr>
      <w:r>
        <w:rPr>
          <w:rFonts w:eastAsia="Times New Roman"/>
        </w:rPr>
        <w:pict w14:anchorId="35037B83">
          <v:rect id="_x0000_i1034" style="width:415.3pt;height:1.5pt" o:hralign="center" o:hrstd="t" o:hr="t" fillcolor="#a0a0a0" stroked="f"/>
        </w:pict>
      </w:r>
    </w:p>
    <w:p w14:paraId="4F937E7C"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6868448B" w14:textId="77777777" w:rsidR="00716E85" w:rsidRDefault="00716E85">
      <w:pPr>
        <w:pStyle w:val="a3"/>
      </w:pPr>
      <w:r>
        <w:t> </w:t>
      </w:r>
    </w:p>
    <w:p w14:paraId="031A7F1D"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A8B1D4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35EE166A"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09DEBC2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40E4B6E6"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1C7C1B28" w14:textId="77777777">
        <w:tc>
          <w:tcPr>
            <w:tcW w:w="262" w:type="pct"/>
            <w:noWrap/>
            <w:hideMark/>
          </w:tcPr>
          <w:p w14:paraId="21497F21"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B9EEC35"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AD87137" w14:textId="77777777" w:rsidR="00716E85" w:rsidRDefault="00716E85">
            <w:pPr>
              <w:pStyle w:val="a3"/>
              <w:spacing w:before="120" w:beforeAutospacing="0" w:after="0" w:afterAutospacing="0"/>
              <w:jc w:val="both"/>
              <w:rPr>
                <w:sz w:val="20"/>
                <w:szCs w:val="20"/>
              </w:rPr>
            </w:pPr>
            <w:bookmarkStart w:id="19" w:name="_AEIOULastRenderedPageBreakAEIOU11"/>
            <w:bookmarkEnd w:id="19"/>
            <w:r>
              <w:rPr>
                <w:rFonts w:ascii="Calibri" w:hAnsi="Calibri" w:cs="Calibri"/>
                <w:sz w:val="20"/>
                <w:szCs w:val="20"/>
              </w:rPr>
              <w:t xml:space="preserve">ASU 2016-16, </w:t>
            </w:r>
            <w:r>
              <w:rPr>
                <w:rFonts w:ascii="Calibri" w:hAnsi="Calibri" w:cs="Calibri"/>
                <w:i/>
                <w:iCs/>
                <w:sz w:val="20"/>
                <w:szCs w:val="20"/>
              </w:rPr>
              <w:t xml:space="preserve">Income Taxes (Topic 740): Intra-Entity Transfers of Assets Other Than Inventory </w:t>
            </w:r>
            <w:r>
              <w:rPr>
                <w:rFonts w:ascii="Calibri" w:hAnsi="Calibri" w:cs="Calibri"/>
                <w:sz w:val="20"/>
                <w:szCs w:val="20"/>
              </w:rPr>
              <w:t>(ASU 2016-16), which requires entities to recognize the income tax consequences of an intra-entity transfer of an asset, other than inventory, when the transfer occurs. We adopted ASU 2016-16 on a modified retrospective basis through a cumulative-effect adjustment that resulted in a $110 million decrease in prepaid assets with the corresponding offset to retained earnings.</w:t>
            </w:r>
          </w:p>
        </w:tc>
      </w:tr>
    </w:tbl>
    <w:p w14:paraId="602A8EA4"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4888C7D" w14:textId="77777777">
        <w:tc>
          <w:tcPr>
            <w:tcW w:w="262" w:type="pct"/>
            <w:noWrap/>
            <w:hideMark/>
          </w:tcPr>
          <w:p w14:paraId="5BAF23DC"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68FF998B"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0B2558B"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ASU 2016-01, </w:t>
            </w:r>
            <w:r>
              <w:rPr>
                <w:rFonts w:ascii="Calibri" w:hAnsi="Calibri" w:cs="Calibri"/>
                <w:i/>
                <w:iCs/>
                <w:sz w:val="20"/>
                <w:szCs w:val="20"/>
              </w:rPr>
              <w:t>Financial Instruments—Overall (Subtopic 825-10): Recognition and Measurement of Financial Assets and Financial Liabilities</w:t>
            </w:r>
            <w:r>
              <w:rPr>
                <w:rFonts w:ascii="Calibri" w:hAnsi="Calibri" w:cs="Calibri"/>
                <w:sz w:val="20"/>
                <w:szCs w:val="20"/>
              </w:rPr>
              <w:t xml:space="preserve"> (ASU 2016-01), which addresses certain aspects of recognition, measurement, presentation, and disclosure of financial instruments. Upon adoption of ASU 2016-01, we have elected to measure the investments we hold in certain non-marketable equity securities in which we do not have a controlling interest or significant influence that have no readily determinable fair values at cost, less impairment, adjusted for observable price changes from orderly transactions for identical or similar investments of the same issuer. We adopted the guidance prospectively effective June 1, 2018, and there was no material impact to our condensed consolidated financial statements upon adoption or for any of the periods presented.</w:t>
            </w:r>
          </w:p>
        </w:tc>
      </w:tr>
    </w:tbl>
    <w:p w14:paraId="45826CD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impacts of adopting Topic 606 and ASU 2017-07 for select historical condensed consolidated statements of operations line items were as follows:</w:t>
      </w:r>
    </w:p>
    <w:p w14:paraId="3795DD8E"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2262"/>
        <w:gridCol w:w="72"/>
        <w:gridCol w:w="108"/>
        <w:gridCol w:w="854"/>
        <w:gridCol w:w="72"/>
        <w:gridCol w:w="72"/>
        <w:gridCol w:w="108"/>
        <w:gridCol w:w="738"/>
        <w:gridCol w:w="72"/>
        <w:gridCol w:w="72"/>
        <w:gridCol w:w="107"/>
        <w:gridCol w:w="738"/>
        <w:gridCol w:w="72"/>
        <w:gridCol w:w="72"/>
        <w:gridCol w:w="108"/>
        <w:gridCol w:w="854"/>
        <w:gridCol w:w="72"/>
        <w:gridCol w:w="72"/>
        <w:gridCol w:w="108"/>
        <w:gridCol w:w="738"/>
        <w:gridCol w:w="72"/>
        <w:gridCol w:w="72"/>
        <w:gridCol w:w="107"/>
        <w:gridCol w:w="630"/>
        <w:gridCol w:w="54"/>
      </w:tblGrid>
      <w:tr w:rsidR="00716E85" w14:paraId="5C2580E0" w14:textId="77777777">
        <w:trPr>
          <w:divId w:val="873881133"/>
          <w:jc w:val="center"/>
        </w:trPr>
        <w:tc>
          <w:tcPr>
            <w:tcW w:w="1369" w:type="pct"/>
            <w:shd w:val="clear" w:color="auto" w:fill="FFFFFF"/>
            <w:tcMar>
              <w:top w:w="15" w:type="dxa"/>
              <w:left w:w="0" w:type="dxa"/>
              <w:bottom w:w="0" w:type="dxa"/>
              <w:right w:w="15" w:type="dxa"/>
            </w:tcMar>
            <w:vAlign w:val="bottom"/>
            <w:hideMark/>
          </w:tcPr>
          <w:p w14:paraId="0B615094" w14:textId="77777777" w:rsidR="00716E85" w:rsidRDefault="00716E85">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2F5CF5E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735" w:type="pct"/>
            <w:gridSpan w:val="10"/>
            <w:tcBorders>
              <w:bottom w:val="single" w:sz="6" w:space="0" w:color="000000"/>
            </w:tcBorders>
            <w:shd w:val="clear" w:color="auto" w:fill="FFFFFF"/>
            <w:tcMar>
              <w:top w:w="15" w:type="dxa"/>
              <w:left w:w="0" w:type="dxa"/>
              <w:bottom w:w="0" w:type="dxa"/>
              <w:right w:w="15" w:type="dxa"/>
            </w:tcMar>
            <w:vAlign w:val="bottom"/>
            <w:hideMark/>
          </w:tcPr>
          <w:p w14:paraId="1C51E12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 2018</w:t>
            </w:r>
          </w:p>
        </w:tc>
        <w:tc>
          <w:tcPr>
            <w:tcW w:w="50" w:type="pct"/>
            <w:shd w:val="clear" w:color="auto" w:fill="FFFFFF"/>
            <w:noWrap/>
            <w:tcMar>
              <w:top w:w="15" w:type="dxa"/>
              <w:left w:w="0" w:type="dxa"/>
              <w:bottom w:w="0" w:type="dxa"/>
              <w:right w:w="15" w:type="dxa"/>
            </w:tcMar>
            <w:vAlign w:val="bottom"/>
            <w:hideMark/>
          </w:tcPr>
          <w:p w14:paraId="0C3861C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6A0BCE6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735" w:type="pct"/>
            <w:gridSpan w:val="10"/>
            <w:tcBorders>
              <w:bottom w:val="single" w:sz="6" w:space="0" w:color="000000"/>
            </w:tcBorders>
            <w:shd w:val="clear" w:color="auto" w:fill="FFFFFF"/>
            <w:tcMar>
              <w:top w:w="15" w:type="dxa"/>
              <w:left w:w="0" w:type="dxa"/>
              <w:bottom w:w="0" w:type="dxa"/>
              <w:right w:w="15" w:type="dxa"/>
            </w:tcMar>
            <w:vAlign w:val="bottom"/>
            <w:hideMark/>
          </w:tcPr>
          <w:p w14:paraId="61F95D3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 2018</w:t>
            </w:r>
          </w:p>
        </w:tc>
        <w:tc>
          <w:tcPr>
            <w:tcW w:w="50" w:type="pct"/>
            <w:shd w:val="clear" w:color="auto" w:fill="FFFFFF"/>
            <w:noWrap/>
            <w:tcMar>
              <w:top w:w="15" w:type="dxa"/>
              <w:left w:w="0" w:type="dxa"/>
              <w:bottom w:w="0" w:type="dxa"/>
              <w:right w:w="15" w:type="dxa"/>
            </w:tcMar>
            <w:vAlign w:val="bottom"/>
            <w:hideMark/>
          </w:tcPr>
          <w:p w14:paraId="3679079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0E90843" w14:textId="77777777">
        <w:trPr>
          <w:divId w:val="873881133"/>
          <w:jc w:val="center"/>
        </w:trPr>
        <w:tc>
          <w:tcPr>
            <w:tcW w:w="1369" w:type="pct"/>
            <w:tcBorders>
              <w:bottom w:val="single" w:sz="6" w:space="0" w:color="000000"/>
            </w:tcBorders>
            <w:shd w:val="clear" w:color="auto" w:fill="FFFFFF"/>
            <w:tcMar>
              <w:top w:w="15" w:type="dxa"/>
              <w:left w:w="0" w:type="dxa"/>
              <w:bottom w:w="0" w:type="dxa"/>
              <w:right w:w="15" w:type="dxa"/>
            </w:tcMar>
            <w:vAlign w:val="bottom"/>
            <w:hideMark/>
          </w:tcPr>
          <w:p w14:paraId="25CDFAB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50" w:type="pct"/>
            <w:shd w:val="clear" w:color="auto" w:fill="FFFFFF"/>
            <w:tcMar>
              <w:top w:w="15" w:type="dxa"/>
              <w:left w:w="0" w:type="dxa"/>
              <w:bottom w:w="0" w:type="dxa"/>
              <w:right w:w="15" w:type="dxa"/>
            </w:tcMar>
            <w:vAlign w:val="bottom"/>
            <w:hideMark/>
          </w:tcPr>
          <w:p w14:paraId="6A1873E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22756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Previously Reported</w:t>
            </w:r>
          </w:p>
        </w:tc>
        <w:tc>
          <w:tcPr>
            <w:tcW w:w="50" w:type="pct"/>
            <w:shd w:val="clear" w:color="auto" w:fill="FFFFFF"/>
            <w:noWrap/>
            <w:tcMar>
              <w:top w:w="15" w:type="dxa"/>
              <w:left w:w="0" w:type="dxa"/>
              <w:bottom w:w="0" w:type="dxa"/>
              <w:right w:w="15" w:type="dxa"/>
            </w:tcMar>
            <w:vAlign w:val="bottom"/>
            <w:hideMark/>
          </w:tcPr>
          <w:p w14:paraId="0FFFA5A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5D829CF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CD348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tc>
        <w:tc>
          <w:tcPr>
            <w:tcW w:w="50" w:type="pct"/>
            <w:shd w:val="clear" w:color="auto" w:fill="FFFFFF"/>
            <w:noWrap/>
            <w:tcMar>
              <w:top w:w="15" w:type="dxa"/>
              <w:left w:w="0" w:type="dxa"/>
              <w:bottom w:w="0" w:type="dxa"/>
              <w:right w:w="15" w:type="dxa"/>
            </w:tcMar>
            <w:vAlign w:val="bottom"/>
            <w:hideMark/>
          </w:tcPr>
          <w:p w14:paraId="3966109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1B97450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3EEA2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Adjusted</w:t>
            </w:r>
          </w:p>
        </w:tc>
        <w:tc>
          <w:tcPr>
            <w:tcW w:w="50" w:type="pct"/>
            <w:shd w:val="clear" w:color="auto" w:fill="FFFFFF"/>
            <w:noWrap/>
            <w:tcMar>
              <w:top w:w="15" w:type="dxa"/>
              <w:left w:w="0" w:type="dxa"/>
              <w:bottom w:w="0" w:type="dxa"/>
              <w:right w:w="15" w:type="dxa"/>
            </w:tcMar>
            <w:vAlign w:val="bottom"/>
            <w:hideMark/>
          </w:tcPr>
          <w:p w14:paraId="29AA2CF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008AF1A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65F7F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Previously Reported</w:t>
            </w:r>
          </w:p>
        </w:tc>
        <w:tc>
          <w:tcPr>
            <w:tcW w:w="50" w:type="pct"/>
            <w:shd w:val="clear" w:color="auto" w:fill="FFFFFF"/>
            <w:noWrap/>
            <w:tcMar>
              <w:top w:w="15" w:type="dxa"/>
              <w:left w:w="0" w:type="dxa"/>
              <w:bottom w:w="0" w:type="dxa"/>
              <w:right w:w="15" w:type="dxa"/>
            </w:tcMar>
            <w:vAlign w:val="bottom"/>
            <w:hideMark/>
          </w:tcPr>
          <w:p w14:paraId="7BE6F6E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69AF3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79920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tc>
        <w:tc>
          <w:tcPr>
            <w:tcW w:w="50" w:type="pct"/>
            <w:shd w:val="clear" w:color="auto" w:fill="FFFFFF"/>
            <w:noWrap/>
            <w:tcMar>
              <w:top w:w="15" w:type="dxa"/>
              <w:left w:w="0" w:type="dxa"/>
              <w:bottom w:w="0" w:type="dxa"/>
              <w:right w:w="15" w:type="dxa"/>
            </w:tcMar>
            <w:vAlign w:val="bottom"/>
            <w:hideMark/>
          </w:tcPr>
          <w:p w14:paraId="0FE348C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1D6B729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17566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Adjusted</w:t>
            </w:r>
          </w:p>
        </w:tc>
        <w:tc>
          <w:tcPr>
            <w:tcW w:w="50" w:type="pct"/>
            <w:shd w:val="clear" w:color="auto" w:fill="FFFFFF"/>
            <w:noWrap/>
            <w:tcMar>
              <w:top w:w="15" w:type="dxa"/>
              <w:left w:w="0" w:type="dxa"/>
              <w:bottom w:w="0" w:type="dxa"/>
              <w:right w:w="15" w:type="dxa"/>
            </w:tcMar>
            <w:vAlign w:val="bottom"/>
            <w:hideMark/>
          </w:tcPr>
          <w:p w14:paraId="205AA7E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6E8A089" w14:textId="77777777">
        <w:trPr>
          <w:divId w:val="873881133"/>
          <w:jc w:val="center"/>
        </w:trPr>
        <w:tc>
          <w:tcPr>
            <w:tcW w:w="1369" w:type="pct"/>
            <w:tcBorders>
              <w:top w:val="single" w:sz="6" w:space="0" w:color="000000"/>
            </w:tcBorders>
            <w:shd w:val="clear" w:color="auto" w:fill="CFF0FC"/>
            <w:tcMar>
              <w:top w:w="15" w:type="dxa"/>
              <w:left w:w="0" w:type="dxa"/>
              <w:bottom w:w="0" w:type="dxa"/>
              <w:right w:w="15" w:type="dxa"/>
            </w:tcMar>
            <w:hideMark/>
          </w:tcPr>
          <w:p w14:paraId="16EED2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revenues</w:t>
            </w:r>
          </w:p>
        </w:tc>
        <w:tc>
          <w:tcPr>
            <w:tcW w:w="50" w:type="pct"/>
            <w:shd w:val="clear" w:color="auto" w:fill="CFF0FC"/>
            <w:tcMar>
              <w:top w:w="15" w:type="dxa"/>
              <w:left w:w="0" w:type="dxa"/>
              <w:bottom w:w="0" w:type="dxa"/>
              <w:right w:w="15" w:type="dxa"/>
            </w:tcMar>
            <w:vAlign w:val="bottom"/>
            <w:hideMark/>
          </w:tcPr>
          <w:p w14:paraId="62FC08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D7167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4B85985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9,771</w:t>
            </w:r>
          </w:p>
        </w:tc>
        <w:tc>
          <w:tcPr>
            <w:tcW w:w="50" w:type="pct"/>
            <w:shd w:val="clear" w:color="auto" w:fill="CFF0FC"/>
            <w:noWrap/>
            <w:tcMar>
              <w:top w:w="15" w:type="dxa"/>
              <w:left w:w="0" w:type="dxa"/>
              <w:bottom w:w="0" w:type="dxa"/>
              <w:right w:w="15" w:type="dxa"/>
            </w:tcMar>
            <w:vAlign w:val="bottom"/>
            <w:hideMark/>
          </w:tcPr>
          <w:p w14:paraId="5F3121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7AD2E6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CFB8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46E86FA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(95</w:t>
            </w:r>
          </w:p>
        </w:tc>
        <w:tc>
          <w:tcPr>
            <w:tcW w:w="50" w:type="pct"/>
            <w:shd w:val="clear" w:color="auto" w:fill="CFF0FC"/>
            <w:noWrap/>
            <w:tcMar>
              <w:top w:w="15" w:type="dxa"/>
              <w:left w:w="0" w:type="dxa"/>
              <w:bottom w:w="0" w:type="dxa"/>
              <w:right w:w="15" w:type="dxa"/>
            </w:tcMar>
            <w:vAlign w:val="bottom"/>
            <w:hideMark/>
          </w:tcPr>
          <w:p w14:paraId="5E1090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3C7893EC"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CFA2B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50A157F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9,676</w:t>
            </w:r>
          </w:p>
        </w:tc>
        <w:tc>
          <w:tcPr>
            <w:tcW w:w="50" w:type="pct"/>
            <w:shd w:val="clear" w:color="auto" w:fill="CFF0FC"/>
            <w:noWrap/>
            <w:tcMar>
              <w:top w:w="15" w:type="dxa"/>
              <w:left w:w="0" w:type="dxa"/>
              <w:bottom w:w="0" w:type="dxa"/>
              <w:right w:w="15" w:type="dxa"/>
            </w:tcMar>
            <w:vAlign w:val="bottom"/>
            <w:hideMark/>
          </w:tcPr>
          <w:p w14:paraId="58B855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2AF47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5698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tcBorders>
              <w:top w:val="single" w:sz="6" w:space="0" w:color="000000"/>
            </w:tcBorders>
            <w:shd w:val="clear" w:color="auto" w:fill="CFF0FC"/>
            <w:noWrap/>
            <w:tcMar>
              <w:top w:w="15" w:type="dxa"/>
              <w:left w:w="0" w:type="dxa"/>
              <w:bottom w:w="0" w:type="dxa"/>
              <w:right w:w="15" w:type="dxa"/>
            </w:tcMar>
            <w:vAlign w:val="bottom"/>
            <w:hideMark/>
          </w:tcPr>
          <w:p w14:paraId="5A34672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28,579</w:t>
            </w:r>
          </w:p>
        </w:tc>
        <w:tc>
          <w:tcPr>
            <w:tcW w:w="50" w:type="pct"/>
            <w:shd w:val="clear" w:color="auto" w:fill="CFF0FC"/>
            <w:noWrap/>
            <w:tcMar>
              <w:top w:w="15" w:type="dxa"/>
              <w:left w:w="0" w:type="dxa"/>
              <w:bottom w:w="0" w:type="dxa"/>
              <w:right w:w="15" w:type="dxa"/>
            </w:tcMar>
            <w:vAlign w:val="bottom"/>
            <w:hideMark/>
          </w:tcPr>
          <w:p w14:paraId="2766147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122BF62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8EA5E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6A7FA58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(210</w:t>
            </w:r>
          </w:p>
        </w:tc>
        <w:tc>
          <w:tcPr>
            <w:tcW w:w="50" w:type="pct"/>
            <w:shd w:val="clear" w:color="auto" w:fill="CFF0FC"/>
            <w:noWrap/>
            <w:tcMar>
              <w:top w:w="15" w:type="dxa"/>
              <w:left w:w="0" w:type="dxa"/>
              <w:bottom w:w="0" w:type="dxa"/>
              <w:right w:w="15" w:type="dxa"/>
            </w:tcMar>
            <w:vAlign w:val="bottom"/>
            <w:hideMark/>
          </w:tcPr>
          <w:p w14:paraId="3DFDE3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50047C85"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29EB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tcBorders>
            <w:shd w:val="clear" w:color="auto" w:fill="CFF0FC"/>
            <w:noWrap/>
            <w:tcMar>
              <w:top w:w="15" w:type="dxa"/>
              <w:left w:w="0" w:type="dxa"/>
              <w:bottom w:w="0" w:type="dxa"/>
              <w:right w:w="15" w:type="dxa"/>
            </w:tcMar>
            <w:vAlign w:val="bottom"/>
            <w:hideMark/>
          </w:tcPr>
          <w:p w14:paraId="7E492B5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CFF0FC"/>
            <w:noWrap/>
            <w:tcMar>
              <w:top w:w="15" w:type="dxa"/>
              <w:left w:w="0" w:type="dxa"/>
              <w:bottom w:w="0" w:type="dxa"/>
              <w:right w:w="15" w:type="dxa"/>
            </w:tcMar>
            <w:vAlign w:val="bottom"/>
            <w:hideMark/>
          </w:tcPr>
          <w:p w14:paraId="58105DB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2F6E1EDE" w14:textId="77777777">
        <w:trPr>
          <w:divId w:val="873881133"/>
          <w:jc w:val="center"/>
        </w:trPr>
        <w:tc>
          <w:tcPr>
            <w:tcW w:w="1369" w:type="pct"/>
            <w:shd w:val="clear" w:color="auto" w:fill="FFFFFF"/>
            <w:tcMar>
              <w:top w:w="15" w:type="dxa"/>
              <w:left w:w="0" w:type="dxa"/>
              <w:bottom w:w="0" w:type="dxa"/>
              <w:right w:w="15" w:type="dxa"/>
            </w:tcMar>
            <w:hideMark/>
          </w:tcPr>
          <w:p w14:paraId="256353D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operating expenses</w:t>
            </w:r>
          </w:p>
        </w:tc>
        <w:tc>
          <w:tcPr>
            <w:tcW w:w="50" w:type="pct"/>
            <w:shd w:val="clear" w:color="auto" w:fill="FFFFFF"/>
            <w:tcMar>
              <w:top w:w="15" w:type="dxa"/>
              <w:left w:w="0" w:type="dxa"/>
              <w:bottom w:w="0" w:type="dxa"/>
              <w:right w:w="15" w:type="dxa"/>
            </w:tcMar>
            <w:vAlign w:val="bottom"/>
            <w:hideMark/>
          </w:tcPr>
          <w:p w14:paraId="6E93BE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FAC1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12D137E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6,361</w:t>
            </w:r>
          </w:p>
        </w:tc>
        <w:tc>
          <w:tcPr>
            <w:tcW w:w="50" w:type="pct"/>
            <w:shd w:val="clear" w:color="auto" w:fill="FFFFFF"/>
            <w:noWrap/>
            <w:tcMar>
              <w:top w:w="15" w:type="dxa"/>
              <w:left w:w="0" w:type="dxa"/>
              <w:bottom w:w="0" w:type="dxa"/>
              <w:right w:w="15" w:type="dxa"/>
            </w:tcMar>
            <w:vAlign w:val="bottom"/>
            <w:hideMark/>
          </w:tcPr>
          <w:p w14:paraId="7F5A9C5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22CA65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5F772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50F3C9C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39160C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6B3A07E2"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C4D4A4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2C279CA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6,361</w:t>
            </w:r>
          </w:p>
        </w:tc>
        <w:tc>
          <w:tcPr>
            <w:tcW w:w="50" w:type="pct"/>
            <w:shd w:val="clear" w:color="auto" w:fill="FFFFFF"/>
            <w:noWrap/>
            <w:tcMar>
              <w:top w:w="15" w:type="dxa"/>
              <w:left w:w="0" w:type="dxa"/>
              <w:bottom w:w="0" w:type="dxa"/>
              <w:right w:w="15" w:type="dxa"/>
            </w:tcMar>
            <w:vAlign w:val="bottom"/>
            <w:hideMark/>
          </w:tcPr>
          <w:p w14:paraId="06B072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3A1BF0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CD5AED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0CA05E5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19,280</w:t>
            </w:r>
          </w:p>
        </w:tc>
        <w:tc>
          <w:tcPr>
            <w:tcW w:w="50" w:type="pct"/>
            <w:shd w:val="clear" w:color="auto" w:fill="FFFFFF"/>
            <w:noWrap/>
            <w:tcMar>
              <w:top w:w="15" w:type="dxa"/>
              <w:left w:w="0" w:type="dxa"/>
              <w:bottom w:w="0" w:type="dxa"/>
              <w:right w:w="15" w:type="dxa"/>
            </w:tcMar>
            <w:vAlign w:val="bottom"/>
            <w:hideMark/>
          </w:tcPr>
          <w:p w14:paraId="7F4F33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C83FC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E85DB2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4036289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FFFFFF"/>
            <w:noWrap/>
            <w:tcMar>
              <w:top w:w="15" w:type="dxa"/>
              <w:left w:w="0" w:type="dxa"/>
              <w:bottom w:w="0" w:type="dxa"/>
              <w:right w:w="15" w:type="dxa"/>
            </w:tcMar>
            <w:vAlign w:val="bottom"/>
            <w:hideMark/>
          </w:tcPr>
          <w:p w14:paraId="78C0CB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17519D7D"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113736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523E98E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19,266</w:t>
            </w:r>
          </w:p>
        </w:tc>
        <w:tc>
          <w:tcPr>
            <w:tcW w:w="50" w:type="pct"/>
            <w:shd w:val="clear" w:color="auto" w:fill="FFFFFF"/>
            <w:noWrap/>
            <w:tcMar>
              <w:top w:w="15" w:type="dxa"/>
              <w:left w:w="0" w:type="dxa"/>
              <w:bottom w:w="0" w:type="dxa"/>
              <w:right w:w="15" w:type="dxa"/>
            </w:tcMar>
            <w:vAlign w:val="bottom"/>
            <w:hideMark/>
          </w:tcPr>
          <w:p w14:paraId="467C73A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2512BA2" w14:textId="77777777">
        <w:trPr>
          <w:divId w:val="873881133"/>
          <w:jc w:val="center"/>
        </w:trPr>
        <w:tc>
          <w:tcPr>
            <w:tcW w:w="1369" w:type="pct"/>
            <w:shd w:val="clear" w:color="auto" w:fill="CFF0FC"/>
            <w:tcMar>
              <w:top w:w="15" w:type="dxa"/>
              <w:left w:w="0" w:type="dxa"/>
              <w:bottom w:w="0" w:type="dxa"/>
              <w:right w:w="15" w:type="dxa"/>
            </w:tcMar>
            <w:hideMark/>
          </w:tcPr>
          <w:p w14:paraId="2EA309E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50" w:type="pct"/>
            <w:shd w:val="clear" w:color="auto" w:fill="CFF0FC"/>
            <w:tcMar>
              <w:top w:w="15" w:type="dxa"/>
              <w:left w:w="0" w:type="dxa"/>
              <w:bottom w:w="0" w:type="dxa"/>
              <w:right w:w="15" w:type="dxa"/>
            </w:tcMar>
            <w:vAlign w:val="bottom"/>
            <w:hideMark/>
          </w:tcPr>
          <w:p w14:paraId="3FBEF7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3424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175B88A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423</w:t>
            </w:r>
          </w:p>
        </w:tc>
        <w:tc>
          <w:tcPr>
            <w:tcW w:w="50" w:type="pct"/>
            <w:shd w:val="clear" w:color="auto" w:fill="CFF0FC"/>
            <w:noWrap/>
            <w:tcMar>
              <w:top w:w="15" w:type="dxa"/>
              <w:left w:w="0" w:type="dxa"/>
              <w:bottom w:w="0" w:type="dxa"/>
              <w:right w:w="15" w:type="dxa"/>
            </w:tcMar>
            <w:vAlign w:val="bottom"/>
            <w:hideMark/>
          </w:tcPr>
          <w:p w14:paraId="2D95D6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84BB9F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2B139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5B9AC11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w:t>
            </w:r>
          </w:p>
        </w:tc>
        <w:tc>
          <w:tcPr>
            <w:tcW w:w="50" w:type="pct"/>
            <w:shd w:val="clear" w:color="auto" w:fill="CFF0FC"/>
            <w:noWrap/>
            <w:tcMar>
              <w:top w:w="15" w:type="dxa"/>
              <w:left w:w="0" w:type="dxa"/>
              <w:bottom w:w="0" w:type="dxa"/>
              <w:right w:w="15" w:type="dxa"/>
            </w:tcMar>
            <w:vAlign w:val="bottom"/>
            <w:hideMark/>
          </w:tcPr>
          <w:p w14:paraId="5AEFB0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38523FF1"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6BD18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3152CF4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409</w:t>
            </w:r>
          </w:p>
        </w:tc>
        <w:tc>
          <w:tcPr>
            <w:tcW w:w="50" w:type="pct"/>
            <w:shd w:val="clear" w:color="auto" w:fill="CFF0FC"/>
            <w:noWrap/>
            <w:tcMar>
              <w:top w:w="15" w:type="dxa"/>
              <w:left w:w="0" w:type="dxa"/>
              <w:bottom w:w="0" w:type="dxa"/>
              <w:right w:w="15" w:type="dxa"/>
            </w:tcMar>
            <w:vAlign w:val="bottom"/>
            <w:hideMark/>
          </w:tcPr>
          <w:p w14:paraId="50E60A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2425A7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9C90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386BBCA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929</w:t>
            </w:r>
          </w:p>
        </w:tc>
        <w:tc>
          <w:tcPr>
            <w:tcW w:w="50" w:type="pct"/>
            <w:shd w:val="clear" w:color="auto" w:fill="CFF0FC"/>
            <w:noWrap/>
            <w:tcMar>
              <w:top w:w="15" w:type="dxa"/>
              <w:left w:w="0" w:type="dxa"/>
              <w:bottom w:w="0" w:type="dxa"/>
              <w:right w:w="15" w:type="dxa"/>
            </w:tcMar>
            <w:vAlign w:val="bottom"/>
            <w:hideMark/>
          </w:tcPr>
          <w:p w14:paraId="183009C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05F43EB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61591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046F176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CFF0FC"/>
            <w:noWrap/>
            <w:tcMar>
              <w:top w:w="15" w:type="dxa"/>
              <w:left w:w="0" w:type="dxa"/>
              <w:bottom w:w="0" w:type="dxa"/>
              <w:right w:w="15" w:type="dxa"/>
            </w:tcMar>
            <w:vAlign w:val="bottom"/>
            <w:hideMark/>
          </w:tcPr>
          <w:p w14:paraId="34E1C3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5407945E"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D3A9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7020146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891</w:t>
            </w:r>
          </w:p>
        </w:tc>
        <w:tc>
          <w:tcPr>
            <w:tcW w:w="50" w:type="pct"/>
            <w:shd w:val="clear" w:color="auto" w:fill="CFF0FC"/>
            <w:noWrap/>
            <w:tcMar>
              <w:top w:w="15" w:type="dxa"/>
              <w:left w:w="0" w:type="dxa"/>
              <w:bottom w:w="0" w:type="dxa"/>
              <w:right w:w="15" w:type="dxa"/>
            </w:tcMar>
            <w:vAlign w:val="bottom"/>
            <w:hideMark/>
          </w:tcPr>
          <w:p w14:paraId="19BC929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33C0BE2" w14:textId="77777777">
        <w:trPr>
          <w:divId w:val="873881133"/>
          <w:jc w:val="center"/>
        </w:trPr>
        <w:tc>
          <w:tcPr>
            <w:tcW w:w="1369" w:type="pct"/>
            <w:shd w:val="clear" w:color="auto" w:fill="FFFFFF"/>
            <w:tcMar>
              <w:top w:w="15" w:type="dxa"/>
              <w:left w:w="0" w:type="dxa"/>
              <w:bottom w:w="0" w:type="dxa"/>
              <w:right w:w="15" w:type="dxa"/>
            </w:tcMar>
            <w:hideMark/>
          </w:tcPr>
          <w:p w14:paraId="2F03D23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50" w:type="pct"/>
            <w:shd w:val="clear" w:color="auto" w:fill="FFFFFF"/>
            <w:tcMar>
              <w:top w:w="15" w:type="dxa"/>
              <w:left w:w="0" w:type="dxa"/>
              <w:bottom w:w="0" w:type="dxa"/>
              <w:right w:w="15" w:type="dxa"/>
            </w:tcMar>
            <w:vAlign w:val="bottom"/>
            <w:hideMark/>
          </w:tcPr>
          <w:p w14:paraId="40A3BB2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450A69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051377E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7,324</w:t>
            </w:r>
          </w:p>
        </w:tc>
        <w:tc>
          <w:tcPr>
            <w:tcW w:w="50" w:type="pct"/>
            <w:shd w:val="clear" w:color="auto" w:fill="FFFFFF"/>
            <w:noWrap/>
            <w:tcMar>
              <w:top w:w="15" w:type="dxa"/>
              <w:left w:w="0" w:type="dxa"/>
              <w:bottom w:w="0" w:type="dxa"/>
              <w:right w:w="15" w:type="dxa"/>
            </w:tcMar>
            <w:vAlign w:val="bottom"/>
            <w:hideMark/>
          </w:tcPr>
          <w:p w14:paraId="56EC71C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47D4A4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B77C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712FDE3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(86</w:t>
            </w:r>
          </w:p>
        </w:tc>
        <w:tc>
          <w:tcPr>
            <w:tcW w:w="50" w:type="pct"/>
            <w:shd w:val="clear" w:color="auto" w:fill="FFFFFF"/>
            <w:noWrap/>
            <w:tcMar>
              <w:top w:w="15" w:type="dxa"/>
              <w:left w:w="0" w:type="dxa"/>
              <w:bottom w:w="0" w:type="dxa"/>
              <w:right w:w="15" w:type="dxa"/>
            </w:tcMar>
            <w:vAlign w:val="bottom"/>
            <w:hideMark/>
          </w:tcPr>
          <w:p w14:paraId="546DBC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10EB1B20"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67C66E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0D84825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7,238</w:t>
            </w:r>
          </w:p>
        </w:tc>
        <w:tc>
          <w:tcPr>
            <w:tcW w:w="50" w:type="pct"/>
            <w:shd w:val="clear" w:color="auto" w:fill="FFFFFF"/>
            <w:noWrap/>
            <w:tcMar>
              <w:top w:w="15" w:type="dxa"/>
              <w:left w:w="0" w:type="dxa"/>
              <w:bottom w:w="0" w:type="dxa"/>
              <w:right w:w="15" w:type="dxa"/>
            </w:tcMar>
            <w:vAlign w:val="bottom"/>
            <w:hideMark/>
          </w:tcPr>
          <w:p w14:paraId="2F87FB1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0EB8C5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72FF0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13AFDD1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8,333</w:t>
            </w:r>
          </w:p>
        </w:tc>
        <w:tc>
          <w:tcPr>
            <w:tcW w:w="50" w:type="pct"/>
            <w:shd w:val="clear" w:color="auto" w:fill="FFFFFF"/>
            <w:noWrap/>
            <w:tcMar>
              <w:top w:w="15" w:type="dxa"/>
              <w:left w:w="0" w:type="dxa"/>
              <w:bottom w:w="0" w:type="dxa"/>
              <w:right w:w="15" w:type="dxa"/>
            </w:tcMar>
            <w:vAlign w:val="bottom"/>
            <w:hideMark/>
          </w:tcPr>
          <w:p w14:paraId="5CC23BE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228131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44F1D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5CFF48B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(127</w:t>
            </w:r>
          </w:p>
        </w:tc>
        <w:tc>
          <w:tcPr>
            <w:tcW w:w="50" w:type="pct"/>
            <w:shd w:val="clear" w:color="auto" w:fill="FFFFFF"/>
            <w:noWrap/>
            <w:tcMar>
              <w:top w:w="15" w:type="dxa"/>
              <w:left w:w="0" w:type="dxa"/>
              <w:bottom w:w="0" w:type="dxa"/>
              <w:right w:w="15" w:type="dxa"/>
            </w:tcMar>
            <w:vAlign w:val="bottom"/>
            <w:hideMark/>
          </w:tcPr>
          <w:p w14:paraId="4896168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0EB4F20"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4751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3119CA6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8,206</w:t>
            </w:r>
          </w:p>
        </w:tc>
        <w:tc>
          <w:tcPr>
            <w:tcW w:w="50" w:type="pct"/>
            <w:shd w:val="clear" w:color="auto" w:fill="FFFFFF"/>
            <w:noWrap/>
            <w:tcMar>
              <w:top w:w="15" w:type="dxa"/>
              <w:left w:w="0" w:type="dxa"/>
              <w:bottom w:w="0" w:type="dxa"/>
              <w:right w:w="15" w:type="dxa"/>
            </w:tcMar>
            <w:vAlign w:val="bottom"/>
            <w:hideMark/>
          </w:tcPr>
          <w:p w14:paraId="45770D0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694C6D2E" w14:textId="77777777">
        <w:trPr>
          <w:divId w:val="873881133"/>
          <w:jc w:val="center"/>
        </w:trPr>
        <w:tc>
          <w:tcPr>
            <w:tcW w:w="1369" w:type="pct"/>
            <w:shd w:val="clear" w:color="auto" w:fill="CFF0FC"/>
            <w:tcMar>
              <w:top w:w="15" w:type="dxa"/>
              <w:left w:w="0" w:type="dxa"/>
              <w:bottom w:w="0" w:type="dxa"/>
              <w:right w:w="15" w:type="dxa"/>
            </w:tcMar>
            <w:hideMark/>
          </w:tcPr>
          <w:p w14:paraId="31A0890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Net income (loss)</w:t>
            </w:r>
          </w:p>
        </w:tc>
        <w:tc>
          <w:tcPr>
            <w:tcW w:w="50" w:type="pct"/>
            <w:shd w:val="clear" w:color="auto" w:fill="CFF0FC"/>
            <w:tcMar>
              <w:top w:w="15" w:type="dxa"/>
              <w:left w:w="0" w:type="dxa"/>
              <w:bottom w:w="0" w:type="dxa"/>
              <w:right w:w="15" w:type="dxa"/>
            </w:tcMar>
            <w:vAlign w:val="bottom"/>
            <w:hideMark/>
          </w:tcPr>
          <w:p w14:paraId="76B4FC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47A52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0F96826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(4,024</w:t>
            </w:r>
          </w:p>
        </w:tc>
        <w:tc>
          <w:tcPr>
            <w:tcW w:w="50" w:type="pct"/>
            <w:shd w:val="clear" w:color="auto" w:fill="CFF0FC"/>
            <w:noWrap/>
            <w:tcMar>
              <w:top w:w="15" w:type="dxa"/>
              <w:left w:w="0" w:type="dxa"/>
              <w:bottom w:w="0" w:type="dxa"/>
              <w:right w:w="15" w:type="dxa"/>
            </w:tcMar>
            <w:vAlign w:val="bottom"/>
            <w:hideMark/>
          </w:tcPr>
          <w:p w14:paraId="1C14C79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6438B09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DC2D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32CD8FF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left w:w="0" w:type="dxa"/>
              <w:bottom w:w="0" w:type="dxa"/>
              <w:right w:w="15" w:type="dxa"/>
            </w:tcMar>
            <w:vAlign w:val="bottom"/>
            <w:hideMark/>
          </w:tcPr>
          <w:p w14:paraId="13189A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31E52058"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16A0A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051E8BA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(4,047</w:t>
            </w:r>
          </w:p>
        </w:tc>
        <w:tc>
          <w:tcPr>
            <w:tcW w:w="50" w:type="pct"/>
            <w:shd w:val="clear" w:color="auto" w:fill="CFF0FC"/>
            <w:noWrap/>
            <w:tcMar>
              <w:top w:w="15" w:type="dxa"/>
              <w:left w:w="0" w:type="dxa"/>
              <w:bottom w:w="0" w:type="dxa"/>
              <w:right w:w="15" w:type="dxa"/>
            </w:tcMar>
            <w:vAlign w:val="bottom"/>
            <w:hideMark/>
          </w:tcPr>
          <w:p w14:paraId="7FE03CB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58870B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FE096D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76070AC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418</w:t>
            </w:r>
          </w:p>
        </w:tc>
        <w:tc>
          <w:tcPr>
            <w:tcW w:w="50" w:type="pct"/>
            <w:shd w:val="clear" w:color="auto" w:fill="CFF0FC"/>
            <w:noWrap/>
            <w:tcMar>
              <w:top w:w="15" w:type="dxa"/>
              <w:left w:w="0" w:type="dxa"/>
              <w:bottom w:w="0" w:type="dxa"/>
              <w:right w:w="15" w:type="dxa"/>
            </w:tcMar>
            <w:vAlign w:val="bottom"/>
            <w:hideMark/>
          </w:tcPr>
          <w:p w14:paraId="07360E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FD3344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48842E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1A7AA4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(107</w:t>
            </w:r>
          </w:p>
        </w:tc>
        <w:tc>
          <w:tcPr>
            <w:tcW w:w="50" w:type="pct"/>
            <w:shd w:val="clear" w:color="auto" w:fill="CFF0FC"/>
            <w:noWrap/>
            <w:tcMar>
              <w:top w:w="15" w:type="dxa"/>
              <w:left w:w="0" w:type="dxa"/>
              <w:bottom w:w="0" w:type="dxa"/>
              <w:right w:w="15" w:type="dxa"/>
            </w:tcMar>
            <w:vAlign w:val="bottom"/>
            <w:hideMark/>
          </w:tcPr>
          <w:p w14:paraId="6E03D3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23D5BBC7"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99198E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41A2FCE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311</w:t>
            </w:r>
          </w:p>
        </w:tc>
        <w:tc>
          <w:tcPr>
            <w:tcW w:w="50" w:type="pct"/>
            <w:shd w:val="clear" w:color="auto" w:fill="CFF0FC"/>
            <w:noWrap/>
            <w:tcMar>
              <w:top w:w="15" w:type="dxa"/>
              <w:left w:w="0" w:type="dxa"/>
              <w:bottom w:w="0" w:type="dxa"/>
              <w:right w:w="15" w:type="dxa"/>
            </w:tcMar>
            <w:vAlign w:val="bottom"/>
            <w:hideMark/>
          </w:tcPr>
          <w:p w14:paraId="24CD0BD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1443F6B2" w14:textId="77777777">
        <w:trPr>
          <w:divId w:val="873881133"/>
          <w:jc w:val="center"/>
        </w:trPr>
        <w:tc>
          <w:tcPr>
            <w:tcW w:w="1369" w:type="pct"/>
            <w:shd w:val="clear" w:color="auto" w:fill="FFFFFF"/>
            <w:tcMar>
              <w:top w:w="15" w:type="dxa"/>
              <w:left w:w="0" w:type="dxa"/>
              <w:bottom w:w="0" w:type="dxa"/>
              <w:right w:w="15" w:type="dxa"/>
            </w:tcMar>
            <w:hideMark/>
          </w:tcPr>
          <w:p w14:paraId="3405666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Basic earnings (loss) per share</w:t>
            </w:r>
          </w:p>
        </w:tc>
        <w:tc>
          <w:tcPr>
            <w:tcW w:w="50" w:type="pct"/>
            <w:shd w:val="clear" w:color="auto" w:fill="FFFFFF"/>
            <w:tcMar>
              <w:top w:w="15" w:type="dxa"/>
              <w:left w:w="0" w:type="dxa"/>
              <w:bottom w:w="0" w:type="dxa"/>
              <w:right w:w="15" w:type="dxa"/>
            </w:tcMar>
            <w:vAlign w:val="bottom"/>
            <w:hideMark/>
          </w:tcPr>
          <w:p w14:paraId="4E35B4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D5249E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58EB218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(0.98</w:t>
            </w:r>
          </w:p>
        </w:tc>
        <w:tc>
          <w:tcPr>
            <w:tcW w:w="50" w:type="pct"/>
            <w:shd w:val="clear" w:color="auto" w:fill="FFFFFF"/>
            <w:noWrap/>
            <w:tcMar>
              <w:top w:w="15" w:type="dxa"/>
              <w:left w:w="0" w:type="dxa"/>
              <w:bottom w:w="0" w:type="dxa"/>
              <w:right w:w="15" w:type="dxa"/>
            </w:tcMar>
            <w:vAlign w:val="bottom"/>
            <w:hideMark/>
          </w:tcPr>
          <w:p w14:paraId="4F71170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408D0D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55976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349D3E2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F6636D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5F517877"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8762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0BCEE06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(0.98</w:t>
            </w:r>
          </w:p>
        </w:tc>
        <w:tc>
          <w:tcPr>
            <w:tcW w:w="50" w:type="pct"/>
            <w:shd w:val="clear" w:color="auto" w:fill="FFFFFF"/>
            <w:noWrap/>
            <w:tcMar>
              <w:top w:w="15" w:type="dxa"/>
              <w:left w:w="0" w:type="dxa"/>
              <w:bottom w:w="0" w:type="dxa"/>
              <w:right w:w="15" w:type="dxa"/>
            </w:tcMar>
            <w:vAlign w:val="bottom"/>
            <w:hideMark/>
          </w:tcPr>
          <w:p w14:paraId="1A83606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3D1718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A0E1DF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FFFFFF"/>
            <w:noWrap/>
            <w:tcMar>
              <w:top w:w="15" w:type="dxa"/>
              <w:left w:w="0" w:type="dxa"/>
              <w:bottom w:w="0" w:type="dxa"/>
              <w:right w:w="15" w:type="dxa"/>
            </w:tcMar>
            <w:vAlign w:val="bottom"/>
            <w:hideMark/>
          </w:tcPr>
          <w:p w14:paraId="4AA094C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0.10</w:t>
            </w:r>
          </w:p>
        </w:tc>
        <w:tc>
          <w:tcPr>
            <w:tcW w:w="50" w:type="pct"/>
            <w:shd w:val="clear" w:color="auto" w:fill="FFFFFF"/>
            <w:noWrap/>
            <w:tcMar>
              <w:top w:w="15" w:type="dxa"/>
              <w:left w:w="0" w:type="dxa"/>
              <w:bottom w:w="0" w:type="dxa"/>
              <w:right w:w="15" w:type="dxa"/>
            </w:tcMar>
            <w:vAlign w:val="bottom"/>
            <w:hideMark/>
          </w:tcPr>
          <w:p w14:paraId="0D7950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0222160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0B499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5B73DC9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(0.03</w:t>
            </w:r>
          </w:p>
        </w:tc>
        <w:tc>
          <w:tcPr>
            <w:tcW w:w="50" w:type="pct"/>
            <w:shd w:val="clear" w:color="auto" w:fill="FFFFFF"/>
            <w:noWrap/>
            <w:tcMar>
              <w:top w:w="15" w:type="dxa"/>
              <w:left w:w="0" w:type="dxa"/>
              <w:bottom w:w="0" w:type="dxa"/>
              <w:right w:w="15" w:type="dxa"/>
            </w:tcMar>
            <w:vAlign w:val="bottom"/>
            <w:hideMark/>
          </w:tcPr>
          <w:p w14:paraId="06E17A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132623F9"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93ED14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FFFFFF"/>
            <w:noWrap/>
            <w:tcMar>
              <w:top w:w="15" w:type="dxa"/>
              <w:left w:w="0" w:type="dxa"/>
              <w:bottom w:w="0" w:type="dxa"/>
              <w:right w:w="15" w:type="dxa"/>
            </w:tcMar>
            <w:vAlign w:val="bottom"/>
            <w:hideMark/>
          </w:tcPr>
          <w:p w14:paraId="39EECDF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0.07</w:t>
            </w:r>
          </w:p>
        </w:tc>
        <w:tc>
          <w:tcPr>
            <w:tcW w:w="50" w:type="pct"/>
            <w:shd w:val="clear" w:color="auto" w:fill="FFFFFF"/>
            <w:noWrap/>
            <w:tcMar>
              <w:top w:w="15" w:type="dxa"/>
              <w:left w:w="0" w:type="dxa"/>
              <w:bottom w:w="0" w:type="dxa"/>
              <w:right w:w="15" w:type="dxa"/>
            </w:tcMar>
            <w:vAlign w:val="bottom"/>
            <w:hideMark/>
          </w:tcPr>
          <w:p w14:paraId="196008F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87BFE21" w14:textId="77777777">
        <w:trPr>
          <w:divId w:val="873881133"/>
          <w:jc w:val="center"/>
        </w:trPr>
        <w:tc>
          <w:tcPr>
            <w:tcW w:w="1369" w:type="pct"/>
            <w:shd w:val="clear" w:color="auto" w:fill="CFF0FC"/>
            <w:tcMar>
              <w:top w:w="15" w:type="dxa"/>
              <w:left w:w="0" w:type="dxa"/>
              <w:bottom w:w="0" w:type="dxa"/>
              <w:right w:w="15" w:type="dxa"/>
            </w:tcMar>
            <w:hideMark/>
          </w:tcPr>
          <w:p w14:paraId="0E5BC8C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Diluted earnings (loss) per share</w:t>
            </w:r>
          </w:p>
        </w:tc>
        <w:tc>
          <w:tcPr>
            <w:tcW w:w="50" w:type="pct"/>
            <w:shd w:val="clear" w:color="auto" w:fill="CFF0FC"/>
            <w:tcMar>
              <w:top w:w="15" w:type="dxa"/>
              <w:left w:w="0" w:type="dxa"/>
              <w:bottom w:w="0" w:type="dxa"/>
              <w:right w:w="15" w:type="dxa"/>
            </w:tcMar>
            <w:vAlign w:val="bottom"/>
            <w:hideMark/>
          </w:tcPr>
          <w:p w14:paraId="72326A6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2827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06848F2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(0.98</w:t>
            </w:r>
          </w:p>
        </w:tc>
        <w:tc>
          <w:tcPr>
            <w:tcW w:w="50" w:type="pct"/>
            <w:shd w:val="clear" w:color="auto" w:fill="CFF0FC"/>
            <w:noWrap/>
            <w:tcMar>
              <w:top w:w="15" w:type="dxa"/>
              <w:left w:w="0" w:type="dxa"/>
              <w:bottom w:w="0" w:type="dxa"/>
              <w:right w:w="15" w:type="dxa"/>
            </w:tcMar>
            <w:vAlign w:val="bottom"/>
            <w:hideMark/>
          </w:tcPr>
          <w:p w14:paraId="26755C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7F64F2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EC8BFE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5676A4C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09D73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35BB7EA"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0AB7F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4E433B6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(0.98</w:t>
            </w:r>
          </w:p>
        </w:tc>
        <w:tc>
          <w:tcPr>
            <w:tcW w:w="50" w:type="pct"/>
            <w:shd w:val="clear" w:color="auto" w:fill="CFF0FC"/>
            <w:noWrap/>
            <w:tcMar>
              <w:top w:w="15" w:type="dxa"/>
              <w:left w:w="0" w:type="dxa"/>
              <w:bottom w:w="0" w:type="dxa"/>
              <w:right w:w="15" w:type="dxa"/>
            </w:tcMar>
            <w:vAlign w:val="bottom"/>
            <w:hideMark/>
          </w:tcPr>
          <w:p w14:paraId="044AC5F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4399A1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D370E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21" w:type="pct"/>
            <w:shd w:val="clear" w:color="auto" w:fill="CFF0FC"/>
            <w:noWrap/>
            <w:tcMar>
              <w:top w:w="15" w:type="dxa"/>
              <w:left w:w="0" w:type="dxa"/>
              <w:bottom w:w="0" w:type="dxa"/>
              <w:right w:w="15" w:type="dxa"/>
            </w:tcMar>
            <w:vAlign w:val="bottom"/>
            <w:hideMark/>
          </w:tcPr>
          <w:p w14:paraId="059F034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0.10</w:t>
            </w:r>
          </w:p>
        </w:tc>
        <w:tc>
          <w:tcPr>
            <w:tcW w:w="50" w:type="pct"/>
            <w:shd w:val="clear" w:color="auto" w:fill="CFF0FC"/>
            <w:noWrap/>
            <w:tcMar>
              <w:top w:w="15" w:type="dxa"/>
              <w:left w:w="0" w:type="dxa"/>
              <w:bottom w:w="0" w:type="dxa"/>
              <w:right w:w="15" w:type="dxa"/>
            </w:tcMar>
            <w:vAlign w:val="bottom"/>
            <w:hideMark/>
          </w:tcPr>
          <w:p w14:paraId="404D2E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6BEF8D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11FF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2D891D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(0.03</w:t>
            </w:r>
          </w:p>
        </w:tc>
        <w:tc>
          <w:tcPr>
            <w:tcW w:w="50" w:type="pct"/>
            <w:shd w:val="clear" w:color="auto" w:fill="CFF0FC"/>
            <w:noWrap/>
            <w:tcMar>
              <w:top w:w="15" w:type="dxa"/>
              <w:left w:w="0" w:type="dxa"/>
              <w:bottom w:w="0" w:type="dxa"/>
              <w:right w:w="15" w:type="dxa"/>
            </w:tcMar>
            <w:vAlign w:val="bottom"/>
            <w:hideMark/>
          </w:tcPr>
          <w:p w14:paraId="003BD4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tcMar>
              <w:top w:w="15" w:type="dxa"/>
              <w:left w:w="0" w:type="dxa"/>
              <w:bottom w:w="0" w:type="dxa"/>
              <w:right w:w="15" w:type="dxa"/>
            </w:tcMar>
            <w:vAlign w:val="bottom"/>
            <w:hideMark/>
          </w:tcPr>
          <w:p w14:paraId="124268DD"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BDA8F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451" w:type="pct"/>
            <w:shd w:val="clear" w:color="auto" w:fill="CFF0FC"/>
            <w:noWrap/>
            <w:tcMar>
              <w:top w:w="15" w:type="dxa"/>
              <w:left w:w="0" w:type="dxa"/>
              <w:bottom w:w="0" w:type="dxa"/>
              <w:right w:w="15" w:type="dxa"/>
            </w:tcMar>
            <w:vAlign w:val="bottom"/>
            <w:hideMark/>
          </w:tcPr>
          <w:p w14:paraId="3F0833A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0.07</w:t>
            </w:r>
          </w:p>
        </w:tc>
        <w:tc>
          <w:tcPr>
            <w:tcW w:w="50" w:type="pct"/>
            <w:shd w:val="clear" w:color="auto" w:fill="CFF0FC"/>
            <w:noWrap/>
            <w:tcMar>
              <w:top w:w="15" w:type="dxa"/>
              <w:left w:w="0" w:type="dxa"/>
              <w:bottom w:w="0" w:type="dxa"/>
              <w:right w:w="15" w:type="dxa"/>
            </w:tcMar>
            <w:vAlign w:val="bottom"/>
            <w:hideMark/>
          </w:tcPr>
          <w:p w14:paraId="38B164FD"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7D0DEA7" w14:textId="77777777" w:rsidR="00716E85" w:rsidRDefault="00716E85">
      <w:pPr>
        <w:pStyle w:val="a3"/>
        <w:spacing w:before="0" w:beforeAutospacing="0" w:after="0" w:afterAutospacing="0"/>
        <w:jc w:val="both"/>
        <w:rPr>
          <w:sz w:val="12"/>
          <w:szCs w:val="12"/>
        </w:rPr>
      </w:pPr>
      <w:r>
        <w:rPr>
          <w:sz w:val="12"/>
          <w:szCs w:val="12"/>
        </w:rPr>
        <w:t> </w:t>
      </w:r>
    </w:p>
    <w:p w14:paraId="42FA7C04"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The impact of adopting Topic 606 for select historical condensed consolidated balance sheet line items was as follows:</w:t>
      </w:r>
    </w:p>
    <w:p w14:paraId="1E748D02"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200"/>
        <w:gridCol w:w="120"/>
        <w:gridCol w:w="108"/>
        <w:gridCol w:w="1164"/>
        <w:gridCol w:w="76"/>
        <w:gridCol w:w="121"/>
        <w:gridCol w:w="108"/>
        <w:gridCol w:w="1013"/>
        <w:gridCol w:w="76"/>
        <w:gridCol w:w="121"/>
        <w:gridCol w:w="107"/>
        <w:gridCol w:w="1016"/>
        <w:gridCol w:w="76"/>
      </w:tblGrid>
      <w:tr w:rsidR="00716E85" w14:paraId="6DC4B550" w14:textId="77777777">
        <w:trPr>
          <w:divId w:val="1928878112"/>
          <w:jc w:val="center"/>
        </w:trPr>
        <w:tc>
          <w:tcPr>
            <w:tcW w:w="2532" w:type="pct"/>
            <w:shd w:val="clear" w:color="auto" w:fill="FFFFFF"/>
            <w:tcMar>
              <w:top w:w="15" w:type="dxa"/>
              <w:left w:w="0" w:type="dxa"/>
              <w:bottom w:w="0" w:type="dxa"/>
              <w:right w:w="15" w:type="dxa"/>
            </w:tcMar>
            <w:vAlign w:val="bottom"/>
            <w:hideMark/>
          </w:tcPr>
          <w:p w14:paraId="78523A40" w14:textId="77777777" w:rsidR="00716E85" w:rsidRDefault="00716E85">
            <w:pPr>
              <w:pStyle w:val="a3"/>
              <w:spacing w:before="0" w:beforeAutospacing="0" w:after="0" w:afterAutospacing="0"/>
              <w:jc w:val="center"/>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14:paraId="05918FC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339" w:type="pct"/>
            <w:gridSpan w:val="10"/>
            <w:tcBorders>
              <w:bottom w:val="single" w:sz="6" w:space="0" w:color="000000"/>
            </w:tcBorders>
            <w:shd w:val="clear" w:color="auto" w:fill="FFFFFF"/>
            <w:tcMar>
              <w:top w:w="15" w:type="dxa"/>
              <w:left w:w="0" w:type="dxa"/>
              <w:bottom w:w="0" w:type="dxa"/>
              <w:right w:w="15" w:type="dxa"/>
            </w:tcMar>
            <w:vAlign w:val="bottom"/>
            <w:hideMark/>
          </w:tcPr>
          <w:p w14:paraId="3C44A52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of May 31, 2018</w:t>
            </w:r>
          </w:p>
        </w:tc>
        <w:tc>
          <w:tcPr>
            <w:tcW w:w="50" w:type="pct"/>
            <w:shd w:val="clear" w:color="auto" w:fill="FFFFFF"/>
            <w:noWrap/>
            <w:tcMar>
              <w:top w:w="15" w:type="dxa"/>
              <w:left w:w="0" w:type="dxa"/>
              <w:bottom w:w="0" w:type="dxa"/>
              <w:right w:w="15" w:type="dxa"/>
            </w:tcMar>
            <w:vAlign w:val="bottom"/>
            <w:hideMark/>
          </w:tcPr>
          <w:p w14:paraId="30815C7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9BA7FFD" w14:textId="77777777">
        <w:trPr>
          <w:divId w:val="1928878112"/>
          <w:jc w:val="center"/>
        </w:trPr>
        <w:tc>
          <w:tcPr>
            <w:tcW w:w="2532" w:type="pct"/>
            <w:tcBorders>
              <w:bottom w:val="single" w:sz="6" w:space="0" w:color="000000"/>
            </w:tcBorders>
            <w:shd w:val="clear" w:color="auto" w:fill="FFFFFF"/>
            <w:tcMar>
              <w:top w:w="15" w:type="dxa"/>
              <w:left w:w="0" w:type="dxa"/>
              <w:bottom w:w="0" w:type="dxa"/>
              <w:right w:w="15" w:type="dxa"/>
            </w:tcMar>
            <w:vAlign w:val="bottom"/>
            <w:hideMark/>
          </w:tcPr>
          <w:p w14:paraId="2E6CC2D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77" w:type="pct"/>
            <w:shd w:val="clear" w:color="auto" w:fill="FFFFFF"/>
            <w:tcMar>
              <w:top w:w="15" w:type="dxa"/>
              <w:left w:w="0" w:type="dxa"/>
              <w:bottom w:w="0" w:type="dxa"/>
              <w:right w:w="15" w:type="dxa"/>
            </w:tcMar>
            <w:vAlign w:val="bottom"/>
            <w:hideMark/>
          </w:tcPr>
          <w:p w14:paraId="1D7B607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315F9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Previously Reported</w:t>
            </w:r>
          </w:p>
        </w:tc>
        <w:tc>
          <w:tcPr>
            <w:tcW w:w="50" w:type="pct"/>
            <w:shd w:val="clear" w:color="auto" w:fill="FFFFFF"/>
            <w:noWrap/>
            <w:tcMar>
              <w:top w:w="15" w:type="dxa"/>
              <w:left w:w="0" w:type="dxa"/>
              <w:bottom w:w="0" w:type="dxa"/>
              <w:right w:w="15" w:type="dxa"/>
            </w:tcMar>
            <w:vAlign w:val="bottom"/>
            <w:hideMark/>
          </w:tcPr>
          <w:p w14:paraId="7E2D2F4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14:paraId="267C51B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57FB4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w:t>
            </w:r>
          </w:p>
        </w:tc>
        <w:tc>
          <w:tcPr>
            <w:tcW w:w="50" w:type="pct"/>
            <w:shd w:val="clear" w:color="auto" w:fill="FFFFFF"/>
            <w:noWrap/>
            <w:tcMar>
              <w:top w:w="15" w:type="dxa"/>
              <w:left w:w="0" w:type="dxa"/>
              <w:bottom w:w="0" w:type="dxa"/>
              <w:right w:w="15" w:type="dxa"/>
            </w:tcMar>
            <w:vAlign w:val="bottom"/>
            <w:hideMark/>
          </w:tcPr>
          <w:p w14:paraId="6C4EA64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14:paraId="204EF94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BE8EF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As Adjusted</w:t>
            </w:r>
          </w:p>
        </w:tc>
        <w:tc>
          <w:tcPr>
            <w:tcW w:w="50" w:type="pct"/>
            <w:shd w:val="clear" w:color="auto" w:fill="FFFFFF"/>
            <w:noWrap/>
            <w:tcMar>
              <w:top w:w="15" w:type="dxa"/>
              <w:left w:w="0" w:type="dxa"/>
              <w:bottom w:w="0" w:type="dxa"/>
              <w:right w:w="15" w:type="dxa"/>
            </w:tcMar>
            <w:vAlign w:val="bottom"/>
            <w:hideMark/>
          </w:tcPr>
          <w:p w14:paraId="797E34B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60B921C" w14:textId="77777777">
        <w:trPr>
          <w:divId w:val="1928878112"/>
          <w:jc w:val="center"/>
        </w:trPr>
        <w:tc>
          <w:tcPr>
            <w:tcW w:w="2532" w:type="pct"/>
            <w:tcBorders>
              <w:top w:val="single" w:sz="6" w:space="0" w:color="000000"/>
            </w:tcBorders>
            <w:shd w:val="clear" w:color="auto" w:fill="CFF0FC"/>
            <w:tcMar>
              <w:top w:w="15" w:type="dxa"/>
              <w:left w:w="0" w:type="dxa"/>
              <w:bottom w:w="0" w:type="dxa"/>
              <w:right w:w="15" w:type="dxa"/>
            </w:tcMar>
            <w:hideMark/>
          </w:tcPr>
          <w:p w14:paraId="02CD0FD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Trade receivables, net of allowances for doubtful accounts</w:t>
            </w:r>
          </w:p>
        </w:tc>
        <w:tc>
          <w:tcPr>
            <w:tcW w:w="77" w:type="pct"/>
            <w:shd w:val="clear" w:color="auto" w:fill="CFF0FC"/>
            <w:tcMar>
              <w:top w:w="15" w:type="dxa"/>
              <w:left w:w="0" w:type="dxa"/>
              <w:bottom w:w="0" w:type="dxa"/>
              <w:right w:w="15" w:type="dxa"/>
            </w:tcMar>
            <w:vAlign w:val="bottom"/>
            <w:hideMark/>
          </w:tcPr>
          <w:p w14:paraId="0FE45E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0F05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14:paraId="2655ED5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5,279</w:t>
            </w:r>
          </w:p>
        </w:tc>
        <w:tc>
          <w:tcPr>
            <w:tcW w:w="50" w:type="pct"/>
            <w:shd w:val="clear" w:color="auto" w:fill="CFF0FC"/>
            <w:noWrap/>
            <w:tcMar>
              <w:top w:w="15" w:type="dxa"/>
              <w:left w:w="0" w:type="dxa"/>
              <w:bottom w:w="0" w:type="dxa"/>
              <w:right w:w="15" w:type="dxa"/>
            </w:tcMar>
            <w:vAlign w:val="bottom"/>
            <w:hideMark/>
          </w:tcPr>
          <w:p w14:paraId="497FC0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44FBA14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6756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tcBorders>
              <w:top w:val="single" w:sz="6" w:space="0" w:color="000000"/>
            </w:tcBorders>
            <w:shd w:val="clear" w:color="auto" w:fill="CFF0FC"/>
            <w:noWrap/>
            <w:tcMar>
              <w:top w:w="15" w:type="dxa"/>
              <w:left w:w="0" w:type="dxa"/>
              <w:bottom w:w="0" w:type="dxa"/>
              <w:right w:w="15" w:type="dxa"/>
            </w:tcMar>
            <w:vAlign w:val="bottom"/>
            <w:hideMark/>
          </w:tcPr>
          <w:p w14:paraId="0B798B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(143</w:t>
            </w:r>
          </w:p>
        </w:tc>
        <w:tc>
          <w:tcPr>
            <w:tcW w:w="50" w:type="pct"/>
            <w:shd w:val="clear" w:color="auto" w:fill="CFF0FC"/>
            <w:noWrap/>
            <w:tcMar>
              <w:top w:w="15" w:type="dxa"/>
              <w:left w:w="0" w:type="dxa"/>
              <w:bottom w:w="0" w:type="dxa"/>
              <w:right w:w="15" w:type="dxa"/>
            </w:tcMar>
            <w:vAlign w:val="bottom"/>
            <w:hideMark/>
          </w:tcPr>
          <w:p w14:paraId="50E7B5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left w:w="0" w:type="dxa"/>
              <w:bottom w:w="0" w:type="dxa"/>
              <w:right w:w="15" w:type="dxa"/>
            </w:tcMar>
            <w:vAlign w:val="bottom"/>
            <w:hideMark/>
          </w:tcPr>
          <w:p w14:paraId="642E0A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48E2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tcBorders>
              <w:top w:val="single" w:sz="6" w:space="0" w:color="000000"/>
            </w:tcBorders>
            <w:shd w:val="clear" w:color="auto" w:fill="CFF0FC"/>
            <w:noWrap/>
            <w:tcMar>
              <w:top w:w="15" w:type="dxa"/>
              <w:left w:w="0" w:type="dxa"/>
              <w:bottom w:w="0" w:type="dxa"/>
              <w:right w:w="15" w:type="dxa"/>
            </w:tcMar>
            <w:vAlign w:val="bottom"/>
            <w:hideMark/>
          </w:tcPr>
          <w:p w14:paraId="68326BE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5,136</w:t>
            </w:r>
          </w:p>
        </w:tc>
        <w:tc>
          <w:tcPr>
            <w:tcW w:w="50" w:type="pct"/>
            <w:shd w:val="clear" w:color="auto" w:fill="CFF0FC"/>
            <w:noWrap/>
            <w:tcMar>
              <w:top w:w="15" w:type="dxa"/>
              <w:left w:w="0" w:type="dxa"/>
              <w:bottom w:w="0" w:type="dxa"/>
              <w:right w:w="15" w:type="dxa"/>
            </w:tcMar>
            <w:vAlign w:val="bottom"/>
            <w:hideMark/>
          </w:tcPr>
          <w:p w14:paraId="7162600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0DCF0C6" w14:textId="77777777">
        <w:trPr>
          <w:divId w:val="1928878112"/>
          <w:jc w:val="center"/>
        </w:trPr>
        <w:tc>
          <w:tcPr>
            <w:tcW w:w="2532" w:type="pct"/>
            <w:shd w:val="clear" w:color="auto" w:fill="FFFFFF"/>
            <w:tcMar>
              <w:top w:w="15" w:type="dxa"/>
              <w:left w:w="0" w:type="dxa"/>
              <w:bottom w:w="0" w:type="dxa"/>
              <w:right w:w="15" w:type="dxa"/>
            </w:tcMar>
            <w:hideMark/>
          </w:tcPr>
          <w:p w14:paraId="64F12FC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Prepaid expenses and other current assets</w:t>
            </w:r>
          </w:p>
        </w:tc>
        <w:tc>
          <w:tcPr>
            <w:tcW w:w="77" w:type="pct"/>
            <w:shd w:val="clear" w:color="auto" w:fill="FFFFFF"/>
            <w:tcMar>
              <w:top w:w="15" w:type="dxa"/>
              <w:left w:w="0" w:type="dxa"/>
              <w:bottom w:w="0" w:type="dxa"/>
              <w:right w:w="15" w:type="dxa"/>
            </w:tcMar>
            <w:vAlign w:val="bottom"/>
            <w:hideMark/>
          </w:tcPr>
          <w:p w14:paraId="13C316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3A56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shd w:val="clear" w:color="auto" w:fill="FFFFFF"/>
            <w:noWrap/>
            <w:tcMar>
              <w:top w:w="15" w:type="dxa"/>
              <w:left w:w="0" w:type="dxa"/>
              <w:bottom w:w="0" w:type="dxa"/>
              <w:right w:w="15" w:type="dxa"/>
            </w:tcMar>
            <w:vAlign w:val="bottom"/>
            <w:hideMark/>
          </w:tcPr>
          <w:p w14:paraId="5F19C76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3,424</w:t>
            </w:r>
          </w:p>
        </w:tc>
        <w:tc>
          <w:tcPr>
            <w:tcW w:w="50" w:type="pct"/>
            <w:shd w:val="clear" w:color="auto" w:fill="FFFFFF"/>
            <w:noWrap/>
            <w:tcMar>
              <w:top w:w="15" w:type="dxa"/>
              <w:left w:w="0" w:type="dxa"/>
              <w:bottom w:w="0" w:type="dxa"/>
              <w:right w:w="15" w:type="dxa"/>
            </w:tcMar>
            <w:vAlign w:val="bottom"/>
            <w:hideMark/>
          </w:tcPr>
          <w:p w14:paraId="7B03E31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5F2B71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B1D3D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FFFFFF"/>
            <w:noWrap/>
            <w:tcMar>
              <w:top w:w="15" w:type="dxa"/>
              <w:left w:w="0" w:type="dxa"/>
              <w:bottom w:w="0" w:type="dxa"/>
              <w:right w:w="15" w:type="dxa"/>
            </w:tcMar>
            <w:vAlign w:val="bottom"/>
            <w:hideMark/>
          </w:tcPr>
          <w:p w14:paraId="611805F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338</w:t>
            </w:r>
          </w:p>
        </w:tc>
        <w:tc>
          <w:tcPr>
            <w:tcW w:w="50" w:type="pct"/>
            <w:shd w:val="clear" w:color="auto" w:fill="FFFFFF"/>
            <w:noWrap/>
            <w:tcMar>
              <w:top w:w="15" w:type="dxa"/>
              <w:left w:w="0" w:type="dxa"/>
              <w:bottom w:w="0" w:type="dxa"/>
              <w:right w:w="15" w:type="dxa"/>
            </w:tcMar>
            <w:vAlign w:val="bottom"/>
            <w:hideMark/>
          </w:tcPr>
          <w:p w14:paraId="71A8C2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723C40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C7373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FFFFFF"/>
            <w:noWrap/>
            <w:tcMar>
              <w:top w:w="15" w:type="dxa"/>
              <w:left w:w="0" w:type="dxa"/>
              <w:bottom w:w="0" w:type="dxa"/>
              <w:right w:w="15" w:type="dxa"/>
            </w:tcMar>
            <w:vAlign w:val="bottom"/>
            <w:hideMark/>
          </w:tcPr>
          <w:p w14:paraId="4432D5D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3,762</w:t>
            </w:r>
          </w:p>
        </w:tc>
        <w:tc>
          <w:tcPr>
            <w:tcW w:w="50" w:type="pct"/>
            <w:shd w:val="clear" w:color="auto" w:fill="FFFFFF"/>
            <w:noWrap/>
            <w:tcMar>
              <w:top w:w="15" w:type="dxa"/>
              <w:left w:w="0" w:type="dxa"/>
              <w:bottom w:w="0" w:type="dxa"/>
              <w:right w:w="15" w:type="dxa"/>
            </w:tcMar>
            <w:vAlign w:val="bottom"/>
            <w:hideMark/>
          </w:tcPr>
          <w:p w14:paraId="6D41656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F8BCEFC" w14:textId="77777777">
        <w:trPr>
          <w:divId w:val="1928878112"/>
          <w:jc w:val="center"/>
        </w:trPr>
        <w:tc>
          <w:tcPr>
            <w:tcW w:w="2532" w:type="pct"/>
            <w:shd w:val="clear" w:color="auto" w:fill="CFF0FC"/>
            <w:tcMar>
              <w:top w:w="15" w:type="dxa"/>
              <w:left w:w="0" w:type="dxa"/>
              <w:bottom w:w="0" w:type="dxa"/>
              <w:right w:w="15" w:type="dxa"/>
            </w:tcMar>
            <w:hideMark/>
          </w:tcPr>
          <w:p w14:paraId="370D9E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Deferred tax assets</w:t>
            </w:r>
          </w:p>
        </w:tc>
        <w:tc>
          <w:tcPr>
            <w:tcW w:w="77" w:type="pct"/>
            <w:shd w:val="clear" w:color="auto" w:fill="CFF0FC"/>
            <w:tcMar>
              <w:top w:w="15" w:type="dxa"/>
              <w:left w:w="0" w:type="dxa"/>
              <w:bottom w:w="0" w:type="dxa"/>
              <w:right w:w="15" w:type="dxa"/>
            </w:tcMar>
            <w:vAlign w:val="bottom"/>
            <w:hideMark/>
          </w:tcPr>
          <w:p w14:paraId="207C80D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367DF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shd w:val="clear" w:color="auto" w:fill="CFF0FC"/>
            <w:noWrap/>
            <w:tcMar>
              <w:top w:w="15" w:type="dxa"/>
              <w:left w:w="0" w:type="dxa"/>
              <w:bottom w:w="0" w:type="dxa"/>
              <w:right w:w="15" w:type="dxa"/>
            </w:tcMar>
            <w:vAlign w:val="bottom"/>
            <w:hideMark/>
          </w:tcPr>
          <w:p w14:paraId="22F01CF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1,491</w:t>
            </w:r>
          </w:p>
        </w:tc>
        <w:tc>
          <w:tcPr>
            <w:tcW w:w="50" w:type="pct"/>
            <w:shd w:val="clear" w:color="auto" w:fill="CFF0FC"/>
            <w:noWrap/>
            <w:tcMar>
              <w:top w:w="15" w:type="dxa"/>
              <w:left w:w="0" w:type="dxa"/>
              <w:bottom w:w="0" w:type="dxa"/>
              <w:right w:w="15" w:type="dxa"/>
            </w:tcMar>
            <w:vAlign w:val="bottom"/>
            <w:hideMark/>
          </w:tcPr>
          <w:p w14:paraId="709516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229DC6C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9DFDF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CFF0FC"/>
            <w:noWrap/>
            <w:tcMar>
              <w:top w:w="15" w:type="dxa"/>
              <w:left w:w="0" w:type="dxa"/>
              <w:bottom w:w="0" w:type="dxa"/>
              <w:right w:w="15" w:type="dxa"/>
            </w:tcMar>
            <w:vAlign w:val="bottom"/>
            <w:hideMark/>
          </w:tcPr>
          <w:p w14:paraId="3C8EA44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w:t>
            </w:r>
          </w:p>
        </w:tc>
        <w:tc>
          <w:tcPr>
            <w:tcW w:w="50" w:type="pct"/>
            <w:shd w:val="clear" w:color="auto" w:fill="CFF0FC"/>
            <w:noWrap/>
            <w:tcMar>
              <w:top w:w="15" w:type="dxa"/>
              <w:left w:w="0" w:type="dxa"/>
              <w:bottom w:w="0" w:type="dxa"/>
              <w:right w:w="15" w:type="dxa"/>
            </w:tcMar>
            <w:vAlign w:val="bottom"/>
            <w:hideMark/>
          </w:tcPr>
          <w:p w14:paraId="4740B2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left w:w="0" w:type="dxa"/>
              <w:bottom w:w="0" w:type="dxa"/>
              <w:right w:w="15" w:type="dxa"/>
            </w:tcMar>
            <w:vAlign w:val="bottom"/>
            <w:hideMark/>
          </w:tcPr>
          <w:p w14:paraId="1805EA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5EFDA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CFF0FC"/>
            <w:noWrap/>
            <w:tcMar>
              <w:top w:w="15" w:type="dxa"/>
              <w:left w:w="0" w:type="dxa"/>
              <w:bottom w:w="0" w:type="dxa"/>
              <w:right w:w="15" w:type="dxa"/>
            </w:tcMar>
            <w:vAlign w:val="bottom"/>
            <w:hideMark/>
          </w:tcPr>
          <w:p w14:paraId="4D90A1D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1,395</w:t>
            </w:r>
          </w:p>
        </w:tc>
        <w:tc>
          <w:tcPr>
            <w:tcW w:w="50" w:type="pct"/>
            <w:shd w:val="clear" w:color="auto" w:fill="CFF0FC"/>
            <w:noWrap/>
            <w:tcMar>
              <w:top w:w="15" w:type="dxa"/>
              <w:left w:w="0" w:type="dxa"/>
              <w:bottom w:w="0" w:type="dxa"/>
              <w:right w:w="15" w:type="dxa"/>
            </w:tcMar>
            <w:vAlign w:val="bottom"/>
            <w:hideMark/>
          </w:tcPr>
          <w:p w14:paraId="409DC49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5B5F149" w14:textId="77777777">
        <w:trPr>
          <w:divId w:val="1928878112"/>
          <w:jc w:val="center"/>
        </w:trPr>
        <w:tc>
          <w:tcPr>
            <w:tcW w:w="2532" w:type="pct"/>
            <w:shd w:val="clear" w:color="auto" w:fill="FFFFFF"/>
            <w:tcMar>
              <w:top w:w="15" w:type="dxa"/>
              <w:left w:w="0" w:type="dxa"/>
              <w:bottom w:w="0" w:type="dxa"/>
              <w:right w:w="15" w:type="dxa"/>
            </w:tcMar>
            <w:hideMark/>
          </w:tcPr>
          <w:p w14:paraId="31909C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 non-current assets</w:t>
            </w:r>
          </w:p>
        </w:tc>
        <w:tc>
          <w:tcPr>
            <w:tcW w:w="77" w:type="pct"/>
            <w:shd w:val="clear" w:color="auto" w:fill="FFFFFF"/>
            <w:tcMar>
              <w:top w:w="15" w:type="dxa"/>
              <w:left w:w="0" w:type="dxa"/>
              <w:bottom w:w="0" w:type="dxa"/>
              <w:right w:w="15" w:type="dxa"/>
            </w:tcMar>
            <w:vAlign w:val="bottom"/>
            <w:hideMark/>
          </w:tcPr>
          <w:p w14:paraId="13D467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969C5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shd w:val="clear" w:color="auto" w:fill="FFFFFF"/>
            <w:noWrap/>
            <w:tcMar>
              <w:top w:w="15" w:type="dxa"/>
              <w:left w:w="0" w:type="dxa"/>
              <w:bottom w:w="0" w:type="dxa"/>
              <w:right w:w="15" w:type="dxa"/>
            </w:tcMar>
            <w:vAlign w:val="bottom"/>
            <w:hideMark/>
          </w:tcPr>
          <w:p w14:paraId="6AF88D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3,487</w:t>
            </w:r>
          </w:p>
        </w:tc>
        <w:tc>
          <w:tcPr>
            <w:tcW w:w="50" w:type="pct"/>
            <w:shd w:val="clear" w:color="auto" w:fill="FFFFFF"/>
            <w:noWrap/>
            <w:tcMar>
              <w:top w:w="15" w:type="dxa"/>
              <w:left w:w="0" w:type="dxa"/>
              <w:bottom w:w="0" w:type="dxa"/>
              <w:right w:w="15" w:type="dxa"/>
            </w:tcMar>
            <w:vAlign w:val="bottom"/>
            <w:hideMark/>
          </w:tcPr>
          <w:p w14:paraId="5C6A5CA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777211B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E1E948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FFFFFF"/>
            <w:noWrap/>
            <w:tcMar>
              <w:top w:w="15" w:type="dxa"/>
              <w:left w:w="0" w:type="dxa"/>
              <w:bottom w:w="0" w:type="dxa"/>
              <w:right w:w="15" w:type="dxa"/>
            </w:tcMar>
            <w:vAlign w:val="bottom"/>
            <w:hideMark/>
          </w:tcPr>
          <w:p w14:paraId="2634495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488</w:t>
            </w:r>
          </w:p>
        </w:tc>
        <w:tc>
          <w:tcPr>
            <w:tcW w:w="50" w:type="pct"/>
            <w:shd w:val="clear" w:color="auto" w:fill="FFFFFF"/>
            <w:noWrap/>
            <w:tcMar>
              <w:top w:w="15" w:type="dxa"/>
              <w:left w:w="0" w:type="dxa"/>
              <w:bottom w:w="0" w:type="dxa"/>
              <w:right w:w="15" w:type="dxa"/>
            </w:tcMar>
            <w:vAlign w:val="bottom"/>
            <w:hideMark/>
          </w:tcPr>
          <w:p w14:paraId="3EED9F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3D1209A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80A2D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FFFFFF"/>
            <w:noWrap/>
            <w:tcMar>
              <w:top w:w="15" w:type="dxa"/>
              <w:left w:w="0" w:type="dxa"/>
              <w:bottom w:w="0" w:type="dxa"/>
              <w:right w:w="15" w:type="dxa"/>
            </w:tcMar>
            <w:vAlign w:val="bottom"/>
            <w:hideMark/>
          </w:tcPr>
          <w:p w14:paraId="397CB66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3,975</w:t>
            </w:r>
          </w:p>
        </w:tc>
        <w:tc>
          <w:tcPr>
            <w:tcW w:w="50" w:type="pct"/>
            <w:shd w:val="clear" w:color="auto" w:fill="FFFFFF"/>
            <w:noWrap/>
            <w:tcMar>
              <w:top w:w="15" w:type="dxa"/>
              <w:left w:w="0" w:type="dxa"/>
              <w:bottom w:w="0" w:type="dxa"/>
              <w:right w:w="15" w:type="dxa"/>
            </w:tcMar>
            <w:vAlign w:val="bottom"/>
            <w:hideMark/>
          </w:tcPr>
          <w:p w14:paraId="006ECCD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C28CD49" w14:textId="77777777">
        <w:trPr>
          <w:divId w:val="1928878112"/>
          <w:jc w:val="center"/>
        </w:trPr>
        <w:tc>
          <w:tcPr>
            <w:tcW w:w="2532" w:type="pct"/>
            <w:shd w:val="clear" w:color="auto" w:fill="CFF0FC"/>
            <w:tcMar>
              <w:top w:w="15" w:type="dxa"/>
              <w:left w:w="0" w:type="dxa"/>
              <w:bottom w:w="0" w:type="dxa"/>
              <w:right w:w="15" w:type="dxa"/>
            </w:tcMar>
            <w:hideMark/>
          </w:tcPr>
          <w:p w14:paraId="1FF63D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current liabilities</w:t>
            </w:r>
          </w:p>
        </w:tc>
        <w:tc>
          <w:tcPr>
            <w:tcW w:w="77" w:type="pct"/>
            <w:shd w:val="clear" w:color="auto" w:fill="CFF0FC"/>
            <w:tcMar>
              <w:top w:w="15" w:type="dxa"/>
              <w:left w:w="0" w:type="dxa"/>
              <w:bottom w:w="0" w:type="dxa"/>
              <w:right w:w="15" w:type="dxa"/>
            </w:tcMar>
            <w:vAlign w:val="bottom"/>
            <w:hideMark/>
          </w:tcPr>
          <w:p w14:paraId="449FAE4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CEEBE2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shd w:val="clear" w:color="auto" w:fill="CFF0FC"/>
            <w:noWrap/>
            <w:tcMar>
              <w:top w:w="15" w:type="dxa"/>
              <w:left w:w="0" w:type="dxa"/>
              <w:bottom w:w="0" w:type="dxa"/>
              <w:right w:w="15" w:type="dxa"/>
            </w:tcMar>
            <w:vAlign w:val="bottom"/>
            <w:hideMark/>
          </w:tcPr>
          <w:p w14:paraId="2E01B38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19,195</w:t>
            </w:r>
          </w:p>
        </w:tc>
        <w:tc>
          <w:tcPr>
            <w:tcW w:w="50" w:type="pct"/>
            <w:shd w:val="clear" w:color="auto" w:fill="CFF0FC"/>
            <w:noWrap/>
            <w:tcMar>
              <w:top w:w="15" w:type="dxa"/>
              <w:left w:w="0" w:type="dxa"/>
              <w:bottom w:w="0" w:type="dxa"/>
              <w:right w:w="15" w:type="dxa"/>
            </w:tcMar>
            <w:vAlign w:val="bottom"/>
            <w:hideMark/>
          </w:tcPr>
          <w:p w14:paraId="12507E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3504AF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FBA977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CFF0FC"/>
            <w:noWrap/>
            <w:tcMar>
              <w:top w:w="15" w:type="dxa"/>
              <w:left w:w="0" w:type="dxa"/>
              <w:bottom w:w="0" w:type="dxa"/>
              <w:right w:w="15" w:type="dxa"/>
            </w:tcMar>
            <w:vAlign w:val="bottom"/>
            <w:hideMark/>
          </w:tcPr>
          <w:p w14:paraId="0451DC3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(71</w:t>
            </w:r>
          </w:p>
        </w:tc>
        <w:tc>
          <w:tcPr>
            <w:tcW w:w="50" w:type="pct"/>
            <w:shd w:val="clear" w:color="auto" w:fill="CFF0FC"/>
            <w:noWrap/>
            <w:tcMar>
              <w:top w:w="15" w:type="dxa"/>
              <w:left w:w="0" w:type="dxa"/>
              <w:bottom w:w="0" w:type="dxa"/>
              <w:right w:w="15" w:type="dxa"/>
            </w:tcMar>
            <w:vAlign w:val="bottom"/>
            <w:hideMark/>
          </w:tcPr>
          <w:p w14:paraId="5379187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left w:w="0" w:type="dxa"/>
              <w:bottom w:w="0" w:type="dxa"/>
              <w:right w:w="15" w:type="dxa"/>
            </w:tcMar>
            <w:vAlign w:val="bottom"/>
            <w:hideMark/>
          </w:tcPr>
          <w:p w14:paraId="67AC972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3305C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CFF0FC"/>
            <w:noWrap/>
            <w:tcMar>
              <w:top w:w="15" w:type="dxa"/>
              <w:left w:w="0" w:type="dxa"/>
              <w:bottom w:w="0" w:type="dxa"/>
              <w:right w:w="15" w:type="dxa"/>
            </w:tcMar>
            <w:vAlign w:val="bottom"/>
            <w:hideMark/>
          </w:tcPr>
          <w:p w14:paraId="514D51D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19,124</w:t>
            </w:r>
          </w:p>
        </w:tc>
        <w:tc>
          <w:tcPr>
            <w:tcW w:w="50" w:type="pct"/>
            <w:shd w:val="clear" w:color="auto" w:fill="CFF0FC"/>
            <w:noWrap/>
            <w:tcMar>
              <w:top w:w="15" w:type="dxa"/>
              <w:left w:w="0" w:type="dxa"/>
              <w:bottom w:w="0" w:type="dxa"/>
              <w:right w:w="15" w:type="dxa"/>
            </w:tcMar>
            <w:vAlign w:val="bottom"/>
            <w:hideMark/>
          </w:tcPr>
          <w:p w14:paraId="1E48712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23BE3B63" w14:textId="77777777">
        <w:trPr>
          <w:divId w:val="1928878112"/>
          <w:jc w:val="center"/>
        </w:trPr>
        <w:tc>
          <w:tcPr>
            <w:tcW w:w="2532" w:type="pct"/>
            <w:shd w:val="clear" w:color="auto" w:fill="FFFFFF"/>
            <w:tcMar>
              <w:top w:w="15" w:type="dxa"/>
              <w:left w:w="0" w:type="dxa"/>
              <w:bottom w:w="0" w:type="dxa"/>
              <w:right w:w="15" w:type="dxa"/>
            </w:tcMar>
            <w:hideMark/>
          </w:tcPr>
          <w:p w14:paraId="2458629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non-current liabilities</w:t>
            </w:r>
          </w:p>
        </w:tc>
        <w:tc>
          <w:tcPr>
            <w:tcW w:w="77" w:type="pct"/>
            <w:shd w:val="clear" w:color="auto" w:fill="FFFFFF"/>
            <w:tcMar>
              <w:top w:w="15" w:type="dxa"/>
              <w:left w:w="0" w:type="dxa"/>
              <w:bottom w:w="0" w:type="dxa"/>
              <w:right w:w="15" w:type="dxa"/>
            </w:tcMar>
            <w:vAlign w:val="bottom"/>
            <w:hideMark/>
          </w:tcPr>
          <w:p w14:paraId="6DCB9C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32D88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shd w:val="clear" w:color="auto" w:fill="FFFFFF"/>
            <w:noWrap/>
            <w:tcMar>
              <w:top w:w="15" w:type="dxa"/>
              <w:left w:w="0" w:type="dxa"/>
              <w:bottom w:w="0" w:type="dxa"/>
              <w:right w:w="15" w:type="dxa"/>
            </w:tcMar>
            <w:vAlign w:val="bottom"/>
            <w:hideMark/>
          </w:tcPr>
          <w:p w14:paraId="34A9111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71,845</w:t>
            </w:r>
          </w:p>
        </w:tc>
        <w:tc>
          <w:tcPr>
            <w:tcW w:w="50" w:type="pct"/>
            <w:shd w:val="clear" w:color="auto" w:fill="FFFFFF"/>
            <w:noWrap/>
            <w:tcMar>
              <w:top w:w="15" w:type="dxa"/>
              <w:left w:w="0" w:type="dxa"/>
              <w:bottom w:w="0" w:type="dxa"/>
              <w:right w:w="15" w:type="dxa"/>
            </w:tcMar>
            <w:vAlign w:val="bottom"/>
            <w:hideMark/>
          </w:tcPr>
          <w:p w14:paraId="5501E16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4431B0F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15DFD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FFFFFF"/>
            <w:noWrap/>
            <w:tcMar>
              <w:top w:w="15" w:type="dxa"/>
              <w:left w:w="0" w:type="dxa"/>
              <w:bottom w:w="0" w:type="dxa"/>
              <w:right w:w="15" w:type="dxa"/>
            </w:tcMar>
            <w:vAlign w:val="bottom"/>
            <w:hideMark/>
          </w:tcPr>
          <w:p w14:paraId="4DC173A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w:t>
            </w:r>
          </w:p>
        </w:tc>
        <w:tc>
          <w:tcPr>
            <w:tcW w:w="50" w:type="pct"/>
            <w:shd w:val="clear" w:color="auto" w:fill="FFFFFF"/>
            <w:noWrap/>
            <w:tcMar>
              <w:top w:w="15" w:type="dxa"/>
              <w:left w:w="0" w:type="dxa"/>
              <w:bottom w:w="0" w:type="dxa"/>
              <w:right w:w="15" w:type="dxa"/>
            </w:tcMar>
            <w:vAlign w:val="bottom"/>
            <w:hideMark/>
          </w:tcPr>
          <w:p w14:paraId="117D98C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1A5B6B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02A94F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FFFFFF"/>
            <w:noWrap/>
            <w:tcMar>
              <w:top w:w="15" w:type="dxa"/>
              <w:left w:w="0" w:type="dxa"/>
              <w:bottom w:w="0" w:type="dxa"/>
              <w:right w:w="15" w:type="dxa"/>
            </w:tcMar>
            <w:vAlign w:val="bottom"/>
            <w:hideMark/>
          </w:tcPr>
          <w:p w14:paraId="3CA2248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71,854</w:t>
            </w:r>
          </w:p>
        </w:tc>
        <w:tc>
          <w:tcPr>
            <w:tcW w:w="50" w:type="pct"/>
            <w:shd w:val="clear" w:color="auto" w:fill="FFFFFF"/>
            <w:noWrap/>
            <w:tcMar>
              <w:top w:w="15" w:type="dxa"/>
              <w:left w:w="0" w:type="dxa"/>
              <w:bottom w:w="0" w:type="dxa"/>
              <w:right w:w="15" w:type="dxa"/>
            </w:tcMar>
            <w:vAlign w:val="bottom"/>
            <w:hideMark/>
          </w:tcPr>
          <w:p w14:paraId="3360CDA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3EF1973" w14:textId="77777777">
        <w:trPr>
          <w:divId w:val="1928878112"/>
          <w:jc w:val="center"/>
        </w:trPr>
        <w:tc>
          <w:tcPr>
            <w:tcW w:w="2532" w:type="pct"/>
            <w:shd w:val="clear" w:color="auto" w:fill="CFF0FC"/>
            <w:tcMar>
              <w:top w:w="15" w:type="dxa"/>
              <w:left w:w="0" w:type="dxa"/>
              <w:bottom w:w="0" w:type="dxa"/>
              <w:right w:w="15" w:type="dxa"/>
            </w:tcMar>
            <w:hideMark/>
          </w:tcPr>
          <w:p w14:paraId="53F915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equity</w:t>
            </w:r>
          </w:p>
        </w:tc>
        <w:tc>
          <w:tcPr>
            <w:tcW w:w="77" w:type="pct"/>
            <w:shd w:val="clear" w:color="auto" w:fill="CFF0FC"/>
            <w:tcMar>
              <w:top w:w="15" w:type="dxa"/>
              <w:left w:w="0" w:type="dxa"/>
              <w:bottom w:w="0" w:type="dxa"/>
              <w:right w:w="15" w:type="dxa"/>
            </w:tcMar>
            <w:vAlign w:val="bottom"/>
            <w:hideMark/>
          </w:tcPr>
          <w:p w14:paraId="15C985E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F2299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05" w:type="pct"/>
            <w:shd w:val="clear" w:color="auto" w:fill="CFF0FC"/>
            <w:noWrap/>
            <w:tcMar>
              <w:top w:w="15" w:type="dxa"/>
              <w:left w:w="0" w:type="dxa"/>
              <w:bottom w:w="0" w:type="dxa"/>
              <w:right w:w="15" w:type="dxa"/>
            </w:tcMar>
            <w:vAlign w:val="bottom"/>
            <w:hideMark/>
          </w:tcPr>
          <w:p w14:paraId="1D6C7D7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46,224</w:t>
            </w:r>
          </w:p>
        </w:tc>
        <w:tc>
          <w:tcPr>
            <w:tcW w:w="50" w:type="pct"/>
            <w:shd w:val="clear" w:color="auto" w:fill="CFF0FC"/>
            <w:noWrap/>
            <w:tcMar>
              <w:top w:w="15" w:type="dxa"/>
              <w:left w:w="0" w:type="dxa"/>
              <w:bottom w:w="0" w:type="dxa"/>
              <w:right w:w="15" w:type="dxa"/>
            </w:tcMar>
            <w:vAlign w:val="bottom"/>
            <w:hideMark/>
          </w:tcPr>
          <w:p w14:paraId="66173A0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241A87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D581E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CFF0FC"/>
            <w:noWrap/>
            <w:tcMar>
              <w:top w:w="15" w:type="dxa"/>
              <w:left w:w="0" w:type="dxa"/>
              <w:bottom w:w="0" w:type="dxa"/>
              <w:right w:w="15" w:type="dxa"/>
            </w:tcMar>
            <w:vAlign w:val="bottom"/>
            <w:hideMark/>
          </w:tcPr>
          <w:p w14:paraId="21E434A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649</w:t>
            </w:r>
          </w:p>
        </w:tc>
        <w:tc>
          <w:tcPr>
            <w:tcW w:w="50" w:type="pct"/>
            <w:shd w:val="clear" w:color="auto" w:fill="CFF0FC"/>
            <w:noWrap/>
            <w:tcMar>
              <w:top w:w="15" w:type="dxa"/>
              <w:left w:w="0" w:type="dxa"/>
              <w:bottom w:w="0" w:type="dxa"/>
              <w:right w:w="15" w:type="dxa"/>
            </w:tcMar>
            <w:vAlign w:val="bottom"/>
            <w:hideMark/>
          </w:tcPr>
          <w:p w14:paraId="4AC4F9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01A0E5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94D7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14" w:type="pct"/>
            <w:shd w:val="clear" w:color="auto" w:fill="CFF0FC"/>
            <w:noWrap/>
            <w:tcMar>
              <w:top w:w="15" w:type="dxa"/>
              <w:left w:w="0" w:type="dxa"/>
              <w:bottom w:w="0" w:type="dxa"/>
              <w:right w:w="15" w:type="dxa"/>
            </w:tcMar>
            <w:vAlign w:val="bottom"/>
            <w:hideMark/>
          </w:tcPr>
          <w:p w14:paraId="2D25D14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46,873</w:t>
            </w:r>
          </w:p>
        </w:tc>
        <w:tc>
          <w:tcPr>
            <w:tcW w:w="50" w:type="pct"/>
            <w:shd w:val="clear" w:color="auto" w:fill="CFF0FC"/>
            <w:noWrap/>
            <w:tcMar>
              <w:top w:w="15" w:type="dxa"/>
              <w:left w:w="0" w:type="dxa"/>
              <w:bottom w:w="0" w:type="dxa"/>
              <w:right w:w="15" w:type="dxa"/>
            </w:tcMar>
            <w:vAlign w:val="bottom"/>
            <w:hideMark/>
          </w:tcPr>
          <w:p w14:paraId="1EDB08D8"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6B04435" w14:textId="77777777" w:rsidR="00716E85" w:rsidRDefault="00716E85">
      <w:pPr>
        <w:pStyle w:val="a3"/>
        <w:spacing w:before="0" w:beforeAutospacing="0" w:after="0" w:afterAutospacing="0"/>
        <w:jc w:val="both"/>
        <w:rPr>
          <w:sz w:val="12"/>
          <w:szCs w:val="12"/>
        </w:rPr>
      </w:pPr>
      <w:r>
        <w:rPr>
          <w:sz w:val="12"/>
          <w:szCs w:val="12"/>
        </w:rPr>
        <w:t> </w:t>
      </w:r>
    </w:p>
    <w:p w14:paraId="033564F2"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There have been no other significant changes in our reported financial position or results of operations and cash flows as a result of the adoption of new accounting pronouncements. Except for the updates to our revenue recognition and deferred sales commission policies noted below, there have been no changes to our significant accounting policies that were disclosed in our Annual Report on Form 10-K for the fiscal year ended May 31, 2018 that have had a significant impact on our condensed consolidated financial statements or notes thereto as of and for the three and nine months ended February 28, 2019.</w:t>
      </w:r>
    </w:p>
    <w:p w14:paraId="326E5A87" w14:textId="77777777" w:rsidR="00716E85" w:rsidRDefault="00716E85">
      <w:pPr>
        <w:pStyle w:val="a3"/>
        <w:spacing w:before="0" w:beforeAutospacing="0" w:after="0" w:afterAutospacing="0"/>
        <w:jc w:val="both"/>
        <w:rPr>
          <w:sz w:val="12"/>
          <w:szCs w:val="12"/>
        </w:rPr>
      </w:pPr>
      <w:r>
        <w:rPr>
          <w:sz w:val="12"/>
          <w:szCs w:val="12"/>
        </w:rPr>
        <w:t> </w:t>
      </w:r>
    </w:p>
    <w:p w14:paraId="4E93B2E1"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9</w:t>
      </w:r>
    </w:p>
    <w:p w14:paraId="1342374F" w14:textId="77777777" w:rsidR="00716E85" w:rsidRDefault="00716E85">
      <w:pPr>
        <w:rPr>
          <w:rFonts w:ascii="Times New Roman" w:eastAsia="Times New Roman" w:hAnsi="Times New Roman" w:cs="Times New Roman"/>
          <w:sz w:val="24"/>
          <w:szCs w:val="24"/>
        </w:rPr>
      </w:pPr>
      <w:r>
        <w:rPr>
          <w:rFonts w:eastAsia="Times New Roman"/>
        </w:rPr>
        <w:pict w14:anchorId="61A62F5F">
          <v:rect id="_x0000_i1035" style="width:415.3pt;height:1.5pt" o:hralign="center" o:hrstd="t" o:hr="t" fillcolor="#a0a0a0" stroked="f"/>
        </w:pict>
      </w:r>
    </w:p>
    <w:p w14:paraId="6E5095CE"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4900450" w14:textId="77777777" w:rsidR="00716E85" w:rsidRDefault="00716E85">
      <w:pPr>
        <w:pStyle w:val="a3"/>
      </w:pPr>
      <w:r>
        <w:t> </w:t>
      </w:r>
    </w:p>
    <w:p w14:paraId="440229E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20F8A7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4940E75A"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59F850E5"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26443BEE" w14:textId="77777777" w:rsidR="00716E85" w:rsidRDefault="00716E85">
      <w:pPr>
        <w:pStyle w:val="a3"/>
        <w:spacing w:before="0" w:beforeAutospacing="0" w:after="0" w:afterAutospacing="0"/>
        <w:rPr>
          <w:sz w:val="20"/>
          <w:szCs w:val="20"/>
        </w:rPr>
      </w:pPr>
      <w:r>
        <w:rPr>
          <w:sz w:val="20"/>
          <w:szCs w:val="20"/>
        </w:rPr>
        <w:t> </w:t>
      </w:r>
    </w:p>
    <w:p w14:paraId="22BBF207" w14:textId="77777777" w:rsidR="00716E85" w:rsidRDefault="00716E85">
      <w:pPr>
        <w:pStyle w:val="a3"/>
        <w:spacing w:before="120" w:beforeAutospacing="0" w:after="0" w:afterAutospacing="0"/>
        <w:jc w:val="both"/>
        <w:rPr>
          <w:rFonts w:ascii="Calibri" w:hAnsi="Calibri" w:cs="Calibri"/>
          <w:b/>
          <w:bCs/>
          <w:sz w:val="20"/>
          <w:szCs w:val="20"/>
        </w:rPr>
      </w:pPr>
      <w:bookmarkStart w:id="20" w:name="_AEIOULastRenderedPageBreakAEIOU12"/>
      <w:bookmarkEnd w:id="20"/>
      <w:r>
        <w:rPr>
          <w:rFonts w:ascii="Calibri" w:hAnsi="Calibri" w:cs="Calibri"/>
          <w:b/>
          <w:bCs/>
          <w:sz w:val="20"/>
          <w:szCs w:val="20"/>
        </w:rPr>
        <w:t>Impacts of the U.S. Tax Cuts and Jobs Act of 2017</w:t>
      </w:r>
    </w:p>
    <w:p w14:paraId="1F40C4D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comparability of our operating results in the third quarter and first nine months of fiscal 2019 compared to the corresponding prior year periods was impacted by the U.S. Tax Cuts and Jobs Act of 2017 (the Tax Act), which was effective for us starting in our third quarter of fiscal 2018. Information regarding our adoption and prospective impacts of the Tax Act on our tax and liquidity profile is included in our Annual Report on Form 10-K for our fiscal year ended May 31, 2018.  The net expense related to the enactment of the Tax Act has been accounted for during the third quarter and first nine months of fiscal 2018 based on provisional estimates pursuant to SEC Staff Accounting Bulletin No. 118 (SAB 118). In the third quarter of fiscal 2019, we completed our analysis of the impacts of the Tax Act. We recorded a tax benefit of $376 million and $529 million, respectively, during the three and nine months ended February 28, 2019, respectively, in accordance with SAB 118 related to adjustments in our estimates of the one-time transition tax on certain foreign subsidiary earnings. We also recorded a tax expense of $140 million during the fiscal 2019 periods presented in accordance with SAB 118 related to the remeasurement of our net deferred tax assets and liabilities. </w:t>
      </w:r>
    </w:p>
    <w:p w14:paraId="12CC653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Additionally, we completed our analysis of the accounting policy election required with regard to the Tax Act’s Global Intangible Low-Taxed Income (GILTI) provision. The Financial Accounting Standards Board (FASB) allows companies to adopt a policy election to account for GILTI under one of two methods: (i) account for GILTI as a component of tax expense in the period in which a company is subject to the rules (the period cost method), or (ii) account for GILTI in a company’s measurement of deferred taxes (the deferred method). We elected the deferred method, under which we recorded the income tax expense impact to our condensed consolidated financial statements during the third quarter of fiscal 2019.</w:t>
      </w:r>
    </w:p>
    <w:p w14:paraId="4652D0A8" w14:textId="77777777" w:rsidR="00716E85" w:rsidRDefault="00716E85">
      <w:pPr>
        <w:pStyle w:val="a3"/>
        <w:spacing w:before="240" w:beforeAutospacing="0" w:after="0" w:afterAutospacing="0"/>
        <w:rPr>
          <w:rFonts w:ascii="Calibri" w:hAnsi="Calibri" w:cs="Calibri"/>
          <w:b/>
          <w:bCs/>
          <w:sz w:val="20"/>
          <w:szCs w:val="20"/>
        </w:rPr>
      </w:pPr>
      <w:r>
        <w:rPr>
          <w:rFonts w:ascii="Calibri" w:hAnsi="Calibri" w:cs="Calibri"/>
          <w:b/>
          <w:bCs/>
          <w:sz w:val="20"/>
          <w:szCs w:val="20"/>
        </w:rPr>
        <w:t>Revenue Recognition</w:t>
      </w:r>
    </w:p>
    <w:p w14:paraId="721B9E49"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sources of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1467E72E" w14:textId="77777777">
        <w:tc>
          <w:tcPr>
            <w:tcW w:w="262" w:type="pct"/>
            <w:noWrap/>
            <w:hideMark/>
          </w:tcPr>
          <w:p w14:paraId="28944DE2"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5C7C9836"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2E849E7"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cloud and license revenues, which include the sale of: cloud services and license support; and cloud licenses and on-premise licenses, which represent licenses purchased by customers for use in both cloud and on-premise IT environments; </w:t>
            </w:r>
          </w:p>
        </w:tc>
      </w:tr>
    </w:tbl>
    <w:p w14:paraId="711C9564"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8597150" w14:textId="77777777">
        <w:tc>
          <w:tcPr>
            <w:tcW w:w="262" w:type="pct"/>
            <w:noWrap/>
            <w:hideMark/>
          </w:tcPr>
          <w:p w14:paraId="709C1AAE"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2FB88112"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43C4CC1"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hardware revenues, which include the sale of hardware products including Oracle Engineered Systems, servers, and storage products, and industry-specific hardware; and hardware support revenues; and </w:t>
            </w:r>
          </w:p>
        </w:tc>
      </w:tr>
    </w:tbl>
    <w:p w14:paraId="0A5CE4CE"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5DC667B7" w14:textId="77777777">
        <w:tc>
          <w:tcPr>
            <w:tcW w:w="262" w:type="pct"/>
            <w:noWrap/>
            <w:hideMark/>
          </w:tcPr>
          <w:p w14:paraId="28C2650A"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4AAFEEF"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F02E98B"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services revenues, which are earned from providing cloud-, license- and hardware-related services including consulting, advanced customer support and education services.</w:t>
            </w:r>
          </w:p>
        </w:tc>
      </w:tr>
    </w:tbl>
    <w:p w14:paraId="1F85B8D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License support revenues are typically generated through the sale of license support contracts related to cloud license and on-premise licenses purchased by our customers at their option. License support contracts provide customers with rights to unspecified software product upgrades, maintenance releases and patches released during the term of the support period and include internet access to technical content, as well as internet and telephone access to technical support personnel. License support contracts are generally priced as a percentage of the net cloud license and on-premise license fees. Substantially all of our customers renew their license support contracts annually.</w:t>
      </w:r>
    </w:p>
    <w:p w14:paraId="680FDB8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Cloud services revenues include revenues from Oracle Cloud Software-as-a-Service (SaaS) and Infrastructure-as-a-Service (IaaS) offerings (collectively, Oracle Cloud Services), which deliver applications and infrastructure technologies, respectively, via cloud-based deployment models that we develop functionality for, provide unspecified updates and enhancements for, host, manage and support and that customers access by entering into a subscription agreement with us for a stated period. Our IaaS offerings also include Oracle Managed Cloud Services, which are designed to provide comprehensive software and hardware management, maintenance and security services for customer cloud-based, on-premise or other IT infrastructure for a fee for a stated term. </w:t>
      </w:r>
    </w:p>
    <w:p w14:paraId="4365AD53"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10</w:t>
      </w:r>
    </w:p>
    <w:p w14:paraId="2EB7167B" w14:textId="77777777" w:rsidR="00716E85" w:rsidRDefault="00716E85">
      <w:pPr>
        <w:rPr>
          <w:rFonts w:ascii="Times New Roman" w:eastAsia="Times New Roman" w:hAnsi="Times New Roman" w:cs="Times New Roman"/>
          <w:sz w:val="24"/>
          <w:szCs w:val="24"/>
        </w:rPr>
      </w:pPr>
      <w:r>
        <w:rPr>
          <w:rFonts w:eastAsia="Times New Roman"/>
        </w:rPr>
        <w:pict w14:anchorId="3F744719">
          <v:rect id="_x0000_i1036" style="width:415.3pt;height:1.5pt" o:hralign="center" o:hrstd="t" o:hr="t" fillcolor="#a0a0a0" stroked="f"/>
        </w:pict>
      </w:r>
    </w:p>
    <w:p w14:paraId="40E6318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5A077890" w14:textId="77777777" w:rsidR="00716E85" w:rsidRDefault="00716E85">
      <w:pPr>
        <w:pStyle w:val="a3"/>
      </w:pPr>
      <w:r>
        <w:t> </w:t>
      </w:r>
    </w:p>
    <w:p w14:paraId="6BA908B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EBF937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26883CC8"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5390794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6888A015" w14:textId="77777777" w:rsidR="00716E85" w:rsidRDefault="00716E85">
      <w:pPr>
        <w:pStyle w:val="a3"/>
        <w:spacing w:before="0" w:beforeAutospacing="0" w:after="0" w:afterAutospacing="0"/>
        <w:rPr>
          <w:sz w:val="20"/>
          <w:szCs w:val="20"/>
        </w:rPr>
      </w:pPr>
      <w:r>
        <w:rPr>
          <w:sz w:val="20"/>
          <w:szCs w:val="20"/>
        </w:rPr>
        <w:t> </w:t>
      </w:r>
    </w:p>
    <w:p w14:paraId="5C722DED" w14:textId="77777777" w:rsidR="00716E85" w:rsidRDefault="00716E85">
      <w:pPr>
        <w:pStyle w:val="a3"/>
        <w:spacing w:before="120" w:beforeAutospacing="0" w:after="0" w:afterAutospacing="0"/>
        <w:jc w:val="both"/>
        <w:rPr>
          <w:rFonts w:ascii="Calibri" w:hAnsi="Calibri" w:cs="Calibri"/>
          <w:sz w:val="20"/>
          <w:szCs w:val="20"/>
        </w:rPr>
      </w:pPr>
      <w:bookmarkStart w:id="21" w:name="_AEIOULastRenderedPageBreakAEIOU13"/>
      <w:bookmarkEnd w:id="21"/>
      <w:r>
        <w:rPr>
          <w:rFonts w:ascii="Calibri" w:hAnsi="Calibri" w:cs="Calibri"/>
          <w:sz w:val="20"/>
          <w:szCs w:val="20"/>
        </w:rPr>
        <w:t xml:space="preserve">Cloud license and on-premise license revenues primarily represent amounts earned from granting customers licenses to use our database, middleware, application and industry-specific software products which our customers use for cloud-based, on-premise and other IT environments. The vast majority of our cloud license and on-premise license arrangements include license support contracts, which are entered into at the customer’s option. </w:t>
      </w:r>
    </w:p>
    <w:p w14:paraId="2358D74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Revenues from the sale of hardware products represent amounts earned primarily from the sale of our Oracle Engineered Systems, computer servers, storage, and industry-specific hardware. Our hardware support offerings generally provide customers with software updates for the software components that are essential to the functionality of the hardware products purchased and can also include product repairs, maintenance services and technical support services. Hardware support contracts are generally priced as a percentage of the net hardware products fees.</w:t>
      </w:r>
    </w:p>
    <w:p w14:paraId="2248AEF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consulting services are offered as standalone arrangements or as a part of arrangements to customers buying other products and services. Our advanced customer support services are offered as standalone arrangements or as a part of arrangements to customers buying other products and services. We offer these advanced customer support services to Oracle customers to enable increased performance and higher availability of their products and services. Education services include instructor-led, media-based and internet-based training in the use of our cloud, software and hardware products. </w:t>
      </w:r>
    </w:p>
    <w:p w14:paraId="596E101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Topic 606 is a single standard for revenue recognition that applies to all of our cloud, software, hardware and services arrangements and generally requires revenues to be recognized upon the transfer of control of promised goods or services provided to our customers, reflecting the amount of consideration we expect to receive for those goods or services.  Pursuant to Topic 606,</w:t>
      </w:r>
      <w:r>
        <w:rPr>
          <w:rFonts w:ascii="Calibri" w:hAnsi="Calibri" w:cs="Calibri"/>
          <w:color w:val="000000"/>
          <w:sz w:val="20"/>
          <w:szCs w:val="20"/>
        </w:rPr>
        <w:t xml:space="preserve"> revenues are recognized upon the application of the following steps:</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1D70848" w14:textId="77777777">
        <w:tc>
          <w:tcPr>
            <w:tcW w:w="262" w:type="pct"/>
            <w:noWrap/>
            <w:hideMark/>
          </w:tcPr>
          <w:p w14:paraId="6E6BA5E1"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32C7A80B"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08678DA"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identification of the contract, or contracts, with a customer;</w:t>
            </w:r>
          </w:p>
        </w:tc>
      </w:tr>
    </w:tbl>
    <w:p w14:paraId="216577C4"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94C0D41" w14:textId="77777777">
        <w:tc>
          <w:tcPr>
            <w:tcW w:w="262" w:type="pct"/>
            <w:noWrap/>
            <w:hideMark/>
          </w:tcPr>
          <w:p w14:paraId="4CB06A3A" w14:textId="77777777" w:rsidR="00716E85" w:rsidRDefault="00716E85">
            <w:pPr>
              <w:pStyle w:val="a3"/>
              <w:spacing w:before="0" w:beforeAutospacing="0" w:after="0" w:afterAutospacing="0"/>
              <w:jc w:val="both"/>
              <w:rPr>
                <w:sz w:val="20"/>
                <w:szCs w:val="20"/>
              </w:rPr>
            </w:pPr>
            <w:r>
              <w:rPr>
                <w:sz w:val="20"/>
                <w:szCs w:val="20"/>
              </w:rPr>
              <w:t> </w:t>
            </w:r>
          </w:p>
        </w:tc>
        <w:tc>
          <w:tcPr>
            <w:tcW w:w="131" w:type="pct"/>
            <w:noWrap/>
            <w:hideMark/>
          </w:tcPr>
          <w:p w14:paraId="26E80C9D" w14:textId="77777777" w:rsidR="00716E85" w:rsidRDefault="00716E85">
            <w:pPr>
              <w:pStyle w:val="a3"/>
              <w:spacing w:before="0" w:beforeAutospacing="0" w:after="0" w:afterAutospacing="0"/>
              <w:jc w:val="both"/>
              <w:rPr>
                <w:sz w:val="20"/>
                <w:szCs w:val="20"/>
              </w:rPr>
            </w:pPr>
            <w:r>
              <w:rPr>
                <w:sz w:val="20"/>
                <w:szCs w:val="20"/>
              </w:rPr>
              <w:t>•</w:t>
            </w:r>
          </w:p>
        </w:tc>
        <w:tc>
          <w:tcPr>
            <w:tcW w:w="0" w:type="auto"/>
            <w:hideMark/>
          </w:tcPr>
          <w:p w14:paraId="2F3898D6" w14:textId="77777777" w:rsidR="00716E85" w:rsidRDefault="00716E85">
            <w:pPr>
              <w:pStyle w:val="a3"/>
              <w:spacing w:before="0" w:beforeAutospacing="0" w:after="0" w:afterAutospacing="0"/>
              <w:jc w:val="both"/>
              <w:rPr>
                <w:sz w:val="20"/>
                <w:szCs w:val="20"/>
              </w:rPr>
            </w:pPr>
            <w:r>
              <w:rPr>
                <w:rFonts w:ascii="Calibri" w:hAnsi="Calibri" w:cs="Calibri"/>
                <w:sz w:val="20"/>
                <w:szCs w:val="20"/>
              </w:rPr>
              <w:t>identification of the performance obligations in the contract;</w:t>
            </w:r>
          </w:p>
        </w:tc>
      </w:tr>
    </w:tbl>
    <w:p w14:paraId="65A54356"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0366FD4" w14:textId="77777777">
        <w:tc>
          <w:tcPr>
            <w:tcW w:w="262" w:type="pct"/>
            <w:noWrap/>
            <w:hideMark/>
          </w:tcPr>
          <w:p w14:paraId="10153A73" w14:textId="77777777" w:rsidR="00716E85" w:rsidRDefault="00716E85">
            <w:pPr>
              <w:pStyle w:val="a3"/>
              <w:spacing w:before="0" w:beforeAutospacing="0" w:after="0" w:afterAutospacing="0"/>
              <w:jc w:val="both"/>
              <w:rPr>
                <w:sz w:val="20"/>
                <w:szCs w:val="20"/>
              </w:rPr>
            </w:pPr>
            <w:r>
              <w:rPr>
                <w:sz w:val="20"/>
                <w:szCs w:val="20"/>
              </w:rPr>
              <w:t> </w:t>
            </w:r>
          </w:p>
        </w:tc>
        <w:tc>
          <w:tcPr>
            <w:tcW w:w="131" w:type="pct"/>
            <w:noWrap/>
            <w:hideMark/>
          </w:tcPr>
          <w:p w14:paraId="196FF917" w14:textId="77777777" w:rsidR="00716E85" w:rsidRDefault="00716E85">
            <w:pPr>
              <w:pStyle w:val="a3"/>
              <w:spacing w:before="0" w:beforeAutospacing="0" w:after="0" w:afterAutospacing="0"/>
              <w:jc w:val="both"/>
              <w:rPr>
                <w:sz w:val="20"/>
                <w:szCs w:val="20"/>
              </w:rPr>
            </w:pPr>
            <w:r>
              <w:rPr>
                <w:sz w:val="20"/>
                <w:szCs w:val="20"/>
              </w:rPr>
              <w:t>•</w:t>
            </w:r>
          </w:p>
        </w:tc>
        <w:tc>
          <w:tcPr>
            <w:tcW w:w="0" w:type="auto"/>
            <w:hideMark/>
          </w:tcPr>
          <w:p w14:paraId="77B39A61" w14:textId="77777777" w:rsidR="00716E85" w:rsidRDefault="00716E85">
            <w:pPr>
              <w:pStyle w:val="a3"/>
              <w:spacing w:before="0" w:beforeAutospacing="0" w:after="0" w:afterAutospacing="0"/>
              <w:jc w:val="both"/>
              <w:rPr>
                <w:sz w:val="20"/>
                <w:szCs w:val="20"/>
              </w:rPr>
            </w:pPr>
            <w:r>
              <w:rPr>
                <w:rFonts w:ascii="Calibri" w:hAnsi="Calibri" w:cs="Calibri"/>
                <w:sz w:val="20"/>
                <w:szCs w:val="20"/>
              </w:rPr>
              <w:t>determination of the transaction price;</w:t>
            </w:r>
          </w:p>
        </w:tc>
      </w:tr>
    </w:tbl>
    <w:p w14:paraId="036CE3C6"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1456B61F" w14:textId="77777777">
        <w:tc>
          <w:tcPr>
            <w:tcW w:w="262" w:type="pct"/>
            <w:noWrap/>
            <w:hideMark/>
          </w:tcPr>
          <w:p w14:paraId="036AC88C" w14:textId="77777777" w:rsidR="00716E85" w:rsidRDefault="00716E85">
            <w:pPr>
              <w:pStyle w:val="a3"/>
              <w:spacing w:before="0" w:beforeAutospacing="0" w:after="0" w:afterAutospacing="0"/>
              <w:jc w:val="both"/>
              <w:rPr>
                <w:sz w:val="20"/>
                <w:szCs w:val="20"/>
              </w:rPr>
            </w:pPr>
            <w:r>
              <w:rPr>
                <w:sz w:val="20"/>
                <w:szCs w:val="20"/>
              </w:rPr>
              <w:t> </w:t>
            </w:r>
          </w:p>
        </w:tc>
        <w:tc>
          <w:tcPr>
            <w:tcW w:w="131" w:type="pct"/>
            <w:noWrap/>
            <w:hideMark/>
          </w:tcPr>
          <w:p w14:paraId="329C5D61" w14:textId="77777777" w:rsidR="00716E85" w:rsidRDefault="00716E85">
            <w:pPr>
              <w:pStyle w:val="a3"/>
              <w:spacing w:before="0" w:beforeAutospacing="0" w:after="0" w:afterAutospacing="0"/>
              <w:jc w:val="both"/>
              <w:rPr>
                <w:sz w:val="20"/>
                <w:szCs w:val="20"/>
              </w:rPr>
            </w:pPr>
            <w:r>
              <w:rPr>
                <w:sz w:val="20"/>
                <w:szCs w:val="20"/>
              </w:rPr>
              <w:t>•</w:t>
            </w:r>
          </w:p>
        </w:tc>
        <w:tc>
          <w:tcPr>
            <w:tcW w:w="0" w:type="auto"/>
            <w:hideMark/>
          </w:tcPr>
          <w:p w14:paraId="33B726C2" w14:textId="77777777" w:rsidR="00716E85" w:rsidRDefault="00716E85">
            <w:pPr>
              <w:pStyle w:val="a3"/>
              <w:spacing w:before="0" w:beforeAutospacing="0" w:after="0" w:afterAutospacing="0"/>
              <w:jc w:val="both"/>
              <w:rPr>
                <w:sz w:val="20"/>
                <w:szCs w:val="20"/>
              </w:rPr>
            </w:pPr>
            <w:r>
              <w:rPr>
                <w:rFonts w:ascii="Calibri" w:hAnsi="Calibri" w:cs="Calibri"/>
                <w:sz w:val="20"/>
                <w:szCs w:val="20"/>
              </w:rPr>
              <w:t xml:space="preserve">allocation of the transaction price to the performance obligations in the contract; and </w:t>
            </w:r>
          </w:p>
        </w:tc>
      </w:tr>
    </w:tbl>
    <w:p w14:paraId="5D958E57"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0294B3C" w14:textId="77777777">
        <w:tc>
          <w:tcPr>
            <w:tcW w:w="262" w:type="pct"/>
            <w:noWrap/>
            <w:hideMark/>
          </w:tcPr>
          <w:p w14:paraId="4D827998" w14:textId="77777777" w:rsidR="00716E85" w:rsidRDefault="00716E85">
            <w:pPr>
              <w:pStyle w:val="a3"/>
              <w:spacing w:before="0" w:beforeAutospacing="0" w:after="0" w:afterAutospacing="0"/>
              <w:jc w:val="both"/>
              <w:rPr>
                <w:sz w:val="20"/>
                <w:szCs w:val="20"/>
              </w:rPr>
            </w:pPr>
            <w:r>
              <w:rPr>
                <w:sz w:val="20"/>
                <w:szCs w:val="20"/>
              </w:rPr>
              <w:t> </w:t>
            </w:r>
          </w:p>
        </w:tc>
        <w:tc>
          <w:tcPr>
            <w:tcW w:w="131" w:type="pct"/>
            <w:noWrap/>
            <w:hideMark/>
          </w:tcPr>
          <w:p w14:paraId="217F9BD4" w14:textId="77777777" w:rsidR="00716E85" w:rsidRDefault="00716E85">
            <w:pPr>
              <w:pStyle w:val="a3"/>
              <w:spacing w:before="0" w:beforeAutospacing="0" w:after="0" w:afterAutospacing="0"/>
              <w:jc w:val="both"/>
              <w:rPr>
                <w:sz w:val="20"/>
                <w:szCs w:val="20"/>
              </w:rPr>
            </w:pPr>
            <w:r>
              <w:rPr>
                <w:sz w:val="20"/>
                <w:szCs w:val="20"/>
              </w:rPr>
              <w:t>•</w:t>
            </w:r>
          </w:p>
        </w:tc>
        <w:tc>
          <w:tcPr>
            <w:tcW w:w="0" w:type="auto"/>
            <w:hideMark/>
          </w:tcPr>
          <w:p w14:paraId="3789E52A" w14:textId="77777777" w:rsidR="00716E85" w:rsidRDefault="00716E85">
            <w:pPr>
              <w:pStyle w:val="a3"/>
              <w:spacing w:before="0" w:beforeAutospacing="0" w:after="0" w:afterAutospacing="0"/>
              <w:jc w:val="both"/>
              <w:rPr>
                <w:sz w:val="20"/>
                <w:szCs w:val="20"/>
              </w:rPr>
            </w:pPr>
            <w:r>
              <w:rPr>
                <w:rFonts w:ascii="Calibri" w:hAnsi="Calibri" w:cs="Calibri"/>
                <w:sz w:val="20"/>
                <w:szCs w:val="20"/>
              </w:rPr>
              <w:t>recognition of revenues when, or as, the contractual performance obligations are satisfied.</w:t>
            </w:r>
          </w:p>
        </w:tc>
      </w:tr>
    </w:tbl>
    <w:p w14:paraId="0B38018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timing of revenue recognition may differ from the timing of invoicing to our customers. We record an unbilled receivable, which is included within accounts receivable on our condensed consolidated balance sheets, when revenue is recognized prior to invoicing. We record deferred revenues on our condensed consolidated balance sheets when revenues are recognized subsequent to cash collection for an invoice. Our standard payment terms are generally net 30 days but may vary. Invoices for cloud license and on-premise licenses and hardware products are generally issued when the license is made available for customer use or upon delivery to the customer of the hardware product. Invoices for license support and hardware support contracts are generally invoiced annually in advance. Cloud SaaS and IaaS contracts are generally invoiced annually, quarterly or monthly in advance. Services are generally invoiced in advance or as the services are performed. Most contracts that contain a financing component are contracts financed through our financing division. The transaction price for a contract that is financed through our financing division is adjusted to reflect the time value of money and interest revenue is recorded as a component of non-operating income, net within our condensed consolidated statements of operations based on market rates in the country in which the transaction is being financed.  </w:t>
      </w:r>
    </w:p>
    <w:p w14:paraId="7E9EA15A" w14:textId="77777777" w:rsidR="00716E85" w:rsidRDefault="00716E85">
      <w:pPr>
        <w:pStyle w:val="a3"/>
        <w:spacing w:before="120" w:beforeAutospacing="0" w:after="0" w:afterAutospacing="0"/>
        <w:jc w:val="both"/>
        <w:rPr>
          <w:rFonts w:ascii="Calibri" w:hAnsi="Calibri" w:cs="Calibri"/>
          <w:sz w:val="20"/>
          <w:szCs w:val="20"/>
        </w:rPr>
      </w:pPr>
      <w:bookmarkStart w:id="22" w:name="_AEIOULastRenderedPageBreakAEIOU14"/>
      <w:bookmarkEnd w:id="22"/>
      <w:r>
        <w:rPr>
          <w:rFonts w:ascii="Calibri" w:hAnsi="Calibri" w:cs="Calibri"/>
          <w:sz w:val="20"/>
          <w:szCs w:val="20"/>
        </w:rPr>
        <w:t xml:space="preserve">Our revenue arrangements generally include standard warranty or service level provisions that our arrangements will perform and operate in all material respects as defined in the respective agreements, the financial impacts of which have historically been and are expected to continue to be insignificant. Our arrangements generally do not </w:t>
      </w:r>
    </w:p>
    <w:p w14:paraId="26A104B0"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11</w:t>
      </w:r>
    </w:p>
    <w:p w14:paraId="0A3DABAF" w14:textId="77777777" w:rsidR="00716E85" w:rsidRDefault="00716E85">
      <w:pPr>
        <w:rPr>
          <w:rFonts w:ascii="Times New Roman" w:eastAsia="Times New Roman" w:hAnsi="Times New Roman" w:cs="Times New Roman"/>
          <w:sz w:val="24"/>
          <w:szCs w:val="24"/>
        </w:rPr>
      </w:pPr>
      <w:r>
        <w:rPr>
          <w:rFonts w:eastAsia="Times New Roman"/>
        </w:rPr>
        <w:pict w14:anchorId="6AD86006">
          <v:rect id="_x0000_i1037" style="width:415.3pt;height:1.5pt" o:hralign="center" o:hrstd="t" o:hr="t" fillcolor="#a0a0a0" stroked="f"/>
        </w:pict>
      </w:r>
    </w:p>
    <w:p w14:paraId="7AF00095"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6453542E" w14:textId="77777777" w:rsidR="00716E85" w:rsidRDefault="00716E85">
      <w:pPr>
        <w:pStyle w:val="a3"/>
      </w:pPr>
      <w:r>
        <w:t> </w:t>
      </w:r>
    </w:p>
    <w:p w14:paraId="6BD152E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86590B3"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4B6D12BF"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3274FC8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4D09C540" w14:textId="77777777" w:rsidR="00716E85" w:rsidRDefault="00716E85">
      <w:pPr>
        <w:pStyle w:val="a3"/>
        <w:spacing w:before="0" w:beforeAutospacing="0" w:after="0" w:afterAutospacing="0"/>
        <w:rPr>
          <w:sz w:val="20"/>
          <w:szCs w:val="20"/>
        </w:rPr>
      </w:pPr>
      <w:r>
        <w:rPr>
          <w:sz w:val="20"/>
          <w:szCs w:val="20"/>
        </w:rPr>
        <w:t> </w:t>
      </w:r>
    </w:p>
    <w:p w14:paraId="0AE11726"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include a general right of return relative to the delivered products or services. We recognize revenues net of any taxes collected from customers, which are subsequently remitted to governmental authorities.</w:t>
      </w:r>
    </w:p>
    <w:p w14:paraId="7841B9AF" w14:textId="77777777" w:rsidR="00716E85" w:rsidRDefault="00716E85">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Cloud Services</w:t>
      </w:r>
    </w:p>
    <w:p w14:paraId="0C7D6736"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Revenues from cloud services provided on a subscription basis are generally recognized ratably over the contractual period that the services are delivered, beginning on the date our service is made available to our customers. We recognize revenue ratably because the customer receives and consumes the benefits of the cloud services throughout the contract period. Revenues from cloud services provided on a consumption basis, such as metered services, are generally recognized based on the utilization of the services by the customer. </w:t>
      </w:r>
    </w:p>
    <w:p w14:paraId="41ED472D" w14:textId="77777777" w:rsidR="00716E85" w:rsidRDefault="00716E85">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License Support and Hardware Support</w:t>
      </w:r>
    </w:p>
    <w:p w14:paraId="46D06AE7" w14:textId="77777777" w:rsidR="00716E85" w:rsidRDefault="00716E85">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 xml:space="preserve">Oracle’s primary performance obligations with respect to license support contracts and hardware support contracts are to provide customers with technical support as needed and unspecified software product upgrades, maintenance releases and patches during the term of the support period when they are available. Oracle is obligated to make the license and hardware support services available continuously throughout the contract period. Therefore, revenues for license support contracts and hardware support contracts are generally recognized ratably over the contractual periods that the support services are provided.   </w:t>
      </w:r>
    </w:p>
    <w:p w14:paraId="44A20CCA" w14:textId="77777777" w:rsidR="00716E85" w:rsidRDefault="00716E85">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Cloud License and On-Premise License</w:t>
      </w:r>
    </w:p>
    <w:p w14:paraId="17D1784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Revenues from distinct cloud license and on-premise license performance obligations are generally recognized upfront at the point in time</w:t>
      </w:r>
      <w:r>
        <w:rPr>
          <w:rFonts w:ascii="Calibri" w:hAnsi="Calibri" w:cs="Calibri"/>
          <w:i/>
          <w:iCs/>
          <w:sz w:val="20"/>
          <w:szCs w:val="20"/>
        </w:rPr>
        <w:t xml:space="preserve"> </w:t>
      </w:r>
      <w:r>
        <w:rPr>
          <w:rFonts w:ascii="Calibri" w:hAnsi="Calibri" w:cs="Calibri"/>
          <w:sz w:val="20"/>
          <w:szCs w:val="20"/>
        </w:rPr>
        <w:t>when the software is made available to the customer to download and use. Revenues from usage-based royalty arrangements for distinct cloud licenses and on-premise licenses are recognized at the point in time when the software end user usage occurs. For usage-based royalty arrangements with a fixed minimum guarantee amount, the minimum amount is generally recognized upfront when the software is made available to the royalty customer.</w:t>
      </w:r>
    </w:p>
    <w:p w14:paraId="5A00F06C" w14:textId="77777777" w:rsidR="00716E85" w:rsidRDefault="00716E85">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Revenue Recognition for Hardware Products</w:t>
      </w:r>
    </w:p>
    <w:p w14:paraId="71143FE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hardware product and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is delivered to the customer and ownership is transferred to the customer.</w:t>
      </w:r>
    </w:p>
    <w:p w14:paraId="30E3F3CF" w14:textId="77777777" w:rsidR="00716E85" w:rsidRDefault="00716E85">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 xml:space="preserve">Revenue Recognition for Services </w:t>
      </w:r>
    </w:p>
    <w:p w14:paraId="340D07EB"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Services revenues are generally recognized over time as the services are performed. Revenues for fixed price services are generally recognized over time applying input methods to estimate progress to completion. Revenues for consumption-based services are generally recognized as the services are performed.</w:t>
      </w:r>
    </w:p>
    <w:p w14:paraId="72F5934A" w14:textId="77777777" w:rsidR="00716E85" w:rsidRDefault="00716E85">
      <w:pPr>
        <w:pStyle w:val="a3"/>
        <w:spacing w:before="240" w:beforeAutospacing="0" w:after="0" w:afterAutospacing="0"/>
        <w:jc w:val="both"/>
        <w:rPr>
          <w:rFonts w:ascii="Calibri" w:hAnsi="Calibri" w:cs="Calibri"/>
          <w:i/>
          <w:iCs/>
          <w:sz w:val="20"/>
          <w:szCs w:val="20"/>
        </w:rPr>
      </w:pPr>
      <w:r>
        <w:rPr>
          <w:rFonts w:ascii="Calibri" w:hAnsi="Calibri" w:cs="Calibri"/>
          <w:i/>
          <w:iCs/>
          <w:sz w:val="20"/>
          <w:szCs w:val="20"/>
        </w:rPr>
        <w:t xml:space="preserve">Allocation of the Transaction Price for Contracts that have Multiple Performance Obligations </w:t>
      </w:r>
    </w:p>
    <w:p w14:paraId="522084A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Many of our contracts include multiple performance obligations. Judgment is required in determining whether each performance obligation is distinct. Oracle products and services generally do not require a significant amount of integration or interdependency.  We allocate the transaction price for each contract to each performance obligation based on the relative standalone selling price (SSP) for each performance obligation within each contract. </w:t>
      </w:r>
    </w:p>
    <w:p w14:paraId="448ED85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12</w:t>
      </w:r>
    </w:p>
    <w:p w14:paraId="370F1066" w14:textId="77777777" w:rsidR="00716E85" w:rsidRDefault="00716E85">
      <w:pPr>
        <w:rPr>
          <w:rFonts w:ascii="Times New Roman" w:eastAsia="Times New Roman" w:hAnsi="Times New Roman" w:cs="Times New Roman"/>
          <w:sz w:val="24"/>
          <w:szCs w:val="24"/>
        </w:rPr>
      </w:pPr>
      <w:r>
        <w:rPr>
          <w:rFonts w:eastAsia="Times New Roman"/>
        </w:rPr>
        <w:pict w14:anchorId="09E8AD23">
          <v:rect id="_x0000_i1038" style="width:415.3pt;height:1.5pt" o:hralign="center" o:hrstd="t" o:hr="t" fillcolor="#a0a0a0" stroked="f"/>
        </w:pict>
      </w:r>
    </w:p>
    <w:p w14:paraId="57F4DDC3"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67EC7155" w14:textId="77777777" w:rsidR="00716E85" w:rsidRDefault="00716E85">
      <w:pPr>
        <w:pStyle w:val="a3"/>
      </w:pPr>
      <w:r>
        <w:t> </w:t>
      </w:r>
    </w:p>
    <w:p w14:paraId="74C4AE8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86788E5"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76FB80BF"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29870B23"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3CC2F8FC" w14:textId="77777777" w:rsidR="00716E85" w:rsidRDefault="00716E85">
      <w:pPr>
        <w:pStyle w:val="a3"/>
        <w:spacing w:before="0" w:beforeAutospacing="0" w:after="0" w:afterAutospacing="0"/>
        <w:rPr>
          <w:sz w:val="20"/>
          <w:szCs w:val="20"/>
        </w:rPr>
      </w:pPr>
      <w:r>
        <w:rPr>
          <w:sz w:val="20"/>
          <w:szCs w:val="20"/>
        </w:rPr>
        <w:t> </w:t>
      </w:r>
    </w:p>
    <w:p w14:paraId="1ED6A906" w14:textId="77777777" w:rsidR="00716E85" w:rsidRDefault="00716E85">
      <w:pPr>
        <w:pStyle w:val="a3"/>
        <w:spacing w:before="120" w:beforeAutospacing="0" w:after="0" w:afterAutospacing="0"/>
        <w:jc w:val="both"/>
        <w:rPr>
          <w:rFonts w:ascii="Calibri" w:hAnsi="Calibri" w:cs="Calibri"/>
          <w:sz w:val="20"/>
          <w:szCs w:val="20"/>
        </w:rPr>
      </w:pPr>
      <w:bookmarkStart w:id="23" w:name="_AEIOULastRenderedPageBreakAEIOU15"/>
      <w:bookmarkEnd w:id="23"/>
      <w:r>
        <w:rPr>
          <w:rFonts w:ascii="Calibri" w:hAnsi="Calibri" w:cs="Calibri"/>
          <w:sz w:val="20"/>
          <w:szCs w:val="20"/>
        </w:rPr>
        <w:t xml:space="preserve">We use judgment in determining the SSP for products and services. For substantially all performance obligations except cloud licenses and on-premise licenses, we are able to establish SSP based on the observable prices of products or services sold separately in comparable circumstances to similar customers. We typically establish a standalone selling price range for our products and services which is reassessed on a periodic basis or when facts and circumstances change. Our cloud licenses and on-premise licenses have not historically been sold on a standalone basis, as substantially all customers elect to purchase license support contracts at the time of a cloud license and on-premise license purchase. License support contracts are generally priced as a percentage of the net fees paid by the customer to access the license. We are unable to establish SSP for our cloud licenses and on-premise licenses based on observable prices given the same products are sold for a broad range of amounts (that is, the selling price is highly variable) and a representative SSP is not discernible from past transactions or other observable evidence. As a result, the SSP for a cloud license and an on-premise license included in a contract with multiple performance obligations is determined by applying a residual approach whereby all other performance obligations within a contract are first allocated a portion of the transaction price based upon their respective SSPs, with any residual amount of transaction price allocated to cloud license and on-premise license revenues. </w:t>
      </w:r>
    </w:p>
    <w:p w14:paraId="2C1F1DFA"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Deferred Sales Commissions </w:t>
      </w:r>
    </w:p>
    <w:p w14:paraId="40CDCEA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defer sales commissions earned by our sales force that are considered to be incremental and recoverable costs of obtaining a cloud, license support and hardware support contract. Initial sales commissions for the majority of these aforementioned contracts are generally deferred and amortized on a straight-line basis over a period of benefit that we estimate to be four to five years. We determine the period of benefit by taking into consideration the historical and expected durations of our customer contracts, the expected useful lives of our technologies, and other factors. Sales commissions for renewal contracts relating to our cloud-based arrangements are generally deferred and then amortized on a straight-line basis over the related contractual renewal period, which is generally one to three years. Amortization of deferred sales commissions is included as a component of sales and marketing expenses in our condensed consolidated statements of operations. </w:t>
      </w:r>
    </w:p>
    <w:p w14:paraId="327D6D14"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Remaining Performance Obligations from Contracts with Customers</w:t>
      </w:r>
    </w:p>
    <w:p w14:paraId="10CE69A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Trade receivables, net of allowance for doubtful accounts, and deferred revenues are reported net of related uncollected deferred revenues in our condensed consolidated balance sheets as of February 28, 2019 and May 31, 2018. </w:t>
      </w:r>
    </w:p>
    <w:p w14:paraId="59B7761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amount of revenues recognized during the nine months ended February 28, 2019 that were included in the opening deferred revenues balance as of May 31, 2018 was approximately $7.7 billion. Revenues recognized from performance obligations satisfied in prior periods were immaterial during each of the three and nine months ended February 28, 2019 and 2018. Impairment losses recognized on our receivables were immaterial in each of the three and nine months ended February 28, 2019 and 2018.  </w:t>
      </w:r>
    </w:p>
    <w:p w14:paraId="6E3A556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Remaining performance obligations represent contracted revenues that had not yet been recognized, and include deferred revenues; invoices that have been issued to customers but were uncollected and have not been recognized as revenues; and amounts that will be invoiced and recognized as revenues in future periods. The volumes and amounts of customer contracts that we book and total revenues that we recognize are impacted by a variety of seasonal factors. In each fiscal year, the amounts and volumes of contracting activity and our total revenues are typically highest in our fourth fiscal quarter and lowest in our first fiscal quarter. These seasonal impacts influence how our remaining performance obligations change over time. As of February 28, 2019, our remaining performance obligations were $31.5 billion, approximately 62% of which we expect to recognize as revenues over the next twelve months and the remainder thereafter.</w:t>
      </w:r>
    </w:p>
    <w:p w14:paraId="4EEC273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Refer to Note 10 for our discussion of revenues disaggregation.</w:t>
      </w:r>
    </w:p>
    <w:p w14:paraId="54A9431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13</w:t>
      </w:r>
    </w:p>
    <w:p w14:paraId="7C80C371" w14:textId="77777777" w:rsidR="00716E85" w:rsidRDefault="00716E85">
      <w:pPr>
        <w:rPr>
          <w:rFonts w:ascii="Times New Roman" w:eastAsia="Times New Roman" w:hAnsi="Times New Roman" w:cs="Times New Roman"/>
          <w:sz w:val="24"/>
          <w:szCs w:val="24"/>
        </w:rPr>
      </w:pPr>
      <w:r>
        <w:rPr>
          <w:rFonts w:eastAsia="Times New Roman"/>
        </w:rPr>
        <w:pict w14:anchorId="3E46BB02">
          <v:rect id="_x0000_i1039" style="width:415.3pt;height:1.5pt" o:hralign="center" o:hrstd="t" o:hr="t" fillcolor="#a0a0a0" stroked="f"/>
        </w:pict>
      </w:r>
    </w:p>
    <w:p w14:paraId="72D6B551"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1F6DA97" w14:textId="77777777" w:rsidR="00716E85" w:rsidRDefault="00716E85">
      <w:pPr>
        <w:pStyle w:val="a3"/>
      </w:pPr>
      <w:r>
        <w:t> </w:t>
      </w:r>
    </w:p>
    <w:p w14:paraId="662C9790"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7BF5ECE"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63A4E976"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489D51E5"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565BABF6" w14:textId="77777777" w:rsidR="00716E85" w:rsidRDefault="00716E85">
      <w:pPr>
        <w:pStyle w:val="a3"/>
        <w:spacing w:before="0" w:beforeAutospacing="0" w:after="0" w:afterAutospacing="0"/>
        <w:rPr>
          <w:sz w:val="20"/>
          <w:szCs w:val="20"/>
        </w:rPr>
      </w:pPr>
      <w:r>
        <w:rPr>
          <w:sz w:val="20"/>
          <w:szCs w:val="20"/>
        </w:rPr>
        <w:t> </w:t>
      </w:r>
    </w:p>
    <w:p w14:paraId="15E0DA2E" w14:textId="77777777" w:rsidR="00716E85" w:rsidRDefault="00716E85">
      <w:pPr>
        <w:pStyle w:val="a3"/>
        <w:spacing w:before="240" w:beforeAutospacing="0" w:after="0" w:afterAutospacing="0"/>
        <w:jc w:val="both"/>
        <w:rPr>
          <w:rFonts w:ascii="Calibri" w:hAnsi="Calibri" w:cs="Calibri"/>
          <w:b/>
          <w:bCs/>
          <w:sz w:val="20"/>
          <w:szCs w:val="20"/>
        </w:rPr>
      </w:pPr>
      <w:bookmarkStart w:id="24" w:name="_AEIOULastRenderedPageBreakAEIOU16"/>
      <w:bookmarkEnd w:id="24"/>
      <w:r>
        <w:rPr>
          <w:rFonts w:ascii="Calibri" w:hAnsi="Calibri" w:cs="Calibri"/>
          <w:b/>
          <w:bCs/>
          <w:sz w:val="20"/>
          <w:szCs w:val="20"/>
        </w:rPr>
        <w:t>Cash, Cash Equivalents and Restricted Cash</w:t>
      </w:r>
    </w:p>
    <w:p w14:paraId="6E1EDA1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condensed consolidated balance sheets as of February 28, 2019 and May 31, 2018 and our condensed consolidated statements of cash flows for the nine months ended February 28, 2019 and 2018 was nominal.</w:t>
      </w:r>
    </w:p>
    <w:p w14:paraId="30A0C9B2"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Acquisition Related and Other Expenses</w:t>
      </w:r>
    </w:p>
    <w:p w14:paraId="23666D89"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Acquisition related and other expenses consist of personnel related costs and stock-based compensation for transitional and certain other employees, integration related professional services, certain business combination adjustments including certain adjustments after the measurement period has ended and certain other operating items, net.</w:t>
      </w:r>
    </w:p>
    <w:p w14:paraId="2B84D944"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171"/>
        <w:gridCol w:w="89"/>
        <w:gridCol w:w="117"/>
        <w:gridCol w:w="750"/>
        <w:gridCol w:w="76"/>
        <w:gridCol w:w="87"/>
        <w:gridCol w:w="118"/>
        <w:gridCol w:w="754"/>
        <w:gridCol w:w="76"/>
        <w:gridCol w:w="88"/>
        <w:gridCol w:w="117"/>
        <w:gridCol w:w="752"/>
        <w:gridCol w:w="76"/>
        <w:gridCol w:w="88"/>
        <w:gridCol w:w="117"/>
        <w:gridCol w:w="754"/>
        <w:gridCol w:w="76"/>
      </w:tblGrid>
      <w:tr w:rsidR="00716E85" w14:paraId="1C6E7117" w14:textId="77777777">
        <w:trPr>
          <w:divId w:val="1647851484"/>
          <w:jc w:val="center"/>
        </w:trPr>
        <w:tc>
          <w:tcPr>
            <w:tcW w:w="2517" w:type="pct"/>
            <w:shd w:val="clear" w:color="auto" w:fill="FFFFFF"/>
            <w:tcMar>
              <w:top w:w="15" w:type="dxa"/>
              <w:left w:w="0" w:type="dxa"/>
              <w:bottom w:w="0" w:type="dxa"/>
              <w:right w:w="15" w:type="dxa"/>
            </w:tcMar>
            <w:vAlign w:val="bottom"/>
            <w:hideMark/>
          </w:tcPr>
          <w:p w14:paraId="228FDDE5" w14:textId="77777777" w:rsidR="00716E85" w:rsidRDefault="00716E8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04406C0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367C966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64A34CD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67C83A0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shd w:val="clear" w:color="auto" w:fill="FFFFFF"/>
            <w:tcMar>
              <w:top w:w="15" w:type="dxa"/>
              <w:left w:w="0" w:type="dxa"/>
              <w:bottom w:w="0" w:type="dxa"/>
              <w:right w:w="15" w:type="dxa"/>
            </w:tcMar>
            <w:vAlign w:val="bottom"/>
            <w:hideMark/>
          </w:tcPr>
          <w:p w14:paraId="07683CC0"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44EF496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AE08C8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037AE34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9E9C330" w14:textId="77777777">
        <w:trPr>
          <w:divId w:val="1647851484"/>
          <w:jc w:val="center"/>
        </w:trPr>
        <w:tc>
          <w:tcPr>
            <w:tcW w:w="2517" w:type="pct"/>
            <w:tcBorders>
              <w:bottom w:val="single" w:sz="6" w:space="0" w:color="000000"/>
            </w:tcBorders>
            <w:shd w:val="clear" w:color="auto" w:fill="FFFFFF"/>
            <w:tcMar>
              <w:top w:w="15" w:type="dxa"/>
              <w:left w:w="0" w:type="dxa"/>
              <w:bottom w:w="0" w:type="dxa"/>
              <w:right w:w="15" w:type="dxa"/>
            </w:tcMar>
            <w:vAlign w:val="bottom"/>
            <w:hideMark/>
          </w:tcPr>
          <w:p w14:paraId="53F545B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1" w:type="pct"/>
            <w:shd w:val="clear" w:color="auto" w:fill="FFFFFF"/>
            <w:tcMar>
              <w:top w:w="15" w:type="dxa"/>
              <w:left w:w="0" w:type="dxa"/>
              <w:bottom w:w="0" w:type="dxa"/>
              <w:right w:w="15" w:type="dxa"/>
            </w:tcMar>
            <w:vAlign w:val="bottom"/>
            <w:hideMark/>
          </w:tcPr>
          <w:p w14:paraId="0380467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1BF38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A5B94D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66A829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204C9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52835F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shd w:val="clear" w:color="auto" w:fill="FFFFFF"/>
            <w:tcMar>
              <w:top w:w="15" w:type="dxa"/>
              <w:left w:w="0" w:type="dxa"/>
              <w:bottom w:w="0" w:type="dxa"/>
              <w:right w:w="15" w:type="dxa"/>
            </w:tcMar>
            <w:vAlign w:val="bottom"/>
            <w:hideMark/>
          </w:tcPr>
          <w:p w14:paraId="52AB4C80"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0A2A97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B4AE67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378F0C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B8B71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654AFD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652679E" w14:textId="77777777">
        <w:trPr>
          <w:divId w:val="1647851484"/>
          <w:jc w:val="center"/>
        </w:trPr>
        <w:tc>
          <w:tcPr>
            <w:tcW w:w="2517" w:type="pct"/>
            <w:tcBorders>
              <w:top w:val="single" w:sz="6" w:space="0" w:color="000000"/>
            </w:tcBorders>
            <w:shd w:val="clear" w:color="auto" w:fill="CFF0FC"/>
            <w:tcMar>
              <w:top w:w="15" w:type="dxa"/>
              <w:left w:w="0" w:type="dxa"/>
              <w:bottom w:w="0" w:type="dxa"/>
              <w:right w:w="15" w:type="dxa"/>
            </w:tcMar>
            <w:hideMark/>
          </w:tcPr>
          <w:p w14:paraId="57F1CF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61" w:type="pct"/>
            <w:shd w:val="clear" w:color="auto" w:fill="CFF0FC"/>
            <w:tcMar>
              <w:top w:w="15" w:type="dxa"/>
              <w:left w:w="0" w:type="dxa"/>
              <w:bottom w:w="0" w:type="dxa"/>
              <w:right w:w="15" w:type="dxa"/>
            </w:tcMar>
            <w:vAlign w:val="bottom"/>
            <w:hideMark/>
          </w:tcPr>
          <w:p w14:paraId="72A870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E991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57B8B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left w:w="0" w:type="dxa"/>
              <w:bottom w:w="0" w:type="dxa"/>
              <w:right w:w="15" w:type="dxa"/>
            </w:tcMar>
            <w:vAlign w:val="bottom"/>
            <w:hideMark/>
          </w:tcPr>
          <w:p w14:paraId="3FA5CB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56889C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E47A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52EEB2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33FF3D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61E0D8BE"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E7DC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EFC13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CFF0FC"/>
            <w:noWrap/>
            <w:tcMar>
              <w:top w:w="15" w:type="dxa"/>
              <w:left w:w="0" w:type="dxa"/>
              <w:bottom w:w="0" w:type="dxa"/>
              <w:right w:w="15" w:type="dxa"/>
            </w:tcMar>
            <w:vAlign w:val="bottom"/>
            <w:hideMark/>
          </w:tcPr>
          <w:p w14:paraId="47915D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2ECCD9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B3DD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635F4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7EFD4B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E303E95" w14:textId="77777777">
        <w:trPr>
          <w:divId w:val="1647851484"/>
          <w:jc w:val="center"/>
        </w:trPr>
        <w:tc>
          <w:tcPr>
            <w:tcW w:w="2517" w:type="pct"/>
            <w:shd w:val="clear" w:color="auto" w:fill="FFFFFF"/>
            <w:tcMar>
              <w:top w:w="15" w:type="dxa"/>
              <w:left w:w="0" w:type="dxa"/>
              <w:bottom w:w="0" w:type="dxa"/>
              <w:right w:w="15" w:type="dxa"/>
            </w:tcMar>
            <w:hideMark/>
          </w:tcPr>
          <w:p w14:paraId="325DF8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61" w:type="pct"/>
            <w:shd w:val="clear" w:color="auto" w:fill="FFFFFF"/>
            <w:tcMar>
              <w:top w:w="15" w:type="dxa"/>
              <w:left w:w="0" w:type="dxa"/>
              <w:bottom w:w="0" w:type="dxa"/>
              <w:right w:w="15" w:type="dxa"/>
            </w:tcMar>
            <w:vAlign w:val="bottom"/>
            <w:hideMark/>
          </w:tcPr>
          <w:p w14:paraId="5A0E95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7FB2C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9FB4F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92299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FFFFFF"/>
            <w:tcMar>
              <w:top w:w="15" w:type="dxa"/>
              <w:left w:w="0" w:type="dxa"/>
              <w:bottom w:w="0" w:type="dxa"/>
              <w:right w:w="15" w:type="dxa"/>
            </w:tcMar>
            <w:vAlign w:val="bottom"/>
            <w:hideMark/>
          </w:tcPr>
          <w:p w14:paraId="4F7731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B4A0A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E83E38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BBDE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FFFFFF"/>
            <w:tcMar>
              <w:top w:w="15" w:type="dxa"/>
              <w:left w:w="0" w:type="dxa"/>
              <w:bottom w:w="0" w:type="dxa"/>
              <w:right w:w="15" w:type="dxa"/>
            </w:tcMar>
            <w:vAlign w:val="bottom"/>
            <w:hideMark/>
          </w:tcPr>
          <w:p w14:paraId="4664D955"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F26F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0ADDCE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90110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FFFFFF"/>
            <w:tcMar>
              <w:top w:w="15" w:type="dxa"/>
              <w:left w:w="0" w:type="dxa"/>
              <w:bottom w:w="0" w:type="dxa"/>
              <w:right w:w="15" w:type="dxa"/>
            </w:tcMar>
            <w:vAlign w:val="bottom"/>
            <w:hideMark/>
          </w:tcPr>
          <w:p w14:paraId="08ED10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A02F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154229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73BF55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AED317B" w14:textId="77777777">
        <w:trPr>
          <w:divId w:val="1647851484"/>
          <w:jc w:val="center"/>
        </w:trPr>
        <w:tc>
          <w:tcPr>
            <w:tcW w:w="2517" w:type="pct"/>
            <w:shd w:val="clear" w:color="auto" w:fill="CFF0FC"/>
            <w:tcMar>
              <w:top w:w="15" w:type="dxa"/>
              <w:left w:w="0" w:type="dxa"/>
              <w:bottom w:w="0" w:type="dxa"/>
              <w:right w:w="15" w:type="dxa"/>
            </w:tcMar>
            <w:hideMark/>
          </w:tcPr>
          <w:p w14:paraId="6BDD8A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Professional fees and other, net</w:t>
            </w:r>
          </w:p>
        </w:tc>
        <w:tc>
          <w:tcPr>
            <w:tcW w:w="61" w:type="pct"/>
            <w:shd w:val="clear" w:color="auto" w:fill="CFF0FC"/>
            <w:tcMar>
              <w:top w:w="15" w:type="dxa"/>
              <w:left w:w="0" w:type="dxa"/>
              <w:bottom w:w="0" w:type="dxa"/>
              <w:right w:w="15" w:type="dxa"/>
            </w:tcMar>
            <w:vAlign w:val="bottom"/>
            <w:hideMark/>
          </w:tcPr>
          <w:p w14:paraId="2D26C9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1246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C2D901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4AFCD1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600719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6175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4E7D4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3CD7CA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CFF0FC"/>
            <w:tcMar>
              <w:top w:w="15" w:type="dxa"/>
              <w:left w:w="0" w:type="dxa"/>
              <w:bottom w:w="0" w:type="dxa"/>
              <w:right w:w="15" w:type="dxa"/>
            </w:tcMar>
            <w:vAlign w:val="bottom"/>
            <w:hideMark/>
          </w:tcPr>
          <w:p w14:paraId="3D801A17"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75C7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F7E454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4A34BE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6474DC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3336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1BFD5B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2776FD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1770E539" w14:textId="77777777">
        <w:trPr>
          <w:divId w:val="1647851484"/>
          <w:jc w:val="center"/>
        </w:trPr>
        <w:tc>
          <w:tcPr>
            <w:tcW w:w="2517" w:type="pct"/>
            <w:shd w:val="clear" w:color="auto" w:fill="FFFFFF"/>
            <w:tcMar>
              <w:top w:w="15" w:type="dxa"/>
              <w:left w:w="0" w:type="dxa"/>
              <w:bottom w:w="0" w:type="dxa"/>
              <w:right w:w="15" w:type="dxa"/>
            </w:tcMar>
            <w:hideMark/>
          </w:tcPr>
          <w:p w14:paraId="188FF8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61" w:type="pct"/>
            <w:shd w:val="clear" w:color="auto" w:fill="FFFFFF"/>
            <w:tcMar>
              <w:top w:w="15" w:type="dxa"/>
              <w:left w:w="0" w:type="dxa"/>
              <w:bottom w:w="0" w:type="dxa"/>
              <w:right w:w="15" w:type="dxa"/>
            </w:tcMar>
            <w:vAlign w:val="bottom"/>
            <w:hideMark/>
          </w:tcPr>
          <w:p w14:paraId="663579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8E0F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0FE282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1156B1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FFFFFF"/>
            <w:tcMar>
              <w:top w:w="15" w:type="dxa"/>
              <w:left w:w="0" w:type="dxa"/>
              <w:bottom w:w="0" w:type="dxa"/>
              <w:right w:w="15" w:type="dxa"/>
            </w:tcMar>
            <w:vAlign w:val="bottom"/>
            <w:hideMark/>
          </w:tcPr>
          <w:p w14:paraId="45D85C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86346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384DB6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0AE148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FFFFFF"/>
            <w:tcMar>
              <w:top w:w="15" w:type="dxa"/>
              <w:left w:w="0" w:type="dxa"/>
              <w:bottom w:w="0" w:type="dxa"/>
              <w:right w:w="15" w:type="dxa"/>
            </w:tcMar>
            <w:vAlign w:val="bottom"/>
            <w:hideMark/>
          </w:tcPr>
          <w:p w14:paraId="7FA8E5B1"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D80B8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E2F200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10EDB4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FFFFFF"/>
            <w:tcMar>
              <w:top w:w="15" w:type="dxa"/>
              <w:left w:w="0" w:type="dxa"/>
              <w:bottom w:w="0" w:type="dxa"/>
              <w:right w:w="15" w:type="dxa"/>
            </w:tcMar>
            <w:vAlign w:val="bottom"/>
            <w:hideMark/>
          </w:tcPr>
          <w:p w14:paraId="0A3AC5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BB56E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A628DA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1E208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FB31EBF" w14:textId="77777777">
        <w:trPr>
          <w:divId w:val="1647851484"/>
          <w:jc w:val="center"/>
        </w:trPr>
        <w:tc>
          <w:tcPr>
            <w:tcW w:w="2517" w:type="pct"/>
            <w:shd w:val="clear" w:color="auto" w:fill="CFF0FC"/>
            <w:tcMar>
              <w:top w:w="15" w:type="dxa"/>
              <w:left w:w="0" w:type="dxa"/>
              <w:bottom w:w="0" w:type="dxa"/>
              <w:right w:w="15" w:type="dxa"/>
            </w:tcMar>
            <w:hideMark/>
          </w:tcPr>
          <w:p w14:paraId="6116770C"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61" w:type="pct"/>
            <w:shd w:val="clear" w:color="auto" w:fill="CFF0FC"/>
            <w:tcMar>
              <w:top w:w="15" w:type="dxa"/>
              <w:left w:w="0" w:type="dxa"/>
              <w:bottom w:w="0" w:type="dxa"/>
              <w:right w:w="15" w:type="dxa"/>
            </w:tcMar>
            <w:vAlign w:val="bottom"/>
            <w:hideMark/>
          </w:tcPr>
          <w:p w14:paraId="35E202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79FA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8404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left w:w="0" w:type="dxa"/>
              <w:bottom w:w="0" w:type="dxa"/>
              <w:right w:w="15" w:type="dxa"/>
            </w:tcMar>
            <w:vAlign w:val="bottom"/>
            <w:hideMark/>
          </w:tcPr>
          <w:p w14:paraId="07B952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CFF0FC"/>
            <w:tcMar>
              <w:top w:w="15" w:type="dxa"/>
              <w:left w:w="0" w:type="dxa"/>
              <w:bottom w:w="0" w:type="dxa"/>
              <w:right w:w="15" w:type="dxa"/>
            </w:tcMar>
            <w:vAlign w:val="bottom"/>
            <w:hideMark/>
          </w:tcPr>
          <w:p w14:paraId="6BAAD8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47E4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04BA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416D597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1B0F3854"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F0A4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D6BB3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03D842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1A6DEB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F3E6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DEDD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18D99EF0"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45AF831E" w14:textId="77777777" w:rsidR="00716E85" w:rsidRDefault="00716E85">
      <w:pPr>
        <w:pStyle w:val="a3"/>
        <w:spacing w:before="0" w:beforeAutospacing="0" w:after="0" w:afterAutospacing="0"/>
        <w:jc w:val="both"/>
        <w:rPr>
          <w:sz w:val="12"/>
          <w:szCs w:val="12"/>
        </w:rPr>
      </w:pPr>
      <w:r>
        <w:rPr>
          <w:sz w:val="12"/>
          <w:szCs w:val="12"/>
        </w:rPr>
        <w:t> </w:t>
      </w:r>
    </w:p>
    <w:p w14:paraId="7945E7F1"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Non-Operating Income, net</w:t>
      </w:r>
    </w:p>
    <w:p w14:paraId="09E004C9"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Non-operating income, net consists primarily of interest income, net foreign currency exchange losses, the noncontrolling interests in the net profits of our majority-owned subsidiaries (primarily Oracle Financial Services Software Limited and Oracle Corporation Japan) and net other income, including net realized gains and losses related to all of our investments, net unrealized gains and losses related to the small portion of our investment portfolio related to our deferred compensation plan, and non-service net periodic pension income (losses).</w:t>
      </w:r>
    </w:p>
    <w:p w14:paraId="72244CC9"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171"/>
        <w:gridCol w:w="89"/>
        <w:gridCol w:w="117"/>
        <w:gridCol w:w="750"/>
        <w:gridCol w:w="76"/>
        <w:gridCol w:w="88"/>
        <w:gridCol w:w="117"/>
        <w:gridCol w:w="754"/>
        <w:gridCol w:w="76"/>
        <w:gridCol w:w="88"/>
        <w:gridCol w:w="117"/>
        <w:gridCol w:w="752"/>
        <w:gridCol w:w="76"/>
        <w:gridCol w:w="88"/>
        <w:gridCol w:w="117"/>
        <w:gridCol w:w="754"/>
        <w:gridCol w:w="76"/>
      </w:tblGrid>
      <w:tr w:rsidR="00716E85" w14:paraId="16B61670" w14:textId="77777777">
        <w:trPr>
          <w:divId w:val="60560584"/>
          <w:jc w:val="center"/>
        </w:trPr>
        <w:tc>
          <w:tcPr>
            <w:tcW w:w="2517" w:type="pct"/>
            <w:shd w:val="clear" w:color="auto" w:fill="FFFFFF"/>
            <w:tcMar>
              <w:top w:w="15" w:type="dxa"/>
              <w:left w:w="0" w:type="dxa"/>
              <w:bottom w:w="0" w:type="dxa"/>
              <w:right w:w="15" w:type="dxa"/>
            </w:tcMar>
            <w:vAlign w:val="bottom"/>
            <w:hideMark/>
          </w:tcPr>
          <w:p w14:paraId="75A2BCF1" w14:textId="77777777" w:rsidR="00716E85" w:rsidRDefault="00716E85">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F37688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0BB2E4E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6905541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0C785AE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shd w:val="clear" w:color="auto" w:fill="FFFFFF"/>
            <w:tcMar>
              <w:top w:w="15" w:type="dxa"/>
              <w:left w:w="0" w:type="dxa"/>
              <w:bottom w:w="0" w:type="dxa"/>
              <w:right w:w="15" w:type="dxa"/>
            </w:tcMar>
            <w:vAlign w:val="bottom"/>
            <w:hideMark/>
          </w:tcPr>
          <w:p w14:paraId="00439075"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3B0991C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792943E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3F1EABE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DEEA6D7" w14:textId="77777777">
        <w:trPr>
          <w:divId w:val="60560584"/>
          <w:jc w:val="center"/>
        </w:trPr>
        <w:tc>
          <w:tcPr>
            <w:tcW w:w="2517" w:type="pct"/>
            <w:tcBorders>
              <w:bottom w:val="single" w:sz="6" w:space="0" w:color="000000"/>
            </w:tcBorders>
            <w:shd w:val="clear" w:color="auto" w:fill="FFFFFF"/>
            <w:tcMar>
              <w:top w:w="15" w:type="dxa"/>
              <w:left w:w="0" w:type="dxa"/>
              <w:bottom w:w="0" w:type="dxa"/>
              <w:right w:w="15" w:type="dxa"/>
            </w:tcMar>
            <w:vAlign w:val="bottom"/>
            <w:hideMark/>
          </w:tcPr>
          <w:p w14:paraId="628785C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61" w:type="pct"/>
            <w:shd w:val="clear" w:color="auto" w:fill="FFFFFF"/>
            <w:tcMar>
              <w:top w:w="15" w:type="dxa"/>
              <w:left w:w="0" w:type="dxa"/>
              <w:bottom w:w="0" w:type="dxa"/>
              <w:right w:w="15" w:type="dxa"/>
            </w:tcMar>
            <w:vAlign w:val="bottom"/>
            <w:hideMark/>
          </w:tcPr>
          <w:p w14:paraId="0423FAE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5C96E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215FDD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60B8574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F8484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1F8D82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shd w:val="clear" w:color="auto" w:fill="FFFFFF"/>
            <w:tcMar>
              <w:top w:w="15" w:type="dxa"/>
              <w:left w:w="0" w:type="dxa"/>
              <w:bottom w:w="0" w:type="dxa"/>
              <w:right w:w="15" w:type="dxa"/>
            </w:tcMar>
            <w:vAlign w:val="bottom"/>
            <w:hideMark/>
          </w:tcPr>
          <w:p w14:paraId="028A2C24"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CC02E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296FBC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545FF2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5ABEF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95C888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25FEE4A" w14:textId="77777777">
        <w:trPr>
          <w:divId w:val="60560584"/>
          <w:jc w:val="center"/>
        </w:trPr>
        <w:tc>
          <w:tcPr>
            <w:tcW w:w="2517" w:type="pct"/>
            <w:tcBorders>
              <w:top w:val="single" w:sz="6" w:space="0" w:color="000000"/>
            </w:tcBorders>
            <w:shd w:val="clear" w:color="auto" w:fill="CFF0FC"/>
            <w:tcMar>
              <w:top w:w="15" w:type="dxa"/>
              <w:left w:w="0" w:type="dxa"/>
              <w:bottom w:w="0" w:type="dxa"/>
              <w:right w:w="15" w:type="dxa"/>
            </w:tcMar>
            <w:hideMark/>
          </w:tcPr>
          <w:p w14:paraId="778373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Interest income</w:t>
            </w:r>
          </w:p>
        </w:tc>
        <w:tc>
          <w:tcPr>
            <w:tcW w:w="61" w:type="pct"/>
            <w:shd w:val="clear" w:color="auto" w:fill="CFF0FC"/>
            <w:tcMar>
              <w:top w:w="15" w:type="dxa"/>
              <w:left w:w="0" w:type="dxa"/>
              <w:bottom w:w="0" w:type="dxa"/>
              <w:right w:w="15" w:type="dxa"/>
            </w:tcMar>
            <w:vAlign w:val="bottom"/>
            <w:hideMark/>
          </w:tcPr>
          <w:p w14:paraId="08EFF7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8E4F76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2F3E9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246</w:t>
            </w:r>
          </w:p>
        </w:tc>
        <w:tc>
          <w:tcPr>
            <w:tcW w:w="50" w:type="pct"/>
            <w:shd w:val="clear" w:color="auto" w:fill="CFF0FC"/>
            <w:noWrap/>
            <w:tcMar>
              <w:top w:w="15" w:type="dxa"/>
              <w:left w:w="0" w:type="dxa"/>
              <w:bottom w:w="0" w:type="dxa"/>
              <w:right w:w="15" w:type="dxa"/>
            </w:tcMar>
            <w:vAlign w:val="bottom"/>
            <w:hideMark/>
          </w:tcPr>
          <w:p w14:paraId="625D77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36BC5B0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FD34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6C4760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313</w:t>
            </w:r>
          </w:p>
        </w:tc>
        <w:tc>
          <w:tcPr>
            <w:tcW w:w="50" w:type="pct"/>
            <w:shd w:val="clear" w:color="auto" w:fill="CFF0FC"/>
            <w:noWrap/>
            <w:tcMar>
              <w:top w:w="15" w:type="dxa"/>
              <w:left w:w="0" w:type="dxa"/>
              <w:bottom w:w="0" w:type="dxa"/>
              <w:right w:w="15" w:type="dxa"/>
            </w:tcMar>
            <w:vAlign w:val="bottom"/>
            <w:hideMark/>
          </w:tcPr>
          <w:p w14:paraId="69F0C76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551DB02D" w14:textId="77777777" w:rsidR="00716E85" w:rsidRDefault="00716E85">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FC83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846938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890</w:t>
            </w:r>
          </w:p>
        </w:tc>
        <w:tc>
          <w:tcPr>
            <w:tcW w:w="50" w:type="pct"/>
            <w:shd w:val="clear" w:color="auto" w:fill="CFF0FC"/>
            <w:noWrap/>
            <w:tcMar>
              <w:top w:w="15" w:type="dxa"/>
              <w:left w:w="0" w:type="dxa"/>
              <w:bottom w:w="0" w:type="dxa"/>
              <w:right w:w="15" w:type="dxa"/>
            </w:tcMar>
            <w:vAlign w:val="bottom"/>
            <w:hideMark/>
          </w:tcPr>
          <w:p w14:paraId="769607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74B3E7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BA88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31E9CC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852</w:t>
            </w:r>
          </w:p>
        </w:tc>
        <w:tc>
          <w:tcPr>
            <w:tcW w:w="50" w:type="pct"/>
            <w:shd w:val="clear" w:color="auto" w:fill="CFF0FC"/>
            <w:noWrap/>
            <w:tcMar>
              <w:top w:w="15" w:type="dxa"/>
              <w:left w:w="0" w:type="dxa"/>
              <w:bottom w:w="0" w:type="dxa"/>
              <w:right w:w="15" w:type="dxa"/>
            </w:tcMar>
            <w:vAlign w:val="bottom"/>
            <w:hideMark/>
          </w:tcPr>
          <w:p w14:paraId="787242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82E5BCD" w14:textId="77777777">
        <w:trPr>
          <w:divId w:val="60560584"/>
          <w:jc w:val="center"/>
        </w:trPr>
        <w:tc>
          <w:tcPr>
            <w:tcW w:w="2517" w:type="pct"/>
            <w:shd w:val="clear" w:color="auto" w:fill="FFFFFF"/>
            <w:tcMar>
              <w:top w:w="15" w:type="dxa"/>
              <w:left w:w="0" w:type="dxa"/>
              <w:bottom w:w="0" w:type="dxa"/>
              <w:right w:w="15" w:type="dxa"/>
            </w:tcMar>
            <w:hideMark/>
          </w:tcPr>
          <w:p w14:paraId="454561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61" w:type="pct"/>
            <w:shd w:val="clear" w:color="auto" w:fill="FFFFFF"/>
            <w:tcMar>
              <w:top w:w="15" w:type="dxa"/>
              <w:left w:w="0" w:type="dxa"/>
              <w:bottom w:w="0" w:type="dxa"/>
              <w:right w:w="15" w:type="dxa"/>
            </w:tcMar>
            <w:vAlign w:val="bottom"/>
            <w:hideMark/>
          </w:tcPr>
          <w:p w14:paraId="11CAA1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9550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C2FB83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7DBBC3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FFFFFF"/>
            <w:tcMar>
              <w:top w:w="15" w:type="dxa"/>
              <w:left w:w="0" w:type="dxa"/>
              <w:bottom w:w="0" w:type="dxa"/>
              <w:right w:w="15" w:type="dxa"/>
            </w:tcMar>
            <w:vAlign w:val="bottom"/>
            <w:hideMark/>
          </w:tcPr>
          <w:p w14:paraId="273930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0036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B32C04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0506BD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FFFFFF"/>
            <w:tcMar>
              <w:top w:w="15" w:type="dxa"/>
              <w:left w:w="0" w:type="dxa"/>
              <w:bottom w:w="0" w:type="dxa"/>
              <w:right w:w="15" w:type="dxa"/>
            </w:tcMar>
            <w:vAlign w:val="bottom"/>
            <w:hideMark/>
          </w:tcPr>
          <w:p w14:paraId="6EAC5E27" w14:textId="77777777" w:rsidR="00716E85" w:rsidRDefault="00716E85">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A4E1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16F85E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w:t>
            </w:r>
          </w:p>
        </w:tc>
        <w:tc>
          <w:tcPr>
            <w:tcW w:w="50" w:type="pct"/>
            <w:shd w:val="clear" w:color="auto" w:fill="FFFFFF"/>
            <w:noWrap/>
            <w:tcMar>
              <w:top w:w="15" w:type="dxa"/>
              <w:left w:w="0" w:type="dxa"/>
              <w:bottom w:w="0" w:type="dxa"/>
              <w:right w:w="15" w:type="dxa"/>
            </w:tcMar>
            <w:vAlign w:val="bottom"/>
            <w:hideMark/>
          </w:tcPr>
          <w:p w14:paraId="2E7172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FFFFFF"/>
            <w:tcMar>
              <w:top w:w="15" w:type="dxa"/>
              <w:left w:w="0" w:type="dxa"/>
              <w:bottom w:w="0" w:type="dxa"/>
              <w:right w:w="15" w:type="dxa"/>
            </w:tcMar>
            <w:vAlign w:val="bottom"/>
            <w:hideMark/>
          </w:tcPr>
          <w:p w14:paraId="513B87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C981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470EE5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left w:w="0" w:type="dxa"/>
              <w:bottom w:w="0" w:type="dxa"/>
              <w:right w:w="15" w:type="dxa"/>
            </w:tcMar>
            <w:vAlign w:val="bottom"/>
            <w:hideMark/>
          </w:tcPr>
          <w:p w14:paraId="4B7525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1D346718" w14:textId="77777777">
        <w:trPr>
          <w:divId w:val="60560584"/>
          <w:jc w:val="center"/>
        </w:trPr>
        <w:tc>
          <w:tcPr>
            <w:tcW w:w="2517" w:type="pct"/>
            <w:shd w:val="clear" w:color="auto" w:fill="CFF0FC"/>
            <w:tcMar>
              <w:top w:w="15" w:type="dxa"/>
              <w:left w:w="0" w:type="dxa"/>
              <w:bottom w:w="0" w:type="dxa"/>
              <w:right w:w="15" w:type="dxa"/>
            </w:tcMar>
            <w:hideMark/>
          </w:tcPr>
          <w:p w14:paraId="5584AF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61" w:type="pct"/>
            <w:shd w:val="clear" w:color="auto" w:fill="CFF0FC"/>
            <w:tcMar>
              <w:top w:w="15" w:type="dxa"/>
              <w:left w:w="0" w:type="dxa"/>
              <w:bottom w:w="0" w:type="dxa"/>
              <w:right w:w="15" w:type="dxa"/>
            </w:tcMar>
            <w:vAlign w:val="bottom"/>
            <w:hideMark/>
          </w:tcPr>
          <w:p w14:paraId="5E4F73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01DB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75E68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left w:w="0" w:type="dxa"/>
              <w:bottom w:w="0" w:type="dxa"/>
              <w:right w:w="15" w:type="dxa"/>
            </w:tcMar>
            <w:vAlign w:val="bottom"/>
            <w:hideMark/>
          </w:tcPr>
          <w:p w14:paraId="0BE309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CFF0FC"/>
            <w:tcMar>
              <w:top w:w="15" w:type="dxa"/>
              <w:left w:w="0" w:type="dxa"/>
              <w:bottom w:w="0" w:type="dxa"/>
              <w:right w:w="15" w:type="dxa"/>
            </w:tcMar>
            <w:vAlign w:val="bottom"/>
            <w:hideMark/>
          </w:tcPr>
          <w:p w14:paraId="1FE1B44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CE66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93B705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left w:w="0" w:type="dxa"/>
              <w:bottom w:w="0" w:type="dxa"/>
              <w:right w:w="15" w:type="dxa"/>
            </w:tcMar>
            <w:vAlign w:val="bottom"/>
            <w:hideMark/>
          </w:tcPr>
          <w:p w14:paraId="785245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CFF0FC"/>
            <w:tcMar>
              <w:top w:w="15" w:type="dxa"/>
              <w:left w:w="0" w:type="dxa"/>
              <w:bottom w:w="0" w:type="dxa"/>
              <w:right w:w="15" w:type="dxa"/>
            </w:tcMar>
            <w:vAlign w:val="bottom"/>
            <w:hideMark/>
          </w:tcPr>
          <w:p w14:paraId="073A5B25" w14:textId="77777777" w:rsidR="00716E85" w:rsidRDefault="00716E85">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C753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DE537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left w:w="0" w:type="dxa"/>
              <w:bottom w:w="0" w:type="dxa"/>
              <w:right w:w="15" w:type="dxa"/>
            </w:tcMar>
            <w:vAlign w:val="bottom"/>
            <w:hideMark/>
          </w:tcPr>
          <w:p w14:paraId="6DA07C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CFF0FC"/>
            <w:tcMar>
              <w:top w:w="15" w:type="dxa"/>
              <w:left w:w="0" w:type="dxa"/>
              <w:bottom w:w="0" w:type="dxa"/>
              <w:right w:w="15" w:type="dxa"/>
            </w:tcMar>
            <w:vAlign w:val="bottom"/>
            <w:hideMark/>
          </w:tcPr>
          <w:p w14:paraId="40E2C9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74617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36FFCE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CFF0FC"/>
            <w:noWrap/>
            <w:tcMar>
              <w:top w:w="15" w:type="dxa"/>
              <w:left w:w="0" w:type="dxa"/>
              <w:bottom w:w="0" w:type="dxa"/>
              <w:right w:w="15" w:type="dxa"/>
            </w:tcMar>
            <w:vAlign w:val="bottom"/>
            <w:hideMark/>
          </w:tcPr>
          <w:p w14:paraId="0E8EF4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7068D5E0" w14:textId="77777777">
        <w:trPr>
          <w:divId w:val="60560584"/>
          <w:jc w:val="center"/>
        </w:trPr>
        <w:tc>
          <w:tcPr>
            <w:tcW w:w="2517" w:type="pct"/>
            <w:shd w:val="clear" w:color="auto" w:fill="FFFFFF"/>
            <w:tcMar>
              <w:top w:w="15" w:type="dxa"/>
              <w:left w:w="0" w:type="dxa"/>
              <w:bottom w:w="0" w:type="dxa"/>
              <w:right w:w="15" w:type="dxa"/>
            </w:tcMar>
            <w:hideMark/>
          </w:tcPr>
          <w:p w14:paraId="7E63C0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 (loss) income, net</w:t>
            </w:r>
          </w:p>
        </w:tc>
        <w:tc>
          <w:tcPr>
            <w:tcW w:w="61" w:type="pct"/>
            <w:shd w:val="clear" w:color="auto" w:fill="FFFFFF"/>
            <w:tcMar>
              <w:top w:w="15" w:type="dxa"/>
              <w:left w:w="0" w:type="dxa"/>
              <w:bottom w:w="0" w:type="dxa"/>
              <w:right w:w="15" w:type="dxa"/>
            </w:tcMar>
            <w:vAlign w:val="bottom"/>
            <w:hideMark/>
          </w:tcPr>
          <w:p w14:paraId="53D0BB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AEF0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74037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5A3C4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FFFFFF"/>
            <w:tcMar>
              <w:top w:w="15" w:type="dxa"/>
              <w:left w:w="0" w:type="dxa"/>
              <w:bottom w:w="0" w:type="dxa"/>
              <w:right w:w="15" w:type="dxa"/>
            </w:tcMar>
            <w:vAlign w:val="bottom"/>
            <w:hideMark/>
          </w:tcPr>
          <w:p w14:paraId="46B943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5E4D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8CC37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168</w:t>
            </w:r>
          </w:p>
        </w:tc>
        <w:tc>
          <w:tcPr>
            <w:tcW w:w="50" w:type="pct"/>
            <w:shd w:val="clear" w:color="auto" w:fill="FFFFFF"/>
            <w:noWrap/>
            <w:tcMar>
              <w:top w:w="15" w:type="dxa"/>
              <w:left w:w="0" w:type="dxa"/>
              <w:bottom w:w="0" w:type="dxa"/>
              <w:right w:w="15" w:type="dxa"/>
            </w:tcMar>
            <w:vAlign w:val="bottom"/>
            <w:hideMark/>
          </w:tcPr>
          <w:p w14:paraId="2D6A62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FFFFFF"/>
            <w:tcMar>
              <w:top w:w="15" w:type="dxa"/>
              <w:left w:w="0" w:type="dxa"/>
              <w:bottom w:w="0" w:type="dxa"/>
              <w:right w:w="15" w:type="dxa"/>
            </w:tcMar>
            <w:vAlign w:val="bottom"/>
            <w:hideMark/>
          </w:tcPr>
          <w:p w14:paraId="6561AAFC" w14:textId="77777777" w:rsidR="00716E85" w:rsidRDefault="00716E85">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EE968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B619A9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3A74D3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1" w:type="pct"/>
            <w:shd w:val="clear" w:color="auto" w:fill="FFFFFF"/>
            <w:tcMar>
              <w:top w:w="15" w:type="dxa"/>
              <w:left w:w="0" w:type="dxa"/>
              <w:bottom w:w="0" w:type="dxa"/>
              <w:right w:w="15" w:type="dxa"/>
            </w:tcMar>
            <w:vAlign w:val="bottom"/>
            <w:hideMark/>
          </w:tcPr>
          <w:p w14:paraId="2ED709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A9129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DE1007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196</w:t>
            </w:r>
          </w:p>
        </w:tc>
        <w:tc>
          <w:tcPr>
            <w:tcW w:w="50" w:type="pct"/>
            <w:shd w:val="clear" w:color="auto" w:fill="FFFFFF"/>
            <w:noWrap/>
            <w:tcMar>
              <w:top w:w="15" w:type="dxa"/>
              <w:left w:w="0" w:type="dxa"/>
              <w:bottom w:w="0" w:type="dxa"/>
              <w:right w:w="15" w:type="dxa"/>
            </w:tcMar>
            <w:vAlign w:val="bottom"/>
            <w:hideMark/>
          </w:tcPr>
          <w:p w14:paraId="3BDB8AC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5DC1DFF" w14:textId="77777777">
        <w:trPr>
          <w:divId w:val="60560584"/>
          <w:jc w:val="center"/>
        </w:trPr>
        <w:tc>
          <w:tcPr>
            <w:tcW w:w="2517" w:type="pct"/>
            <w:shd w:val="clear" w:color="auto" w:fill="CFF0FC"/>
            <w:tcMar>
              <w:top w:w="15" w:type="dxa"/>
              <w:left w:w="0" w:type="dxa"/>
              <w:bottom w:w="0" w:type="dxa"/>
              <w:right w:w="15" w:type="dxa"/>
            </w:tcMar>
            <w:hideMark/>
          </w:tcPr>
          <w:p w14:paraId="00E1F8CD"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61" w:type="pct"/>
            <w:shd w:val="clear" w:color="auto" w:fill="CFF0FC"/>
            <w:tcMar>
              <w:top w:w="15" w:type="dxa"/>
              <w:left w:w="0" w:type="dxa"/>
              <w:bottom w:w="0" w:type="dxa"/>
              <w:right w:w="15" w:type="dxa"/>
            </w:tcMar>
            <w:vAlign w:val="bottom"/>
            <w:hideMark/>
          </w:tcPr>
          <w:p w14:paraId="78127E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995B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6178A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CFF0FC"/>
            <w:noWrap/>
            <w:tcMar>
              <w:top w:w="15" w:type="dxa"/>
              <w:left w:w="0" w:type="dxa"/>
              <w:bottom w:w="0" w:type="dxa"/>
              <w:right w:w="15" w:type="dxa"/>
            </w:tcMar>
            <w:vAlign w:val="bottom"/>
            <w:hideMark/>
          </w:tcPr>
          <w:p w14:paraId="6C5E05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6E0E2B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9574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A6EF5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409</w:t>
            </w:r>
          </w:p>
        </w:tc>
        <w:tc>
          <w:tcPr>
            <w:tcW w:w="50" w:type="pct"/>
            <w:shd w:val="clear" w:color="auto" w:fill="CFF0FC"/>
            <w:noWrap/>
            <w:tcMar>
              <w:top w:w="15" w:type="dxa"/>
              <w:left w:w="0" w:type="dxa"/>
              <w:bottom w:w="0" w:type="dxa"/>
              <w:right w:w="15" w:type="dxa"/>
            </w:tcMar>
            <w:vAlign w:val="bottom"/>
            <w:hideMark/>
          </w:tcPr>
          <w:p w14:paraId="4F37D9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2C93A323" w14:textId="77777777" w:rsidR="00716E85" w:rsidRDefault="00716E85">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E63E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0B88D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681</w:t>
            </w:r>
          </w:p>
        </w:tc>
        <w:tc>
          <w:tcPr>
            <w:tcW w:w="50" w:type="pct"/>
            <w:shd w:val="clear" w:color="auto" w:fill="CFF0FC"/>
            <w:noWrap/>
            <w:tcMar>
              <w:top w:w="15" w:type="dxa"/>
              <w:left w:w="0" w:type="dxa"/>
              <w:bottom w:w="0" w:type="dxa"/>
              <w:right w:w="15" w:type="dxa"/>
            </w:tcMar>
            <w:vAlign w:val="bottom"/>
            <w:hideMark/>
          </w:tcPr>
          <w:p w14:paraId="678D6F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1" w:type="pct"/>
            <w:shd w:val="clear" w:color="auto" w:fill="CFF0FC"/>
            <w:tcMar>
              <w:top w:w="15" w:type="dxa"/>
              <w:left w:w="0" w:type="dxa"/>
              <w:bottom w:w="0" w:type="dxa"/>
              <w:right w:w="15" w:type="dxa"/>
            </w:tcMar>
            <w:vAlign w:val="bottom"/>
            <w:hideMark/>
          </w:tcPr>
          <w:p w14:paraId="37FC7C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4377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3C212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891</w:t>
            </w:r>
          </w:p>
        </w:tc>
        <w:tc>
          <w:tcPr>
            <w:tcW w:w="50" w:type="pct"/>
            <w:shd w:val="clear" w:color="auto" w:fill="CFF0FC"/>
            <w:noWrap/>
            <w:tcMar>
              <w:top w:w="15" w:type="dxa"/>
              <w:left w:w="0" w:type="dxa"/>
              <w:bottom w:w="0" w:type="dxa"/>
              <w:right w:w="15" w:type="dxa"/>
            </w:tcMar>
            <w:vAlign w:val="bottom"/>
            <w:hideMark/>
          </w:tcPr>
          <w:p w14:paraId="64D04B0D"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877852D" w14:textId="77777777" w:rsidR="00716E85" w:rsidRDefault="00716E85">
      <w:pPr>
        <w:pStyle w:val="a3"/>
        <w:spacing w:before="0" w:beforeAutospacing="0" w:after="0" w:afterAutospacing="0"/>
        <w:jc w:val="both"/>
        <w:rPr>
          <w:sz w:val="12"/>
          <w:szCs w:val="12"/>
        </w:rPr>
      </w:pPr>
      <w:r>
        <w:rPr>
          <w:sz w:val="12"/>
          <w:szCs w:val="12"/>
        </w:rPr>
        <w:t> </w:t>
      </w:r>
    </w:p>
    <w:p w14:paraId="6C3CB209"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Sales of Financing Receivables</w:t>
      </w:r>
    </w:p>
    <w:p w14:paraId="6F87074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offer certain of our customers the option to acquire our software products, hardware products and services offerings through separate long-term payment contracts. We generally sell these contracts that we have financed for our customers on a non-recourse basis to financial institutions within 90 days of the contracts’ dates of execution. We record the transfers of amounts due from customers to financial institutions as sales of financing receivables because we are considered to have surrendered control of these financing receivables. Financing receivables sold to financial institutions were $274 million and $1.3 billion for the three and nine months ended February 28, 2019, respectively, and $360 million and $1.3 billion for the three and nine months ended February 28, 2018, respectively.</w:t>
      </w:r>
    </w:p>
    <w:p w14:paraId="2A2FA42F"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14</w:t>
      </w:r>
    </w:p>
    <w:p w14:paraId="00BA741F" w14:textId="77777777" w:rsidR="00716E85" w:rsidRDefault="00716E85">
      <w:pPr>
        <w:rPr>
          <w:rFonts w:ascii="Times New Roman" w:eastAsia="Times New Roman" w:hAnsi="Times New Roman" w:cs="Times New Roman"/>
          <w:sz w:val="24"/>
          <w:szCs w:val="24"/>
        </w:rPr>
      </w:pPr>
      <w:r>
        <w:rPr>
          <w:rFonts w:eastAsia="Times New Roman"/>
        </w:rPr>
        <w:pict w14:anchorId="3A810468">
          <v:rect id="_x0000_i1040" style="width:415.3pt;height:1.5pt" o:hralign="center" o:hrstd="t" o:hr="t" fillcolor="#a0a0a0" stroked="f"/>
        </w:pict>
      </w:r>
    </w:p>
    <w:p w14:paraId="0C0582F6"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A7DC599" w14:textId="77777777" w:rsidR="00716E85" w:rsidRDefault="00716E85">
      <w:pPr>
        <w:pStyle w:val="a3"/>
      </w:pPr>
      <w:r>
        <w:t> </w:t>
      </w:r>
    </w:p>
    <w:p w14:paraId="561266B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1AFA903C"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197C11E9"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47C7CF64"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576C0E90" w14:textId="77777777" w:rsidR="00716E85" w:rsidRDefault="00716E85">
      <w:pPr>
        <w:pStyle w:val="a3"/>
        <w:spacing w:before="0" w:beforeAutospacing="0" w:after="0" w:afterAutospacing="0"/>
        <w:rPr>
          <w:sz w:val="20"/>
          <w:szCs w:val="20"/>
        </w:rPr>
      </w:pPr>
      <w:r>
        <w:rPr>
          <w:sz w:val="20"/>
          <w:szCs w:val="20"/>
        </w:rPr>
        <w:t> </w:t>
      </w:r>
    </w:p>
    <w:p w14:paraId="67777EFB" w14:textId="77777777" w:rsidR="00716E85" w:rsidRDefault="00716E85">
      <w:pPr>
        <w:pStyle w:val="a3"/>
        <w:spacing w:before="240" w:beforeAutospacing="0" w:after="0" w:afterAutospacing="0"/>
        <w:jc w:val="both"/>
        <w:rPr>
          <w:rFonts w:ascii="Calibri" w:hAnsi="Calibri" w:cs="Calibri"/>
          <w:b/>
          <w:bCs/>
          <w:sz w:val="20"/>
          <w:szCs w:val="20"/>
        </w:rPr>
      </w:pPr>
      <w:bookmarkStart w:id="25" w:name="_AEIOULastRenderedPageBreakAEIOU17"/>
      <w:bookmarkEnd w:id="25"/>
      <w:r>
        <w:rPr>
          <w:rFonts w:ascii="Calibri" w:hAnsi="Calibri" w:cs="Calibri"/>
          <w:b/>
          <w:bCs/>
          <w:sz w:val="20"/>
          <w:szCs w:val="20"/>
        </w:rPr>
        <w:t>Recent Accounting Pronouncements</w:t>
      </w:r>
    </w:p>
    <w:p w14:paraId="6E4F46C3"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Internal-use Software:</w:t>
      </w:r>
      <w:r>
        <w:rPr>
          <w:rFonts w:ascii="Calibri" w:hAnsi="Calibri" w:cs="Calibri"/>
          <w:b/>
          <w:bCs/>
          <w:sz w:val="20"/>
          <w:szCs w:val="20"/>
        </w:rPr>
        <w:t>  </w:t>
      </w:r>
      <w:r>
        <w:rPr>
          <w:rFonts w:ascii="Calibri" w:hAnsi="Calibri" w:cs="Calibri"/>
          <w:sz w:val="20"/>
          <w:szCs w:val="20"/>
        </w:rPr>
        <w:t xml:space="preserve">In August 2018, the FASB issued ASU 2018-15, </w:t>
      </w:r>
      <w:r>
        <w:rPr>
          <w:rFonts w:ascii="Calibri" w:hAnsi="Calibri" w:cs="Calibri"/>
          <w:i/>
          <w:iCs/>
          <w:sz w:val="20"/>
          <w:szCs w:val="20"/>
        </w:rPr>
        <w:t>Intangibles—Goodwill and Other—Internal-Use Software (Subtopic 350-40): Customer’s Accounting for Implementation Costs Incurred in a Cloud Computing Arrangement That Is a Service Contract  </w:t>
      </w:r>
      <w:r>
        <w:rPr>
          <w:rFonts w:ascii="Calibri" w:hAnsi="Calibri" w:cs="Calibri"/>
          <w:sz w:val="20"/>
          <w:szCs w:val="20"/>
        </w:rPr>
        <w:t>(ASU 2018-15)</w:t>
      </w:r>
      <w:r>
        <w:rPr>
          <w:rFonts w:ascii="Calibri" w:hAnsi="Calibri" w:cs="Calibri"/>
          <w:i/>
          <w:iCs/>
          <w:sz w:val="20"/>
          <w:szCs w:val="20"/>
        </w:rPr>
        <w:t xml:space="preserve">, </w:t>
      </w:r>
      <w:r>
        <w:rPr>
          <w:rFonts w:ascii="Calibri" w:hAnsi="Calibri" w:cs="Calibri"/>
          <w:sz w:val="20"/>
          <w:szCs w:val="20"/>
        </w:rPr>
        <w:t>which clarifies the accounting for implementation costs in cloud computing arrangements. ASU 2018-15 is effective for us in the first quarter of fiscal 2020, and earlier adoption is permitted. We are currently evaluating the impact of our pending adoption of ASU 2018-15 on our consolidated financial statements.</w:t>
      </w:r>
    </w:p>
    <w:p w14:paraId="725A9009"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Retirement Benefits:</w:t>
      </w:r>
      <w:r>
        <w:rPr>
          <w:rFonts w:ascii="Calibri" w:hAnsi="Calibri" w:cs="Calibri"/>
          <w:sz w:val="20"/>
          <w:szCs w:val="20"/>
        </w:rPr>
        <w:t xml:space="preserve">  In August 2018, the FASB issued ASU 2018-14, </w:t>
      </w:r>
      <w:r>
        <w:rPr>
          <w:rFonts w:ascii="Calibri" w:hAnsi="Calibri" w:cs="Calibri"/>
          <w:i/>
          <w:iCs/>
          <w:sz w:val="20"/>
          <w:szCs w:val="20"/>
        </w:rPr>
        <w:t xml:space="preserve">Compensation—Retirement Benefits—Defined Benefit Plans—General (Topic 715-20): Disclosure Framework—Changes to the Disclosure Requirements for Defined Benefit Plans </w:t>
      </w:r>
      <w:r>
        <w:rPr>
          <w:rFonts w:ascii="Calibri" w:hAnsi="Calibri" w:cs="Calibri"/>
          <w:sz w:val="20"/>
          <w:szCs w:val="20"/>
        </w:rPr>
        <w:t>(ASU 2018-14),</w:t>
      </w:r>
      <w:r>
        <w:rPr>
          <w:rFonts w:ascii="Calibri" w:hAnsi="Calibri" w:cs="Calibri"/>
          <w:i/>
          <w:iCs/>
          <w:sz w:val="20"/>
          <w:szCs w:val="20"/>
        </w:rPr>
        <w:t xml:space="preserve"> </w:t>
      </w:r>
      <w:r>
        <w:rPr>
          <w:rFonts w:ascii="Calibri" w:hAnsi="Calibri" w:cs="Calibri"/>
          <w:sz w:val="20"/>
          <w:szCs w:val="20"/>
        </w:rPr>
        <w:t>which modifies the disclosure requirements for defined benefit pension plans and other postretirement plans. ASU 2018-14 is effective for us in the first quarter of fiscal 2021, and earlier adoption is permitted. We are currently evaluating the impact of our pending adoption of ASU 2018-14 on our consolidated financial statements.</w:t>
      </w:r>
    </w:p>
    <w:p w14:paraId="1754AA60"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Fair Value Measurement:  </w:t>
      </w:r>
      <w:r>
        <w:rPr>
          <w:rFonts w:ascii="Calibri" w:hAnsi="Calibri" w:cs="Calibri"/>
          <w:sz w:val="20"/>
          <w:szCs w:val="20"/>
        </w:rPr>
        <w:t xml:space="preserve">In August 2018, the FASB issued ASU 2018-13, </w:t>
      </w:r>
      <w:r>
        <w:rPr>
          <w:rFonts w:ascii="Calibri" w:hAnsi="Calibri" w:cs="Calibri"/>
          <w:i/>
          <w:iCs/>
          <w:sz w:val="20"/>
          <w:szCs w:val="20"/>
        </w:rPr>
        <w:t xml:space="preserve">Fair Value Measurement (Topic 820): Disclosure Framework—Changes to the Disclosure Requirements for Fair Value Measurement </w:t>
      </w:r>
      <w:r>
        <w:rPr>
          <w:rFonts w:ascii="Calibri" w:hAnsi="Calibri" w:cs="Calibri"/>
          <w:sz w:val="20"/>
          <w:szCs w:val="20"/>
        </w:rPr>
        <w:t>(ASU 2018-13), which modifies the disclosure requirements on fair value measurements. ASU 2018-13 is effective for us in the first quarter of fiscal 2020, and earlier adoption is permitted. We are currently evaluating the impact of our pending adoption of ASU 2018-13 on our consolidated financial statements.</w:t>
      </w:r>
    </w:p>
    <w:p w14:paraId="2618D727"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Comprehensive Income:  </w:t>
      </w:r>
      <w:r>
        <w:rPr>
          <w:rFonts w:ascii="Calibri" w:hAnsi="Calibri" w:cs="Calibri"/>
          <w:sz w:val="20"/>
          <w:szCs w:val="20"/>
        </w:rPr>
        <w:t>In February 2018, the FASB issued ASU 2018-02,</w:t>
      </w:r>
      <w:r>
        <w:rPr>
          <w:rFonts w:ascii="Calibri" w:hAnsi="Calibri" w:cs="Calibri"/>
          <w:i/>
          <w:iCs/>
          <w:sz w:val="20"/>
          <w:szCs w:val="20"/>
        </w:rPr>
        <w:t xml:space="preserve"> Income Statement—Reporting Comprehensive Income (Topic 220): Reclassification of Certain Tax Effects from Accumulated Other Comprehensive Income </w:t>
      </w:r>
      <w:r>
        <w:rPr>
          <w:rFonts w:ascii="Calibri" w:hAnsi="Calibri" w:cs="Calibri"/>
          <w:sz w:val="20"/>
          <w:szCs w:val="20"/>
        </w:rPr>
        <w:t>(ASU 2018-02),</w:t>
      </w:r>
      <w:r>
        <w:rPr>
          <w:rFonts w:ascii="Calibri" w:hAnsi="Calibri" w:cs="Calibri"/>
          <w:i/>
          <w:iCs/>
          <w:sz w:val="20"/>
          <w:szCs w:val="20"/>
        </w:rPr>
        <w:t xml:space="preserve"> </w:t>
      </w:r>
      <w:r>
        <w:rPr>
          <w:rFonts w:ascii="Calibri" w:hAnsi="Calibri" w:cs="Calibri"/>
          <w:sz w:val="20"/>
          <w:szCs w:val="20"/>
        </w:rPr>
        <w:t>which allows companies to reclassify stranded tax effects resulting from the Tax Act, from accumulated other comprehensive income to retained earnings. The guidance also requires certain new disclosures regardless of the election.  ASU 2018-02 is effective for us in the first quarter of fiscal 2020, and earlier adoption is permitted. We are currently evaluating the impact of our pending adoption of ASU 2018-02 on our consolidated financial statements.</w:t>
      </w:r>
    </w:p>
    <w:p w14:paraId="2202C870"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Financial Instruments:</w:t>
      </w:r>
      <w:r>
        <w:rPr>
          <w:rFonts w:ascii="Calibri" w:hAnsi="Calibri" w:cs="Calibri"/>
          <w:sz w:val="20"/>
          <w:szCs w:val="20"/>
        </w:rPr>
        <w:t xml:space="preserve">  In June 2016, the FASB issued ASU 2016-13, </w:t>
      </w:r>
      <w:r>
        <w:rPr>
          <w:rFonts w:ascii="Calibri" w:hAnsi="Calibri" w:cs="Calibri"/>
          <w:i/>
          <w:iCs/>
          <w:sz w:val="20"/>
          <w:szCs w:val="20"/>
        </w:rPr>
        <w:t>Financial Instruments—Credit Losses (Topic 326): Measurement of Credit Losses on Financial Instruments</w:t>
      </w:r>
      <w:r>
        <w:rPr>
          <w:rFonts w:ascii="Calibri" w:hAnsi="Calibri" w:cs="Calibri"/>
          <w:sz w:val="20"/>
          <w:szCs w:val="20"/>
        </w:rPr>
        <w:t xml:space="preserve"> (ASU 2016-13) and subsequent amendment to the initial guidance: ASU 2018-19 (collectively, Topic 326). Topic 326 requires measurement and recognition of expected credit losses for financial assets held. Topic 326 is effective for us in our first quarter of fiscal 2021, and earlier adoption is permitted beginning in the first quarter of fiscal 2020. We are currently evaluating the impact of our pending adoption of Topic 326 on our consolidated financial statements.</w:t>
      </w:r>
    </w:p>
    <w:p w14:paraId="5FD03F49"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Leases:</w:t>
      </w:r>
      <w:r>
        <w:rPr>
          <w:rFonts w:ascii="Calibri" w:hAnsi="Calibri" w:cs="Calibri"/>
          <w:i/>
          <w:iCs/>
          <w:sz w:val="20"/>
          <w:szCs w:val="20"/>
        </w:rPr>
        <w:t>  </w:t>
      </w:r>
      <w:r>
        <w:rPr>
          <w:rFonts w:ascii="Calibri" w:hAnsi="Calibri" w:cs="Calibri"/>
          <w:sz w:val="20"/>
          <w:szCs w:val="20"/>
        </w:rPr>
        <w:t xml:space="preserve">In February 2016, the FASB issued ASU 2016-02, </w:t>
      </w:r>
      <w:r>
        <w:rPr>
          <w:rFonts w:ascii="Calibri" w:hAnsi="Calibri" w:cs="Calibri"/>
          <w:i/>
          <w:iCs/>
          <w:sz w:val="20"/>
          <w:szCs w:val="20"/>
        </w:rPr>
        <w:t>Leases</w:t>
      </w:r>
      <w:r>
        <w:rPr>
          <w:rFonts w:ascii="Calibri" w:hAnsi="Calibri" w:cs="Calibri"/>
          <w:sz w:val="20"/>
          <w:szCs w:val="20"/>
        </w:rPr>
        <w:t xml:space="preserve"> </w:t>
      </w:r>
      <w:r>
        <w:rPr>
          <w:rFonts w:ascii="Calibri" w:hAnsi="Calibri" w:cs="Calibri"/>
          <w:i/>
          <w:iCs/>
          <w:sz w:val="20"/>
          <w:szCs w:val="20"/>
        </w:rPr>
        <w:t>(Topic 842)</w:t>
      </w:r>
      <w:r>
        <w:rPr>
          <w:rFonts w:ascii="Calibri" w:hAnsi="Calibri" w:cs="Calibri"/>
          <w:sz w:val="20"/>
          <w:szCs w:val="20"/>
        </w:rPr>
        <w:t xml:space="preserve"> and subsequent amendments to the initial guidance: ASU 2017-13, ASU 2018-10, ASU 2018-11, ASU 2018-20 and ASU 2019-01 (collectively, Topic 842). Topic 842 requires companies to generally recognize on the balance sheet operating and financing lease liabilities and corresponding right-of-use assets. We expect to adopt Topic ASC 842 using the effective date of June 1, 2019 as the date of our initial application of the standard. Consequently, financial information for the comparative periods will not be updated. We are currently evaluating the impact of our pending adoption of Topic 842 on our consolidated financial statements. We currently expect that most of our operating lease commitments will be subject to the new standard and recognized as operating lease liabilities and right-of-use assets upon our adoption of Topic 842, which will increase our total assets and total liabilities that we report relative to such amounts prior to adoption.</w:t>
      </w:r>
    </w:p>
    <w:p w14:paraId="5318C21D" w14:textId="77777777" w:rsidR="00716E85" w:rsidRDefault="00716E85">
      <w:pPr>
        <w:pStyle w:val="a3"/>
        <w:spacing w:before="0" w:beforeAutospacing="0" w:after="0" w:afterAutospacing="0"/>
        <w:jc w:val="both"/>
        <w:rPr>
          <w:sz w:val="12"/>
          <w:szCs w:val="12"/>
        </w:rPr>
      </w:pPr>
      <w:r>
        <w:rPr>
          <w:sz w:val="12"/>
          <w:szCs w:val="12"/>
        </w:rPr>
        <w:t> </w:t>
      </w:r>
    </w:p>
    <w:p w14:paraId="77DBB044"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15</w:t>
      </w:r>
    </w:p>
    <w:p w14:paraId="420629D2" w14:textId="77777777" w:rsidR="00716E85" w:rsidRDefault="00716E85">
      <w:pPr>
        <w:rPr>
          <w:rFonts w:ascii="Times New Roman" w:eastAsia="Times New Roman" w:hAnsi="Times New Roman" w:cs="Times New Roman"/>
          <w:sz w:val="24"/>
          <w:szCs w:val="24"/>
        </w:rPr>
      </w:pPr>
      <w:r>
        <w:rPr>
          <w:rFonts w:eastAsia="Times New Roman"/>
        </w:rPr>
        <w:pict w14:anchorId="0292EAF8">
          <v:rect id="_x0000_i1041" style="width:415.3pt;height:1.5pt" o:hralign="center" o:hrstd="t" o:hr="t" fillcolor="#a0a0a0" stroked="f"/>
        </w:pict>
      </w:r>
    </w:p>
    <w:p w14:paraId="017F46B8"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AC8A3C4" w14:textId="77777777" w:rsidR="00716E85" w:rsidRDefault="00716E85">
      <w:pPr>
        <w:pStyle w:val="a3"/>
      </w:pPr>
      <w:r>
        <w:t> </w:t>
      </w:r>
    </w:p>
    <w:p w14:paraId="4E3F3C0B"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AEF4CEB"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7966D080"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7859A58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222FFC98"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4C4B79C3" w14:textId="77777777">
        <w:tc>
          <w:tcPr>
            <w:tcW w:w="262" w:type="pct"/>
            <w:noWrap/>
            <w:hideMark/>
          </w:tcPr>
          <w:p w14:paraId="25FA10E3"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2.</w:t>
            </w:r>
          </w:p>
        </w:tc>
        <w:tc>
          <w:tcPr>
            <w:tcW w:w="0" w:type="auto"/>
            <w:hideMark/>
          </w:tcPr>
          <w:p w14:paraId="05669AC0" w14:textId="77777777" w:rsidR="00716E85" w:rsidRDefault="00716E85">
            <w:pPr>
              <w:pStyle w:val="a3"/>
              <w:spacing w:before="0" w:beforeAutospacing="0" w:after="0" w:afterAutospacing="0"/>
              <w:jc w:val="both"/>
              <w:rPr>
                <w:rFonts w:ascii="Calibri" w:hAnsi="Calibri" w:cs="Calibri"/>
                <w:b/>
                <w:bCs/>
                <w:sz w:val="20"/>
                <w:szCs w:val="20"/>
              </w:rPr>
            </w:pPr>
            <w:bookmarkStart w:id="26" w:name="_AEIOULastRenderedPageBreakAEIOU18"/>
            <w:bookmarkEnd w:id="26"/>
            <w:r>
              <w:rPr>
                <w:rFonts w:ascii="Calibri" w:hAnsi="Calibri" w:cs="Calibri"/>
                <w:b/>
                <w:bCs/>
                <w:sz w:val="20"/>
                <w:szCs w:val="20"/>
              </w:rPr>
              <w:t>ACQUISITIONS</w:t>
            </w:r>
          </w:p>
        </w:tc>
      </w:tr>
    </w:tbl>
    <w:p w14:paraId="068B08A8" w14:textId="77777777" w:rsidR="00716E85" w:rsidRDefault="00716E85">
      <w:pPr>
        <w:pStyle w:val="a3"/>
        <w:spacing w:before="120" w:beforeAutospacing="0" w:after="0" w:afterAutospacing="0"/>
        <w:rPr>
          <w:rFonts w:ascii="Calibri" w:hAnsi="Calibri" w:cs="Calibri"/>
          <w:b/>
          <w:bCs/>
          <w:sz w:val="20"/>
          <w:szCs w:val="20"/>
        </w:rPr>
      </w:pPr>
      <w:r>
        <w:rPr>
          <w:rFonts w:ascii="Calibri" w:hAnsi="Calibri" w:cs="Calibri"/>
          <w:b/>
          <w:bCs/>
          <w:sz w:val="20"/>
          <w:szCs w:val="20"/>
        </w:rPr>
        <w:t xml:space="preserve">Fiscal 2018 Acquisition of Aconex Limited </w:t>
      </w:r>
    </w:p>
    <w:p w14:paraId="1ED7CE3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On March 28, 2018, we completed our acquisition of Aconex Limited (Aconex), a provider of cloud-based collaboration software for construction projects. </w:t>
      </w:r>
    </w:p>
    <w:p w14:paraId="580E6B1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included the financial results of Aconex in our condensed consolidated financial statements from the date of acquisition. These results were not individually material to our condensed consolidated financial statements. The total preliminary purchase price for Aconex was approximately $1.2 billion, which consisted of approximately $1.2 billion in cash and $7 million for the fair values of stock options and restricted stock-based awards assumed. In connection with the Aconex acquisition, we have preliminarily recorded $20 million of net liabilities and $377 million of identifiable intangible assets based on their estimated fair values, and $864 million of residual goodwill. Goodwill generated from our acquisition of Aconex was primarily attributable to synergies expected to arise after the acquisition and is not expected to be tax deductible.</w:t>
      </w:r>
    </w:p>
    <w:p w14:paraId="3C2E64A3"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 xml:space="preserve">Other Fiscal 2019 and 2018 Acquisitions </w:t>
      </w:r>
    </w:p>
    <w:p w14:paraId="5AD7858C" w14:textId="77777777" w:rsidR="00716E85" w:rsidRDefault="00716E85">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During the first nine months of fiscal 2019 and the full fiscal year of 2018, we acquired certain other companies and purchased certain technology and development assets primarily to expand our products and services offerings. These acquisitions were not significant individually or in the aggregate.</w:t>
      </w:r>
    </w:p>
    <w:p w14:paraId="192B3EE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preliminary fair values of net tangible assets and intangible assets acquired were based on preliminary valuations, and our estimates and assumptions are subject to change within the measurement period (up to one year from the acquisition date). The primary areas that remain preliminary relate to the fair values of intangible assets acquired, certain tangible assets and liabilities acquired, certain legal matters, income and non-income based taxes and residual goodwill. We expect to continue to obtain information to assist us in determining the fair values of the net assets acquired during the measurement period.</w:t>
      </w:r>
    </w:p>
    <w:p w14:paraId="2B17EA3F"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Unaudited Pro Forma Financial Information</w:t>
      </w:r>
    </w:p>
    <w:p w14:paraId="4F8248A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unaudited pro forma financial information in the table below summarizes the combined results of operations for Oracle, Aconex and certain other companies that we acquired since the beginning of fiscal 2018 that were considered relevant for the purposes of unaudited pro forma financial information disclosure as if the companies were combined as of the beginning of fiscal 2018. The unaudited pro forma financial information for all periods presented included the business combination accounting effects resulting from these acquisitions, including amortization charges from acquired intangible assets (certain of which are preliminary), stock-based compensation charges for unvested restricted stock-based awards and stock options assumed, if any, and the related tax effects as though the aforementioned companies were combined as of the beginning of fiscal 2018. The unaudited pro forma financial information as presented below is for informational purposes only and is not necessarily indicative of the results of operations that would have been achieved if the acquisitions had taken place at the beginning of fiscal 2018.</w:t>
      </w:r>
    </w:p>
    <w:p w14:paraId="542B143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unaudited pro forma financial information for the three and nine months ended February 28, 2019 presented the historical results of Oracle for the three and nine months ended February 28, 2019, and certain other companies that we acquired since the beginning of fiscal 2019 based upon their respective previous reporting periods and the dates these companies were acquired by us, and the effects of the pro forma adjustments listed above.</w:t>
      </w:r>
    </w:p>
    <w:p w14:paraId="13B3C6D2"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16</w:t>
      </w:r>
    </w:p>
    <w:p w14:paraId="72DF2048" w14:textId="77777777" w:rsidR="00716E85" w:rsidRDefault="00716E85">
      <w:pPr>
        <w:rPr>
          <w:rFonts w:ascii="Times New Roman" w:eastAsia="Times New Roman" w:hAnsi="Times New Roman" w:cs="Times New Roman"/>
          <w:sz w:val="24"/>
          <w:szCs w:val="24"/>
        </w:rPr>
      </w:pPr>
      <w:r>
        <w:rPr>
          <w:rFonts w:eastAsia="Times New Roman"/>
        </w:rPr>
        <w:pict w14:anchorId="594CCFC2">
          <v:rect id="_x0000_i1042" style="width:415.3pt;height:1.5pt" o:hralign="center" o:hrstd="t" o:hr="t" fillcolor="#a0a0a0" stroked="f"/>
        </w:pict>
      </w:r>
    </w:p>
    <w:p w14:paraId="74E65A9F"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42F7854" w14:textId="77777777" w:rsidR="00716E85" w:rsidRDefault="00716E85">
      <w:pPr>
        <w:pStyle w:val="a3"/>
      </w:pPr>
      <w:r>
        <w:t> </w:t>
      </w:r>
    </w:p>
    <w:p w14:paraId="6C27FE03"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548AE94"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605E3669"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195A416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368BA512" w14:textId="77777777" w:rsidR="00716E85" w:rsidRDefault="00716E85">
      <w:pPr>
        <w:pStyle w:val="a3"/>
        <w:spacing w:before="0" w:beforeAutospacing="0" w:after="0" w:afterAutospacing="0"/>
        <w:rPr>
          <w:sz w:val="20"/>
          <w:szCs w:val="20"/>
        </w:rPr>
      </w:pPr>
      <w:r>
        <w:rPr>
          <w:sz w:val="20"/>
          <w:szCs w:val="20"/>
        </w:rPr>
        <w:t> </w:t>
      </w:r>
    </w:p>
    <w:p w14:paraId="2648742A" w14:textId="77777777" w:rsidR="00716E85" w:rsidRDefault="00716E85">
      <w:pPr>
        <w:pStyle w:val="a3"/>
        <w:spacing w:before="120" w:beforeAutospacing="0" w:after="0" w:afterAutospacing="0"/>
        <w:jc w:val="both"/>
        <w:rPr>
          <w:rFonts w:ascii="Calibri" w:hAnsi="Calibri" w:cs="Calibri"/>
          <w:sz w:val="20"/>
          <w:szCs w:val="20"/>
        </w:rPr>
      </w:pPr>
      <w:bookmarkStart w:id="27" w:name="_AEIOULastRenderedPageBreakAEIOU19"/>
      <w:bookmarkEnd w:id="27"/>
      <w:r>
        <w:rPr>
          <w:rFonts w:ascii="Calibri" w:hAnsi="Calibri" w:cs="Calibri"/>
          <w:sz w:val="20"/>
          <w:szCs w:val="20"/>
        </w:rPr>
        <w:t>The unaudited pro forma financial information for the three and nine months ended February 28, 2018 combined the historical results of Oracle for the three and nine months ended February 28, 2018 and the historical results of Aconex for the twelve month period ended December 31, 2017 (adjusted due to differences in reporting periods and considering the date we acquired Aconex) and certain other companies that we acquired since the beginning of fiscal 2018 based upon their respective previous reporting periods and the dates these companies were acquired by us, and the effects of the pro forma adjustments listed above. The unaudited pro forma financial information was as follows:</w:t>
      </w:r>
    </w:p>
    <w:p w14:paraId="449D33D1" w14:textId="77777777" w:rsidR="00716E85" w:rsidRDefault="00716E85">
      <w:pPr>
        <w:pStyle w:val="a3"/>
        <w:spacing w:before="0" w:beforeAutospacing="0" w:after="0" w:afterAutospacing="0"/>
        <w:rPr>
          <w:rFonts w:ascii="Calibri" w:hAnsi="Calibri" w:cs="Calibri"/>
          <w:sz w:val="16"/>
          <w:szCs w:val="16"/>
        </w:rPr>
      </w:pPr>
      <w:r>
        <w:rPr>
          <w:rFonts w:ascii="Calibri" w:hAnsi="Calibri" w:cs="Calibri"/>
          <w:sz w:val="16"/>
          <w:szCs w:val="16"/>
        </w:rPr>
        <w:t> </w:t>
      </w:r>
    </w:p>
    <w:tbl>
      <w:tblPr>
        <w:tblW w:w="5000" w:type="pct"/>
        <w:jc w:val="center"/>
        <w:tblCellMar>
          <w:left w:w="0" w:type="dxa"/>
          <w:right w:w="0" w:type="dxa"/>
        </w:tblCellMar>
        <w:tblLook w:val="04A0" w:firstRow="1" w:lastRow="0" w:firstColumn="1" w:lastColumn="0" w:noHBand="0" w:noVBand="1"/>
      </w:tblPr>
      <w:tblGrid>
        <w:gridCol w:w="4021"/>
        <w:gridCol w:w="94"/>
        <w:gridCol w:w="117"/>
        <w:gridCol w:w="786"/>
        <w:gridCol w:w="72"/>
        <w:gridCol w:w="95"/>
        <w:gridCol w:w="117"/>
        <w:gridCol w:w="787"/>
        <w:gridCol w:w="76"/>
        <w:gridCol w:w="92"/>
        <w:gridCol w:w="117"/>
        <w:gridCol w:w="787"/>
        <w:gridCol w:w="73"/>
        <w:gridCol w:w="95"/>
        <w:gridCol w:w="117"/>
        <w:gridCol w:w="787"/>
        <w:gridCol w:w="73"/>
      </w:tblGrid>
      <w:tr w:rsidR="00716E85" w14:paraId="166A4359" w14:textId="77777777">
        <w:trPr>
          <w:divId w:val="907303063"/>
          <w:jc w:val="center"/>
        </w:trPr>
        <w:tc>
          <w:tcPr>
            <w:tcW w:w="2426" w:type="pct"/>
            <w:shd w:val="clear" w:color="auto" w:fill="FFFFFF"/>
            <w:tcMar>
              <w:top w:w="15" w:type="dxa"/>
              <w:left w:w="0" w:type="dxa"/>
              <w:bottom w:w="0" w:type="dxa"/>
              <w:right w:w="15" w:type="dxa"/>
            </w:tcMar>
            <w:vAlign w:val="bottom"/>
            <w:hideMark/>
          </w:tcPr>
          <w:p w14:paraId="5DD9BA7B" w14:textId="77777777" w:rsidR="00716E85" w:rsidRDefault="00716E85">
            <w:pPr>
              <w:pStyle w:val="a3"/>
              <w:spacing w:before="0" w:beforeAutospacing="0" w:after="0" w:afterAutospacing="0"/>
              <w:jc w:val="center"/>
              <w:rPr>
                <w:sz w:val="20"/>
                <w:szCs w:val="20"/>
              </w:rPr>
            </w:pPr>
            <w:r>
              <w:rPr>
                <w:sz w:val="20"/>
                <w:szCs w:val="20"/>
              </w:rPr>
              <w:t> </w:t>
            </w:r>
          </w:p>
        </w:tc>
        <w:tc>
          <w:tcPr>
            <w:tcW w:w="63" w:type="pct"/>
            <w:shd w:val="clear" w:color="auto" w:fill="FFFFFF"/>
            <w:tcMar>
              <w:top w:w="15" w:type="dxa"/>
              <w:left w:w="0" w:type="dxa"/>
              <w:bottom w:w="0" w:type="dxa"/>
              <w:right w:w="15" w:type="dxa"/>
            </w:tcMar>
            <w:vAlign w:val="bottom"/>
            <w:hideMark/>
          </w:tcPr>
          <w:p w14:paraId="04D3ED8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173" w:type="pct"/>
            <w:gridSpan w:val="6"/>
            <w:tcBorders>
              <w:bottom w:val="single" w:sz="6" w:space="0" w:color="000000"/>
            </w:tcBorders>
            <w:shd w:val="clear" w:color="auto" w:fill="FFFFFF"/>
            <w:tcMar>
              <w:top w:w="15" w:type="dxa"/>
              <w:left w:w="0" w:type="dxa"/>
              <w:bottom w:w="0" w:type="dxa"/>
              <w:right w:w="15" w:type="dxa"/>
            </w:tcMar>
            <w:vAlign w:val="bottom"/>
            <w:hideMark/>
          </w:tcPr>
          <w:p w14:paraId="514D378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1A571E5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1B32C3B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left w:w="0" w:type="dxa"/>
              <w:bottom w:w="0" w:type="dxa"/>
              <w:right w:w="15" w:type="dxa"/>
            </w:tcMar>
            <w:vAlign w:val="bottom"/>
            <w:hideMark/>
          </w:tcPr>
          <w:p w14:paraId="058B4FD3"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1173" w:type="pct"/>
            <w:gridSpan w:val="6"/>
            <w:tcBorders>
              <w:bottom w:val="single" w:sz="6" w:space="0" w:color="000000"/>
            </w:tcBorders>
            <w:shd w:val="clear" w:color="auto" w:fill="FFFFFF"/>
            <w:tcMar>
              <w:top w:w="15" w:type="dxa"/>
              <w:left w:w="0" w:type="dxa"/>
              <w:bottom w:w="0" w:type="dxa"/>
              <w:right w:w="15" w:type="dxa"/>
            </w:tcMar>
            <w:vAlign w:val="bottom"/>
            <w:hideMark/>
          </w:tcPr>
          <w:p w14:paraId="4C820D4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3444E69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524E06D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81C77FC" w14:textId="77777777">
        <w:trPr>
          <w:divId w:val="907303063"/>
          <w:jc w:val="center"/>
        </w:trPr>
        <w:tc>
          <w:tcPr>
            <w:tcW w:w="2426" w:type="pct"/>
            <w:tcBorders>
              <w:bottom w:val="single" w:sz="6" w:space="0" w:color="000000"/>
            </w:tcBorders>
            <w:shd w:val="clear" w:color="auto" w:fill="FFFFFF"/>
            <w:tcMar>
              <w:top w:w="15" w:type="dxa"/>
              <w:left w:w="0" w:type="dxa"/>
              <w:bottom w:w="0" w:type="dxa"/>
              <w:right w:w="15" w:type="dxa"/>
            </w:tcMar>
            <w:vAlign w:val="bottom"/>
            <w:hideMark/>
          </w:tcPr>
          <w:p w14:paraId="05A678D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3" w:type="pct"/>
            <w:shd w:val="clear" w:color="auto" w:fill="FFFFFF"/>
            <w:tcMar>
              <w:top w:w="15" w:type="dxa"/>
              <w:left w:w="0" w:type="dxa"/>
              <w:bottom w:w="0" w:type="dxa"/>
              <w:right w:w="15" w:type="dxa"/>
            </w:tcMar>
            <w:vAlign w:val="bottom"/>
            <w:hideMark/>
          </w:tcPr>
          <w:p w14:paraId="5E776D5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AB294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F5C68B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672AAE2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677D9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C4A9E0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tcMar>
              <w:top w:w="15" w:type="dxa"/>
              <w:left w:w="0" w:type="dxa"/>
              <w:bottom w:w="0" w:type="dxa"/>
              <w:right w:w="15" w:type="dxa"/>
            </w:tcMar>
            <w:vAlign w:val="bottom"/>
            <w:hideMark/>
          </w:tcPr>
          <w:p w14:paraId="559DD3DA"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D5338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8269A0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2BEF220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F8740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98901F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01E451C" w14:textId="77777777">
        <w:trPr>
          <w:divId w:val="907303063"/>
          <w:jc w:val="center"/>
        </w:trPr>
        <w:tc>
          <w:tcPr>
            <w:tcW w:w="2426" w:type="pct"/>
            <w:tcBorders>
              <w:top w:val="single" w:sz="6" w:space="0" w:color="000000"/>
            </w:tcBorders>
            <w:shd w:val="clear" w:color="auto" w:fill="CFF0FC"/>
            <w:tcMar>
              <w:top w:w="15" w:type="dxa"/>
              <w:left w:w="0" w:type="dxa"/>
              <w:bottom w:w="0" w:type="dxa"/>
              <w:right w:w="15" w:type="dxa"/>
            </w:tcMar>
            <w:hideMark/>
          </w:tcPr>
          <w:p w14:paraId="6733B4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Total revenues</w:t>
            </w:r>
          </w:p>
        </w:tc>
        <w:tc>
          <w:tcPr>
            <w:tcW w:w="63" w:type="pct"/>
            <w:shd w:val="clear" w:color="auto" w:fill="CFF0FC"/>
            <w:tcMar>
              <w:top w:w="15" w:type="dxa"/>
              <w:left w:w="0" w:type="dxa"/>
              <w:bottom w:w="0" w:type="dxa"/>
              <w:right w:w="15" w:type="dxa"/>
            </w:tcMar>
            <w:vAlign w:val="bottom"/>
            <w:hideMark/>
          </w:tcPr>
          <w:p w14:paraId="45A31D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ADD1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left w:w="0" w:type="dxa"/>
              <w:bottom w:w="0" w:type="dxa"/>
              <w:right w:w="15" w:type="dxa"/>
            </w:tcMar>
            <w:vAlign w:val="bottom"/>
            <w:hideMark/>
          </w:tcPr>
          <w:p w14:paraId="30590C9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left w:w="0" w:type="dxa"/>
              <w:bottom w:w="0" w:type="dxa"/>
              <w:right w:w="15" w:type="dxa"/>
            </w:tcMar>
            <w:vAlign w:val="bottom"/>
            <w:hideMark/>
          </w:tcPr>
          <w:p w14:paraId="6345AA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left w:w="0" w:type="dxa"/>
              <w:bottom w:w="0" w:type="dxa"/>
              <w:right w:w="15" w:type="dxa"/>
            </w:tcMar>
            <w:vAlign w:val="bottom"/>
            <w:hideMark/>
          </w:tcPr>
          <w:p w14:paraId="029D0F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63D0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left w:w="0" w:type="dxa"/>
              <w:bottom w:w="0" w:type="dxa"/>
              <w:right w:w="15" w:type="dxa"/>
            </w:tcMar>
            <w:vAlign w:val="bottom"/>
            <w:hideMark/>
          </w:tcPr>
          <w:p w14:paraId="3632994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9,724</w:t>
            </w:r>
          </w:p>
        </w:tc>
        <w:tc>
          <w:tcPr>
            <w:tcW w:w="50" w:type="pct"/>
            <w:shd w:val="clear" w:color="auto" w:fill="CFF0FC"/>
            <w:noWrap/>
            <w:tcMar>
              <w:top w:w="15" w:type="dxa"/>
              <w:left w:w="0" w:type="dxa"/>
              <w:bottom w:w="0" w:type="dxa"/>
              <w:right w:w="15" w:type="dxa"/>
            </w:tcMar>
            <w:vAlign w:val="bottom"/>
            <w:hideMark/>
          </w:tcPr>
          <w:p w14:paraId="4E2F66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left w:w="0" w:type="dxa"/>
              <w:bottom w:w="0" w:type="dxa"/>
              <w:right w:w="15" w:type="dxa"/>
            </w:tcMar>
            <w:vAlign w:val="bottom"/>
            <w:hideMark/>
          </w:tcPr>
          <w:p w14:paraId="0B757212"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A5CF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left w:w="0" w:type="dxa"/>
              <w:bottom w:w="0" w:type="dxa"/>
              <w:right w:w="15" w:type="dxa"/>
            </w:tcMar>
            <w:vAlign w:val="bottom"/>
            <w:hideMark/>
          </w:tcPr>
          <w:p w14:paraId="7B271B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28,376</w:t>
            </w:r>
          </w:p>
        </w:tc>
        <w:tc>
          <w:tcPr>
            <w:tcW w:w="50" w:type="pct"/>
            <w:shd w:val="clear" w:color="auto" w:fill="CFF0FC"/>
            <w:noWrap/>
            <w:tcMar>
              <w:top w:w="15" w:type="dxa"/>
              <w:left w:w="0" w:type="dxa"/>
              <w:bottom w:w="0" w:type="dxa"/>
              <w:right w:w="15" w:type="dxa"/>
            </w:tcMar>
            <w:vAlign w:val="bottom"/>
            <w:hideMark/>
          </w:tcPr>
          <w:p w14:paraId="264D6A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left w:w="0" w:type="dxa"/>
              <w:bottom w:w="0" w:type="dxa"/>
              <w:right w:w="15" w:type="dxa"/>
            </w:tcMar>
            <w:vAlign w:val="bottom"/>
            <w:hideMark/>
          </w:tcPr>
          <w:p w14:paraId="02ED1B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43E6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tcBorders>
              <w:top w:val="single" w:sz="6" w:space="0" w:color="000000"/>
            </w:tcBorders>
            <w:shd w:val="clear" w:color="auto" w:fill="CFF0FC"/>
            <w:noWrap/>
            <w:tcMar>
              <w:top w:w="15" w:type="dxa"/>
              <w:left w:w="0" w:type="dxa"/>
              <w:bottom w:w="0" w:type="dxa"/>
              <w:right w:w="15" w:type="dxa"/>
            </w:tcMar>
            <w:vAlign w:val="bottom"/>
            <w:hideMark/>
          </w:tcPr>
          <w:p w14:paraId="10F235C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28,507</w:t>
            </w:r>
          </w:p>
        </w:tc>
        <w:tc>
          <w:tcPr>
            <w:tcW w:w="50" w:type="pct"/>
            <w:shd w:val="clear" w:color="auto" w:fill="CFF0FC"/>
            <w:noWrap/>
            <w:tcMar>
              <w:top w:w="15" w:type="dxa"/>
              <w:left w:w="0" w:type="dxa"/>
              <w:bottom w:w="0" w:type="dxa"/>
              <w:right w:w="15" w:type="dxa"/>
            </w:tcMar>
            <w:vAlign w:val="bottom"/>
            <w:hideMark/>
          </w:tcPr>
          <w:p w14:paraId="3706EF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E99C845" w14:textId="77777777">
        <w:trPr>
          <w:divId w:val="907303063"/>
          <w:jc w:val="center"/>
        </w:trPr>
        <w:tc>
          <w:tcPr>
            <w:tcW w:w="2426" w:type="pct"/>
            <w:shd w:val="clear" w:color="auto" w:fill="FFFFFF"/>
            <w:tcMar>
              <w:top w:w="15" w:type="dxa"/>
              <w:left w:w="0" w:type="dxa"/>
              <w:bottom w:w="0" w:type="dxa"/>
              <w:right w:w="15" w:type="dxa"/>
            </w:tcMar>
            <w:hideMark/>
          </w:tcPr>
          <w:p w14:paraId="444E0D9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 (loss)</w:t>
            </w:r>
          </w:p>
        </w:tc>
        <w:tc>
          <w:tcPr>
            <w:tcW w:w="63" w:type="pct"/>
            <w:shd w:val="clear" w:color="auto" w:fill="FFFFFF"/>
            <w:tcMar>
              <w:top w:w="15" w:type="dxa"/>
              <w:left w:w="0" w:type="dxa"/>
              <w:bottom w:w="0" w:type="dxa"/>
              <w:right w:w="15" w:type="dxa"/>
            </w:tcMar>
            <w:vAlign w:val="bottom"/>
            <w:hideMark/>
          </w:tcPr>
          <w:p w14:paraId="016BA8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2855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186E9A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2,745</w:t>
            </w:r>
          </w:p>
        </w:tc>
        <w:tc>
          <w:tcPr>
            <w:tcW w:w="50" w:type="pct"/>
            <w:shd w:val="clear" w:color="auto" w:fill="FFFFFF"/>
            <w:noWrap/>
            <w:tcMar>
              <w:top w:w="15" w:type="dxa"/>
              <w:left w:w="0" w:type="dxa"/>
              <w:bottom w:w="0" w:type="dxa"/>
              <w:right w:w="15" w:type="dxa"/>
            </w:tcMar>
            <w:vAlign w:val="bottom"/>
            <w:hideMark/>
          </w:tcPr>
          <w:p w14:paraId="6638F0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left w:w="0" w:type="dxa"/>
              <w:bottom w:w="0" w:type="dxa"/>
              <w:right w:w="15" w:type="dxa"/>
            </w:tcMar>
            <w:vAlign w:val="bottom"/>
            <w:hideMark/>
          </w:tcPr>
          <w:p w14:paraId="31746A3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1B2B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5F6FFCA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(4,070</w:t>
            </w:r>
          </w:p>
        </w:tc>
        <w:tc>
          <w:tcPr>
            <w:tcW w:w="50" w:type="pct"/>
            <w:shd w:val="clear" w:color="auto" w:fill="FFFFFF"/>
            <w:noWrap/>
            <w:tcMar>
              <w:top w:w="15" w:type="dxa"/>
              <w:left w:w="0" w:type="dxa"/>
              <w:bottom w:w="0" w:type="dxa"/>
              <w:right w:w="15" w:type="dxa"/>
            </w:tcMar>
            <w:vAlign w:val="bottom"/>
            <w:hideMark/>
          </w:tcPr>
          <w:p w14:paraId="663D8F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FFFFFF"/>
            <w:tcMar>
              <w:top w:w="15" w:type="dxa"/>
              <w:left w:w="0" w:type="dxa"/>
              <w:bottom w:w="0" w:type="dxa"/>
              <w:right w:w="15" w:type="dxa"/>
            </w:tcMar>
            <w:vAlign w:val="bottom"/>
            <w:hideMark/>
          </w:tcPr>
          <w:p w14:paraId="62A9B33E"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4E36D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0A9A2CA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7,336</w:t>
            </w:r>
          </w:p>
        </w:tc>
        <w:tc>
          <w:tcPr>
            <w:tcW w:w="50" w:type="pct"/>
            <w:shd w:val="clear" w:color="auto" w:fill="FFFFFF"/>
            <w:noWrap/>
            <w:tcMar>
              <w:top w:w="15" w:type="dxa"/>
              <w:left w:w="0" w:type="dxa"/>
              <w:bottom w:w="0" w:type="dxa"/>
              <w:right w:w="15" w:type="dxa"/>
            </w:tcMar>
            <w:vAlign w:val="bottom"/>
            <w:hideMark/>
          </w:tcPr>
          <w:p w14:paraId="57B08B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left w:w="0" w:type="dxa"/>
              <w:bottom w:w="0" w:type="dxa"/>
              <w:right w:w="15" w:type="dxa"/>
            </w:tcMar>
            <w:vAlign w:val="bottom"/>
            <w:hideMark/>
          </w:tcPr>
          <w:p w14:paraId="2AD7AB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D8D8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4FE662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242</w:t>
            </w:r>
          </w:p>
        </w:tc>
        <w:tc>
          <w:tcPr>
            <w:tcW w:w="50" w:type="pct"/>
            <w:shd w:val="clear" w:color="auto" w:fill="FFFFFF"/>
            <w:noWrap/>
            <w:tcMar>
              <w:top w:w="15" w:type="dxa"/>
              <w:left w:w="0" w:type="dxa"/>
              <w:bottom w:w="0" w:type="dxa"/>
              <w:right w:w="15" w:type="dxa"/>
            </w:tcMar>
            <w:vAlign w:val="bottom"/>
            <w:hideMark/>
          </w:tcPr>
          <w:p w14:paraId="5468AB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6571E6F" w14:textId="77777777">
        <w:trPr>
          <w:divId w:val="907303063"/>
          <w:jc w:val="center"/>
        </w:trPr>
        <w:tc>
          <w:tcPr>
            <w:tcW w:w="2426" w:type="pct"/>
            <w:shd w:val="clear" w:color="auto" w:fill="CFF0FC"/>
            <w:tcMar>
              <w:top w:w="15" w:type="dxa"/>
              <w:left w:w="0" w:type="dxa"/>
              <w:bottom w:w="0" w:type="dxa"/>
              <w:right w:w="15" w:type="dxa"/>
            </w:tcMar>
            <w:hideMark/>
          </w:tcPr>
          <w:p w14:paraId="7CA4D8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Basic earnings (loss) per share</w:t>
            </w:r>
          </w:p>
        </w:tc>
        <w:tc>
          <w:tcPr>
            <w:tcW w:w="63" w:type="pct"/>
            <w:shd w:val="clear" w:color="auto" w:fill="CFF0FC"/>
            <w:tcMar>
              <w:top w:w="15" w:type="dxa"/>
              <w:left w:w="0" w:type="dxa"/>
              <w:bottom w:w="0" w:type="dxa"/>
              <w:right w:w="15" w:type="dxa"/>
            </w:tcMar>
            <w:vAlign w:val="bottom"/>
            <w:hideMark/>
          </w:tcPr>
          <w:p w14:paraId="5B24ED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C48C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left w:w="0" w:type="dxa"/>
              <w:bottom w:w="0" w:type="dxa"/>
              <w:right w:w="15" w:type="dxa"/>
            </w:tcMar>
            <w:vAlign w:val="bottom"/>
            <w:hideMark/>
          </w:tcPr>
          <w:p w14:paraId="3961E83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0.78</w:t>
            </w:r>
          </w:p>
        </w:tc>
        <w:tc>
          <w:tcPr>
            <w:tcW w:w="50" w:type="pct"/>
            <w:shd w:val="clear" w:color="auto" w:fill="CFF0FC"/>
            <w:noWrap/>
            <w:tcMar>
              <w:top w:w="15" w:type="dxa"/>
              <w:left w:w="0" w:type="dxa"/>
              <w:bottom w:w="0" w:type="dxa"/>
              <w:right w:w="15" w:type="dxa"/>
            </w:tcMar>
            <w:vAlign w:val="bottom"/>
            <w:hideMark/>
          </w:tcPr>
          <w:p w14:paraId="7C15FD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left w:w="0" w:type="dxa"/>
              <w:bottom w:w="0" w:type="dxa"/>
              <w:right w:w="15" w:type="dxa"/>
            </w:tcMar>
            <w:vAlign w:val="bottom"/>
            <w:hideMark/>
          </w:tcPr>
          <w:p w14:paraId="72A5B6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664E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left w:w="0" w:type="dxa"/>
              <w:bottom w:w="0" w:type="dxa"/>
              <w:right w:w="15" w:type="dxa"/>
            </w:tcMar>
            <w:vAlign w:val="bottom"/>
            <w:hideMark/>
          </w:tcPr>
          <w:p w14:paraId="21DB805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(0.99</w:t>
            </w:r>
          </w:p>
        </w:tc>
        <w:tc>
          <w:tcPr>
            <w:tcW w:w="50" w:type="pct"/>
            <w:shd w:val="clear" w:color="auto" w:fill="CFF0FC"/>
            <w:noWrap/>
            <w:tcMar>
              <w:top w:w="15" w:type="dxa"/>
              <w:left w:w="0" w:type="dxa"/>
              <w:bottom w:w="0" w:type="dxa"/>
              <w:right w:w="15" w:type="dxa"/>
            </w:tcMar>
            <w:vAlign w:val="bottom"/>
            <w:hideMark/>
          </w:tcPr>
          <w:p w14:paraId="7CD774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CFF0FC"/>
            <w:tcMar>
              <w:top w:w="15" w:type="dxa"/>
              <w:left w:w="0" w:type="dxa"/>
              <w:bottom w:w="0" w:type="dxa"/>
              <w:right w:w="15" w:type="dxa"/>
            </w:tcMar>
            <w:vAlign w:val="bottom"/>
            <w:hideMark/>
          </w:tcPr>
          <w:p w14:paraId="708FE13E"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C109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left w:w="0" w:type="dxa"/>
              <w:bottom w:w="0" w:type="dxa"/>
              <w:right w:w="15" w:type="dxa"/>
            </w:tcMar>
            <w:vAlign w:val="bottom"/>
            <w:hideMark/>
          </w:tcPr>
          <w:p w14:paraId="3A85F9F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1.97</w:t>
            </w:r>
          </w:p>
        </w:tc>
        <w:tc>
          <w:tcPr>
            <w:tcW w:w="50" w:type="pct"/>
            <w:shd w:val="clear" w:color="auto" w:fill="CFF0FC"/>
            <w:noWrap/>
            <w:tcMar>
              <w:top w:w="15" w:type="dxa"/>
              <w:left w:w="0" w:type="dxa"/>
              <w:bottom w:w="0" w:type="dxa"/>
              <w:right w:w="15" w:type="dxa"/>
            </w:tcMar>
            <w:vAlign w:val="bottom"/>
            <w:hideMark/>
          </w:tcPr>
          <w:p w14:paraId="40D441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tcMar>
              <w:top w:w="15" w:type="dxa"/>
              <w:left w:w="0" w:type="dxa"/>
              <w:bottom w:w="0" w:type="dxa"/>
              <w:right w:w="15" w:type="dxa"/>
            </w:tcMar>
            <w:vAlign w:val="bottom"/>
            <w:hideMark/>
          </w:tcPr>
          <w:p w14:paraId="29EDBF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E2E8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CFF0FC"/>
            <w:noWrap/>
            <w:tcMar>
              <w:top w:w="15" w:type="dxa"/>
              <w:left w:w="0" w:type="dxa"/>
              <w:bottom w:w="0" w:type="dxa"/>
              <w:right w:w="15" w:type="dxa"/>
            </w:tcMar>
            <w:vAlign w:val="bottom"/>
            <w:hideMark/>
          </w:tcPr>
          <w:p w14:paraId="3BFA3FE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0.06</w:t>
            </w:r>
          </w:p>
        </w:tc>
        <w:tc>
          <w:tcPr>
            <w:tcW w:w="50" w:type="pct"/>
            <w:shd w:val="clear" w:color="auto" w:fill="CFF0FC"/>
            <w:noWrap/>
            <w:tcMar>
              <w:top w:w="15" w:type="dxa"/>
              <w:left w:w="0" w:type="dxa"/>
              <w:bottom w:w="0" w:type="dxa"/>
              <w:right w:w="15" w:type="dxa"/>
            </w:tcMar>
            <w:vAlign w:val="bottom"/>
            <w:hideMark/>
          </w:tcPr>
          <w:p w14:paraId="0A71AF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030F559" w14:textId="77777777">
        <w:trPr>
          <w:divId w:val="907303063"/>
          <w:jc w:val="center"/>
        </w:trPr>
        <w:tc>
          <w:tcPr>
            <w:tcW w:w="2426" w:type="pct"/>
            <w:shd w:val="clear" w:color="auto" w:fill="FFFFFF"/>
            <w:tcMar>
              <w:top w:w="15" w:type="dxa"/>
              <w:left w:w="0" w:type="dxa"/>
              <w:bottom w:w="0" w:type="dxa"/>
              <w:right w:w="15" w:type="dxa"/>
            </w:tcMar>
            <w:hideMark/>
          </w:tcPr>
          <w:p w14:paraId="173765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Diluted earnings (loss) per share</w:t>
            </w:r>
          </w:p>
        </w:tc>
        <w:tc>
          <w:tcPr>
            <w:tcW w:w="63" w:type="pct"/>
            <w:shd w:val="clear" w:color="auto" w:fill="FFFFFF"/>
            <w:tcMar>
              <w:top w:w="15" w:type="dxa"/>
              <w:left w:w="0" w:type="dxa"/>
              <w:bottom w:w="0" w:type="dxa"/>
              <w:right w:w="15" w:type="dxa"/>
            </w:tcMar>
            <w:vAlign w:val="bottom"/>
            <w:hideMark/>
          </w:tcPr>
          <w:p w14:paraId="4344D0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0D12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0A93AF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0.76</w:t>
            </w:r>
          </w:p>
        </w:tc>
        <w:tc>
          <w:tcPr>
            <w:tcW w:w="50" w:type="pct"/>
            <w:shd w:val="clear" w:color="auto" w:fill="FFFFFF"/>
            <w:noWrap/>
            <w:tcMar>
              <w:top w:w="15" w:type="dxa"/>
              <w:left w:w="0" w:type="dxa"/>
              <w:bottom w:w="0" w:type="dxa"/>
              <w:right w:w="15" w:type="dxa"/>
            </w:tcMar>
            <w:vAlign w:val="bottom"/>
            <w:hideMark/>
          </w:tcPr>
          <w:p w14:paraId="5ED1E3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left w:w="0" w:type="dxa"/>
              <w:bottom w:w="0" w:type="dxa"/>
              <w:right w:w="15" w:type="dxa"/>
            </w:tcMar>
            <w:vAlign w:val="bottom"/>
            <w:hideMark/>
          </w:tcPr>
          <w:p w14:paraId="350AF6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9F05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6FA6F03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(0.99</w:t>
            </w:r>
          </w:p>
        </w:tc>
        <w:tc>
          <w:tcPr>
            <w:tcW w:w="50" w:type="pct"/>
            <w:shd w:val="clear" w:color="auto" w:fill="FFFFFF"/>
            <w:noWrap/>
            <w:tcMar>
              <w:top w:w="15" w:type="dxa"/>
              <w:left w:w="0" w:type="dxa"/>
              <w:bottom w:w="0" w:type="dxa"/>
              <w:right w:w="15" w:type="dxa"/>
            </w:tcMar>
            <w:vAlign w:val="bottom"/>
            <w:hideMark/>
          </w:tcPr>
          <w:p w14:paraId="725B21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3" w:type="pct"/>
            <w:shd w:val="clear" w:color="auto" w:fill="FFFFFF"/>
            <w:tcMar>
              <w:top w:w="15" w:type="dxa"/>
              <w:left w:w="0" w:type="dxa"/>
              <w:bottom w:w="0" w:type="dxa"/>
              <w:right w:w="15" w:type="dxa"/>
            </w:tcMar>
            <w:vAlign w:val="bottom"/>
            <w:hideMark/>
          </w:tcPr>
          <w:p w14:paraId="2D1AC911"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A06F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60E2C25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1.92</w:t>
            </w:r>
          </w:p>
        </w:tc>
        <w:tc>
          <w:tcPr>
            <w:tcW w:w="50" w:type="pct"/>
            <w:shd w:val="clear" w:color="auto" w:fill="FFFFFF"/>
            <w:noWrap/>
            <w:tcMar>
              <w:top w:w="15" w:type="dxa"/>
              <w:left w:w="0" w:type="dxa"/>
              <w:bottom w:w="0" w:type="dxa"/>
              <w:right w:w="15" w:type="dxa"/>
            </w:tcMar>
            <w:vAlign w:val="bottom"/>
            <w:hideMark/>
          </w:tcPr>
          <w:p w14:paraId="764758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tcMar>
              <w:top w:w="15" w:type="dxa"/>
              <w:left w:w="0" w:type="dxa"/>
              <w:bottom w:w="0" w:type="dxa"/>
              <w:right w:w="15" w:type="dxa"/>
            </w:tcMar>
            <w:vAlign w:val="bottom"/>
            <w:hideMark/>
          </w:tcPr>
          <w:p w14:paraId="2A1EFE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1997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80" w:type="pct"/>
            <w:shd w:val="clear" w:color="auto" w:fill="FFFFFF"/>
            <w:noWrap/>
            <w:tcMar>
              <w:top w:w="15" w:type="dxa"/>
              <w:left w:w="0" w:type="dxa"/>
              <w:bottom w:w="0" w:type="dxa"/>
              <w:right w:w="15" w:type="dxa"/>
            </w:tcMar>
            <w:vAlign w:val="bottom"/>
            <w:hideMark/>
          </w:tcPr>
          <w:p w14:paraId="2AC4063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0.06</w:t>
            </w:r>
          </w:p>
        </w:tc>
        <w:tc>
          <w:tcPr>
            <w:tcW w:w="50" w:type="pct"/>
            <w:shd w:val="clear" w:color="auto" w:fill="FFFFFF"/>
            <w:noWrap/>
            <w:tcMar>
              <w:top w:w="15" w:type="dxa"/>
              <w:left w:w="0" w:type="dxa"/>
              <w:bottom w:w="0" w:type="dxa"/>
              <w:right w:w="15" w:type="dxa"/>
            </w:tcMar>
            <w:vAlign w:val="bottom"/>
            <w:hideMark/>
          </w:tcPr>
          <w:p w14:paraId="3D30476D"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140F527" w14:textId="77777777" w:rsidR="00716E85" w:rsidRDefault="00716E85">
      <w:pPr>
        <w:pStyle w:val="a3"/>
        <w:spacing w:before="0" w:beforeAutospacing="0" w:after="0" w:afterAutospacing="0"/>
        <w:jc w:val="both"/>
        <w:rPr>
          <w:sz w:val="12"/>
          <w:szCs w:val="12"/>
        </w:rPr>
      </w:pPr>
      <w:r>
        <w:rPr>
          <w:sz w:val="12"/>
          <w:szCs w:val="12"/>
        </w:rPr>
        <w:t> </w:t>
      </w:r>
    </w:p>
    <w:p w14:paraId="6409BE3F"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12AA1DF5" w14:textId="77777777">
        <w:tc>
          <w:tcPr>
            <w:tcW w:w="262" w:type="pct"/>
            <w:noWrap/>
            <w:hideMark/>
          </w:tcPr>
          <w:p w14:paraId="64D46075"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3.</w:t>
            </w:r>
          </w:p>
        </w:tc>
        <w:tc>
          <w:tcPr>
            <w:tcW w:w="0" w:type="auto"/>
            <w:hideMark/>
          </w:tcPr>
          <w:p w14:paraId="42856615"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FAIR VALUE MEASUREMENTS</w:t>
            </w:r>
          </w:p>
        </w:tc>
      </w:tr>
    </w:tbl>
    <w:p w14:paraId="234BE9D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liability in an orderly transaction between market participants at the measurement date. When determining the fair value measurements for assets and liabilities required to be recorded at their fair values, we consider the principal or most advantageous market in which we would transact and consider assumptions that market participants would use when pricing the assets or liabilities, such as inherent risk, transfer restrictions and risk of nonperformance.</w:t>
      </w:r>
    </w:p>
    <w:p w14:paraId="3255B80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ASC 820 establishes a fair value hierarchy that requires an entity to maximize the use of observable inputs and minimize the use of unobservable inputs when measuring fair value. An asset’s or a liability’s categorization within the fair value hierarchy is based upon the lowest level of input that is significant to the fair value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0E8CFAF3" w14:textId="77777777">
        <w:tc>
          <w:tcPr>
            <w:tcW w:w="262" w:type="pct"/>
            <w:noWrap/>
            <w:hideMark/>
          </w:tcPr>
          <w:p w14:paraId="1D822B8E"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25CDAAD9"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E200C84"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Level 1:  quoted prices in active markets for identical assets or liabilities;</w:t>
            </w:r>
          </w:p>
        </w:tc>
      </w:tr>
    </w:tbl>
    <w:p w14:paraId="5183EB55"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C100F92" w14:textId="77777777">
        <w:tc>
          <w:tcPr>
            <w:tcW w:w="262" w:type="pct"/>
            <w:noWrap/>
            <w:hideMark/>
          </w:tcPr>
          <w:p w14:paraId="4CE7F86A"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A31E0DB"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68C3668"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Level 2:  inputs other than Level 1 that are observable, either directly or indirectly, such as quoted prices in active markets for similar assets or liabilities, quoted prices for identical or similar assets or liabilities in markets that are not active, or other inputs that are observable or can be corroborated by observable market data for substantially the full term of the assets or liabilities; or</w:t>
            </w:r>
          </w:p>
        </w:tc>
      </w:tr>
    </w:tbl>
    <w:p w14:paraId="7F321B11"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5BF48AA9" w14:textId="77777777">
        <w:tc>
          <w:tcPr>
            <w:tcW w:w="262" w:type="pct"/>
            <w:noWrap/>
            <w:hideMark/>
          </w:tcPr>
          <w:p w14:paraId="404562DF"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0EEDD0D"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6A325F9"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Level 3:  unobservable inputs that are supported by little or no market activity and that are significant to the fair values of the assets or liabilities.</w:t>
            </w:r>
          </w:p>
        </w:tc>
      </w:tr>
    </w:tbl>
    <w:p w14:paraId="4F7860F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17</w:t>
      </w:r>
    </w:p>
    <w:p w14:paraId="582DC3D1" w14:textId="77777777" w:rsidR="00716E85" w:rsidRDefault="00716E85">
      <w:pPr>
        <w:rPr>
          <w:rFonts w:ascii="Times New Roman" w:eastAsia="Times New Roman" w:hAnsi="Times New Roman" w:cs="Times New Roman"/>
          <w:sz w:val="24"/>
          <w:szCs w:val="24"/>
        </w:rPr>
      </w:pPr>
      <w:r>
        <w:rPr>
          <w:rFonts w:eastAsia="Times New Roman"/>
        </w:rPr>
        <w:pict w14:anchorId="72CB3100">
          <v:rect id="_x0000_i1043" style="width:415.3pt;height:1.5pt" o:hralign="center" o:hrstd="t" o:hr="t" fillcolor="#a0a0a0" stroked="f"/>
        </w:pict>
      </w:r>
    </w:p>
    <w:p w14:paraId="6EBE1711"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D87E7D5" w14:textId="77777777" w:rsidR="00716E85" w:rsidRDefault="00716E85">
      <w:pPr>
        <w:pStyle w:val="a3"/>
      </w:pPr>
      <w:r>
        <w:t> </w:t>
      </w:r>
    </w:p>
    <w:p w14:paraId="31D5853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764303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099BD39B"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3A11984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500CCE9D" w14:textId="77777777" w:rsidR="00716E85" w:rsidRDefault="00716E85">
      <w:pPr>
        <w:pStyle w:val="a3"/>
        <w:spacing w:before="0" w:beforeAutospacing="0" w:after="0" w:afterAutospacing="0"/>
        <w:rPr>
          <w:sz w:val="20"/>
          <w:szCs w:val="20"/>
        </w:rPr>
      </w:pPr>
      <w:r>
        <w:rPr>
          <w:sz w:val="20"/>
          <w:szCs w:val="20"/>
        </w:rPr>
        <w:t> </w:t>
      </w:r>
    </w:p>
    <w:p w14:paraId="165F348E" w14:textId="77777777" w:rsidR="00716E85" w:rsidRDefault="00716E85">
      <w:pPr>
        <w:pStyle w:val="a3"/>
        <w:spacing w:before="240" w:beforeAutospacing="0" w:after="0" w:afterAutospacing="0"/>
        <w:jc w:val="both"/>
        <w:rPr>
          <w:rFonts w:ascii="Calibri" w:hAnsi="Calibri" w:cs="Calibri"/>
          <w:b/>
          <w:bCs/>
          <w:sz w:val="20"/>
          <w:szCs w:val="20"/>
        </w:rPr>
      </w:pPr>
      <w:bookmarkStart w:id="28" w:name="_AEIOULastRenderedPageBreakAEIOU20"/>
      <w:bookmarkEnd w:id="28"/>
      <w:r>
        <w:rPr>
          <w:rFonts w:ascii="Calibri" w:hAnsi="Calibri" w:cs="Calibri"/>
          <w:b/>
          <w:bCs/>
          <w:sz w:val="20"/>
          <w:szCs w:val="20"/>
        </w:rPr>
        <w:t>Assets and Liabilities Measured at Fair Value on a Recurring Basis</w:t>
      </w:r>
    </w:p>
    <w:p w14:paraId="5D6FE50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assets and liabilities measured at fair value on a recurring basis, excluding accrued interest components, consisted of the following (Level 1 and Level 2 inputs are defined above):</w:t>
      </w:r>
    </w:p>
    <w:p w14:paraId="28B33024"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3022"/>
        <w:gridCol w:w="61"/>
        <w:gridCol w:w="118"/>
        <w:gridCol w:w="635"/>
        <w:gridCol w:w="85"/>
        <w:gridCol w:w="86"/>
        <w:gridCol w:w="117"/>
        <w:gridCol w:w="637"/>
        <w:gridCol w:w="61"/>
        <w:gridCol w:w="61"/>
        <w:gridCol w:w="117"/>
        <w:gridCol w:w="603"/>
        <w:gridCol w:w="61"/>
        <w:gridCol w:w="61"/>
        <w:gridCol w:w="118"/>
        <w:gridCol w:w="635"/>
        <w:gridCol w:w="85"/>
        <w:gridCol w:w="86"/>
        <w:gridCol w:w="117"/>
        <w:gridCol w:w="637"/>
        <w:gridCol w:w="61"/>
        <w:gridCol w:w="61"/>
        <w:gridCol w:w="117"/>
        <w:gridCol w:w="603"/>
        <w:gridCol w:w="61"/>
      </w:tblGrid>
      <w:tr w:rsidR="00716E85" w14:paraId="608FA585" w14:textId="77777777">
        <w:trPr>
          <w:divId w:val="1381901666"/>
          <w:jc w:val="center"/>
        </w:trPr>
        <w:tc>
          <w:tcPr>
            <w:tcW w:w="1833" w:type="pct"/>
            <w:shd w:val="clear" w:color="auto" w:fill="FFFFFF"/>
            <w:tcMar>
              <w:top w:w="15" w:type="dxa"/>
              <w:left w:w="0" w:type="dxa"/>
              <w:bottom w:w="0" w:type="dxa"/>
              <w:right w:w="15" w:type="dxa"/>
            </w:tcMar>
            <w:vAlign w:val="bottom"/>
            <w:hideMark/>
          </w:tcPr>
          <w:p w14:paraId="7D4A97B0" w14:textId="77777777" w:rsidR="00716E85" w:rsidRDefault="00716E85">
            <w:pPr>
              <w:pStyle w:val="a3"/>
              <w:spacing w:before="0" w:beforeAutospacing="0" w:after="0" w:afterAutospacing="0"/>
              <w:jc w:val="center"/>
              <w:rPr>
                <w:sz w:val="15"/>
                <w:szCs w:val="15"/>
              </w:rPr>
            </w:pPr>
            <w:r>
              <w:rPr>
                <w:sz w:val="15"/>
                <w:szCs w:val="15"/>
              </w:rPr>
              <w:t> </w:t>
            </w:r>
          </w:p>
        </w:tc>
        <w:tc>
          <w:tcPr>
            <w:tcW w:w="51" w:type="pct"/>
            <w:shd w:val="clear" w:color="auto" w:fill="FFFFFF"/>
            <w:tcMar>
              <w:top w:w="15" w:type="dxa"/>
              <w:left w:w="0" w:type="dxa"/>
              <w:bottom w:w="0" w:type="dxa"/>
              <w:right w:w="15" w:type="dxa"/>
            </w:tcMar>
            <w:vAlign w:val="bottom"/>
            <w:hideMark/>
          </w:tcPr>
          <w:p w14:paraId="31AA272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left w:w="0" w:type="dxa"/>
              <w:bottom w:w="0" w:type="dxa"/>
              <w:right w:w="15" w:type="dxa"/>
            </w:tcMar>
            <w:vAlign w:val="bottom"/>
            <w:hideMark/>
          </w:tcPr>
          <w:p w14:paraId="67AC284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 2019</w:t>
            </w:r>
          </w:p>
        </w:tc>
        <w:tc>
          <w:tcPr>
            <w:tcW w:w="50" w:type="pct"/>
            <w:shd w:val="clear" w:color="auto" w:fill="FFFFFF"/>
            <w:noWrap/>
            <w:tcMar>
              <w:top w:w="15" w:type="dxa"/>
              <w:left w:w="0" w:type="dxa"/>
              <w:bottom w:w="0" w:type="dxa"/>
              <w:right w:w="15" w:type="dxa"/>
            </w:tcMar>
            <w:vAlign w:val="bottom"/>
            <w:hideMark/>
          </w:tcPr>
          <w:p w14:paraId="52921F5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shd w:val="clear" w:color="auto" w:fill="FFFFFF"/>
            <w:tcMar>
              <w:top w:w="15" w:type="dxa"/>
              <w:left w:w="0" w:type="dxa"/>
              <w:bottom w:w="0" w:type="dxa"/>
              <w:right w:w="15" w:type="dxa"/>
            </w:tcMar>
            <w:vAlign w:val="bottom"/>
            <w:hideMark/>
          </w:tcPr>
          <w:p w14:paraId="4AC8DD2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481" w:type="pct"/>
            <w:gridSpan w:val="10"/>
            <w:tcBorders>
              <w:bottom w:val="single" w:sz="6" w:space="0" w:color="000000"/>
            </w:tcBorders>
            <w:shd w:val="clear" w:color="auto" w:fill="FFFFFF"/>
            <w:tcMar>
              <w:top w:w="15" w:type="dxa"/>
              <w:left w:w="0" w:type="dxa"/>
              <w:bottom w:w="0" w:type="dxa"/>
              <w:right w:w="15" w:type="dxa"/>
            </w:tcMar>
            <w:vAlign w:val="bottom"/>
            <w:hideMark/>
          </w:tcPr>
          <w:p w14:paraId="16D9739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 2018</w:t>
            </w:r>
          </w:p>
        </w:tc>
        <w:tc>
          <w:tcPr>
            <w:tcW w:w="50" w:type="pct"/>
            <w:shd w:val="clear" w:color="auto" w:fill="FFFFFF"/>
            <w:noWrap/>
            <w:tcMar>
              <w:top w:w="15" w:type="dxa"/>
              <w:left w:w="0" w:type="dxa"/>
              <w:bottom w:w="0" w:type="dxa"/>
              <w:right w:w="15" w:type="dxa"/>
            </w:tcMar>
            <w:vAlign w:val="bottom"/>
            <w:hideMark/>
          </w:tcPr>
          <w:p w14:paraId="2F335D5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089B02B" w14:textId="77777777">
        <w:trPr>
          <w:divId w:val="1381901666"/>
          <w:jc w:val="center"/>
        </w:trPr>
        <w:tc>
          <w:tcPr>
            <w:tcW w:w="1833" w:type="pct"/>
            <w:shd w:val="clear" w:color="auto" w:fill="FFFFFF"/>
            <w:tcMar>
              <w:top w:w="15" w:type="dxa"/>
              <w:left w:w="0" w:type="dxa"/>
              <w:bottom w:w="0" w:type="dxa"/>
              <w:right w:w="15" w:type="dxa"/>
            </w:tcMar>
            <w:vAlign w:val="bottom"/>
            <w:hideMark/>
          </w:tcPr>
          <w:p w14:paraId="01CDC8E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1" w:type="pct"/>
            <w:shd w:val="clear" w:color="auto" w:fill="FFFFFF"/>
            <w:tcMar>
              <w:top w:w="15" w:type="dxa"/>
              <w:left w:w="0" w:type="dxa"/>
              <w:bottom w:w="0" w:type="dxa"/>
              <w:right w:w="15" w:type="dxa"/>
            </w:tcMar>
            <w:vAlign w:val="bottom"/>
            <w:hideMark/>
          </w:tcPr>
          <w:p w14:paraId="4EA0AA0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A8525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486AFAF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left w:w="0" w:type="dxa"/>
              <w:bottom w:w="0" w:type="dxa"/>
              <w:right w:w="15" w:type="dxa"/>
            </w:tcMar>
            <w:vAlign w:val="bottom"/>
            <w:hideMark/>
          </w:tcPr>
          <w:p w14:paraId="4B2AB42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04D9DD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CAC6BD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left w:w="0" w:type="dxa"/>
              <w:bottom w:w="0" w:type="dxa"/>
              <w:right w:w="15" w:type="dxa"/>
            </w:tcMar>
            <w:vAlign w:val="bottom"/>
            <w:hideMark/>
          </w:tcPr>
          <w:p w14:paraId="7DB1D5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A64B47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shd w:val="clear" w:color="auto" w:fill="FFFFFF"/>
            <w:tcMar>
              <w:top w:w="15" w:type="dxa"/>
              <w:left w:w="0" w:type="dxa"/>
              <w:bottom w:w="0" w:type="dxa"/>
              <w:right w:w="15" w:type="dxa"/>
            </w:tcMar>
            <w:vAlign w:val="bottom"/>
            <w:hideMark/>
          </w:tcPr>
          <w:p w14:paraId="746C886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53"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B9E0B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2FED90C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left w:w="0" w:type="dxa"/>
              <w:bottom w:w="0" w:type="dxa"/>
              <w:right w:w="15" w:type="dxa"/>
            </w:tcMar>
            <w:vAlign w:val="bottom"/>
            <w:hideMark/>
          </w:tcPr>
          <w:p w14:paraId="47D8487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F61A93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A6947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left w:w="0" w:type="dxa"/>
              <w:bottom w:w="0" w:type="dxa"/>
              <w:right w:w="15" w:type="dxa"/>
            </w:tcMar>
            <w:vAlign w:val="bottom"/>
            <w:hideMark/>
          </w:tcPr>
          <w:p w14:paraId="4199F35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A1847D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CF01568" w14:textId="77777777">
        <w:trPr>
          <w:divId w:val="1381901666"/>
          <w:jc w:val="center"/>
        </w:trPr>
        <w:tc>
          <w:tcPr>
            <w:tcW w:w="1833" w:type="pct"/>
            <w:tcBorders>
              <w:bottom w:val="single" w:sz="6" w:space="0" w:color="000000"/>
            </w:tcBorders>
            <w:shd w:val="clear" w:color="auto" w:fill="FFFFFF"/>
            <w:tcMar>
              <w:top w:w="15" w:type="dxa"/>
              <w:left w:w="0" w:type="dxa"/>
              <w:bottom w:w="0" w:type="dxa"/>
              <w:right w:w="15" w:type="dxa"/>
            </w:tcMar>
            <w:vAlign w:val="bottom"/>
            <w:hideMark/>
          </w:tcPr>
          <w:p w14:paraId="5D38350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1" w:type="pct"/>
            <w:shd w:val="clear" w:color="auto" w:fill="FFFFFF"/>
            <w:tcMar>
              <w:top w:w="15" w:type="dxa"/>
              <w:left w:w="0" w:type="dxa"/>
              <w:bottom w:w="0" w:type="dxa"/>
              <w:right w:w="15" w:type="dxa"/>
            </w:tcMar>
            <w:vAlign w:val="bottom"/>
            <w:hideMark/>
          </w:tcPr>
          <w:p w14:paraId="5056BAA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43C7E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left w:w="0" w:type="dxa"/>
              <w:bottom w:w="0" w:type="dxa"/>
              <w:right w:w="15" w:type="dxa"/>
            </w:tcMar>
            <w:vAlign w:val="bottom"/>
            <w:hideMark/>
          </w:tcPr>
          <w:p w14:paraId="0559A37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AE0FA4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EF2F4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left w:w="0" w:type="dxa"/>
              <w:bottom w:w="0" w:type="dxa"/>
              <w:right w:w="15" w:type="dxa"/>
            </w:tcMar>
            <w:vAlign w:val="bottom"/>
            <w:hideMark/>
          </w:tcPr>
          <w:p w14:paraId="09F6297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shd w:val="clear" w:color="auto" w:fill="FFFFFF"/>
            <w:tcMar>
              <w:top w:w="15" w:type="dxa"/>
              <w:left w:w="0" w:type="dxa"/>
              <w:bottom w:w="0" w:type="dxa"/>
              <w:right w:w="15" w:type="dxa"/>
            </w:tcMar>
            <w:vAlign w:val="bottom"/>
            <w:hideMark/>
          </w:tcPr>
          <w:p w14:paraId="43A260B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left w:w="0" w:type="dxa"/>
              <w:bottom w:w="0" w:type="dxa"/>
              <w:right w:w="15" w:type="dxa"/>
            </w:tcMar>
            <w:vAlign w:val="bottom"/>
            <w:hideMark/>
          </w:tcPr>
          <w:p w14:paraId="4764870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left w:w="0" w:type="dxa"/>
              <w:bottom w:w="0" w:type="dxa"/>
              <w:right w:w="15" w:type="dxa"/>
            </w:tcMar>
            <w:vAlign w:val="bottom"/>
            <w:hideMark/>
          </w:tcPr>
          <w:p w14:paraId="769CBC6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shd w:val="clear" w:color="auto" w:fill="FFFFFF"/>
            <w:tcMar>
              <w:top w:w="15" w:type="dxa"/>
              <w:left w:w="0" w:type="dxa"/>
              <w:bottom w:w="0" w:type="dxa"/>
              <w:right w:w="15" w:type="dxa"/>
            </w:tcMar>
            <w:vAlign w:val="bottom"/>
            <w:hideMark/>
          </w:tcPr>
          <w:p w14:paraId="75F4C9B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EAFC3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left w:w="0" w:type="dxa"/>
              <w:bottom w:w="0" w:type="dxa"/>
              <w:right w:w="15" w:type="dxa"/>
            </w:tcMar>
            <w:vAlign w:val="bottom"/>
            <w:hideMark/>
          </w:tcPr>
          <w:p w14:paraId="33D9E31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8EA4D9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AF57F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left w:w="0" w:type="dxa"/>
              <w:bottom w:w="0" w:type="dxa"/>
              <w:right w:w="15" w:type="dxa"/>
            </w:tcMar>
            <w:vAlign w:val="bottom"/>
            <w:hideMark/>
          </w:tcPr>
          <w:p w14:paraId="64CEB52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1" w:type="pct"/>
            <w:shd w:val="clear" w:color="auto" w:fill="FFFFFF"/>
            <w:tcMar>
              <w:top w:w="15" w:type="dxa"/>
              <w:left w:w="0" w:type="dxa"/>
              <w:bottom w:w="0" w:type="dxa"/>
              <w:right w:w="15" w:type="dxa"/>
            </w:tcMar>
            <w:vAlign w:val="bottom"/>
            <w:hideMark/>
          </w:tcPr>
          <w:p w14:paraId="6909C21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25" w:type="pct"/>
            <w:gridSpan w:val="2"/>
            <w:tcBorders>
              <w:bottom w:val="single" w:sz="6" w:space="0" w:color="000000"/>
            </w:tcBorders>
            <w:shd w:val="clear" w:color="auto" w:fill="FFFFFF"/>
            <w:tcMar>
              <w:top w:w="15" w:type="dxa"/>
              <w:left w:w="0" w:type="dxa"/>
              <w:bottom w:w="0" w:type="dxa"/>
              <w:right w:w="15" w:type="dxa"/>
            </w:tcMar>
            <w:vAlign w:val="bottom"/>
            <w:hideMark/>
          </w:tcPr>
          <w:p w14:paraId="3667A30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left w:w="0" w:type="dxa"/>
              <w:bottom w:w="0" w:type="dxa"/>
              <w:right w:w="15" w:type="dxa"/>
            </w:tcMar>
            <w:vAlign w:val="bottom"/>
            <w:hideMark/>
          </w:tcPr>
          <w:p w14:paraId="40E71A7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35934E2" w14:textId="77777777">
        <w:trPr>
          <w:divId w:val="1381901666"/>
          <w:jc w:val="center"/>
        </w:trPr>
        <w:tc>
          <w:tcPr>
            <w:tcW w:w="1833" w:type="pct"/>
            <w:tcBorders>
              <w:top w:val="single" w:sz="6" w:space="0" w:color="000000"/>
            </w:tcBorders>
            <w:shd w:val="clear" w:color="auto" w:fill="CFF0FC"/>
            <w:tcMar>
              <w:top w:w="15" w:type="dxa"/>
              <w:left w:w="0" w:type="dxa"/>
              <w:bottom w:w="0" w:type="dxa"/>
              <w:right w:w="15" w:type="dxa"/>
            </w:tcMar>
            <w:hideMark/>
          </w:tcPr>
          <w:p w14:paraId="21723B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Assets:</w:t>
            </w:r>
          </w:p>
        </w:tc>
        <w:tc>
          <w:tcPr>
            <w:tcW w:w="51" w:type="pct"/>
            <w:shd w:val="clear" w:color="auto" w:fill="CFF0FC"/>
            <w:tcMar>
              <w:top w:w="15" w:type="dxa"/>
              <w:left w:w="0" w:type="dxa"/>
              <w:bottom w:w="0" w:type="dxa"/>
              <w:right w:w="15" w:type="dxa"/>
            </w:tcMar>
            <w:vAlign w:val="bottom"/>
            <w:hideMark/>
          </w:tcPr>
          <w:p w14:paraId="3660AB89"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A1760B"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left w:w="0" w:type="dxa"/>
              <w:bottom w:w="0" w:type="dxa"/>
              <w:right w:w="15" w:type="dxa"/>
            </w:tcMar>
            <w:vAlign w:val="bottom"/>
            <w:hideMark/>
          </w:tcPr>
          <w:p w14:paraId="0E3A6495"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3160C6"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0E5A720F"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D6731B"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left w:w="0" w:type="dxa"/>
              <w:bottom w:w="0" w:type="dxa"/>
              <w:right w:w="15" w:type="dxa"/>
            </w:tcMar>
            <w:vAlign w:val="bottom"/>
            <w:hideMark/>
          </w:tcPr>
          <w:p w14:paraId="440A9B7D"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FBEB97"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0C89F040"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D28C69"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left w:w="0" w:type="dxa"/>
              <w:bottom w:w="0" w:type="dxa"/>
              <w:right w:w="15" w:type="dxa"/>
            </w:tcMar>
            <w:vAlign w:val="bottom"/>
            <w:hideMark/>
          </w:tcPr>
          <w:p w14:paraId="026164BA"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61D91B"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5DD2E116"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11F8B5"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left w:w="0" w:type="dxa"/>
              <w:bottom w:w="0" w:type="dxa"/>
              <w:right w:w="15" w:type="dxa"/>
            </w:tcMar>
            <w:vAlign w:val="bottom"/>
            <w:hideMark/>
          </w:tcPr>
          <w:p w14:paraId="127F314A"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92AF56"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7A5D4CB5"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54AD1E"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left w:w="0" w:type="dxa"/>
              <w:bottom w:w="0" w:type="dxa"/>
              <w:right w:w="15" w:type="dxa"/>
            </w:tcMar>
            <w:vAlign w:val="bottom"/>
            <w:hideMark/>
          </w:tcPr>
          <w:p w14:paraId="1382515C"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77FAC3"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1" w:type="pct"/>
            <w:shd w:val="clear" w:color="auto" w:fill="CFF0FC"/>
            <w:tcMar>
              <w:top w:w="15" w:type="dxa"/>
              <w:left w:w="0" w:type="dxa"/>
              <w:bottom w:w="0" w:type="dxa"/>
              <w:right w:w="15" w:type="dxa"/>
            </w:tcMar>
            <w:vAlign w:val="bottom"/>
            <w:hideMark/>
          </w:tcPr>
          <w:p w14:paraId="5ADBB120"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2711DC"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left w:w="0" w:type="dxa"/>
              <w:bottom w:w="0" w:type="dxa"/>
              <w:right w:w="15" w:type="dxa"/>
            </w:tcMar>
            <w:vAlign w:val="bottom"/>
            <w:hideMark/>
          </w:tcPr>
          <w:p w14:paraId="2AE4FAB7"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73177F"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r>
      <w:tr w:rsidR="00716E85" w14:paraId="3ED564D9" w14:textId="77777777">
        <w:trPr>
          <w:divId w:val="1381901666"/>
          <w:jc w:val="center"/>
        </w:trPr>
        <w:tc>
          <w:tcPr>
            <w:tcW w:w="1833" w:type="pct"/>
            <w:shd w:val="clear" w:color="auto" w:fill="FFFFFF"/>
            <w:tcMar>
              <w:top w:w="15" w:type="dxa"/>
              <w:left w:w="0" w:type="dxa"/>
              <w:bottom w:w="0" w:type="dxa"/>
              <w:right w:w="15" w:type="dxa"/>
            </w:tcMar>
            <w:hideMark/>
          </w:tcPr>
          <w:p w14:paraId="004EA27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51" w:type="pct"/>
            <w:shd w:val="clear" w:color="auto" w:fill="FFFFFF"/>
            <w:tcMar>
              <w:top w:w="15" w:type="dxa"/>
              <w:left w:w="0" w:type="dxa"/>
              <w:bottom w:w="0" w:type="dxa"/>
              <w:right w:w="15" w:type="dxa"/>
            </w:tcMar>
            <w:vAlign w:val="bottom"/>
            <w:hideMark/>
          </w:tcPr>
          <w:p w14:paraId="63BB52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6AE6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left w:w="0" w:type="dxa"/>
              <w:bottom w:w="0" w:type="dxa"/>
              <w:right w:w="15" w:type="dxa"/>
            </w:tcMar>
            <w:vAlign w:val="bottom"/>
            <w:hideMark/>
          </w:tcPr>
          <w:p w14:paraId="341CDF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2B0AD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5F0576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B287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left w:w="0" w:type="dxa"/>
              <w:bottom w:w="0" w:type="dxa"/>
              <w:right w:w="15" w:type="dxa"/>
            </w:tcMar>
            <w:vAlign w:val="bottom"/>
            <w:hideMark/>
          </w:tcPr>
          <w:p w14:paraId="2EF7A25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25,361</w:t>
            </w:r>
          </w:p>
        </w:tc>
        <w:tc>
          <w:tcPr>
            <w:tcW w:w="50" w:type="pct"/>
            <w:shd w:val="clear" w:color="auto" w:fill="FFFFFF"/>
            <w:noWrap/>
            <w:tcMar>
              <w:top w:w="15" w:type="dxa"/>
              <w:left w:w="0" w:type="dxa"/>
              <w:bottom w:w="0" w:type="dxa"/>
              <w:right w:w="15" w:type="dxa"/>
            </w:tcMar>
            <w:vAlign w:val="bottom"/>
            <w:hideMark/>
          </w:tcPr>
          <w:p w14:paraId="6D1B75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51780C3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7A5E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left w:w="0" w:type="dxa"/>
              <w:bottom w:w="0" w:type="dxa"/>
              <w:right w:w="15" w:type="dxa"/>
            </w:tcMar>
            <w:vAlign w:val="bottom"/>
            <w:hideMark/>
          </w:tcPr>
          <w:p w14:paraId="4287FBE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25,361</w:t>
            </w:r>
          </w:p>
        </w:tc>
        <w:tc>
          <w:tcPr>
            <w:tcW w:w="50" w:type="pct"/>
            <w:shd w:val="clear" w:color="auto" w:fill="FFFFFF"/>
            <w:noWrap/>
            <w:tcMar>
              <w:top w:w="15" w:type="dxa"/>
              <w:left w:w="0" w:type="dxa"/>
              <w:bottom w:w="0" w:type="dxa"/>
              <w:right w:w="15" w:type="dxa"/>
            </w:tcMar>
            <w:vAlign w:val="bottom"/>
            <w:hideMark/>
          </w:tcPr>
          <w:p w14:paraId="75D808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7BC3C9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2042D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left w:w="0" w:type="dxa"/>
              <w:bottom w:w="0" w:type="dxa"/>
              <w:right w:w="15" w:type="dxa"/>
            </w:tcMar>
            <w:vAlign w:val="bottom"/>
            <w:hideMark/>
          </w:tcPr>
          <w:p w14:paraId="6DB0F57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223</w:t>
            </w:r>
          </w:p>
        </w:tc>
        <w:tc>
          <w:tcPr>
            <w:tcW w:w="50" w:type="pct"/>
            <w:shd w:val="clear" w:color="auto" w:fill="FFFFFF"/>
            <w:noWrap/>
            <w:tcMar>
              <w:top w:w="15" w:type="dxa"/>
              <w:left w:w="0" w:type="dxa"/>
              <w:bottom w:w="0" w:type="dxa"/>
              <w:right w:w="15" w:type="dxa"/>
            </w:tcMar>
            <w:vAlign w:val="bottom"/>
            <w:hideMark/>
          </w:tcPr>
          <w:p w14:paraId="38C5BB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14B280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054A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left w:w="0" w:type="dxa"/>
              <w:bottom w:w="0" w:type="dxa"/>
              <w:right w:w="15" w:type="dxa"/>
            </w:tcMar>
            <w:vAlign w:val="bottom"/>
            <w:hideMark/>
          </w:tcPr>
          <w:p w14:paraId="28FDDE5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44,079</w:t>
            </w:r>
          </w:p>
        </w:tc>
        <w:tc>
          <w:tcPr>
            <w:tcW w:w="50" w:type="pct"/>
            <w:shd w:val="clear" w:color="auto" w:fill="FFFFFF"/>
            <w:noWrap/>
            <w:tcMar>
              <w:top w:w="15" w:type="dxa"/>
              <w:left w:w="0" w:type="dxa"/>
              <w:bottom w:w="0" w:type="dxa"/>
              <w:right w:w="15" w:type="dxa"/>
            </w:tcMar>
            <w:vAlign w:val="bottom"/>
            <w:hideMark/>
          </w:tcPr>
          <w:p w14:paraId="2E47F4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197C53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93B7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left w:w="0" w:type="dxa"/>
              <w:bottom w:w="0" w:type="dxa"/>
              <w:right w:w="15" w:type="dxa"/>
            </w:tcMar>
            <w:vAlign w:val="bottom"/>
            <w:hideMark/>
          </w:tcPr>
          <w:p w14:paraId="2AE5AC9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44,302</w:t>
            </w:r>
          </w:p>
        </w:tc>
        <w:tc>
          <w:tcPr>
            <w:tcW w:w="50" w:type="pct"/>
            <w:shd w:val="clear" w:color="auto" w:fill="FFFFFF"/>
            <w:noWrap/>
            <w:tcMar>
              <w:top w:w="15" w:type="dxa"/>
              <w:left w:w="0" w:type="dxa"/>
              <w:bottom w:w="0" w:type="dxa"/>
              <w:right w:w="15" w:type="dxa"/>
            </w:tcMar>
            <w:vAlign w:val="bottom"/>
            <w:hideMark/>
          </w:tcPr>
          <w:p w14:paraId="481A95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5452D45" w14:textId="77777777">
        <w:trPr>
          <w:divId w:val="1381901666"/>
          <w:jc w:val="center"/>
        </w:trPr>
        <w:tc>
          <w:tcPr>
            <w:tcW w:w="1833" w:type="pct"/>
            <w:shd w:val="clear" w:color="auto" w:fill="CFF0FC"/>
            <w:tcMar>
              <w:top w:w="15" w:type="dxa"/>
              <w:left w:w="0" w:type="dxa"/>
              <w:bottom w:w="0" w:type="dxa"/>
              <w:right w:w="15" w:type="dxa"/>
            </w:tcMar>
            <w:hideMark/>
          </w:tcPr>
          <w:p w14:paraId="1B8AB11A"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51" w:type="pct"/>
            <w:shd w:val="clear" w:color="auto" w:fill="CFF0FC"/>
            <w:tcMar>
              <w:top w:w="15" w:type="dxa"/>
              <w:left w:w="0" w:type="dxa"/>
              <w:bottom w:w="0" w:type="dxa"/>
              <w:right w:w="15" w:type="dxa"/>
            </w:tcMar>
            <w:vAlign w:val="bottom"/>
            <w:hideMark/>
          </w:tcPr>
          <w:p w14:paraId="32B8E4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3122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49FA84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AC1B6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648111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78E1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26770A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348</w:t>
            </w:r>
          </w:p>
        </w:tc>
        <w:tc>
          <w:tcPr>
            <w:tcW w:w="50" w:type="pct"/>
            <w:shd w:val="clear" w:color="auto" w:fill="CFF0FC"/>
            <w:noWrap/>
            <w:tcMar>
              <w:top w:w="15" w:type="dxa"/>
              <w:left w:w="0" w:type="dxa"/>
              <w:bottom w:w="0" w:type="dxa"/>
              <w:right w:w="15" w:type="dxa"/>
            </w:tcMar>
            <w:vAlign w:val="bottom"/>
            <w:hideMark/>
          </w:tcPr>
          <w:p w14:paraId="3FD440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4CB02F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1E4A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0B196B7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348</w:t>
            </w:r>
          </w:p>
        </w:tc>
        <w:tc>
          <w:tcPr>
            <w:tcW w:w="50" w:type="pct"/>
            <w:shd w:val="clear" w:color="auto" w:fill="CFF0FC"/>
            <w:noWrap/>
            <w:tcMar>
              <w:top w:w="15" w:type="dxa"/>
              <w:left w:w="0" w:type="dxa"/>
              <w:bottom w:w="0" w:type="dxa"/>
              <w:right w:w="15" w:type="dxa"/>
            </w:tcMar>
            <w:vAlign w:val="bottom"/>
            <w:hideMark/>
          </w:tcPr>
          <w:p w14:paraId="693CC5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5B7DB9F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5521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39F928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69F73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4E2F31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8BC7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24633A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1,647</w:t>
            </w:r>
          </w:p>
        </w:tc>
        <w:tc>
          <w:tcPr>
            <w:tcW w:w="50" w:type="pct"/>
            <w:shd w:val="clear" w:color="auto" w:fill="CFF0FC"/>
            <w:noWrap/>
            <w:tcMar>
              <w:top w:w="15" w:type="dxa"/>
              <w:left w:w="0" w:type="dxa"/>
              <w:bottom w:w="0" w:type="dxa"/>
              <w:right w:w="15" w:type="dxa"/>
            </w:tcMar>
            <w:vAlign w:val="bottom"/>
            <w:hideMark/>
          </w:tcPr>
          <w:p w14:paraId="0DD916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5C3B5C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5D4F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52BEBDA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1,647</w:t>
            </w:r>
          </w:p>
        </w:tc>
        <w:tc>
          <w:tcPr>
            <w:tcW w:w="50" w:type="pct"/>
            <w:shd w:val="clear" w:color="auto" w:fill="CFF0FC"/>
            <w:noWrap/>
            <w:tcMar>
              <w:top w:w="15" w:type="dxa"/>
              <w:left w:w="0" w:type="dxa"/>
              <w:bottom w:w="0" w:type="dxa"/>
              <w:right w:w="15" w:type="dxa"/>
            </w:tcMar>
            <w:vAlign w:val="bottom"/>
            <w:hideMark/>
          </w:tcPr>
          <w:p w14:paraId="7A7DC0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751F5F6" w14:textId="77777777">
        <w:trPr>
          <w:divId w:val="1381901666"/>
          <w:jc w:val="center"/>
        </w:trPr>
        <w:tc>
          <w:tcPr>
            <w:tcW w:w="1833" w:type="pct"/>
            <w:shd w:val="clear" w:color="auto" w:fill="FFFFFF"/>
            <w:tcMar>
              <w:top w:w="15" w:type="dxa"/>
              <w:left w:w="0" w:type="dxa"/>
              <w:bottom w:w="0" w:type="dxa"/>
              <w:right w:w="15" w:type="dxa"/>
            </w:tcMar>
            <w:hideMark/>
          </w:tcPr>
          <w:p w14:paraId="09E677A0"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51" w:type="pct"/>
            <w:shd w:val="clear" w:color="auto" w:fill="FFFFFF"/>
            <w:tcMar>
              <w:top w:w="15" w:type="dxa"/>
              <w:left w:w="0" w:type="dxa"/>
              <w:bottom w:w="0" w:type="dxa"/>
              <w:right w:w="15" w:type="dxa"/>
            </w:tcMar>
            <w:vAlign w:val="bottom"/>
            <w:hideMark/>
          </w:tcPr>
          <w:p w14:paraId="6987FA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A22E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left w:w="0" w:type="dxa"/>
              <w:bottom w:w="0" w:type="dxa"/>
              <w:right w:w="15" w:type="dxa"/>
            </w:tcMar>
            <w:vAlign w:val="bottom"/>
            <w:hideMark/>
          </w:tcPr>
          <w:p w14:paraId="08E6BBA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6,050</w:t>
            </w:r>
          </w:p>
        </w:tc>
        <w:tc>
          <w:tcPr>
            <w:tcW w:w="50" w:type="pct"/>
            <w:shd w:val="clear" w:color="auto" w:fill="FFFFFF"/>
            <w:noWrap/>
            <w:tcMar>
              <w:top w:w="15" w:type="dxa"/>
              <w:left w:w="0" w:type="dxa"/>
              <w:bottom w:w="0" w:type="dxa"/>
              <w:right w:w="15" w:type="dxa"/>
            </w:tcMar>
            <w:vAlign w:val="bottom"/>
            <w:hideMark/>
          </w:tcPr>
          <w:p w14:paraId="16B9F7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77483B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23DA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left w:w="0" w:type="dxa"/>
              <w:bottom w:w="0" w:type="dxa"/>
              <w:right w:w="15" w:type="dxa"/>
            </w:tcMar>
            <w:vAlign w:val="bottom"/>
            <w:hideMark/>
          </w:tcPr>
          <w:p w14:paraId="5F7744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D8318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2950F0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348D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left w:w="0" w:type="dxa"/>
              <w:bottom w:w="0" w:type="dxa"/>
              <w:right w:w="15" w:type="dxa"/>
            </w:tcMar>
            <w:vAlign w:val="bottom"/>
            <w:hideMark/>
          </w:tcPr>
          <w:p w14:paraId="782FAF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6,050</w:t>
            </w:r>
          </w:p>
        </w:tc>
        <w:tc>
          <w:tcPr>
            <w:tcW w:w="50" w:type="pct"/>
            <w:shd w:val="clear" w:color="auto" w:fill="FFFFFF"/>
            <w:noWrap/>
            <w:tcMar>
              <w:top w:w="15" w:type="dxa"/>
              <w:left w:w="0" w:type="dxa"/>
              <w:bottom w:w="0" w:type="dxa"/>
              <w:right w:w="15" w:type="dxa"/>
            </w:tcMar>
            <w:vAlign w:val="bottom"/>
            <w:hideMark/>
          </w:tcPr>
          <w:p w14:paraId="587497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0BDAA2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9CC4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left w:w="0" w:type="dxa"/>
              <w:bottom w:w="0" w:type="dxa"/>
              <w:right w:w="15" w:type="dxa"/>
            </w:tcMar>
            <w:vAlign w:val="bottom"/>
            <w:hideMark/>
          </w:tcPr>
          <w:p w14:paraId="622DA1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6,500</w:t>
            </w:r>
          </w:p>
        </w:tc>
        <w:tc>
          <w:tcPr>
            <w:tcW w:w="50" w:type="pct"/>
            <w:shd w:val="clear" w:color="auto" w:fill="FFFFFF"/>
            <w:noWrap/>
            <w:tcMar>
              <w:top w:w="15" w:type="dxa"/>
              <w:left w:w="0" w:type="dxa"/>
              <w:bottom w:w="0" w:type="dxa"/>
              <w:right w:w="15" w:type="dxa"/>
            </w:tcMar>
            <w:vAlign w:val="bottom"/>
            <w:hideMark/>
          </w:tcPr>
          <w:p w14:paraId="0B9005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2F2BB1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11B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left w:w="0" w:type="dxa"/>
              <w:bottom w:w="0" w:type="dxa"/>
              <w:right w:w="15" w:type="dxa"/>
            </w:tcMar>
            <w:vAlign w:val="bottom"/>
            <w:hideMark/>
          </w:tcPr>
          <w:p w14:paraId="54A949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D6694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63518C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7C68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left w:w="0" w:type="dxa"/>
              <w:bottom w:w="0" w:type="dxa"/>
              <w:right w:w="15" w:type="dxa"/>
            </w:tcMar>
            <w:vAlign w:val="bottom"/>
            <w:hideMark/>
          </w:tcPr>
          <w:p w14:paraId="21C5C1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6,500</w:t>
            </w:r>
          </w:p>
        </w:tc>
        <w:tc>
          <w:tcPr>
            <w:tcW w:w="50" w:type="pct"/>
            <w:shd w:val="clear" w:color="auto" w:fill="FFFFFF"/>
            <w:noWrap/>
            <w:tcMar>
              <w:top w:w="15" w:type="dxa"/>
              <w:left w:w="0" w:type="dxa"/>
              <w:bottom w:w="0" w:type="dxa"/>
              <w:right w:w="15" w:type="dxa"/>
            </w:tcMar>
            <w:vAlign w:val="bottom"/>
            <w:hideMark/>
          </w:tcPr>
          <w:p w14:paraId="3A937D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4BF63F8" w14:textId="77777777">
        <w:trPr>
          <w:divId w:val="1381901666"/>
          <w:jc w:val="center"/>
        </w:trPr>
        <w:tc>
          <w:tcPr>
            <w:tcW w:w="1833" w:type="pct"/>
            <w:shd w:val="clear" w:color="auto" w:fill="CFF0FC"/>
            <w:tcMar>
              <w:top w:w="15" w:type="dxa"/>
              <w:left w:w="0" w:type="dxa"/>
              <w:bottom w:w="0" w:type="dxa"/>
              <w:right w:w="15" w:type="dxa"/>
            </w:tcMar>
            <w:hideMark/>
          </w:tcPr>
          <w:p w14:paraId="2E55BF8D"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1" w:type="pct"/>
            <w:shd w:val="clear" w:color="auto" w:fill="CFF0FC"/>
            <w:tcMar>
              <w:top w:w="15" w:type="dxa"/>
              <w:left w:w="0" w:type="dxa"/>
              <w:bottom w:w="0" w:type="dxa"/>
              <w:right w:w="15" w:type="dxa"/>
            </w:tcMar>
            <w:vAlign w:val="bottom"/>
            <w:hideMark/>
          </w:tcPr>
          <w:p w14:paraId="2AA24E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A0D8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left w:w="0" w:type="dxa"/>
              <w:bottom w:w="0" w:type="dxa"/>
              <w:right w:w="15" w:type="dxa"/>
            </w:tcMar>
            <w:vAlign w:val="bottom"/>
            <w:hideMark/>
          </w:tcPr>
          <w:p w14:paraId="48A8F08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41F772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162A06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57A4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left w:w="0" w:type="dxa"/>
              <w:bottom w:w="0" w:type="dxa"/>
              <w:right w:w="15" w:type="dxa"/>
            </w:tcMar>
            <w:vAlign w:val="bottom"/>
            <w:hideMark/>
          </w:tcPr>
          <w:p w14:paraId="6E50D73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E5D4D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4C8405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FC91A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left w:w="0" w:type="dxa"/>
              <w:bottom w:w="0" w:type="dxa"/>
              <w:right w:w="15" w:type="dxa"/>
            </w:tcMar>
            <w:vAlign w:val="bottom"/>
            <w:hideMark/>
          </w:tcPr>
          <w:p w14:paraId="60F91CF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FDA25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7EF08C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5603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left w:w="0" w:type="dxa"/>
              <w:bottom w:w="0" w:type="dxa"/>
              <w:right w:w="15" w:type="dxa"/>
            </w:tcMar>
            <w:vAlign w:val="bottom"/>
            <w:hideMark/>
          </w:tcPr>
          <w:p w14:paraId="17CFBD3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79B41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3A2E6B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E99B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left w:w="0" w:type="dxa"/>
              <w:bottom w:w="0" w:type="dxa"/>
              <w:right w:w="15" w:type="dxa"/>
            </w:tcMar>
            <w:vAlign w:val="bottom"/>
            <w:hideMark/>
          </w:tcPr>
          <w:p w14:paraId="1A0F4C0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57E58C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1C3BB0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F606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left w:w="0" w:type="dxa"/>
              <w:bottom w:w="0" w:type="dxa"/>
              <w:right w:w="15" w:type="dxa"/>
            </w:tcMar>
            <w:vAlign w:val="bottom"/>
            <w:hideMark/>
          </w:tcPr>
          <w:p w14:paraId="5155468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4F7F61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C749EA9" w14:textId="77777777">
        <w:trPr>
          <w:divId w:val="1381901666"/>
          <w:jc w:val="center"/>
        </w:trPr>
        <w:tc>
          <w:tcPr>
            <w:tcW w:w="1833" w:type="pct"/>
            <w:shd w:val="clear" w:color="auto" w:fill="FFFFFF"/>
            <w:tcMar>
              <w:top w:w="15" w:type="dxa"/>
              <w:left w:w="0" w:type="dxa"/>
              <w:bottom w:w="0" w:type="dxa"/>
              <w:right w:w="15" w:type="dxa"/>
            </w:tcMar>
            <w:hideMark/>
          </w:tcPr>
          <w:p w14:paraId="1D6B0786" w14:textId="77777777" w:rsidR="00716E85" w:rsidRDefault="00716E85">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51" w:type="pct"/>
            <w:shd w:val="clear" w:color="auto" w:fill="FFFFFF"/>
            <w:tcMar>
              <w:top w:w="15" w:type="dxa"/>
              <w:left w:w="0" w:type="dxa"/>
              <w:bottom w:w="0" w:type="dxa"/>
              <w:right w:w="15" w:type="dxa"/>
            </w:tcMar>
            <w:vAlign w:val="bottom"/>
            <w:hideMark/>
          </w:tcPr>
          <w:p w14:paraId="2E0C5E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9C83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607C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6,050</w:t>
            </w:r>
          </w:p>
        </w:tc>
        <w:tc>
          <w:tcPr>
            <w:tcW w:w="50" w:type="pct"/>
            <w:shd w:val="clear" w:color="auto" w:fill="FFFFFF"/>
            <w:noWrap/>
            <w:tcMar>
              <w:top w:w="15" w:type="dxa"/>
              <w:left w:w="0" w:type="dxa"/>
              <w:bottom w:w="0" w:type="dxa"/>
              <w:right w:w="15" w:type="dxa"/>
            </w:tcMar>
            <w:vAlign w:val="bottom"/>
            <w:hideMark/>
          </w:tcPr>
          <w:p w14:paraId="468EAA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6A3BB0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F0D3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EFFF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25,709</w:t>
            </w:r>
          </w:p>
        </w:tc>
        <w:tc>
          <w:tcPr>
            <w:tcW w:w="50" w:type="pct"/>
            <w:shd w:val="clear" w:color="auto" w:fill="FFFFFF"/>
            <w:noWrap/>
            <w:tcMar>
              <w:top w:w="15" w:type="dxa"/>
              <w:left w:w="0" w:type="dxa"/>
              <w:bottom w:w="0" w:type="dxa"/>
              <w:right w:w="15" w:type="dxa"/>
            </w:tcMar>
            <w:vAlign w:val="bottom"/>
            <w:hideMark/>
          </w:tcPr>
          <w:p w14:paraId="5D1A0AC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4B1BF3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4F7C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77423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31,759</w:t>
            </w:r>
          </w:p>
        </w:tc>
        <w:tc>
          <w:tcPr>
            <w:tcW w:w="50" w:type="pct"/>
            <w:shd w:val="clear" w:color="auto" w:fill="FFFFFF"/>
            <w:noWrap/>
            <w:tcMar>
              <w:top w:w="15" w:type="dxa"/>
              <w:left w:w="0" w:type="dxa"/>
              <w:bottom w:w="0" w:type="dxa"/>
              <w:right w:w="15" w:type="dxa"/>
            </w:tcMar>
            <w:vAlign w:val="bottom"/>
            <w:hideMark/>
          </w:tcPr>
          <w:p w14:paraId="48334C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73034B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823C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69CE4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6,723</w:t>
            </w:r>
          </w:p>
        </w:tc>
        <w:tc>
          <w:tcPr>
            <w:tcW w:w="50" w:type="pct"/>
            <w:shd w:val="clear" w:color="auto" w:fill="FFFFFF"/>
            <w:noWrap/>
            <w:tcMar>
              <w:top w:w="15" w:type="dxa"/>
              <w:left w:w="0" w:type="dxa"/>
              <w:bottom w:w="0" w:type="dxa"/>
              <w:right w:w="15" w:type="dxa"/>
            </w:tcMar>
            <w:vAlign w:val="bottom"/>
            <w:hideMark/>
          </w:tcPr>
          <w:p w14:paraId="191B985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52B028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1F1E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EDB7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45,755</w:t>
            </w:r>
          </w:p>
        </w:tc>
        <w:tc>
          <w:tcPr>
            <w:tcW w:w="50" w:type="pct"/>
            <w:shd w:val="clear" w:color="auto" w:fill="FFFFFF"/>
            <w:noWrap/>
            <w:tcMar>
              <w:top w:w="15" w:type="dxa"/>
              <w:left w:w="0" w:type="dxa"/>
              <w:bottom w:w="0" w:type="dxa"/>
              <w:right w:w="15" w:type="dxa"/>
            </w:tcMar>
            <w:vAlign w:val="bottom"/>
            <w:hideMark/>
          </w:tcPr>
          <w:p w14:paraId="51AD39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7D7D03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F020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2372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52,478</w:t>
            </w:r>
          </w:p>
        </w:tc>
        <w:tc>
          <w:tcPr>
            <w:tcW w:w="50" w:type="pct"/>
            <w:shd w:val="clear" w:color="auto" w:fill="FFFFFF"/>
            <w:noWrap/>
            <w:tcMar>
              <w:top w:w="15" w:type="dxa"/>
              <w:left w:w="0" w:type="dxa"/>
              <w:bottom w:w="0" w:type="dxa"/>
              <w:right w:w="15" w:type="dxa"/>
            </w:tcMar>
            <w:vAlign w:val="bottom"/>
            <w:hideMark/>
          </w:tcPr>
          <w:p w14:paraId="3CE5F1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10DC6A4" w14:textId="77777777">
        <w:trPr>
          <w:divId w:val="1381901666"/>
          <w:jc w:val="center"/>
        </w:trPr>
        <w:tc>
          <w:tcPr>
            <w:tcW w:w="1833" w:type="pct"/>
            <w:shd w:val="clear" w:color="auto" w:fill="CFF0FC"/>
            <w:tcMar>
              <w:top w:w="15" w:type="dxa"/>
              <w:left w:w="0" w:type="dxa"/>
              <w:bottom w:w="0" w:type="dxa"/>
              <w:right w:w="15" w:type="dxa"/>
            </w:tcMar>
            <w:hideMark/>
          </w:tcPr>
          <w:p w14:paraId="00F791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Liabilities:</w:t>
            </w:r>
          </w:p>
        </w:tc>
        <w:tc>
          <w:tcPr>
            <w:tcW w:w="51" w:type="pct"/>
            <w:shd w:val="clear" w:color="auto" w:fill="CFF0FC"/>
            <w:tcMar>
              <w:top w:w="15" w:type="dxa"/>
              <w:left w:w="0" w:type="dxa"/>
              <w:bottom w:w="0" w:type="dxa"/>
              <w:right w:w="15" w:type="dxa"/>
            </w:tcMar>
            <w:vAlign w:val="bottom"/>
            <w:hideMark/>
          </w:tcPr>
          <w:p w14:paraId="3484DA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B474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10D8F16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B17D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4D1BAD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D8B0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490259A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36E8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278B58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D0F4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1642FBE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C67A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334CBE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4702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1929F4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A6C7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0E4F90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5B15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4A527CF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9220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CFF0FC"/>
            <w:tcMar>
              <w:top w:w="15" w:type="dxa"/>
              <w:left w:w="0" w:type="dxa"/>
              <w:bottom w:w="0" w:type="dxa"/>
              <w:right w:w="15" w:type="dxa"/>
            </w:tcMar>
            <w:vAlign w:val="bottom"/>
            <w:hideMark/>
          </w:tcPr>
          <w:p w14:paraId="55F67F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7350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left w:w="0" w:type="dxa"/>
              <w:bottom w:w="0" w:type="dxa"/>
              <w:right w:w="15" w:type="dxa"/>
            </w:tcMar>
            <w:vAlign w:val="bottom"/>
            <w:hideMark/>
          </w:tcPr>
          <w:p w14:paraId="1EEE04E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40126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98121B5" w14:textId="77777777">
        <w:trPr>
          <w:divId w:val="1381901666"/>
          <w:jc w:val="center"/>
        </w:trPr>
        <w:tc>
          <w:tcPr>
            <w:tcW w:w="1833" w:type="pct"/>
            <w:shd w:val="clear" w:color="auto" w:fill="FFFFFF"/>
            <w:tcMar>
              <w:top w:w="15" w:type="dxa"/>
              <w:left w:w="0" w:type="dxa"/>
              <w:bottom w:w="0" w:type="dxa"/>
              <w:right w:w="15" w:type="dxa"/>
            </w:tcMar>
            <w:hideMark/>
          </w:tcPr>
          <w:p w14:paraId="788A4C4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51" w:type="pct"/>
            <w:shd w:val="clear" w:color="auto" w:fill="FFFFFF"/>
            <w:tcMar>
              <w:top w:w="15" w:type="dxa"/>
              <w:left w:w="0" w:type="dxa"/>
              <w:bottom w:w="0" w:type="dxa"/>
              <w:right w:w="15" w:type="dxa"/>
            </w:tcMar>
            <w:vAlign w:val="bottom"/>
            <w:hideMark/>
          </w:tcPr>
          <w:p w14:paraId="6C9D43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6839C4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left w:w="0" w:type="dxa"/>
              <w:bottom w:w="0" w:type="dxa"/>
              <w:right w:w="15" w:type="dxa"/>
            </w:tcMar>
            <w:vAlign w:val="bottom"/>
            <w:hideMark/>
          </w:tcPr>
          <w:p w14:paraId="0B4653C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409ED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2BE4C9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32096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left w:w="0" w:type="dxa"/>
              <w:bottom w:w="0" w:type="dxa"/>
              <w:right w:w="15" w:type="dxa"/>
            </w:tcMar>
            <w:vAlign w:val="bottom"/>
            <w:hideMark/>
          </w:tcPr>
          <w:p w14:paraId="144217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206</w:t>
            </w:r>
          </w:p>
        </w:tc>
        <w:tc>
          <w:tcPr>
            <w:tcW w:w="50" w:type="pct"/>
            <w:shd w:val="clear" w:color="auto" w:fill="FFFFFF"/>
            <w:noWrap/>
            <w:tcMar>
              <w:top w:w="15" w:type="dxa"/>
              <w:left w:w="0" w:type="dxa"/>
              <w:bottom w:w="0" w:type="dxa"/>
              <w:right w:w="15" w:type="dxa"/>
            </w:tcMar>
            <w:vAlign w:val="bottom"/>
            <w:hideMark/>
          </w:tcPr>
          <w:p w14:paraId="467C7A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3072FF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46AF44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left w:w="0" w:type="dxa"/>
              <w:bottom w:w="0" w:type="dxa"/>
              <w:right w:w="15" w:type="dxa"/>
            </w:tcMar>
            <w:vAlign w:val="bottom"/>
            <w:hideMark/>
          </w:tcPr>
          <w:p w14:paraId="4CEB82F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206</w:t>
            </w:r>
          </w:p>
        </w:tc>
        <w:tc>
          <w:tcPr>
            <w:tcW w:w="50" w:type="pct"/>
            <w:shd w:val="clear" w:color="auto" w:fill="FFFFFF"/>
            <w:noWrap/>
            <w:tcMar>
              <w:top w:w="15" w:type="dxa"/>
              <w:left w:w="0" w:type="dxa"/>
              <w:bottom w:w="0" w:type="dxa"/>
              <w:right w:w="15" w:type="dxa"/>
            </w:tcMar>
            <w:vAlign w:val="bottom"/>
            <w:hideMark/>
          </w:tcPr>
          <w:p w14:paraId="020BDB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1BEFB5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56101C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left w:w="0" w:type="dxa"/>
              <w:bottom w:w="0" w:type="dxa"/>
              <w:right w:w="15" w:type="dxa"/>
            </w:tcMar>
            <w:vAlign w:val="bottom"/>
            <w:hideMark/>
          </w:tcPr>
          <w:p w14:paraId="431695D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7F0D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292C60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68427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left w:w="0" w:type="dxa"/>
              <w:bottom w:w="0" w:type="dxa"/>
              <w:right w:w="15" w:type="dxa"/>
            </w:tcMar>
            <w:vAlign w:val="bottom"/>
            <w:hideMark/>
          </w:tcPr>
          <w:p w14:paraId="36FAB4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left w:w="0" w:type="dxa"/>
              <w:bottom w:w="0" w:type="dxa"/>
              <w:right w:w="15" w:type="dxa"/>
            </w:tcMar>
            <w:vAlign w:val="bottom"/>
            <w:hideMark/>
          </w:tcPr>
          <w:p w14:paraId="4AE519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1" w:type="pct"/>
            <w:shd w:val="clear" w:color="auto" w:fill="FFFFFF"/>
            <w:tcMar>
              <w:top w:w="15" w:type="dxa"/>
              <w:left w:w="0" w:type="dxa"/>
              <w:bottom w:w="0" w:type="dxa"/>
              <w:right w:w="15" w:type="dxa"/>
            </w:tcMar>
            <w:vAlign w:val="bottom"/>
            <w:hideMark/>
          </w:tcPr>
          <w:p w14:paraId="521661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3F9814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bottom w:val="double" w:sz="6" w:space="0" w:color="000000"/>
            </w:tcBorders>
            <w:shd w:val="clear" w:color="auto" w:fill="FFFFFF"/>
            <w:noWrap/>
            <w:tcMar>
              <w:top w:w="15" w:type="dxa"/>
              <w:left w:w="0" w:type="dxa"/>
              <w:bottom w:w="0" w:type="dxa"/>
              <w:right w:w="15" w:type="dxa"/>
            </w:tcMar>
            <w:vAlign w:val="bottom"/>
            <w:hideMark/>
          </w:tcPr>
          <w:p w14:paraId="484B44F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w:t>
            </w:r>
          </w:p>
        </w:tc>
        <w:tc>
          <w:tcPr>
            <w:tcW w:w="50" w:type="pct"/>
            <w:shd w:val="clear" w:color="auto" w:fill="FFFFFF"/>
            <w:noWrap/>
            <w:tcMar>
              <w:top w:w="15" w:type="dxa"/>
              <w:left w:w="0" w:type="dxa"/>
              <w:bottom w:w="0" w:type="dxa"/>
              <w:right w:w="15" w:type="dxa"/>
            </w:tcMar>
            <w:vAlign w:val="bottom"/>
            <w:hideMark/>
          </w:tcPr>
          <w:p w14:paraId="0AA07A51"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9F70400" w14:textId="77777777" w:rsidR="00716E85" w:rsidRDefault="00716E85">
      <w:pPr>
        <w:pStyle w:val="a3"/>
        <w:spacing w:before="0" w:beforeAutospacing="0" w:after="0" w:afterAutospacing="0"/>
        <w:rPr>
          <w:sz w:val="12"/>
          <w:szCs w:val="12"/>
        </w:rPr>
      </w:pPr>
      <w:r>
        <w:rPr>
          <w:sz w:val="12"/>
          <w:szCs w:val="12"/>
        </w:rPr>
        <w:t> </w:t>
      </w:r>
    </w:p>
    <w:p w14:paraId="14617FBF"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We classify our marketable securities as available-for-sale debt securities at the time of purchase and reevaluate such classification as of each balance sheet date. Our marketable securities investments consist of Tier 1 commercial paper debt securities, corporate debt securities and certain other securities. Marketable securities as presented per our condensed consolidated balance sheets included securities with original maturities at the time of purchase greater than three months and the remainder of the securities were included in cash and cash equivalents. As of February 28, 2019 and May 31, 2018, approximately 23% and 26%, respectively, of our marketable securities investments mature within one year and 77% and 74%, respectively, mature within one to five years. Our valuation techniques used to measure the fair values of our instruments that were classified as Level 1 in the table above were derived from quoted market prices and active markets for these instruments that exist. Our valuation techniques used to measure the fair values of Level 2 instruments listed in the table above, the counterparties to which have high credit ratings, were derived from the following: non-binding market consensus prices that were corroborated by observable market data, quoted market prices for similar instruments, or pricing models, such as discounted cash flow techniques, with all significant inputs derived from or corroborated by observable market data including LIBOR-based yield curves, among others.</w:t>
      </w:r>
    </w:p>
    <w:p w14:paraId="7B6E6CB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Based on the trading prices of the $56.0 billion and $58.0 billion of senior notes and the related fair value hedges that we had outstanding as of February 28, 2019 and May 31, 2018, respectively, the estimated fair values of the senior notes and the related fair value hedges using Level 2 inputs at February 28, 2019 and May 31, 2018 were $56.9 billion and $59.0 billion, respectively.</w:t>
      </w:r>
    </w:p>
    <w:p w14:paraId="564DC0BC" w14:textId="77777777" w:rsidR="00716E85" w:rsidRDefault="00716E85">
      <w:pPr>
        <w:pStyle w:val="a3"/>
        <w:spacing w:before="0" w:beforeAutospacing="0" w:after="0" w:afterAutospacing="0"/>
        <w:jc w:val="both"/>
        <w:rPr>
          <w:sz w:val="12"/>
          <w:szCs w:val="12"/>
        </w:rPr>
      </w:pPr>
      <w:r>
        <w:rPr>
          <w:sz w:val="12"/>
          <w:szCs w:val="12"/>
        </w:rPr>
        <w:t> </w:t>
      </w:r>
    </w:p>
    <w:p w14:paraId="7FE7C9BB" w14:textId="77777777" w:rsidR="00716E85" w:rsidRDefault="00716E85">
      <w:pPr>
        <w:pStyle w:val="a3"/>
        <w:spacing w:before="0" w:beforeAutospacing="0" w:after="0" w:afterAutospacing="0"/>
        <w:jc w:val="both"/>
        <w:rPr>
          <w:sz w:val="12"/>
          <w:szCs w:val="12"/>
        </w:rPr>
      </w:pPr>
      <w:r>
        <w:rPr>
          <w:sz w:val="12"/>
          <w:szCs w:val="12"/>
        </w:rPr>
        <w:t> </w:t>
      </w:r>
    </w:p>
    <w:p w14:paraId="7A32F82D"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18</w:t>
      </w:r>
    </w:p>
    <w:p w14:paraId="1067D042" w14:textId="77777777" w:rsidR="00716E85" w:rsidRDefault="00716E85">
      <w:pPr>
        <w:rPr>
          <w:rFonts w:ascii="Times New Roman" w:eastAsia="Times New Roman" w:hAnsi="Times New Roman" w:cs="Times New Roman"/>
          <w:sz w:val="24"/>
          <w:szCs w:val="24"/>
        </w:rPr>
      </w:pPr>
      <w:r>
        <w:rPr>
          <w:rFonts w:eastAsia="Times New Roman"/>
        </w:rPr>
        <w:pict w14:anchorId="7823B094">
          <v:rect id="_x0000_i1044" style="width:415.3pt;height:1.5pt" o:hralign="center" o:hrstd="t" o:hr="t" fillcolor="#a0a0a0" stroked="f"/>
        </w:pict>
      </w:r>
    </w:p>
    <w:p w14:paraId="79AD3BD4"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5DD3BA4" w14:textId="77777777" w:rsidR="00716E85" w:rsidRDefault="00716E85">
      <w:pPr>
        <w:pStyle w:val="a3"/>
      </w:pPr>
      <w:r>
        <w:t> </w:t>
      </w:r>
    </w:p>
    <w:p w14:paraId="1345AD5E"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31897C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1182D88D"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63BA626D"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005EDB33"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3A5CF93B" w14:textId="77777777">
        <w:tc>
          <w:tcPr>
            <w:tcW w:w="262" w:type="pct"/>
            <w:noWrap/>
            <w:hideMark/>
          </w:tcPr>
          <w:p w14:paraId="520BE0B5"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4.</w:t>
            </w:r>
          </w:p>
        </w:tc>
        <w:tc>
          <w:tcPr>
            <w:tcW w:w="0" w:type="auto"/>
            <w:hideMark/>
          </w:tcPr>
          <w:p w14:paraId="2CB86DE7" w14:textId="77777777" w:rsidR="00716E85" w:rsidRDefault="00716E85">
            <w:pPr>
              <w:pStyle w:val="a3"/>
              <w:spacing w:before="0" w:beforeAutospacing="0" w:after="0" w:afterAutospacing="0"/>
              <w:jc w:val="both"/>
              <w:rPr>
                <w:rFonts w:ascii="Calibri" w:hAnsi="Calibri" w:cs="Calibri"/>
                <w:b/>
                <w:bCs/>
                <w:sz w:val="20"/>
                <w:szCs w:val="20"/>
              </w:rPr>
            </w:pPr>
            <w:bookmarkStart w:id="29" w:name="_AEIOULastRenderedPageBreakAEIOU21"/>
            <w:bookmarkEnd w:id="29"/>
            <w:r>
              <w:rPr>
                <w:rFonts w:ascii="Calibri" w:hAnsi="Calibri" w:cs="Calibri"/>
                <w:b/>
                <w:bCs/>
                <w:sz w:val="20"/>
                <w:szCs w:val="20"/>
              </w:rPr>
              <w:t>INTANGIBLE ASSETS AND GOODWILL</w:t>
            </w:r>
          </w:p>
        </w:tc>
      </w:tr>
    </w:tbl>
    <w:p w14:paraId="1BD21CC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changes in intangible assets for fiscal 2019 and the net book value of intangible assets as of February 28, 2019 and May 31, 2018 were as follows:</w:t>
      </w:r>
    </w:p>
    <w:p w14:paraId="66A60D86"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1524"/>
        <w:gridCol w:w="56"/>
        <w:gridCol w:w="107"/>
        <w:gridCol w:w="517"/>
        <w:gridCol w:w="56"/>
        <w:gridCol w:w="56"/>
        <w:gridCol w:w="646"/>
        <w:gridCol w:w="289"/>
        <w:gridCol w:w="70"/>
        <w:gridCol w:w="56"/>
        <w:gridCol w:w="107"/>
        <w:gridCol w:w="517"/>
        <w:gridCol w:w="56"/>
        <w:gridCol w:w="56"/>
        <w:gridCol w:w="107"/>
        <w:gridCol w:w="480"/>
        <w:gridCol w:w="70"/>
        <w:gridCol w:w="56"/>
        <w:gridCol w:w="107"/>
        <w:gridCol w:w="480"/>
        <w:gridCol w:w="70"/>
        <w:gridCol w:w="56"/>
        <w:gridCol w:w="107"/>
        <w:gridCol w:w="480"/>
        <w:gridCol w:w="70"/>
        <w:gridCol w:w="56"/>
        <w:gridCol w:w="107"/>
        <w:gridCol w:w="425"/>
        <w:gridCol w:w="56"/>
        <w:gridCol w:w="56"/>
        <w:gridCol w:w="184"/>
        <w:gridCol w:w="426"/>
        <w:gridCol w:w="56"/>
        <w:gridCol w:w="56"/>
        <w:gridCol w:w="312"/>
        <w:gridCol w:w="311"/>
        <w:gridCol w:w="65"/>
      </w:tblGrid>
      <w:tr w:rsidR="00716E85" w14:paraId="39565471" w14:textId="77777777">
        <w:trPr>
          <w:divId w:val="1816948076"/>
          <w:trHeight w:val="390"/>
          <w:jc w:val="center"/>
        </w:trPr>
        <w:tc>
          <w:tcPr>
            <w:tcW w:w="1150" w:type="pct"/>
            <w:shd w:val="clear" w:color="auto" w:fill="FFFFFF"/>
            <w:tcMar>
              <w:top w:w="15" w:type="dxa"/>
              <w:left w:w="0" w:type="dxa"/>
              <w:bottom w:w="0" w:type="dxa"/>
              <w:right w:w="15" w:type="dxa"/>
            </w:tcMar>
            <w:vAlign w:val="bottom"/>
            <w:hideMark/>
          </w:tcPr>
          <w:p w14:paraId="0B61BFB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4" w:type="pct"/>
            <w:shd w:val="clear" w:color="auto" w:fill="FFFFFF"/>
            <w:tcMar>
              <w:top w:w="15" w:type="dxa"/>
              <w:left w:w="0" w:type="dxa"/>
              <w:bottom w:w="0" w:type="dxa"/>
              <w:right w:w="15" w:type="dxa"/>
            </w:tcMar>
            <w:vAlign w:val="bottom"/>
            <w:hideMark/>
          </w:tcPr>
          <w:p w14:paraId="4004E13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10"/>
            <w:tcBorders>
              <w:bottom w:val="single" w:sz="6" w:space="0" w:color="000000"/>
            </w:tcBorders>
            <w:shd w:val="clear" w:color="auto" w:fill="FFFFFF"/>
            <w:tcMar>
              <w:top w:w="15" w:type="dxa"/>
              <w:left w:w="0" w:type="dxa"/>
              <w:bottom w:w="0" w:type="dxa"/>
              <w:right w:w="15" w:type="dxa"/>
            </w:tcMar>
            <w:vAlign w:val="bottom"/>
            <w:hideMark/>
          </w:tcPr>
          <w:p w14:paraId="1640DFF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Intangible Assets, Gross</w:t>
            </w:r>
          </w:p>
        </w:tc>
        <w:tc>
          <w:tcPr>
            <w:tcW w:w="59" w:type="pct"/>
            <w:shd w:val="clear" w:color="auto" w:fill="FFFFFF"/>
            <w:noWrap/>
            <w:tcMar>
              <w:top w:w="15" w:type="dxa"/>
              <w:left w:w="0" w:type="dxa"/>
              <w:bottom w:w="0" w:type="dxa"/>
              <w:right w:w="15" w:type="dxa"/>
            </w:tcMar>
            <w:vAlign w:val="bottom"/>
            <w:hideMark/>
          </w:tcPr>
          <w:p w14:paraId="51DD9AB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left w:w="0" w:type="dxa"/>
              <w:bottom w:w="0" w:type="dxa"/>
              <w:right w:w="15" w:type="dxa"/>
            </w:tcMar>
            <w:vAlign w:val="bottom"/>
            <w:hideMark/>
          </w:tcPr>
          <w:p w14:paraId="3D84517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10"/>
            <w:tcBorders>
              <w:bottom w:val="single" w:sz="6" w:space="0" w:color="000000"/>
            </w:tcBorders>
            <w:shd w:val="clear" w:color="auto" w:fill="FFFFFF"/>
            <w:tcMar>
              <w:top w:w="15" w:type="dxa"/>
              <w:left w:w="0" w:type="dxa"/>
              <w:bottom w:w="0" w:type="dxa"/>
              <w:right w:w="15" w:type="dxa"/>
            </w:tcMar>
            <w:vAlign w:val="bottom"/>
            <w:hideMark/>
          </w:tcPr>
          <w:p w14:paraId="183621E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Accumulated Amortization</w:t>
            </w:r>
          </w:p>
        </w:tc>
        <w:tc>
          <w:tcPr>
            <w:tcW w:w="59" w:type="pct"/>
            <w:shd w:val="clear" w:color="auto" w:fill="FFFFFF"/>
            <w:noWrap/>
            <w:tcMar>
              <w:top w:w="15" w:type="dxa"/>
              <w:left w:w="0" w:type="dxa"/>
              <w:bottom w:w="0" w:type="dxa"/>
              <w:right w:w="15" w:type="dxa"/>
            </w:tcMar>
            <w:vAlign w:val="bottom"/>
            <w:hideMark/>
          </w:tcPr>
          <w:p w14:paraId="6FBFE61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left w:w="0" w:type="dxa"/>
              <w:bottom w:w="0" w:type="dxa"/>
              <w:right w:w="15" w:type="dxa"/>
            </w:tcMar>
            <w:vAlign w:val="bottom"/>
            <w:hideMark/>
          </w:tcPr>
          <w:p w14:paraId="2FEC247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0" w:type="pct"/>
            <w:gridSpan w:val="6"/>
            <w:tcBorders>
              <w:bottom w:val="single" w:sz="6" w:space="0" w:color="000000"/>
            </w:tcBorders>
            <w:shd w:val="clear" w:color="auto" w:fill="FFFFFF"/>
            <w:tcMar>
              <w:top w:w="15" w:type="dxa"/>
              <w:left w:w="0" w:type="dxa"/>
              <w:bottom w:w="0" w:type="dxa"/>
              <w:right w:w="15" w:type="dxa"/>
            </w:tcMar>
            <w:vAlign w:val="bottom"/>
            <w:hideMark/>
          </w:tcPr>
          <w:p w14:paraId="114047D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Intangible Assets, Net</w:t>
            </w:r>
          </w:p>
        </w:tc>
        <w:tc>
          <w:tcPr>
            <w:tcW w:w="34" w:type="pct"/>
            <w:shd w:val="clear" w:color="auto" w:fill="FFFFFF"/>
            <w:noWrap/>
            <w:tcMar>
              <w:top w:w="15" w:type="dxa"/>
              <w:left w:w="0" w:type="dxa"/>
              <w:bottom w:w="0" w:type="dxa"/>
              <w:right w:w="15" w:type="dxa"/>
            </w:tcMar>
            <w:vAlign w:val="bottom"/>
            <w:hideMark/>
          </w:tcPr>
          <w:p w14:paraId="6A10F60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 w:type="pct"/>
            <w:shd w:val="clear" w:color="auto" w:fill="FFFFFF"/>
            <w:tcMar>
              <w:top w:w="15" w:type="dxa"/>
              <w:left w:w="0" w:type="dxa"/>
              <w:bottom w:w="0" w:type="dxa"/>
              <w:right w:w="15" w:type="dxa"/>
            </w:tcMar>
            <w:vAlign w:val="bottom"/>
            <w:hideMark/>
          </w:tcPr>
          <w:p w14:paraId="27BBF64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46" w:type="pct"/>
            <w:gridSpan w:val="2"/>
            <w:vMerge w:val="restart"/>
            <w:shd w:val="clear" w:color="auto" w:fill="FFFFFF"/>
            <w:tcMar>
              <w:top w:w="15" w:type="dxa"/>
              <w:left w:w="0" w:type="dxa"/>
              <w:bottom w:w="0" w:type="dxa"/>
              <w:right w:w="15" w:type="dxa"/>
            </w:tcMar>
            <w:vAlign w:val="bottom"/>
            <w:hideMark/>
          </w:tcPr>
          <w:p w14:paraId="70E3424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Weighted</w:t>
            </w:r>
          </w:p>
          <w:p w14:paraId="5971904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Average</w:t>
            </w:r>
          </w:p>
          <w:p w14:paraId="74B7E2F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Useful</w:t>
            </w:r>
          </w:p>
          <w:p w14:paraId="4D8AA69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Life</w:t>
            </w:r>
            <w:r>
              <w:rPr>
                <w:rFonts w:ascii="Calibri" w:hAnsi="Calibri" w:cs="Calibri"/>
                <w:b/>
                <w:bCs/>
                <w:color w:val="000000"/>
                <w:sz w:val="13"/>
                <w:szCs w:val="13"/>
                <w:vertAlign w:val="superscript"/>
              </w:rPr>
              <w:t>(2)</w:t>
            </w:r>
          </w:p>
        </w:tc>
        <w:tc>
          <w:tcPr>
            <w:tcW w:w="11" w:type="pct"/>
            <w:shd w:val="clear" w:color="auto" w:fill="FFFFFF"/>
            <w:noWrap/>
            <w:tcMar>
              <w:top w:w="15" w:type="dxa"/>
              <w:left w:w="0" w:type="dxa"/>
              <w:bottom w:w="0" w:type="dxa"/>
              <w:right w:w="15" w:type="dxa"/>
            </w:tcMar>
            <w:vAlign w:val="bottom"/>
            <w:hideMark/>
          </w:tcPr>
          <w:p w14:paraId="5B2519A9" w14:textId="77777777" w:rsidR="00716E85" w:rsidRDefault="00716E85">
            <w:pPr>
              <w:pStyle w:val="a3"/>
              <w:spacing w:before="0" w:beforeAutospacing="0" w:after="0" w:afterAutospacing="0"/>
              <w:rPr>
                <w:rFonts w:ascii="Calibri" w:hAnsi="Calibri" w:cs="Calibri"/>
                <w:b/>
                <w:bCs/>
                <w:color w:val="000000"/>
                <w:sz w:val="11"/>
                <w:szCs w:val="11"/>
              </w:rPr>
            </w:pPr>
            <w:r>
              <w:rPr>
                <w:rFonts w:ascii="Calibri" w:hAnsi="Calibri" w:cs="Calibri"/>
                <w:b/>
                <w:bCs/>
                <w:color w:val="000000"/>
                <w:sz w:val="11"/>
                <w:szCs w:val="11"/>
              </w:rPr>
              <w:t> </w:t>
            </w:r>
          </w:p>
        </w:tc>
      </w:tr>
      <w:tr w:rsidR="00716E85" w14:paraId="6B40FF43" w14:textId="77777777">
        <w:trPr>
          <w:divId w:val="1816948076"/>
          <w:jc w:val="center"/>
        </w:trPr>
        <w:tc>
          <w:tcPr>
            <w:tcW w:w="1150" w:type="pct"/>
            <w:tcBorders>
              <w:bottom w:val="single" w:sz="6" w:space="0" w:color="000000"/>
            </w:tcBorders>
            <w:shd w:val="clear" w:color="auto" w:fill="FFFFFF"/>
            <w:tcMar>
              <w:top w:w="15" w:type="dxa"/>
              <w:left w:w="0" w:type="dxa"/>
              <w:bottom w:w="0" w:type="dxa"/>
              <w:right w:w="15" w:type="dxa"/>
            </w:tcMar>
            <w:vAlign w:val="bottom"/>
            <w:hideMark/>
          </w:tcPr>
          <w:p w14:paraId="3FF24A0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34" w:type="pct"/>
            <w:shd w:val="clear" w:color="auto" w:fill="FFFFFF"/>
            <w:tcMar>
              <w:top w:w="15" w:type="dxa"/>
              <w:left w:w="0" w:type="dxa"/>
              <w:bottom w:w="0" w:type="dxa"/>
              <w:right w:w="15" w:type="dxa"/>
            </w:tcMar>
            <w:vAlign w:val="bottom"/>
            <w:hideMark/>
          </w:tcPr>
          <w:p w14:paraId="4D0F5D6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7F880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7492F45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4B4D8D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68EEA5B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58248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Additions &amp;</w:t>
            </w:r>
          </w:p>
          <w:p w14:paraId="1E7D96E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Adjustments, net</w:t>
            </w:r>
            <w:r>
              <w:rPr>
                <w:rFonts w:ascii="Calibri" w:hAnsi="Calibri" w:cs="Calibri"/>
                <w:b/>
                <w:bCs/>
                <w:color w:val="000000"/>
                <w:sz w:val="13"/>
                <w:szCs w:val="13"/>
                <w:vertAlign w:val="superscript"/>
              </w:rPr>
              <w:t>(1)</w:t>
            </w:r>
          </w:p>
        </w:tc>
        <w:tc>
          <w:tcPr>
            <w:tcW w:w="50" w:type="pct"/>
            <w:shd w:val="clear" w:color="auto" w:fill="FFFFFF"/>
            <w:noWrap/>
            <w:tcMar>
              <w:top w:w="15" w:type="dxa"/>
              <w:left w:w="0" w:type="dxa"/>
              <w:bottom w:w="0" w:type="dxa"/>
              <w:right w:w="15" w:type="dxa"/>
            </w:tcMar>
            <w:vAlign w:val="bottom"/>
            <w:hideMark/>
          </w:tcPr>
          <w:p w14:paraId="5313B3B3" w14:textId="77777777" w:rsidR="00716E85" w:rsidRDefault="00716E85">
            <w:pPr>
              <w:pStyle w:val="a3"/>
              <w:spacing w:before="0" w:beforeAutospacing="0" w:after="0" w:afterAutospacing="0"/>
              <w:rPr>
                <w:color w:val="000000"/>
                <w:sz w:val="15"/>
                <w:szCs w:val="15"/>
              </w:rPr>
            </w:pPr>
            <w:r>
              <w:rPr>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35E1BD4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284D0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151FCA6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9" w:type="pct"/>
            <w:shd w:val="clear" w:color="auto" w:fill="FFFFFF"/>
            <w:noWrap/>
            <w:tcMar>
              <w:top w:w="15" w:type="dxa"/>
              <w:left w:w="0" w:type="dxa"/>
              <w:bottom w:w="0" w:type="dxa"/>
              <w:right w:w="15" w:type="dxa"/>
            </w:tcMar>
            <w:vAlign w:val="bottom"/>
            <w:hideMark/>
          </w:tcPr>
          <w:p w14:paraId="7FA4A87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left w:w="0" w:type="dxa"/>
              <w:bottom w:w="0" w:type="dxa"/>
              <w:right w:w="15" w:type="dxa"/>
            </w:tcMar>
            <w:vAlign w:val="bottom"/>
            <w:hideMark/>
          </w:tcPr>
          <w:p w14:paraId="6AE0796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9F6F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F916C5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9" w:type="pct"/>
            <w:shd w:val="clear" w:color="auto" w:fill="FFFFFF"/>
            <w:noWrap/>
            <w:tcMar>
              <w:top w:w="15" w:type="dxa"/>
              <w:left w:w="0" w:type="dxa"/>
              <w:bottom w:w="0" w:type="dxa"/>
              <w:right w:w="15" w:type="dxa"/>
            </w:tcMar>
            <w:vAlign w:val="bottom"/>
            <w:hideMark/>
          </w:tcPr>
          <w:p w14:paraId="48F5D6B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1A3A07A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44C38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9" w:type="pct"/>
            <w:shd w:val="clear" w:color="auto" w:fill="FFFFFF"/>
            <w:noWrap/>
            <w:tcMar>
              <w:top w:w="15" w:type="dxa"/>
              <w:left w:w="0" w:type="dxa"/>
              <w:bottom w:w="0" w:type="dxa"/>
              <w:right w:w="15" w:type="dxa"/>
            </w:tcMar>
            <w:vAlign w:val="bottom"/>
            <w:hideMark/>
          </w:tcPr>
          <w:p w14:paraId="4C0EB3F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B19F57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EB036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1BEDE47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9" w:type="pct"/>
            <w:shd w:val="clear" w:color="auto" w:fill="FFFFFF"/>
            <w:noWrap/>
            <w:tcMar>
              <w:top w:w="15" w:type="dxa"/>
              <w:left w:w="0" w:type="dxa"/>
              <w:bottom w:w="0" w:type="dxa"/>
              <w:right w:w="15" w:type="dxa"/>
            </w:tcMar>
            <w:vAlign w:val="bottom"/>
            <w:hideMark/>
          </w:tcPr>
          <w:p w14:paraId="1062EB4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shd w:val="clear" w:color="auto" w:fill="FFFFFF"/>
            <w:tcMar>
              <w:top w:w="15" w:type="dxa"/>
              <w:left w:w="0" w:type="dxa"/>
              <w:bottom w:w="0" w:type="dxa"/>
              <w:right w:w="15" w:type="dxa"/>
            </w:tcMar>
            <w:vAlign w:val="bottom"/>
            <w:hideMark/>
          </w:tcPr>
          <w:p w14:paraId="3DE9875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F91DE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69FDA4F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9" w:type="pct"/>
            <w:shd w:val="clear" w:color="auto" w:fill="FFFFFF"/>
            <w:noWrap/>
            <w:tcMar>
              <w:top w:w="15" w:type="dxa"/>
              <w:left w:w="0" w:type="dxa"/>
              <w:bottom w:w="0" w:type="dxa"/>
              <w:right w:w="15" w:type="dxa"/>
            </w:tcMar>
            <w:vAlign w:val="bottom"/>
            <w:hideMark/>
          </w:tcPr>
          <w:p w14:paraId="42AFC8A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6CB20F8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0A8BD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5DA413E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34" w:type="pct"/>
            <w:shd w:val="clear" w:color="auto" w:fill="FFFFFF"/>
            <w:noWrap/>
            <w:tcMar>
              <w:top w:w="15" w:type="dxa"/>
              <w:left w:w="0" w:type="dxa"/>
              <w:bottom w:w="0" w:type="dxa"/>
              <w:right w:w="15" w:type="dxa"/>
            </w:tcMar>
            <w:vAlign w:val="bottom"/>
            <w:hideMark/>
          </w:tcPr>
          <w:p w14:paraId="7A9D0385" w14:textId="77777777" w:rsidR="00716E85" w:rsidRDefault="00716E8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35" w:type="pct"/>
            <w:shd w:val="clear" w:color="auto" w:fill="FFFFFF"/>
            <w:tcMar>
              <w:top w:w="15" w:type="dxa"/>
              <w:left w:w="0" w:type="dxa"/>
              <w:bottom w:w="0" w:type="dxa"/>
              <w:right w:w="15" w:type="dxa"/>
            </w:tcMar>
            <w:vAlign w:val="bottom"/>
            <w:hideMark/>
          </w:tcPr>
          <w:p w14:paraId="749D0DC2" w14:textId="77777777" w:rsidR="00716E85" w:rsidRDefault="00716E85">
            <w:pPr>
              <w:pStyle w:val="a3"/>
              <w:spacing w:before="0" w:beforeAutospacing="0" w:after="0" w:afterAutospacing="0"/>
              <w:rPr>
                <w:rFonts w:ascii="Calibri" w:hAnsi="Calibri" w:cs="Calibri"/>
                <w:b/>
                <w:bCs/>
                <w:color w:val="000000"/>
                <w:sz w:val="14"/>
                <w:szCs w:val="14"/>
              </w:rPr>
            </w:pPr>
            <w:r>
              <w:rPr>
                <w:rFonts w:ascii="Calibri" w:hAnsi="Calibri" w:cs="Calibri"/>
                <w:b/>
                <w:bCs/>
                <w:color w:val="000000"/>
                <w:sz w:val="14"/>
                <w:szCs w:val="14"/>
              </w:rPr>
              <w:t> </w:t>
            </w:r>
          </w:p>
        </w:tc>
        <w:tc>
          <w:tcPr>
            <w:tcW w:w="0" w:type="auto"/>
            <w:gridSpan w:val="2"/>
            <w:vMerge/>
            <w:vAlign w:val="center"/>
            <w:hideMark/>
          </w:tcPr>
          <w:p w14:paraId="4825C2D6" w14:textId="77777777" w:rsidR="00716E85" w:rsidRDefault="00716E85">
            <w:pPr>
              <w:rPr>
                <w:rFonts w:ascii="Calibri" w:hAnsi="Calibri" w:cs="Calibri"/>
                <w:b/>
                <w:bCs/>
                <w:color w:val="000000"/>
                <w:sz w:val="15"/>
                <w:szCs w:val="15"/>
              </w:rPr>
            </w:pPr>
          </w:p>
        </w:tc>
        <w:tc>
          <w:tcPr>
            <w:tcW w:w="11" w:type="pct"/>
            <w:shd w:val="clear" w:color="auto" w:fill="FFFFFF"/>
            <w:noWrap/>
            <w:tcMar>
              <w:top w:w="15" w:type="dxa"/>
              <w:left w:w="0" w:type="dxa"/>
              <w:bottom w:w="0" w:type="dxa"/>
              <w:right w:w="15" w:type="dxa"/>
            </w:tcMar>
            <w:vAlign w:val="bottom"/>
            <w:hideMark/>
          </w:tcPr>
          <w:p w14:paraId="6BB07337" w14:textId="77777777" w:rsidR="00716E85" w:rsidRDefault="00716E8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716E85" w14:paraId="30F5C0C1" w14:textId="77777777">
        <w:trPr>
          <w:divId w:val="1816948076"/>
          <w:jc w:val="center"/>
        </w:trPr>
        <w:tc>
          <w:tcPr>
            <w:tcW w:w="1150" w:type="pct"/>
            <w:tcBorders>
              <w:top w:val="single" w:sz="6" w:space="0" w:color="000000"/>
            </w:tcBorders>
            <w:shd w:val="clear" w:color="auto" w:fill="CFF0FC"/>
            <w:tcMar>
              <w:top w:w="15" w:type="dxa"/>
              <w:left w:w="0" w:type="dxa"/>
              <w:bottom w:w="0" w:type="dxa"/>
              <w:right w:w="15" w:type="dxa"/>
            </w:tcMar>
            <w:hideMark/>
          </w:tcPr>
          <w:p w14:paraId="378D97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Developed technology</w:t>
            </w:r>
          </w:p>
        </w:tc>
        <w:tc>
          <w:tcPr>
            <w:tcW w:w="34" w:type="pct"/>
            <w:shd w:val="clear" w:color="auto" w:fill="CFF0FC"/>
            <w:tcMar>
              <w:top w:w="15" w:type="dxa"/>
              <w:left w:w="0" w:type="dxa"/>
              <w:bottom w:w="0" w:type="dxa"/>
              <w:right w:w="15" w:type="dxa"/>
            </w:tcMar>
            <w:vAlign w:val="bottom"/>
            <w:hideMark/>
          </w:tcPr>
          <w:p w14:paraId="4E0BA4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8" w:type="pct"/>
            <w:tcBorders>
              <w:top w:val="single" w:sz="6" w:space="0" w:color="000000"/>
            </w:tcBorders>
            <w:shd w:val="clear" w:color="auto" w:fill="CFF0FC"/>
            <w:noWrap/>
            <w:tcMar>
              <w:top w:w="15" w:type="dxa"/>
              <w:left w:w="0" w:type="dxa"/>
              <w:bottom w:w="0" w:type="dxa"/>
              <w:right w:w="15" w:type="dxa"/>
            </w:tcMar>
            <w:vAlign w:val="bottom"/>
            <w:hideMark/>
          </w:tcPr>
          <w:p w14:paraId="2FB22D5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618366C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5,309</w:t>
            </w:r>
          </w:p>
        </w:tc>
        <w:tc>
          <w:tcPr>
            <w:tcW w:w="50" w:type="pct"/>
            <w:shd w:val="clear" w:color="auto" w:fill="CFF0FC"/>
            <w:noWrap/>
            <w:tcMar>
              <w:top w:w="15" w:type="dxa"/>
              <w:left w:w="0" w:type="dxa"/>
              <w:bottom w:w="0" w:type="dxa"/>
              <w:right w:w="15" w:type="dxa"/>
            </w:tcMar>
            <w:vAlign w:val="bottom"/>
            <w:hideMark/>
          </w:tcPr>
          <w:p w14:paraId="090BF0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2A0745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tcBorders>
            <w:shd w:val="clear" w:color="auto" w:fill="CFF0FC"/>
            <w:noWrap/>
            <w:tcMar>
              <w:top w:w="15" w:type="dxa"/>
              <w:left w:w="0" w:type="dxa"/>
              <w:bottom w:w="0" w:type="dxa"/>
              <w:right w:w="15" w:type="dxa"/>
            </w:tcMar>
            <w:vAlign w:val="bottom"/>
            <w:hideMark/>
          </w:tcPr>
          <w:p w14:paraId="73EF013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118" w:type="pct"/>
            <w:tcBorders>
              <w:top w:val="single" w:sz="6" w:space="0" w:color="000000"/>
            </w:tcBorders>
            <w:shd w:val="clear" w:color="auto" w:fill="CFF0FC"/>
            <w:noWrap/>
            <w:tcMar>
              <w:top w:w="15" w:type="dxa"/>
              <w:left w:w="0" w:type="dxa"/>
              <w:bottom w:w="0" w:type="dxa"/>
              <w:right w:w="15" w:type="dxa"/>
            </w:tcMar>
            <w:vAlign w:val="bottom"/>
            <w:hideMark/>
          </w:tcPr>
          <w:p w14:paraId="330F851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271</w:t>
            </w:r>
          </w:p>
        </w:tc>
        <w:tc>
          <w:tcPr>
            <w:tcW w:w="50" w:type="pct"/>
            <w:shd w:val="clear" w:color="auto" w:fill="CFF0FC"/>
            <w:noWrap/>
            <w:tcMar>
              <w:top w:w="15" w:type="dxa"/>
              <w:left w:w="0" w:type="dxa"/>
              <w:bottom w:w="0" w:type="dxa"/>
              <w:right w:w="15" w:type="dxa"/>
            </w:tcMar>
            <w:vAlign w:val="bottom"/>
            <w:hideMark/>
          </w:tcPr>
          <w:p w14:paraId="757258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3EA9564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tcBorders>
            <w:shd w:val="clear" w:color="auto" w:fill="CFF0FC"/>
            <w:noWrap/>
            <w:tcMar>
              <w:top w:w="15" w:type="dxa"/>
              <w:left w:w="0" w:type="dxa"/>
              <w:bottom w:w="0" w:type="dxa"/>
              <w:right w:w="15" w:type="dxa"/>
            </w:tcMar>
            <w:vAlign w:val="bottom"/>
            <w:hideMark/>
          </w:tcPr>
          <w:p w14:paraId="01607E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6DDFB74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5,580</w:t>
            </w:r>
          </w:p>
        </w:tc>
        <w:tc>
          <w:tcPr>
            <w:tcW w:w="59" w:type="pct"/>
            <w:shd w:val="clear" w:color="auto" w:fill="CFF0FC"/>
            <w:noWrap/>
            <w:tcMar>
              <w:top w:w="15" w:type="dxa"/>
              <w:left w:w="0" w:type="dxa"/>
              <w:bottom w:w="0" w:type="dxa"/>
              <w:right w:w="15" w:type="dxa"/>
            </w:tcMar>
            <w:vAlign w:val="bottom"/>
            <w:hideMark/>
          </w:tcPr>
          <w:p w14:paraId="3A86EC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left w:w="0" w:type="dxa"/>
              <w:bottom w:w="0" w:type="dxa"/>
              <w:right w:w="15" w:type="dxa"/>
            </w:tcMar>
            <w:vAlign w:val="bottom"/>
            <w:hideMark/>
          </w:tcPr>
          <w:p w14:paraId="653710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tcBorders>
            <w:shd w:val="clear" w:color="auto" w:fill="CFF0FC"/>
            <w:noWrap/>
            <w:tcMar>
              <w:top w:w="15" w:type="dxa"/>
              <w:left w:w="0" w:type="dxa"/>
              <w:bottom w:w="0" w:type="dxa"/>
              <w:right w:w="15" w:type="dxa"/>
            </w:tcMar>
            <w:vAlign w:val="bottom"/>
            <w:hideMark/>
          </w:tcPr>
          <w:p w14:paraId="0C838F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2E1D43C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(2,814</w:t>
            </w:r>
          </w:p>
        </w:tc>
        <w:tc>
          <w:tcPr>
            <w:tcW w:w="59" w:type="pct"/>
            <w:shd w:val="clear" w:color="auto" w:fill="CFF0FC"/>
            <w:noWrap/>
            <w:tcMar>
              <w:top w:w="15" w:type="dxa"/>
              <w:left w:w="0" w:type="dxa"/>
              <w:bottom w:w="0" w:type="dxa"/>
              <w:right w:w="15" w:type="dxa"/>
            </w:tcMar>
            <w:vAlign w:val="bottom"/>
            <w:hideMark/>
          </w:tcPr>
          <w:p w14:paraId="33BE1C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CFF0FC"/>
            <w:tcMar>
              <w:top w:w="15" w:type="dxa"/>
              <w:left w:w="0" w:type="dxa"/>
              <w:bottom w:w="0" w:type="dxa"/>
              <w:right w:w="15" w:type="dxa"/>
            </w:tcMar>
            <w:vAlign w:val="bottom"/>
            <w:hideMark/>
          </w:tcPr>
          <w:p w14:paraId="1F4835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tcBorders>
            <w:shd w:val="clear" w:color="auto" w:fill="CFF0FC"/>
            <w:noWrap/>
            <w:tcMar>
              <w:top w:w="15" w:type="dxa"/>
              <w:left w:w="0" w:type="dxa"/>
              <w:bottom w:w="0" w:type="dxa"/>
              <w:right w:w="15" w:type="dxa"/>
            </w:tcMar>
            <w:vAlign w:val="bottom"/>
            <w:hideMark/>
          </w:tcPr>
          <w:p w14:paraId="304ADA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187" w:type="pct"/>
            <w:tcBorders>
              <w:top w:val="single" w:sz="6" w:space="0" w:color="000000"/>
            </w:tcBorders>
            <w:shd w:val="clear" w:color="auto" w:fill="CFF0FC"/>
            <w:noWrap/>
            <w:tcMar>
              <w:top w:w="15" w:type="dxa"/>
              <w:left w:w="0" w:type="dxa"/>
              <w:bottom w:w="0" w:type="dxa"/>
              <w:right w:w="15" w:type="dxa"/>
            </w:tcMar>
            <w:vAlign w:val="bottom"/>
            <w:hideMark/>
          </w:tcPr>
          <w:p w14:paraId="42A02EC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(640</w:t>
            </w:r>
          </w:p>
        </w:tc>
        <w:tc>
          <w:tcPr>
            <w:tcW w:w="59" w:type="pct"/>
            <w:shd w:val="clear" w:color="auto" w:fill="CFF0FC"/>
            <w:noWrap/>
            <w:tcMar>
              <w:top w:w="15" w:type="dxa"/>
              <w:left w:w="0" w:type="dxa"/>
              <w:bottom w:w="0" w:type="dxa"/>
              <w:right w:w="15" w:type="dxa"/>
            </w:tcMar>
            <w:vAlign w:val="bottom"/>
            <w:hideMark/>
          </w:tcPr>
          <w:p w14:paraId="162FB15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CFF0FC"/>
            <w:tcMar>
              <w:top w:w="15" w:type="dxa"/>
              <w:left w:w="0" w:type="dxa"/>
              <w:bottom w:w="0" w:type="dxa"/>
              <w:right w:w="15" w:type="dxa"/>
            </w:tcMar>
            <w:vAlign w:val="bottom"/>
            <w:hideMark/>
          </w:tcPr>
          <w:p w14:paraId="3EB2DB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tcBorders>
            <w:shd w:val="clear" w:color="auto" w:fill="CFF0FC"/>
            <w:noWrap/>
            <w:tcMar>
              <w:top w:w="15" w:type="dxa"/>
              <w:left w:w="0" w:type="dxa"/>
              <w:bottom w:w="0" w:type="dxa"/>
              <w:right w:w="15" w:type="dxa"/>
            </w:tcMar>
            <w:vAlign w:val="bottom"/>
            <w:hideMark/>
          </w:tcPr>
          <w:p w14:paraId="6E94E9F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61E1DC9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(3,454</w:t>
            </w:r>
          </w:p>
        </w:tc>
        <w:tc>
          <w:tcPr>
            <w:tcW w:w="59" w:type="pct"/>
            <w:shd w:val="clear" w:color="auto" w:fill="CFF0FC"/>
            <w:noWrap/>
            <w:tcMar>
              <w:top w:w="15" w:type="dxa"/>
              <w:left w:w="0" w:type="dxa"/>
              <w:bottom w:w="0" w:type="dxa"/>
              <w:right w:w="15" w:type="dxa"/>
            </w:tcMar>
            <w:vAlign w:val="bottom"/>
            <w:hideMark/>
          </w:tcPr>
          <w:p w14:paraId="30D8578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CFF0FC"/>
            <w:tcMar>
              <w:top w:w="15" w:type="dxa"/>
              <w:left w:w="0" w:type="dxa"/>
              <w:bottom w:w="0" w:type="dxa"/>
              <w:right w:w="15" w:type="dxa"/>
            </w:tcMar>
            <w:vAlign w:val="bottom"/>
            <w:hideMark/>
          </w:tcPr>
          <w:p w14:paraId="76A3E6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tcBorders>
            <w:shd w:val="clear" w:color="auto" w:fill="CFF0FC"/>
            <w:noWrap/>
            <w:tcMar>
              <w:top w:w="15" w:type="dxa"/>
              <w:left w:w="0" w:type="dxa"/>
              <w:bottom w:w="0" w:type="dxa"/>
              <w:right w:w="15" w:type="dxa"/>
            </w:tcMar>
            <w:vAlign w:val="bottom"/>
            <w:hideMark/>
          </w:tcPr>
          <w:p w14:paraId="08CD0A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3D21043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2,495</w:t>
            </w:r>
          </w:p>
        </w:tc>
        <w:tc>
          <w:tcPr>
            <w:tcW w:w="59" w:type="pct"/>
            <w:shd w:val="clear" w:color="auto" w:fill="CFF0FC"/>
            <w:noWrap/>
            <w:tcMar>
              <w:top w:w="15" w:type="dxa"/>
              <w:left w:w="0" w:type="dxa"/>
              <w:bottom w:w="0" w:type="dxa"/>
              <w:right w:w="15" w:type="dxa"/>
            </w:tcMar>
            <w:vAlign w:val="bottom"/>
            <w:hideMark/>
          </w:tcPr>
          <w:p w14:paraId="36AAB3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left w:w="0" w:type="dxa"/>
              <w:bottom w:w="0" w:type="dxa"/>
              <w:right w:w="15" w:type="dxa"/>
            </w:tcMar>
            <w:vAlign w:val="bottom"/>
            <w:hideMark/>
          </w:tcPr>
          <w:p w14:paraId="4DAF5E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tcBorders>
            <w:shd w:val="clear" w:color="auto" w:fill="CFF0FC"/>
            <w:noWrap/>
            <w:tcMar>
              <w:top w:w="15" w:type="dxa"/>
              <w:left w:w="0" w:type="dxa"/>
              <w:bottom w:w="0" w:type="dxa"/>
              <w:right w:w="15" w:type="dxa"/>
            </w:tcMar>
            <w:vAlign w:val="bottom"/>
            <w:hideMark/>
          </w:tcPr>
          <w:p w14:paraId="5BCC60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tcBorders>
            <w:shd w:val="clear" w:color="auto" w:fill="CFF0FC"/>
            <w:noWrap/>
            <w:tcMar>
              <w:top w:w="15" w:type="dxa"/>
              <w:left w:w="0" w:type="dxa"/>
              <w:bottom w:w="0" w:type="dxa"/>
              <w:right w:w="15" w:type="dxa"/>
            </w:tcMar>
            <w:vAlign w:val="bottom"/>
            <w:hideMark/>
          </w:tcPr>
          <w:p w14:paraId="4AA3ECE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2,126</w:t>
            </w:r>
          </w:p>
        </w:tc>
        <w:tc>
          <w:tcPr>
            <w:tcW w:w="34" w:type="pct"/>
            <w:shd w:val="clear" w:color="auto" w:fill="CFF0FC"/>
            <w:noWrap/>
            <w:tcMar>
              <w:top w:w="15" w:type="dxa"/>
              <w:left w:w="0" w:type="dxa"/>
              <w:bottom w:w="0" w:type="dxa"/>
              <w:right w:w="15" w:type="dxa"/>
            </w:tcMar>
            <w:vAlign w:val="bottom"/>
            <w:hideMark/>
          </w:tcPr>
          <w:p w14:paraId="0DC47A1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5" w:type="pct"/>
            <w:shd w:val="clear" w:color="auto" w:fill="CFF0FC"/>
            <w:tcMar>
              <w:top w:w="15" w:type="dxa"/>
              <w:left w:w="0" w:type="dxa"/>
              <w:bottom w:w="0" w:type="dxa"/>
              <w:right w:w="15" w:type="dxa"/>
            </w:tcMar>
            <w:vAlign w:val="bottom"/>
            <w:hideMark/>
          </w:tcPr>
          <w:p w14:paraId="458D91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tcBorders>
              <w:top w:val="single" w:sz="6" w:space="0" w:color="000000"/>
            </w:tcBorders>
            <w:shd w:val="clear" w:color="auto" w:fill="CFF0FC"/>
            <w:noWrap/>
            <w:tcMar>
              <w:top w:w="15" w:type="dxa"/>
              <w:left w:w="0" w:type="dxa"/>
              <w:bottom w:w="0" w:type="dxa"/>
              <w:right w:w="15" w:type="dxa"/>
            </w:tcMar>
            <w:vAlign w:val="bottom"/>
            <w:hideMark/>
          </w:tcPr>
          <w:p w14:paraId="631BD1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tcBorders>
              <w:top w:val="single" w:sz="6" w:space="0" w:color="000000"/>
            </w:tcBorders>
            <w:shd w:val="clear" w:color="auto" w:fill="CFF0FC"/>
            <w:noWrap/>
            <w:tcMar>
              <w:top w:w="15" w:type="dxa"/>
              <w:left w:w="0" w:type="dxa"/>
              <w:bottom w:w="0" w:type="dxa"/>
              <w:right w:w="15" w:type="dxa"/>
            </w:tcMar>
            <w:vAlign w:val="bottom"/>
            <w:hideMark/>
          </w:tcPr>
          <w:p w14:paraId="3D41FCC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11" w:type="pct"/>
            <w:shd w:val="clear" w:color="auto" w:fill="CFF0FC"/>
            <w:noWrap/>
            <w:tcMar>
              <w:top w:w="15" w:type="dxa"/>
              <w:left w:w="0" w:type="dxa"/>
              <w:bottom w:w="0" w:type="dxa"/>
              <w:right w:w="15" w:type="dxa"/>
            </w:tcMar>
            <w:vAlign w:val="bottom"/>
            <w:hideMark/>
          </w:tcPr>
          <w:p w14:paraId="278B9592" w14:textId="77777777" w:rsidR="00716E85" w:rsidRDefault="00716E85">
            <w:pPr>
              <w:pStyle w:val="a3"/>
              <w:spacing w:before="0" w:beforeAutospacing="0" w:after="0" w:afterAutospacing="0"/>
              <w:rPr>
                <w:rFonts w:ascii="Calibri" w:hAnsi="Calibri" w:cs="Calibri"/>
                <w:color w:val="000000"/>
                <w:sz w:val="13"/>
                <w:szCs w:val="13"/>
              </w:rPr>
            </w:pPr>
            <w:r>
              <w:rPr>
                <w:rFonts w:ascii="Calibri" w:hAnsi="Calibri" w:cs="Calibri"/>
                <w:color w:val="000000"/>
                <w:sz w:val="13"/>
                <w:szCs w:val="13"/>
              </w:rPr>
              <w:t> </w:t>
            </w:r>
          </w:p>
        </w:tc>
      </w:tr>
      <w:tr w:rsidR="00716E85" w14:paraId="23902088" w14:textId="77777777">
        <w:trPr>
          <w:divId w:val="1816948076"/>
          <w:jc w:val="center"/>
        </w:trPr>
        <w:tc>
          <w:tcPr>
            <w:tcW w:w="1150" w:type="pct"/>
            <w:shd w:val="clear" w:color="auto" w:fill="FFFFFF"/>
            <w:tcMar>
              <w:top w:w="15" w:type="dxa"/>
              <w:left w:w="0" w:type="dxa"/>
              <w:bottom w:w="0" w:type="dxa"/>
              <w:right w:w="15" w:type="dxa"/>
            </w:tcMar>
            <w:hideMark/>
          </w:tcPr>
          <w:p w14:paraId="5EF0873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services and license support agreements</w:t>
            </w:r>
            <w:r>
              <w:rPr>
                <w:color w:val="000000"/>
                <w:sz w:val="18"/>
                <w:szCs w:val="18"/>
              </w:rPr>
              <w:t xml:space="preserve"> </w:t>
            </w:r>
            <w:r>
              <w:rPr>
                <w:rFonts w:ascii="Calibri" w:hAnsi="Calibri" w:cs="Calibri"/>
                <w:color w:val="000000"/>
                <w:sz w:val="18"/>
                <w:szCs w:val="18"/>
              </w:rPr>
              <w:t>and related</w:t>
            </w:r>
            <w:r>
              <w:rPr>
                <w:color w:val="000000"/>
                <w:sz w:val="18"/>
                <w:szCs w:val="18"/>
              </w:rPr>
              <w:t xml:space="preserve"> </w:t>
            </w:r>
            <w:r>
              <w:rPr>
                <w:rFonts w:ascii="Calibri" w:hAnsi="Calibri" w:cs="Calibri"/>
                <w:color w:val="000000"/>
                <w:sz w:val="18"/>
                <w:szCs w:val="18"/>
              </w:rPr>
              <w:t>relationships</w:t>
            </w:r>
          </w:p>
        </w:tc>
        <w:tc>
          <w:tcPr>
            <w:tcW w:w="34" w:type="pct"/>
            <w:shd w:val="clear" w:color="auto" w:fill="FFFFFF"/>
            <w:tcMar>
              <w:top w:w="15" w:type="dxa"/>
              <w:left w:w="0" w:type="dxa"/>
              <w:bottom w:w="0" w:type="dxa"/>
              <w:right w:w="15" w:type="dxa"/>
            </w:tcMar>
            <w:vAlign w:val="bottom"/>
            <w:hideMark/>
          </w:tcPr>
          <w:p w14:paraId="4C8091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8" w:type="pct"/>
            <w:shd w:val="clear" w:color="auto" w:fill="FFFFFF"/>
            <w:noWrap/>
            <w:tcMar>
              <w:top w:w="15" w:type="dxa"/>
              <w:left w:w="0" w:type="dxa"/>
              <w:bottom w:w="0" w:type="dxa"/>
              <w:right w:w="15" w:type="dxa"/>
            </w:tcMar>
            <w:vAlign w:val="bottom"/>
            <w:hideMark/>
          </w:tcPr>
          <w:p w14:paraId="7B4BE5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29B3CCD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5,999</w:t>
            </w:r>
          </w:p>
        </w:tc>
        <w:tc>
          <w:tcPr>
            <w:tcW w:w="50" w:type="pct"/>
            <w:shd w:val="clear" w:color="auto" w:fill="FFFFFF"/>
            <w:noWrap/>
            <w:tcMar>
              <w:top w:w="15" w:type="dxa"/>
              <w:left w:w="0" w:type="dxa"/>
              <w:bottom w:w="0" w:type="dxa"/>
              <w:right w:w="15" w:type="dxa"/>
            </w:tcMar>
            <w:vAlign w:val="bottom"/>
            <w:hideMark/>
          </w:tcPr>
          <w:p w14:paraId="71C524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330C79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3" w:type="pct"/>
            <w:shd w:val="clear" w:color="auto" w:fill="FFFFFF"/>
            <w:noWrap/>
            <w:tcMar>
              <w:top w:w="15" w:type="dxa"/>
              <w:left w:w="0" w:type="dxa"/>
              <w:bottom w:w="0" w:type="dxa"/>
              <w:right w:w="15" w:type="dxa"/>
            </w:tcMar>
            <w:vAlign w:val="bottom"/>
            <w:hideMark/>
          </w:tcPr>
          <w:p w14:paraId="0091899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8" w:type="pct"/>
            <w:shd w:val="clear" w:color="auto" w:fill="FFFFFF"/>
            <w:noWrap/>
            <w:tcMar>
              <w:top w:w="15" w:type="dxa"/>
              <w:left w:w="0" w:type="dxa"/>
              <w:bottom w:w="0" w:type="dxa"/>
              <w:right w:w="15" w:type="dxa"/>
            </w:tcMar>
            <w:vAlign w:val="bottom"/>
            <w:hideMark/>
          </w:tcPr>
          <w:p w14:paraId="6A58425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w:t>
            </w:r>
          </w:p>
        </w:tc>
        <w:tc>
          <w:tcPr>
            <w:tcW w:w="50" w:type="pct"/>
            <w:shd w:val="clear" w:color="auto" w:fill="FFFFFF"/>
            <w:noWrap/>
            <w:tcMar>
              <w:top w:w="15" w:type="dxa"/>
              <w:left w:w="0" w:type="dxa"/>
              <w:bottom w:w="0" w:type="dxa"/>
              <w:right w:w="15" w:type="dxa"/>
            </w:tcMar>
            <w:vAlign w:val="bottom"/>
            <w:hideMark/>
          </w:tcPr>
          <w:p w14:paraId="56F4FCC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tcMar>
              <w:top w:w="15" w:type="dxa"/>
              <w:left w:w="0" w:type="dxa"/>
              <w:bottom w:w="0" w:type="dxa"/>
              <w:right w:w="15" w:type="dxa"/>
            </w:tcMar>
            <w:vAlign w:val="bottom"/>
            <w:hideMark/>
          </w:tcPr>
          <w:p w14:paraId="0F937F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shd w:val="clear" w:color="auto" w:fill="FFFFFF"/>
            <w:noWrap/>
            <w:tcMar>
              <w:top w:w="15" w:type="dxa"/>
              <w:left w:w="0" w:type="dxa"/>
              <w:bottom w:w="0" w:type="dxa"/>
              <w:right w:w="15" w:type="dxa"/>
            </w:tcMar>
            <w:vAlign w:val="bottom"/>
            <w:hideMark/>
          </w:tcPr>
          <w:p w14:paraId="28864D6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4353A83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5,984</w:t>
            </w:r>
          </w:p>
        </w:tc>
        <w:tc>
          <w:tcPr>
            <w:tcW w:w="59" w:type="pct"/>
            <w:shd w:val="clear" w:color="auto" w:fill="FFFFFF"/>
            <w:noWrap/>
            <w:tcMar>
              <w:top w:w="15" w:type="dxa"/>
              <w:left w:w="0" w:type="dxa"/>
              <w:bottom w:w="0" w:type="dxa"/>
              <w:right w:w="15" w:type="dxa"/>
            </w:tcMar>
            <w:vAlign w:val="bottom"/>
            <w:hideMark/>
          </w:tcPr>
          <w:p w14:paraId="7B68B98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left w:w="0" w:type="dxa"/>
              <w:bottom w:w="0" w:type="dxa"/>
              <w:right w:w="15" w:type="dxa"/>
            </w:tcMar>
            <w:vAlign w:val="bottom"/>
            <w:hideMark/>
          </w:tcPr>
          <w:p w14:paraId="7BA2DD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shd w:val="clear" w:color="auto" w:fill="FFFFFF"/>
            <w:noWrap/>
            <w:tcMar>
              <w:top w:w="15" w:type="dxa"/>
              <w:left w:w="0" w:type="dxa"/>
              <w:bottom w:w="0" w:type="dxa"/>
              <w:right w:w="15" w:type="dxa"/>
            </w:tcMar>
            <w:vAlign w:val="bottom"/>
            <w:hideMark/>
          </w:tcPr>
          <w:p w14:paraId="3217F61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5C4825D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(2,285</w:t>
            </w:r>
          </w:p>
        </w:tc>
        <w:tc>
          <w:tcPr>
            <w:tcW w:w="59" w:type="pct"/>
            <w:shd w:val="clear" w:color="auto" w:fill="FFFFFF"/>
            <w:noWrap/>
            <w:tcMar>
              <w:top w:w="15" w:type="dxa"/>
              <w:left w:w="0" w:type="dxa"/>
              <w:bottom w:w="0" w:type="dxa"/>
              <w:right w:w="15" w:type="dxa"/>
            </w:tcMar>
            <w:vAlign w:val="bottom"/>
            <w:hideMark/>
          </w:tcPr>
          <w:p w14:paraId="56E1B63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left w:w="0" w:type="dxa"/>
              <w:bottom w:w="0" w:type="dxa"/>
              <w:right w:w="15" w:type="dxa"/>
            </w:tcMar>
            <w:vAlign w:val="bottom"/>
            <w:hideMark/>
          </w:tcPr>
          <w:p w14:paraId="2C189D3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shd w:val="clear" w:color="auto" w:fill="FFFFFF"/>
            <w:noWrap/>
            <w:tcMar>
              <w:top w:w="15" w:type="dxa"/>
              <w:left w:w="0" w:type="dxa"/>
              <w:bottom w:w="0" w:type="dxa"/>
              <w:right w:w="15" w:type="dxa"/>
            </w:tcMar>
            <w:vAlign w:val="bottom"/>
            <w:hideMark/>
          </w:tcPr>
          <w:p w14:paraId="4754587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87" w:type="pct"/>
            <w:shd w:val="clear" w:color="auto" w:fill="FFFFFF"/>
            <w:noWrap/>
            <w:tcMar>
              <w:top w:w="15" w:type="dxa"/>
              <w:left w:w="0" w:type="dxa"/>
              <w:bottom w:w="0" w:type="dxa"/>
              <w:right w:w="15" w:type="dxa"/>
            </w:tcMar>
            <w:vAlign w:val="bottom"/>
            <w:hideMark/>
          </w:tcPr>
          <w:p w14:paraId="09D3A9E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(539</w:t>
            </w:r>
          </w:p>
        </w:tc>
        <w:tc>
          <w:tcPr>
            <w:tcW w:w="59" w:type="pct"/>
            <w:shd w:val="clear" w:color="auto" w:fill="FFFFFF"/>
            <w:noWrap/>
            <w:tcMar>
              <w:top w:w="15" w:type="dxa"/>
              <w:left w:w="0" w:type="dxa"/>
              <w:bottom w:w="0" w:type="dxa"/>
              <w:right w:w="15" w:type="dxa"/>
            </w:tcMar>
            <w:vAlign w:val="bottom"/>
            <w:hideMark/>
          </w:tcPr>
          <w:p w14:paraId="1828B0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left w:w="0" w:type="dxa"/>
              <w:bottom w:w="0" w:type="dxa"/>
              <w:right w:w="15" w:type="dxa"/>
            </w:tcMar>
            <w:vAlign w:val="bottom"/>
            <w:hideMark/>
          </w:tcPr>
          <w:p w14:paraId="6C08B6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shd w:val="clear" w:color="auto" w:fill="FFFFFF"/>
            <w:noWrap/>
            <w:tcMar>
              <w:top w:w="15" w:type="dxa"/>
              <w:left w:w="0" w:type="dxa"/>
              <w:bottom w:w="0" w:type="dxa"/>
              <w:right w:w="15" w:type="dxa"/>
            </w:tcMar>
            <w:vAlign w:val="bottom"/>
            <w:hideMark/>
          </w:tcPr>
          <w:p w14:paraId="2548AB4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6FE0BF0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(2,824</w:t>
            </w:r>
          </w:p>
        </w:tc>
        <w:tc>
          <w:tcPr>
            <w:tcW w:w="59" w:type="pct"/>
            <w:shd w:val="clear" w:color="auto" w:fill="FFFFFF"/>
            <w:noWrap/>
            <w:tcMar>
              <w:top w:w="15" w:type="dxa"/>
              <w:left w:w="0" w:type="dxa"/>
              <w:bottom w:w="0" w:type="dxa"/>
              <w:right w:w="15" w:type="dxa"/>
            </w:tcMar>
            <w:vAlign w:val="bottom"/>
            <w:hideMark/>
          </w:tcPr>
          <w:p w14:paraId="1C0E4F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left w:w="0" w:type="dxa"/>
              <w:bottom w:w="0" w:type="dxa"/>
              <w:right w:w="15" w:type="dxa"/>
            </w:tcMar>
            <w:vAlign w:val="bottom"/>
            <w:hideMark/>
          </w:tcPr>
          <w:p w14:paraId="6C0362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shd w:val="clear" w:color="auto" w:fill="FFFFFF"/>
            <w:noWrap/>
            <w:tcMar>
              <w:top w:w="15" w:type="dxa"/>
              <w:left w:w="0" w:type="dxa"/>
              <w:bottom w:w="0" w:type="dxa"/>
              <w:right w:w="15" w:type="dxa"/>
            </w:tcMar>
            <w:vAlign w:val="bottom"/>
            <w:hideMark/>
          </w:tcPr>
          <w:p w14:paraId="58E3EC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3AF2031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3,714</w:t>
            </w:r>
          </w:p>
        </w:tc>
        <w:tc>
          <w:tcPr>
            <w:tcW w:w="59" w:type="pct"/>
            <w:shd w:val="clear" w:color="auto" w:fill="FFFFFF"/>
            <w:noWrap/>
            <w:tcMar>
              <w:top w:w="15" w:type="dxa"/>
              <w:left w:w="0" w:type="dxa"/>
              <w:bottom w:w="0" w:type="dxa"/>
              <w:right w:w="15" w:type="dxa"/>
            </w:tcMar>
            <w:vAlign w:val="bottom"/>
            <w:hideMark/>
          </w:tcPr>
          <w:p w14:paraId="716E50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left w:w="0" w:type="dxa"/>
              <w:bottom w:w="0" w:type="dxa"/>
              <w:right w:w="15" w:type="dxa"/>
            </w:tcMar>
            <w:vAlign w:val="bottom"/>
            <w:hideMark/>
          </w:tcPr>
          <w:p w14:paraId="3012CD4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shd w:val="clear" w:color="auto" w:fill="FFFFFF"/>
            <w:noWrap/>
            <w:tcMar>
              <w:top w:w="15" w:type="dxa"/>
              <w:left w:w="0" w:type="dxa"/>
              <w:bottom w:w="0" w:type="dxa"/>
              <w:right w:w="15" w:type="dxa"/>
            </w:tcMar>
            <w:vAlign w:val="bottom"/>
            <w:hideMark/>
          </w:tcPr>
          <w:p w14:paraId="5C5954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shd w:val="clear" w:color="auto" w:fill="FFFFFF"/>
            <w:noWrap/>
            <w:tcMar>
              <w:top w:w="15" w:type="dxa"/>
              <w:left w:w="0" w:type="dxa"/>
              <w:bottom w:w="0" w:type="dxa"/>
              <w:right w:w="15" w:type="dxa"/>
            </w:tcMar>
            <w:vAlign w:val="bottom"/>
            <w:hideMark/>
          </w:tcPr>
          <w:p w14:paraId="6A1C4D9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3,160</w:t>
            </w:r>
          </w:p>
        </w:tc>
        <w:tc>
          <w:tcPr>
            <w:tcW w:w="34" w:type="pct"/>
            <w:shd w:val="clear" w:color="auto" w:fill="FFFFFF"/>
            <w:noWrap/>
            <w:tcMar>
              <w:top w:w="15" w:type="dxa"/>
              <w:left w:w="0" w:type="dxa"/>
              <w:bottom w:w="0" w:type="dxa"/>
              <w:right w:w="15" w:type="dxa"/>
            </w:tcMar>
            <w:vAlign w:val="bottom"/>
            <w:hideMark/>
          </w:tcPr>
          <w:p w14:paraId="5ADA2C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5" w:type="pct"/>
            <w:shd w:val="clear" w:color="auto" w:fill="FFFFFF"/>
            <w:tcMar>
              <w:top w:w="15" w:type="dxa"/>
              <w:left w:w="0" w:type="dxa"/>
              <w:bottom w:w="0" w:type="dxa"/>
              <w:right w:w="15" w:type="dxa"/>
            </w:tcMar>
            <w:vAlign w:val="bottom"/>
            <w:hideMark/>
          </w:tcPr>
          <w:p w14:paraId="7ED787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shd w:val="clear" w:color="auto" w:fill="FFFFFF"/>
            <w:noWrap/>
            <w:tcMar>
              <w:top w:w="15" w:type="dxa"/>
              <w:left w:w="0" w:type="dxa"/>
              <w:bottom w:w="0" w:type="dxa"/>
              <w:right w:w="15" w:type="dxa"/>
            </w:tcMar>
            <w:vAlign w:val="bottom"/>
            <w:hideMark/>
          </w:tcPr>
          <w:p w14:paraId="2D6A58A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shd w:val="clear" w:color="auto" w:fill="FFFFFF"/>
            <w:noWrap/>
            <w:tcMar>
              <w:top w:w="15" w:type="dxa"/>
              <w:left w:w="0" w:type="dxa"/>
              <w:bottom w:w="0" w:type="dxa"/>
              <w:right w:w="15" w:type="dxa"/>
            </w:tcMar>
            <w:vAlign w:val="bottom"/>
            <w:hideMark/>
          </w:tcPr>
          <w:p w14:paraId="63D840F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11" w:type="pct"/>
            <w:shd w:val="clear" w:color="auto" w:fill="FFFFFF"/>
            <w:noWrap/>
            <w:tcMar>
              <w:top w:w="15" w:type="dxa"/>
              <w:left w:w="0" w:type="dxa"/>
              <w:bottom w:w="0" w:type="dxa"/>
              <w:right w:w="15" w:type="dxa"/>
            </w:tcMar>
            <w:vAlign w:val="bottom"/>
            <w:hideMark/>
          </w:tcPr>
          <w:p w14:paraId="7A40D09D" w14:textId="77777777" w:rsidR="00716E85" w:rsidRDefault="00716E85">
            <w:pPr>
              <w:pStyle w:val="a3"/>
              <w:spacing w:before="0" w:beforeAutospacing="0" w:after="0" w:afterAutospacing="0"/>
              <w:rPr>
                <w:rFonts w:ascii="Calibri" w:hAnsi="Calibri" w:cs="Calibri"/>
                <w:color w:val="000000"/>
                <w:sz w:val="13"/>
                <w:szCs w:val="13"/>
              </w:rPr>
            </w:pPr>
            <w:r>
              <w:rPr>
                <w:rFonts w:ascii="Calibri" w:hAnsi="Calibri" w:cs="Calibri"/>
                <w:color w:val="000000"/>
                <w:sz w:val="13"/>
                <w:szCs w:val="13"/>
              </w:rPr>
              <w:t> </w:t>
            </w:r>
          </w:p>
        </w:tc>
      </w:tr>
      <w:tr w:rsidR="00716E85" w14:paraId="2B4CEDCB" w14:textId="77777777">
        <w:trPr>
          <w:divId w:val="1816948076"/>
          <w:jc w:val="center"/>
        </w:trPr>
        <w:tc>
          <w:tcPr>
            <w:tcW w:w="1150" w:type="pct"/>
            <w:shd w:val="clear" w:color="auto" w:fill="CFF0FC"/>
            <w:tcMar>
              <w:top w:w="15" w:type="dxa"/>
              <w:left w:w="0" w:type="dxa"/>
              <w:bottom w:w="0" w:type="dxa"/>
              <w:right w:w="15" w:type="dxa"/>
            </w:tcMar>
            <w:hideMark/>
          </w:tcPr>
          <w:p w14:paraId="6B3CC0D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Other</w:t>
            </w:r>
          </w:p>
        </w:tc>
        <w:tc>
          <w:tcPr>
            <w:tcW w:w="34" w:type="pct"/>
            <w:shd w:val="clear" w:color="auto" w:fill="CFF0FC"/>
            <w:tcMar>
              <w:top w:w="15" w:type="dxa"/>
              <w:left w:w="0" w:type="dxa"/>
              <w:bottom w:w="0" w:type="dxa"/>
              <w:right w:w="15" w:type="dxa"/>
            </w:tcMar>
            <w:vAlign w:val="bottom"/>
            <w:hideMark/>
          </w:tcPr>
          <w:p w14:paraId="14BFFF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8" w:type="pct"/>
            <w:tcBorders>
              <w:bottom w:val="single" w:sz="6" w:space="0" w:color="000000"/>
            </w:tcBorders>
            <w:shd w:val="clear" w:color="auto" w:fill="CFF0FC"/>
            <w:noWrap/>
            <w:tcMar>
              <w:top w:w="15" w:type="dxa"/>
              <w:left w:w="0" w:type="dxa"/>
              <w:bottom w:w="0" w:type="dxa"/>
              <w:right w:w="15" w:type="dxa"/>
            </w:tcMar>
            <w:vAlign w:val="bottom"/>
            <w:hideMark/>
          </w:tcPr>
          <w:p w14:paraId="24A99AF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19AB343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1,622</w:t>
            </w:r>
          </w:p>
        </w:tc>
        <w:tc>
          <w:tcPr>
            <w:tcW w:w="50" w:type="pct"/>
            <w:shd w:val="clear" w:color="auto" w:fill="CFF0FC"/>
            <w:noWrap/>
            <w:tcMar>
              <w:top w:w="15" w:type="dxa"/>
              <w:left w:w="0" w:type="dxa"/>
              <w:bottom w:w="0" w:type="dxa"/>
              <w:right w:w="15" w:type="dxa"/>
            </w:tcMar>
            <w:vAlign w:val="bottom"/>
            <w:hideMark/>
          </w:tcPr>
          <w:p w14:paraId="57FE580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383D3A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bottom w:val="single" w:sz="6" w:space="0" w:color="000000"/>
            </w:tcBorders>
            <w:shd w:val="clear" w:color="auto" w:fill="CFF0FC"/>
            <w:noWrap/>
            <w:tcMar>
              <w:top w:w="15" w:type="dxa"/>
              <w:left w:w="0" w:type="dxa"/>
              <w:bottom w:w="0" w:type="dxa"/>
              <w:right w:w="15" w:type="dxa"/>
            </w:tcMar>
            <w:vAlign w:val="bottom"/>
            <w:hideMark/>
          </w:tcPr>
          <w:p w14:paraId="035C19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8" w:type="pct"/>
            <w:tcBorders>
              <w:bottom w:val="single" w:sz="6" w:space="0" w:color="000000"/>
            </w:tcBorders>
            <w:shd w:val="clear" w:color="auto" w:fill="CFF0FC"/>
            <w:noWrap/>
            <w:tcMar>
              <w:top w:w="15" w:type="dxa"/>
              <w:left w:w="0" w:type="dxa"/>
              <w:bottom w:w="0" w:type="dxa"/>
              <w:right w:w="15" w:type="dxa"/>
            </w:tcMar>
            <w:vAlign w:val="bottom"/>
            <w:hideMark/>
          </w:tcPr>
          <w:p w14:paraId="7F555B7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left w:w="0" w:type="dxa"/>
              <w:bottom w:w="0" w:type="dxa"/>
              <w:right w:w="15" w:type="dxa"/>
            </w:tcMar>
            <w:vAlign w:val="bottom"/>
            <w:hideMark/>
          </w:tcPr>
          <w:p w14:paraId="08A256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tcMar>
              <w:top w:w="15" w:type="dxa"/>
              <w:left w:w="0" w:type="dxa"/>
              <w:bottom w:w="0" w:type="dxa"/>
              <w:right w:w="15" w:type="dxa"/>
            </w:tcMar>
            <w:vAlign w:val="bottom"/>
            <w:hideMark/>
          </w:tcPr>
          <w:p w14:paraId="56DDFD0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bottom w:val="single" w:sz="6" w:space="0" w:color="000000"/>
            </w:tcBorders>
            <w:shd w:val="clear" w:color="auto" w:fill="CFF0FC"/>
            <w:noWrap/>
            <w:tcMar>
              <w:top w:w="15" w:type="dxa"/>
              <w:left w:w="0" w:type="dxa"/>
              <w:bottom w:w="0" w:type="dxa"/>
              <w:right w:w="15" w:type="dxa"/>
            </w:tcMar>
            <w:vAlign w:val="bottom"/>
            <w:hideMark/>
          </w:tcPr>
          <w:p w14:paraId="1D404DF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46FC739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1,639</w:t>
            </w:r>
          </w:p>
        </w:tc>
        <w:tc>
          <w:tcPr>
            <w:tcW w:w="59" w:type="pct"/>
            <w:shd w:val="clear" w:color="auto" w:fill="CFF0FC"/>
            <w:noWrap/>
            <w:tcMar>
              <w:top w:w="15" w:type="dxa"/>
              <w:left w:w="0" w:type="dxa"/>
              <w:bottom w:w="0" w:type="dxa"/>
              <w:right w:w="15" w:type="dxa"/>
            </w:tcMar>
            <w:vAlign w:val="bottom"/>
            <w:hideMark/>
          </w:tcPr>
          <w:p w14:paraId="5DEC61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left w:w="0" w:type="dxa"/>
              <w:bottom w:w="0" w:type="dxa"/>
              <w:right w:w="15" w:type="dxa"/>
            </w:tcMar>
            <w:vAlign w:val="bottom"/>
            <w:hideMark/>
          </w:tcPr>
          <w:p w14:paraId="506ACA5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bottom w:val="single" w:sz="6" w:space="0" w:color="000000"/>
            </w:tcBorders>
            <w:shd w:val="clear" w:color="auto" w:fill="CFF0FC"/>
            <w:noWrap/>
            <w:tcMar>
              <w:top w:w="15" w:type="dxa"/>
              <w:left w:w="0" w:type="dxa"/>
              <w:bottom w:w="0" w:type="dxa"/>
              <w:right w:w="15" w:type="dxa"/>
            </w:tcMar>
            <w:vAlign w:val="bottom"/>
            <w:hideMark/>
          </w:tcPr>
          <w:p w14:paraId="2BE125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77668F4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(1,161</w:t>
            </w:r>
          </w:p>
        </w:tc>
        <w:tc>
          <w:tcPr>
            <w:tcW w:w="59" w:type="pct"/>
            <w:shd w:val="clear" w:color="auto" w:fill="CFF0FC"/>
            <w:noWrap/>
            <w:tcMar>
              <w:top w:w="15" w:type="dxa"/>
              <w:left w:w="0" w:type="dxa"/>
              <w:bottom w:w="0" w:type="dxa"/>
              <w:right w:w="15" w:type="dxa"/>
            </w:tcMar>
            <w:vAlign w:val="bottom"/>
            <w:hideMark/>
          </w:tcPr>
          <w:p w14:paraId="34949E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CFF0FC"/>
            <w:tcMar>
              <w:top w:w="15" w:type="dxa"/>
              <w:left w:w="0" w:type="dxa"/>
              <w:bottom w:w="0" w:type="dxa"/>
              <w:right w:w="15" w:type="dxa"/>
            </w:tcMar>
            <w:vAlign w:val="bottom"/>
            <w:hideMark/>
          </w:tcPr>
          <w:p w14:paraId="4480E06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bottom w:val="single" w:sz="6" w:space="0" w:color="000000"/>
            </w:tcBorders>
            <w:shd w:val="clear" w:color="auto" w:fill="CFF0FC"/>
            <w:noWrap/>
            <w:tcMar>
              <w:top w:w="15" w:type="dxa"/>
              <w:left w:w="0" w:type="dxa"/>
              <w:bottom w:w="0" w:type="dxa"/>
              <w:right w:w="15" w:type="dxa"/>
            </w:tcMar>
            <w:vAlign w:val="bottom"/>
            <w:hideMark/>
          </w:tcPr>
          <w:p w14:paraId="1F2D63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87" w:type="pct"/>
            <w:tcBorders>
              <w:bottom w:val="single" w:sz="6" w:space="0" w:color="000000"/>
            </w:tcBorders>
            <w:shd w:val="clear" w:color="auto" w:fill="CFF0FC"/>
            <w:noWrap/>
            <w:tcMar>
              <w:top w:w="15" w:type="dxa"/>
              <w:left w:w="0" w:type="dxa"/>
              <w:bottom w:w="0" w:type="dxa"/>
              <w:right w:w="15" w:type="dxa"/>
            </w:tcMar>
            <w:vAlign w:val="bottom"/>
            <w:hideMark/>
          </w:tcPr>
          <w:p w14:paraId="2B60324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(86</w:t>
            </w:r>
          </w:p>
        </w:tc>
        <w:tc>
          <w:tcPr>
            <w:tcW w:w="59" w:type="pct"/>
            <w:shd w:val="clear" w:color="auto" w:fill="CFF0FC"/>
            <w:noWrap/>
            <w:tcMar>
              <w:top w:w="15" w:type="dxa"/>
              <w:left w:w="0" w:type="dxa"/>
              <w:bottom w:w="0" w:type="dxa"/>
              <w:right w:w="15" w:type="dxa"/>
            </w:tcMar>
            <w:vAlign w:val="bottom"/>
            <w:hideMark/>
          </w:tcPr>
          <w:p w14:paraId="24758E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CFF0FC"/>
            <w:tcMar>
              <w:top w:w="15" w:type="dxa"/>
              <w:left w:w="0" w:type="dxa"/>
              <w:bottom w:w="0" w:type="dxa"/>
              <w:right w:w="15" w:type="dxa"/>
            </w:tcMar>
            <w:vAlign w:val="bottom"/>
            <w:hideMark/>
          </w:tcPr>
          <w:p w14:paraId="4CF54E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bottom w:val="single" w:sz="6" w:space="0" w:color="000000"/>
            </w:tcBorders>
            <w:shd w:val="clear" w:color="auto" w:fill="CFF0FC"/>
            <w:noWrap/>
            <w:tcMar>
              <w:top w:w="15" w:type="dxa"/>
              <w:left w:w="0" w:type="dxa"/>
              <w:bottom w:w="0" w:type="dxa"/>
              <w:right w:w="15" w:type="dxa"/>
            </w:tcMar>
            <w:vAlign w:val="bottom"/>
            <w:hideMark/>
          </w:tcPr>
          <w:p w14:paraId="79CADB4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764A5EA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(1,247</w:t>
            </w:r>
          </w:p>
        </w:tc>
        <w:tc>
          <w:tcPr>
            <w:tcW w:w="59" w:type="pct"/>
            <w:shd w:val="clear" w:color="auto" w:fill="CFF0FC"/>
            <w:noWrap/>
            <w:tcMar>
              <w:top w:w="15" w:type="dxa"/>
              <w:left w:w="0" w:type="dxa"/>
              <w:bottom w:w="0" w:type="dxa"/>
              <w:right w:w="15" w:type="dxa"/>
            </w:tcMar>
            <w:vAlign w:val="bottom"/>
            <w:hideMark/>
          </w:tcPr>
          <w:p w14:paraId="1E1DE0E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CFF0FC"/>
            <w:tcMar>
              <w:top w:w="15" w:type="dxa"/>
              <w:left w:w="0" w:type="dxa"/>
              <w:bottom w:w="0" w:type="dxa"/>
              <w:right w:w="15" w:type="dxa"/>
            </w:tcMar>
            <w:vAlign w:val="bottom"/>
            <w:hideMark/>
          </w:tcPr>
          <w:p w14:paraId="7B497B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bottom w:val="single" w:sz="6" w:space="0" w:color="000000"/>
            </w:tcBorders>
            <w:shd w:val="clear" w:color="auto" w:fill="CFF0FC"/>
            <w:noWrap/>
            <w:tcMar>
              <w:top w:w="15" w:type="dxa"/>
              <w:left w:w="0" w:type="dxa"/>
              <w:bottom w:w="0" w:type="dxa"/>
              <w:right w:w="15" w:type="dxa"/>
            </w:tcMar>
            <w:vAlign w:val="bottom"/>
            <w:hideMark/>
          </w:tcPr>
          <w:p w14:paraId="4D22DD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4DA0103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461</w:t>
            </w:r>
          </w:p>
        </w:tc>
        <w:tc>
          <w:tcPr>
            <w:tcW w:w="59" w:type="pct"/>
            <w:shd w:val="clear" w:color="auto" w:fill="CFF0FC"/>
            <w:noWrap/>
            <w:tcMar>
              <w:top w:w="15" w:type="dxa"/>
              <w:left w:w="0" w:type="dxa"/>
              <w:bottom w:w="0" w:type="dxa"/>
              <w:right w:w="15" w:type="dxa"/>
            </w:tcMar>
            <w:vAlign w:val="bottom"/>
            <w:hideMark/>
          </w:tcPr>
          <w:p w14:paraId="109BE9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CFF0FC"/>
            <w:tcMar>
              <w:top w:w="15" w:type="dxa"/>
              <w:left w:w="0" w:type="dxa"/>
              <w:bottom w:w="0" w:type="dxa"/>
              <w:right w:w="15" w:type="dxa"/>
            </w:tcMar>
            <w:vAlign w:val="bottom"/>
            <w:hideMark/>
          </w:tcPr>
          <w:p w14:paraId="486517B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bottom w:val="single" w:sz="6" w:space="0" w:color="000000"/>
            </w:tcBorders>
            <w:shd w:val="clear" w:color="auto" w:fill="CFF0FC"/>
            <w:noWrap/>
            <w:tcMar>
              <w:top w:w="15" w:type="dxa"/>
              <w:left w:w="0" w:type="dxa"/>
              <w:bottom w:w="0" w:type="dxa"/>
              <w:right w:w="15" w:type="dxa"/>
            </w:tcMar>
            <w:vAlign w:val="bottom"/>
            <w:hideMark/>
          </w:tcPr>
          <w:p w14:paraId="694AC04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250" w:type="pct"/>
            <w:tcBorders>
              <w:bottom w:val="single" w:sz="6" w:space="0" w:color="000000"/>
            </w:tcBorders>
            <w:shd w:val="clear" w:color="auto" w:fill="CFF0FC"/>
            <w:noWrap/>
            <w:tcMar>
              <w:top w:w="15" w:type="dxa"/>
              <w:left w:w="0" w:type="dxa"/>
              <w:bottom w:w="0" w:type="dxa"/>
              <w:right w:w="15" w:type="dxa"/>
            </w:tcMar>
            <w:vAlign w:val="bottom"/>
            <w:hideMark/>
          </w:tcPr>
          <w:p w14:paraId="73C07CD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392</w:t>
            </w:r>
          </w:p>
        </w:tc>
        <w:tc>
          <w:tcPr>
            <w:tcW w:w="34" w:type="pct"/>
            <w:shd w:val="clear" w:color="auto" w:fill="CFF0FC"/>
            <w:noWrap/>
            <w:tcMar>
              <w:top w:w="15" w:type="dxa"/>
              <w:left w:w="0" w:type="dxa"/>
              <w:bottom w:w="0" w:type="dxa"/>
              <w:right w:w="15" w:type="dxa"/>
            </w:tcMar>
            <w:vAlign w:val="bottom"/>
            <w:hideMark/>
          </w:tcPr>
          <w:p w14:paraId="3A819A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5" w:type="pct"/>
            <w:shd w:val="clear" w:color="auto" w:fill="CFF0FC"/>
            <w:tcMar>
              <w:top w:w="15" w:type="dxa"/>
              <w:left w:w="0" w:type="dxa"/>
              <w:bottom w:w="0" w:type="dxa"/>
              <w:right w:w="15" w:type="dxa"/>
            </w:tcMar>
            <w:vAlign w:val="bottom"/>
            <w:hideMark/>
          </w:tcPr>
          <w:p w14:paraId="1914A1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shd w:val="clear" w:color="auto" w:fill="CFF0FC"/>
            <w:noWrap/>
            <w:tcMar>
              <w:top w:w="15" w:type="dxa"/>
              <w:left w:w="0" w:type="dxa"/>
              <w:bottom w:w="0" w:type="dxa"/>
              <w:right w:w="15" w:type="dxa"/>
            </w:tcMar>
            <w:vAlign w:val="bottom"/>
            <w:hideMark/>
          </w:tcPr>
          <w:p w14:paraId="47825F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shd w:val="clear" w:color="auto" w:fill="CFF0FC"/>
            <w:noWrap/>
            <w:tcMar>
              <w:top w:w="15" w:type="dxa"/>
              <w:left w:w="0" w:type="dxa"/>
              <w:bottom w:w="0" w:type="dxa"/>
              <w:right w:w="15" w:type="dxa"/>
            </w:tcMar>
            <w:vAlign w:val="bottom"/>
            <w:hideMark/>
          </w:tcPr>
          <w:p w14:paraId="6F8E81A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11" w:type="pct"/>
            <w:shd w:val="clear" w:color="auto" w:fill="CFF0FC"/>
            <w:noWrap/>
            <w:tcMar>
              <w:top w:w="15" w:type="dxa"/>
              <w:left w:w="0" w:type="dxa"/>
              <w:bottom w:w="0" w:type="dxa"/>
              <w:right w:w="15" w:type="dxa"/>
            </w:tcMar>
            <w:vAlign w:val="bottom"/>
            <w:hideMark/>
          </w:tcPr>
          <w:p w14:paraId="4910F9D3" w14:textId="77777777" w:rsidR="00716E85" w:rsidRDefault="00716E85">
            <w:pPr>
              <w:pStyle w:val="a3"/>
              <w:spacing w:before="0" w:beforeAutospacing="0" w:after="0" w:afterAutospacing="0"/>
              <w:rPr>
                <w:rFonts w:ascii="Calibri" w:hAnsi="Calibri" w:cs="Calibri"/>
                <w:color w:val="000000"/>
                <w:sz w:val="13"/>
                <w:szCs w:val="13"/>
              </w:rPr>
            </w:pPr>
            <w:r>
              <w:rPr>
                <w:rFonts w:ascii="Calibri" w:hAnsi="Calibri" w:cs="Calibri"/>
                <w:color w:val="000000"/>
                <w:sz w:val="13"/>
                <w:szCs w:val="13"/>
              </w:rPr>
              <w:t> </w:t>
            </w:r>
          </w:p>
        </w:tc>
      </w:tr>
      <w:tr w:rsidR="00716E85" w14:paraId="7F008DF3" w14:textId="77777777">
        <w:trPr>
          <w:divId w:val="1816948076"/>
          <w:jc w:val="center"/>
        </w:trPr>
        <w:tc>
          <w:tcPr>
            <w:tcW w:w="1150" w:type="pct"/>
            <w:shd w:val="clear" w:color="auto" w:fill="FFFFFF"/>
            <w:tcMar>
              <w:top w:w="15" w:type="dxa"/>
              <w:left w:w="0" w:type="dxa"/>
              <w:bottom w:w="0" w:type="dxa"/>
              <w:right w:w="15" w:type="dxa"/>
            </w:tcMar>
            <w:hideMark/>
          </w:tcPr>
          <w:p w14:paraId="414B4BEE" w14:textId="77777777" w:rsidR="00716E85" w:rsidRDefault="00716E85">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Total intangible assets, net</w:t>
            </w:r>
          </w:p>
        </w:tc>
        <w:tc>
          <w:tcPr>
            <w:tcW w:w="34" w:type="pct"/>
            <w:shd w:val="clear" w:color="auto" w:fill="FFFFFF"/>
            <w:tcMar>
              <w:top w:w="15" w:type="dxa"/>
              <w:left w:w="0" w:type="dxa"/>
              <w:bottom w:w="0" w:type="dxa"/>
              <w:right w:w="15" w:type="dxa"/>
            </w:tcMar>
            <w:vAlign w:val="bottom"/>
            <w:hideMark/>
          </w:tcPr>
          <w:p w14:paraId="00ACB25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438FD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F3420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12,930</w:t>
            </w:r>
          </w:p>
        </w:tc>
        <w:tc>
          <w:tcPr>
            <w:tcW w:w="50" w:type="pct"/>
            <w:shd w:val="clear" w:color="auto" w:fill="FFFFFF"/>
            <w:noWrap/>
            <w:tcMar>
              <w:top w:w="15" w:type="dxa"/>
              <w:left w:w="0" w:type="dxa"/>
              <w:bottom w:w="0" w:type="dxa"/>
              <w:right w:w="15" w:type="dxa"/>
            </w:tcMar>
            <w:vAlign w:val="bottom"/>
            <w:hideMark/>
          </w:tcPr>
          <w:p w14:paraId="7D3971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1FD3262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6A5B7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1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44974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273</w:t>
            </w:r>
          </w:p>
        </w:tc>
        <w:tc>
          <w:tcPr>
            <w:tcW w:w="50" w:type="pct"/>
            <w:shd w:val="clear" w:color="auto" w:fill="FFFFFF"/>
            <w:noWrap/>
            <w:tcMar>
              <w:top w:w="15" w:type="dxa"/>
              <w:left w:w="0" w:type="dxa"/>
              <w:bottom w:w="0" w:type="dxa"/>
              <w:right w:w="15" w:type="dxa"/>
            </w:tcMar>
            <w:vAlign w:val="bottom"/>
            <w:hideMark/>
          </w:tcPr>
          <w:p w14:paraId="736CB3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tcMar>
              <w:top w:w="15" w:type="dxa"/>
              <w:left w:w="0" w:type="dxa"/>
              <w:bottom w:w="0" w:type="dxa"/>
              <w:right w:w="15" w:type="dxa"/>
            </w:tcMar>
            <w:vAlign w:val="bottom"/>
            <w:hideMark/>
          </w:tcPr>
          <w:p w14:paraId="2C274B0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76B62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36786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13,203</w:t>
            </w:r>
          </w:p>
        </w:tc>
        <w:tc>
          <w:tcPr>
            <w:tcW w:w="59" w:type="pct"/>
            <w:shd w:val="clear" w:color="auto" w:fill="FFFFFF"/>
            <w:noWrap/>
            <w:tcMar>
              <w:top w:w="15" w:type="dxa"/>
              <w:left w:w="0" w:type="dxa"/>
              <w:bottom w:w="0" w:type="dxa"/>
              <w:right w:w="15" w:type="dxa"/>
            </w:tcMar>
            <w:vAlign w:val="bottom"/>
            <w:hideMark/>
          </w:tcPr>
          <w:p w14:paraId="3FB665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left w:w="0" w:type="dxa"/>
              <w:bottom w:w="0" w:type="dxa"/>
              <w:right w:w="15" w:type="dxa"/>
            </w:tcMar>
            <w:vAlign w:val="bottom"/>
            <w:hideMark/>
          </w:tcPr>
          <w:p w14:paraId="53698E0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79726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26186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(6,260</w:t>
            </w:r>
          </w:p>
        </w:tc>
        <w:tc>
          <w:tcPr>
            <w:tcW w:w="59" w:type="pct"/>
            <w:shd w:val="clear" w:color="auto" w:fill="FFFFFF"/>
            <w:noWrap/>
            <w:tcMar>
              <w:top w:w="15" w:type="dxa"/>
              <w:left w:w="0" w:type="dxa"/>
              <w:bottom w:w="0" w:type="dxa"/>
              <w:right w:w="15" w:type="dxa"/>
            </w:tcMar>
            <w:vAlign w:val="bottom"/>
            <w:hideMark/>
          </w:tcPr>
          <w:p w14:paraId="118227F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left w:w="0" w:type="dxa"/>
              <w:bottom w:w="0" w:type="dxa"/>
              <w:right w:w="15" w:type="dxa"/>
            </w:tcMar>
            <w:vAlign w:val="bottom"/>
            <w:hideMark/>
          </w:tcPr>
          <w:p w14:paraId="494409B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34B8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1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A145D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(1,265</w:t>
            </w:r>
          </w:p>
        </w:tc>
        <w:tc>
          <w:tcPr>
            <w:tcW w:w="59" w:type="pct"/>
            <w:shd w:val="clear" w:color="auto" w:fill="FFFFFF"/>
            <w:noWrap/>
            <w:tcMar>
              <w:top w:w="15" w:type="dxa"/>
              <w:left w:w="0" w:type="dxa"/>
              <w:bottom w:w="0" w:type="dxa"/>
              <w:right w:w="15" w:type="dxa"/>
            </w:tcMar>
            <w:vAlign w:val="bottom"/>
            <w:hideMark/>
          </w:tcPr>
          <w:p w14:paraId="050229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left w:w="0" w:type="dxa"/>
              <w:bottom w:w="0" w:type="dxa"/>
              <w:right w:w="15" w:type="dxa"/>
            </w:tcMar>
            <w:vAlign w:val="bottom"/>
            <w:hideMark/>
          </w:tcPr>
          <w:p w14:paraId="3EFEAA6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DD07C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7FC0D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(7,525</w:t>
            </w:r>
          </w:p>
        </w:tc>
        <w:tc>
          <w:tcPr>
            <w:tcW w:w="59" w:type="pct"/>
            <w:shd w:val="clear" w:color="auto" w:fill="FFFFFF"/>
            <w:noWrap/>
            <w:tcMar>
              <w:top w:w="15" w:type="dxa"/>
              <w:left w:w="0" w:type="dxa"/>
              <w:bottom w:w="0" w:type="dxa"/>
              <w:right w:w="15" w:type="dxa"/>
            </w:tcMar>
            <w:vAlign w:val="bottom"/>
            <w:hideMark/>
          </w:tcPr>
          <w:p w14:paraId="6C1511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 w:type="pct"/>
            <w:shd w:val="clear" w:color="auto" w:fill="FFFFFF"/>
            <w:tcMar>
              <w:top w:w="15" w:type="dxa"/>
              <w:left w:w="0" w:type="dxa"/>
              <w:bottom w:w="0" w:type="dxa"/>
              <w:right w:w="15" w:type="dxa"/>
            </w:tcMar>
            <w:vAlign w:val="bottom"/>
            <w:hideMark/>
          </w:tcPr>
          <w:p w14:paraId="7F42CF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142F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655BA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6,670</w:t>
            </w:r>
          </w:p>
        </w:tc>
        <w:tc>
          <w:tcPr>
            <w:tcW w:w="59" w:type="pct"/>
            <w:shd w:val="clear" w:color="auto" w:fill="FFFFFF"/>
            <w:noWrap/>
            <w:tcMar>
              <w:top w:w="15" w:type="dxa"/>
              <w:left w:w="0" w:type="dxa"/>
              <w:bottom w:w="0" w:type="dxa"/>
              <w:right w:w="15" w:type="dxa"/>
            </w:tcMar>
            <w:vAlign w:val="bottom"/>
            <w:hideMark/>
          </w:tcPr>
          <w:p w14:paraId="5178FDD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 w:type="pct"/>
            <w:shd w:val="clear" w:color="auto" w:fill="FFFFFF"/>
            <w:tcMar>
              <w:top w:w="15" w:type="dxa"/>
              <w:left w:w="0" w:type="dxa"/>
              <w:bottom w:w="0" w:type="dxa"/>
              <w:right w:w="15" w:type="dxa"/>
            </w:tcMar>
            <w:vAlign w:val="bottom"/>
            <w:hideMark/>
          </w:tcPr>
          <w:p w14:paraId="29AFE0F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1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569A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2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741B3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5,678</w:t>
            </w:r>
          </w:p>
        </w:tc>
        <w:tc>
          <w:tcPr>
            <w:tcW w:w="34" w:type="pct"/>
            <w:shd w:val="clear" w:color="auto" w:fill="FFFFFF"/>
            <w:noWrap/>
            <w:tcMar>
              <w:top w:w="15" w:type="dxa"/>
              <w:left w:w="0" w:type="dxa"/>
              <w:bottom w:w="0" w:type="dxa"/>
              <w:right w:w="15" w:type="dxa"/>
            </w:tcMar>
            <w:vAlign w:val="bottom"/>
            <w:hideMark/>
          </w:tcPr>
          <w:p w14:paraId="154500D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5" w:type="pct"/>
            <w:shd w:val="clear" w:color="auto" w:fill="FFFFFF"/>
            <w:tcMar>
              <w:top w:w="15" w:type="dxa"/>
              <w:left w:w="0" w:type="dxa"/>
              <w:bottom w:w="0" w:type="dxa"/>
              <w:right w:w="15" w:type="dxa"/>
            </w:tcMar>
            <w:vAlign w:val="bottom"/>
            <w:hideMark/>
          </w:tcPr>
          <w:p w14:paraId="133D4B1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shd w:val="clear" w:color="auto" w:fill="FFFFFF"/>
            <w:noWrap/>
            <w:tcMar>
              <w:top w:w="15" w:type="dxa"/>
              <w:left w:w="0" w:type="dxa"/>
              <w:bottom w:w="0" w:type="dxa"/>
              <w:right w:w="15" w:type="dxa"/>
            </w:tcMar>
            <w:vAlign w:val="bottom"/>
            <w:hideMark/>
          </w:tcPr>
          <w:p w14:paraId="317659D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123" w:type="pct"/>
            <w:shd w:val="clear" w:color="auto" w:fill="FFFFFF"/>
            <w:noWrap/>
            <w:tcMar>
              <w:top w:w="15" w:type="dxa"/>
              <w:left w:w="0" w:type="dxa"/>
              <w:bottom w:w="0" w:type="dxa"/>
              <w:right w:w="15" w:type="dxa"/>
            </w:tcMar>
            <w:vAlign w:val="bottom"/>
            <w:hideMark/>
          </w:tcPr>
          <w:p w14:paraId="2460841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11" w:type="pct"/>
            <w:shd w:val="clear" w:color="auto" w:fill="FFFFFF"/>
            <w:noWrap/>
            <w:tcMar>
              <w:top w:w="15" w:type="dxa"/>
              <w:left w:w="0" w:type="dxa"/>
              <w:bottom w:w="0" w:type="dxa"/>
              <w:right w:w="15" w:type="dxa"/>
            </w:tcMar>
            <w:vAlign w:val="bottom"/>
            <w:hideMark/>
          </w:tcPr>
          <w:p w14:paraId="25B72B30"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352A859" w14:textId="77777777" w:rsidR="00716E85" w:rsidRDefault="00716E85">
      <w:pPr>
        <w:pStyle w:val="a3"/>
        <w:pBdr>
          <w:bottom w:val="single" w:sz="6" w:space="1" w:color="auto"/>
        </w:pBdr>
        <w:spacing w:before="0" w:beforeAutospacing="0" w:after="0" w:afterAutospacing="0"/>
        <w:ind w:right="10477"/>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5F43E22E" w14:textId="77777777">
        <w:tc>
          <w:tcPr>
            <w:tcW w:w="192" w:type="pct"/>
            <w:noWrap/>
            <w:hideMark/>
          </w:tcPr>
          <w:p w14:paraId="25114EF4"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240E9A58"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Amounts also include any changes in intangible asset balances for the periods presented that resulted from foreign currency translations.</w:t>
            </w:r>
          </w:p>
        </w:tc>
      </w:tr>
    </w:tbl>
    <w:p w14:paraId="4A48F21A"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2FA573A6" w14:textId="77777777">
        <w:tc>
          <w:tcPr>
            <w:tcW w:w="192" w:type="pct"/>
            <w:noWrap/>
            <w:hideMark/>
          </w:tcPr>
          <w:p w14:paraId="6B7C9ECB"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26E4B94D"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Represents weighted-average useful lives (in years) of intangible assets acquired during fiscal 2019.</w:t>
            </w:r>
          </w:p>
        </w:tc>
      </w:tr>
    </w:tbl>
    <w:p w14:paraId="7952756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Total amortization expense related to our intangible assets was $407 million and $1.3 billion for the three and nine months ended February 28, 2019, respectively, and $394 million and $1.2 billion for the three and nine months ended February 28, 2018, respectively. As of February 28, 2019, estimated future amortization expenses related to intangible assets were as follows (in millions):</w:t>
      </w:r>
    </w:p>
    <w:p w14:paraId="6B6DEE6A"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7056"/>
        <w:gridCol w:w="162"/>
        <w:gridCol w:w="117"/>
        <w:gridCol w:w="896"/>
        <w:gridCol w:w="75"/>
      </w:tblGrid>
      <w:tr w:rsidR="00716E85" w14:paraId="0CC58E12" w14:textId="77777777">
        <w:trPr>
          <w:divId w:val="1417365107"/>
          <w:jc w:val="center"/>
        </w:trPr>
        <w:tc>
          <w:tcPr>
            <w:tcW w:w="4252" w:type="pct"/>
            <w:shd w:val="clear" w:color="auto" w:fill="CFF0FC"/>
            <w:tcMar>
              <w:top w:w="15" w:type="dxa"/>
              <w:left w:w="0" w:type="dxa"/>
              <w:bottom w:w="0" w:type="dxa"/>
              <w:right w:w="15" w:type="dxa"/>
            </w:tcMar>
            <w:vAlign w:val="bottom"/>
            <w:hideMark/>
          </w:tcPr>
          <w:p w14:paraId="736053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Remainder of fiscal 2019</w:t>
            </w:r>
          </w:p>
        </w:tc>
        <w:tc>
          <w:tcPr>
            <w:tcW w:w="103" w:type="pct"/>
            <w:shd w:val="clear" w:color="auto" w:fill="CFF0FC"/>
            <w:tcMar>
              <w:top w:w="15" w:type="dxa"/>
              <w:left w:w="0" w:type="dxa"/>
              <w:bottom w:w="0" w:type="dxa"/>
              <w:right w:w="15" w:type="dxa"/>
            </w:tcMar>
            <w:vAlign w:val="bottom"/>
            <w:hideMark/>
          </w:tcPr>
          <w:p w14:paraId="516359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6AD5C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left w:w="0" w:type="dxa"/>
              <w:bottom w:w="0" w:type="dxa"/>
              <w:right w:w="15" w:type="dxa"/>
            </w:tcMar>
            <w:vAlign w:val="bottom"/>
            <w:hideMark/>
          </w:tcPr>
          <w:p w14:paraId="7C9941E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401</w:t>
            </w:r>
          </w:p>
        </w:tc>
        <w:tc>
          <w:tcPr>
            <w:tcW w:w="50" w:type="pct"/>
            <w:shd w:val="clear" w:color="auto" w:fill="CFF0FC"/>
            <w:noWrap/>
            <w:tcMar>
              <w:top w:w="15" w:type="dxa"/>
              <w:left w:w="0" w:type="dxa"/>
              <w:bottom w:w="0" w:type="dxa"/>
              <w:right w:w="15" w:type="dxa"/>
            </w:tcMar>
            <w:vAlign w:val="bottom"/>
            <w:hideMark/>
          </w:tcPr>
          <w:p w14:paraId="1E826E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E15ABD0" w14:textId="77777777">
        <w:trPr>
          <w:divId w:val="1417365107"/>
          <w:jc w:val="center"/>
        </w:trPr>
        <w:tc>
          <w:tcPr>
            <w:tcW w:w="4252" w:type="pct"/>
            <w:shd w:val="clear" w:color="auto" w:fill="FFFFFF"/>
            <w:tcMar>
              <w:top w:w="15" w:type="dxa"/>
              <w:left w:w="0" w:type="dxa"/>
              <w:bottom w:w="0" w:type="dxa"/>
              <w:right w:w="15" w:type="dxa"/>
            </w:tcMar>
            <w:vAlign w:val="bottom"/>
            <w:hideMark/>
          </w:tcPr>
          <w:p w14:paraId="11E800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2020</w:t>
            </w:r>
          </w:p>
        </w:tc>
        <w:tc>
          <w:tcPr>
            <w:tcW w:w="103" w:type="pct"/>
            <w:shd w:val="clear" w:color="auto" w:fill="FFFFFF"/>
            <w:tcMar>
              <w:top w:w="15" w:type="dxa"/>
              <w:left w:w="0" w:type="dxa"/>
              <w:bottom w:w="0" w:type="dxa"/>
              <w:right w:w="15" w:type="dxa"/>
            </w:tcMar>
            <w:vAlign w:val="bottom"/>
            <w:hideMark/>
          </w:tcPr>
          <w:p w14:paraId="0C710E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586F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23AC04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1,492</w:t>
            </w:r>
          </w:p>
        </w:tc>
        <w:tc>
          <w:tcPr>
            <w:tcW w:w="50" w:type="pct"/>
            <w:shd w:val="clear" w:color="auto" w:fill="FFFFFF"/>
            <w:noWrap/>
            <w:tcMar>
              <w:top w:w="15" w:type="dxa"/>
              <w:left w:w="0" w:type="dxa"/>
              <w:bottom w:w="0" w:type="dxa"/>
              <w:right w:w="15" w:type="dxa"/>
            </w:tcMar>
            <w:vAlign w:val="bottom"/>
            <w:hideMark/>
          </w:tcPr>
          <w:p w14:paraId="1933AA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B450EEA" w14:textId="77777777">
        <w:trPr>
          <w:divId w:val="1417365107"/>
          <w:jc w:val="center"/>
        </w:trPr>
        <w:tc>
          <w:tcPr>
            <w:tcW w:w="4252" w:type="pct"/>
            <w:shd w:val="clear" w:color="auto" w:fill="CFF0FC"/>
            <w:tcMar>
              <w:top w:w="15" w:type="dxa"/>
              <w:left w:w="0" w:type="dxa"/>
              <w:bottom w:w="0" w:type="dxa"/>
              <w:right w:w="15" w:type="dxa"/>
            </w:tcMar>
            <w:vAlign w:val="bottom"/>
            <w:hideMark/>
          </w:tcPr>
          <w:p w14:paraId="506D2E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2021</w:t>
            </w:r>
          </w:p>
        </w:tc>
        <w:tc>
          <w:tcPr>
            <w:tcW w:w="103" w:type="pct"/>
            <w:shd w:val="clear" w:color="auto" w:fill="CFF0FC"/>
            <w:tcMar>
              <w:top w:w="15" w:type="dxa"/>
              <w:left w:w="0" w:type="dxa"/>
              <w:bottom w:w="0" w:type="dxa"/>
              <w:right w:w="15" w:type="dxa"/>
            </w:tcMar>
            <w:vAlign w:val="bottom"/>
            <w:hideMark/>
          </w:tcPr>
          <w:p w14:paraId="0798A3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D430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left w:w="0" w:type="dxa"/>
              <w:bottom w:w="0" w:type="dxa"/>
              <w:right w:w="15" w:type="dxa"/>
            </w:tcMar>
            <w:vAlign w:val="bottom"/>
            <w:hideMark/>
          </w:tcPr>
          <w:p w14:paraId="384A149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1,269</w:t>
            </w:r>
          </w:p>
        </w:tc>
        <w:tc>
          <w:tcPr>
            <w:tcW w:w="50" w:type="pct"/>
            <w:shd w:val="clear" w:color="auto" w:fill="CFF0FC"/>
            <w:noWrap/>
            <w:tcMar>
              <w:top w:w="15" w:type="dxa"/>
              <w:left w:w="0" w:type="dxa"/>
              <w:bottom w:w="0" w:type="dxa"/>
              <w:right w:w="15" w:type="dxa"/>
            </w:tcMar>
            <w:vAlign w:val="bottom"/>
            <w:hideMark/>
          </w:tcPr>
          <w:p w14:paraId="0D045B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CAA792D" w14:textId="77777777">
        <w:trPr>
          <w:divId w:val="1417365107"/>
          <w:jc w:val="center"/>
        </w:trPr>
        <w:tc>
          <w:tcPr>
            <w:tcW w:w="4252" w:type="pct"/>
            <w:shd w:val="clear" w:color="auto" w:fill="FFFFFF"/>
            <w:tcMar>
              <w:top w:w="15" w:type="dxa"/>
              <w:left w:w="0" w:type="dxa"/>
              <w:bottom w:w="0" w:type="dxa"/>
              <w:right w:w="15" w:type="dxa"/>
            </w:tcMar>
            <w:vAlign w:val="bottom"/>
            <w:hideMark/>
          </w:tcPr>
          <w:p w14:paraId="235A1A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2022</w:t>
            </w:r>
          </w:p>
        </w:tc>
        <w:tc>
          <w:tcPr>
            <w:tcW w:w="103" w:type="pct"/>
            <w:shd w:val="clear" w:color="auto" w:fill="FFFFFF"/>
            <w:tcMar>
              <w:top w:w="15" w:type="dxa"/>
              <w:left w:w="0" w:type="dxa"/>
              <w:bottom w:w="0" w:type="dxa"/>
              <w:right w:w="15" w:type="dxa"/>
            </w:tcMar>
            <w:vAlign w:val="bottom"/>
            <w:hideMark/>
          </w:tcPr>
          <w:p w14:paraId="52C4C9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7DB4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0B7151F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1,018</w:t>
            </w:r>
          </w:p>
        </w:tc>
        <w:tc>
          <w:tcPr>
            <w:tcW w:w="50" w:type="pct"/>
            <w:shd w:val="clear" w:color="auto" w:fill="FFFFFF"/>
            <w:noWrap/>
            <w:tcMar>
              <w:top w:w="15" w:type="dxa"/>
              <w:left w:w="0" w:type="dxa"/>
              <w:bottom w:w="0" w:type="dxa"/>
              <w:right w:w="15" w:type="dxa"/>
            </w:tcMar>
            <w:vAlign w:val="bottom"/>
            <w:hideMark/>
          </w:tcPr>
          <w:p w14:paraId="1562DC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38D2541" w14:textId="77777777">
        <w:trPr>
          <w:divId w:val="1417365107"/>
          <w:jc w:val="center"/>
        </w:trPr>
        <w:tc>
          <w:tcPr>
            <w:tcW w:w="4252" w:type="pct"/>
            <w:shd w:val="clear" w:color="auto" w:fill="CFF0FC"/>
            <w:tcMar>
              <w:top w:w="15" w:type="dxa"/>
              <w:left w:w="0" w:type="dxa"/>
              <w:bottom w:w="0" w:type="dxa"/>
              <w:right w:w="15" w:type="dxa"/>
            </w:tcMar>
            <w:vAlign w:val="bottom"/>
            <w:hideMark/>
          </w:tcPr>
          <w:p w14:paraId="02F768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CFF0FC"/>
            <w:tcMar>
              <w:top w:w="15" w:type="dxa"/>
              <w:left w:w="0" w:type="dxa"/>
              <w:bottom w:w="0" w:type="dxa"/>
              <w:right w:w="15" w:type="dxa"/>
            </w:tcMar>
            <w:vAlign w:val="bottom"/>
            <w:hideMark/>
          </w:tcPr>
          <w:p w14:paraId="687E1A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D83A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left w:w="0" w:type="dxa"/>
              <w:bottom w:w="0" w:type="dxa"/>
              <w:right w:w="15" w:type="dxa"/>
            </w:tcMar>
            <w:vAlign w:val="bottom"/>
            <w:hideMark/>
          </w:tcPr>
          <w:p w14:paraId="2A4CA23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622</w:t>
            </w:r>
          </w:p>
        </w:tc>
        <w:tc>
          <w:tcPr>
            <w:tcW w:w="50" w:type="pct"/>
            <w:shd w:val="clear" w:color="auto" w:fill="CFF0FC"/>
            <w:noWrap/>
            <w:tcMar>
              <w:top w:w="15" w:type="dxa"/>
              <w:left w:w="0" w:type="dxa"/>
              <w:bottom w:w="0" w:type="dxa"/>
              <w:right w:w="15" w:type="dxa"/>
            </w:tcMar>
            <w:vAlign w:val="bottom"/>
            <w:hideMark/>
          </w:tcPr>
          <w:p w14:paraId="58F755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0F8290C" w14:textId="77777777">
        <w:trPr>
          <w:divId w:val="1417365107"/>
          <w:jc w:val="center"/>
        </w:trPr>
        <w:tc>
          <w:tcPr>
            <w:tcW w:w="4252" w:type="pct"/>
            <w:shd w:val="clear" w:color="auto" w:fill="FFFFFF"/>
            <w:tcMar>
              <w:top w:w="15" w:type="dxa"/>
              <w:left w:w="0" w:type="dxa"/>
              <w:bottom w:w="0" w:type="dxa"/>
              <w:right w:w="15" w:type="dxa"/>
            </w:tcMar>
            <w:vAlign w:val="bottom"/>
            <w:hideMark/>
          </w:tcPr>
          <w:p w14:paraId="78DAF5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FFFFFF"/>
            <w:tcMar>
              <w:top w:w="15" w:type="dxa"/>
              <w:left w:w="0" w:type="dxa"/>
              <w:bottom w:w="0" w:type="dxa"/>
              <w:right w:w="15" w:type="dxa"/>
            </w:tcMar>
            <w:vAlign w:val="bottom"/>
            <w:hideMark/>
          </w:tcPr>
          <w:p w14:paraId="03003C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2DF0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left w:w="0" w:type="dxa"/>
              <w:bottom w:w="0" w:type="dxa"/>
              <w:right w:w="15" w:type="dxa"/>
            </w:tcMar>
            <w:vAlign w:val="bottom"/>
            <w:hideMark/>
          </w:tcPr>
          <w:p w14:paraId="6C6091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391</w:t>
            </w:r>
          </w:p>
        </w:tc>
        <w:tc>
          <w:tcPr>
            <w:tcW w:w="50" w:type="pct"/>
            <w:shd w:val="clear" w:color="auto" w:fill="FFFFFF"/>
            <w:noWrap/>
            <w:tcMar>
              <w:top w:w="15" w:type="dxa"/>
              <w:left w:w="0" w:type="dxa"/>
              <w:bottom w:w="0" w:type="dxa"/>
              <w:right w:w="15" w:type="dxa"/>
            </w:tcMar>
            <w:vAlign w:val="bottom"/>
            <w:hideMark/>
          </w:tcPr>
          <w:p w14:paraId="4FC26D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F650E2F" w14:textId="77777777">
        <w:trPr>
          <w:divId w:val="1417365107"/>
          <w:jc w:val="center"/>
        </w:trPr>
        <w:tc>
          <w:tcPr>
            <w:tcW w:w="4252" w:type="pct"/>
            <w:shd w:val="clear" w:color="auto" w:fill="CFF0FC"/>
            <w:tcMar>
              <w:top w:w="15" w:type="dxa"/>
              <w:left w:w="0" w:type="dxa"/>
              <w:bottom w:w="0" w:type="dxa"/>
              <w:right w:w="15" w:type="dxa"/>
            </w:tcMar>
            <w:vAlign w:val="bottom"/>
            <w:hideMark/>
          </w:tcPr>
          <w:p w14:paraId="7B4B9F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left w:w="0" w:type="dxa"/>
              <w:bottom w:w="0" w:type="dxa"/>
              <w:right w:w="15" w:type="dxa"/>
            </w:tcMar>
            <w:vAlign w:val="bottom"/>
            <w:hideMark/>
          </w:tcPr>
          <w:p w14:paraId="1F2772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6CAF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left w:w="0" w:type="dxa"/>
              <w:bottom w:w="0" w:type="dxa"/>
              <w:right w:w="15" w:type="dxa"/>
            </w:tcMar>
            <w:vAlign w:val="bottom"/>
            <w:hideMark/>
          </w:tcPr>
          <w:p w14:paraId="2F9725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485</w:t>
            </w:r>
          </w:p>
        </w:tc>
        <w:tc>
          <w:tcPr>
            <w:tcW w:w="50" w:type="pct"/>
            <w:shd w:val="clear" w:color="auto" w:fill="CFF0FC"/>
            <w:noWrap/>
            <w:tcMar>
              <w:top w:w="15" w:type="dxa"/>
              <w:left w:w="0" w:type="dxa"/>
              <w:bottom w:w="0" w:type="dxa"/>
              <w:right w:w="15" w:type="dxa"/>
            </w:tcMar>
            <w:vAlign w:val="bottom"/>
            <w:hideMark/>
          </w:tcPr>
          <w:p w14:paraId="548222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B47955A" w14:textId="77777777">
        <w:trPr>
          <w:divId w:val="1417365107"/>
          <w:jc w:val="center"/>
        </w:trPr>
        <w:tc>
          <w:tcPr>
            <w:tcW w:w="4252" w:type="pct"/>
            <w:shd w:val="clear" w:color="auto" w:fill="FFFFFF"/>
            <w:tcMar>
              <w:top w:w="15" w:type="dxa"/>
              <w:left w:w="0" w:type="dxa"/>
              <w:bottom w:w="0" w:type="dxa"/>
              <w:right w:w="15" w:type="dxa"/>
            </w:tcMar>
            <w:vAlign w:val="bottom"/>
            <w:hideMark/>
          </w:tcPr>
          <w:p w14:paraId="02DDD6A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left w:w="0" w:type="dxa"/>
              <w:bottom w:w="0" w:type="dxa"/>
              <w:right w:w="15" w:type="dxa"/>
            </w:tcMar>
            <w:vAlign w:val="bottom"/>
            <w:hideMark/>
          </w:tcPr>
          <w:p w14:paraId="138073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D31D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2067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5,678</w:t>
            </w:r>
          </w:p>
        </w:tc>
        <w:tc>
          <w:tcPr>
            <w:tcW w:w="50" w:type="pct"/>
            <w:shd w:val="clear" w:color="auto" w:fill="FFFFFF"/>
            <w:noWrap/>
            <w:tcMar>
              <w:top w:w="15" w:type="dxa"/>
              <w:left w:w="0" w:type="dxa"/>
              <w:bottom w:w="0" w:type="dxa"/>
              <w:right w:w="15" w:type="dxa"/>
            </w:tcMar>
            <w:vAlign w:val="bottom"/>
            <w:hideMark/>
          </w:tcPr>
          <w:p w14:paraId="051D9772"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4398C96" w14:textId="77777777" w:rsidR="00716E85" w:rsidRDefault="00716E85">
      <w:pPr>
        <w:pStyle w:val="a3"/>
        <w:spacing w:before="0" w:beforeAutospacing="0" w:after="0" w:afterAutospacing="0"/>
        <w:rPr>
          <w:sz w:val="12"/>
          <w:szCs w:val="12"/>
        </w:rPr>
      </w:pPr>
      <w:r>
        <w:rPr>
          <w:sz w:val="12"/>
          <w:szCs w:val="12"/>
        </w:rPr>
        <w:t> </w:t>
      </w:r>
    </w:p>
    <w:p w14:paraId="0ED3501B"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The changes in the carrying amounts of goodwill, net, which is generally not deductible for tax purposes, for our operating segments for the nine months ended February 28, 2019 were as follows:</w:t>
      </w:r>
    </w:p>
    <w:p w14:paraId="5BB4C7B7"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2530"/>
        <w:gridCol w:w="129"/>
        <w:gridCol w:w="117"/>
        <w:gridCol w:w="1121"/>
        <w:gridCol w:w="76"/>
        <w:gridCol w:w="128"/>
        <w:gridCol w:w="118"/>
        <w:gridCol w:w="1123"/>
        <w:gridCol w:w="73"/>
        <w:gridCol w:w="131"/>
        <w:gridCol w:w="117"/>
        <w:gridCol w:w="1123"/>
        <w:gridCol w:w="76"/>
        <w:gridCol w:w="128"/>
        <w:gridCol w:w="117"/>
        <w:gridCol w:w="1123"/>
        <w:gridCol w:w="76"/>
      </w:tblGrid>
      <w:tr w:rsidR="00716E85" w14:paraId="02C3D633" w14:textId="77777777">
        <w:trPr>
          <w:divId w:val="1781030067"/>
          <w:jc w:val="center"/>
        </w:trPr>
        <w:tc>
          <w:tcPr>
            <w:tcW w:w="1529" w:type="pct"/>
            <w:tcBorders>
              <w:bottom w:val="single" w:sz="6" w:space="0" w:color="000000"/>
            </w:tcBorders>
            <w:shd w:val="clear" w:color="auto" w:fill="FFFFFF"/>
            <w:tcMar>
              <w:top w:w="15" w:type="dxa"/>
              <w:left w:w="0" w:type="dxa"/>
              <w:bottom w:w="0" w:type="dxa"/>
              <w:right w:w="15" w:type="dxa"/>
            </w:tcMar>
            <w:vAlign w:val="bottom"/>
            <w:hideMark/>
          </w:tcPr>
          <w:p w14:paraId="415EA24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left w:w="0" w:type="dxa"/>
              <w:bottom w:w="0" w:type="dxa"/>
              <w:right w:w="15" w:type="dxa"/>
            </w:tcMar>
            <w:vAlign w:val="bottom"/>
            <w:hideMark/>
          </w:tcPr>
          <w:p w14:paraId="66836B3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5AB5AB8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left w:w="0" w:type="dxa"/>
              <w:bottom w:w="0" w:type="dxa"/>
              <w:right w:w="15" w:type="dxa"/>
            </w:tcMar>
            <w:vAlign w:val="bottom"/>
            <w:hideMark/>
          </w:tcPr>
          <w:p w14:paraId="0682F00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683F120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56A3C6C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left w:w="0" w:type="dxa"/>
              <w:bottom w:w="0" w:type="dxa"/>
              <w:right w:w="15" w:type="dxa"/>
            </w:tcMar>
            <w:vAlign w:val="bottom"/>
            <w:hideMark/>
          </w:tcPr>
          <w:p w14:paraId="640D7C2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4610FC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4AA6374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left w:w="0" w:type="dxa"/>
              <w:bottom w:w="0" w:type="dxa"/>
              <w:right w:w="15" w:type="dxa"/>
            </w:tcMar>
            <w:vAlign w:val="bottom"/>
            <w:hideMark/>
          </w:tcPr>
          <w:p w14:paraId="65A47D3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72652EB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32" w:type="pct"/>
            <w:gridSpan w:val="2"/>
            <w:tcBorders>
              <w:bottom w:val="single" w:sz="6" w:space="0" w:color="000000"/>
            </w:tcBorders>
            <w:shd w:val="clear" w:color="auto" w:fill="FFFFFF"/>
            <w:tcMar>
              <w:top w:w="15" w:type="dxa"/>
              <w:left w:w="0" w:type="dxa"/>
              <w:bottom w:w="0" w:type="dxa"/>
              <w:right w:w="15" w:type="dxa"/>
            </w:tcMar>
            <w:vAlign w:val="bottom"/>
            <w:hideMark/>
          </w:tcPr>
          <w:p w14:paraId="2EBE7DC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left w:w="0" w:type="dxa"/>
              <w:bottom w:w="0" w:type="dxa"/>
              <w:right w:w="15" w:type="dxa"/>
            </w:tcMar>
            <w:vAlign w:val="bottom"/>
            <w:hideMark/>
          </w:tcPr>
          <w:p w14:paraId="5CECC80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967DFEC" w14:textId="77777777">
        <w:trPr>
          <w:divId w:val="1781030067"/>
          <w:jc w:val="center"/>
        </w:trPr>
        <w:tc>
          <w:tcPr>
            <w:tcW w:w="1529" w:type="pct"/>
            <w:tcBorders>
              <w:top w:val="single" w:sz="6" w:space="0" w:color="000000"/>
            </w:tcBorders>
            <w:shd w:val="clear" w:color="auto" w:fill="CFF0FC"/>
            <w:tcMar>
              <w:top w:w="15" w:type="dxa"/>
              <w:left w:w="0" w:type="dxa"/>
              <w:bottom w:w="0" w:type="dxa"/>
              <w:right w:w="15" w:type="dxa"/>
            </w:tcMar>
            <w:hideMark/>
          </w:tcPr>
          <w:p w14:paraId="2DFD01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Balances as of May 31, 2018</w:t>
            </w:r>
          </w:p>
        </w:tc>
        <w:tc>
          <w:tcPr>
            <w:tcW w:w="85" w:type="pct"/>
            <w:shd w:val="clear" w:color="auto" w:fill="CFF0FC"/>
            <w:tcMar>
              <w:top w:w="15" w:type="dxa"/>
              <w:left w:w="0" w:type="dxa"/>
              <w:bottom w:w="0" w:type="dxa"/>
              <w:right w:w="15" w:type="dxa"/>
            </w:tcMar>
            <w:vAlign w:val="bottom"/>
            <w:hideMark/>
          </w:tcPr>
          <w:p w14:paraId="5E2E59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2B519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1FE7125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39,600</w:t>
            </w:r>
          </w:p>
        </w:tc>
        <w:tc>
          <w:tcPr>
            <w:tcW w:w="50" w:type="pct"/>
            <w:shd w:val="clear" w:color="auto" w:fill="CFF0FC"/>
            <w:noWrap/>
            <w:tcMar>
              <w:top w:w="15" w:type="dxa"/>
              <w:left w:w="0" w:type="dxa"/>
              <w:bottom w:w="0" w:type="dxa"/>
              <w:right w:w="15" w:type="dxa"/>
            </w:tcMar>
            <w:vAlign w:val="bottom"/>
            <w:hideMark/>
          </w:tcPr>
          <w:p w14:paraId="7EB825D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7990A1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9C9A6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5EDB51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left w:w="0" w:type="dxa"/>
              <w:bottom w:w="0" w:type="dxa"/>
              <w:right w:w="15" w:type="dxa"/>
            </w:tcMar>
            <w:vAlign w:val="bottom"/>
            <w:hideMark/>
          </w:tcPr>
          <w:p w14:paraId="1EDD37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27ABEA6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94BBC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397ACB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1,788</w:t>
            </w:r>
          </w:p>
        </w:tc>
        <w:tc>
          <w:tcPr>
            <w:tcW w:w="50" w:type="pct"/>
            <w:shd w:val="clear" w:color="auto" w:fill="CFF0FC"/>
            <w:noWrap/>
            <w:tcMar>
              <w:top w:w="15" w:type="dxa"/>
              <w:left w:w="0" w:type="dxa"/>
              <w:bottom w:w="0" w:type="dxa"/>
              <w:right w:w="15" w:type="dxa"/>
            </w:tcMar>
            <w:vAlign w:val="bottom"/>
            <w:hideMark/>
          </w:tcPr>
          <w:p w14:paraId="36E8E8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2031906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7D9B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left w:w="0" w:type="dxa"/>
              <w:bottom w:w="0" w:type="dxa"/>
              <w:right w:w="15" w:type="dxa"/>
            </w:tcMar>
            <w:vAlign w:val="bottom"/>
            <w:hideMark/>
          </w:tcPr>
          <w:p w14:paraId="75C0A6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43,755</w:t>
            </w:r>
          </w:p>
        </w:tc>
        <w:tc>
          <w:tcPr>
            <w:tcW w:w="50" w:type="pct"/>
            <w:shd w:val="clear" w:color="auto" w:fill="CFF0FC"/>
            <w:noWrap/>
            <w:tcMar>
              <w:top w:w="15" w:type="dxa"/>
              <w:left w:w="0" w:type="dxa"/>
              <w:bottom w:w="0" w:type="dxa"/>
              <w:right w:w="15" w:type="dxa"/>
            </w:tcMar>
            <w:vAlign w:val="bottom"/>
            <w:hideMark/>
          </w:tcPr>
          <w:p w14:paraId="7ACF9A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4F251F7" w14:textId="77777777">
        <w:trPr>
          <w:divId w:val="1781030067"/>
          <w:jc w:val="center"/>
        </w:trPr>
        <w:tc>
          <w:tcPr>
            <w:tcW w:w="1529" w:type="pct"/>
            <w:shd w:val="clear" w:color="auto" w:fill="FFFFFF"/>
            <w:tcMar>
              <w:top w:w="15" w:type="dxa"/>
              <w:left w:w="0" w:type="dxa"/>
              <w:bottom w:w="0" w:type="dxa"/>
              <w:right w:w="15" w:type="dxa"/>
            </w:tcMar>
            <w:hideMark/>
          </w:tcPr>
          <w:p w14:paraId="71062118"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Goodwill from acquisitions</w:t>
            </w:r>
          </w:p>
        </w:tc>
        <w:tc>
          <w:tcPr>
            <w:tcW w:w="85" w:type="pct"/>
            <w:shd w:val="clear" w:color="auto" w:fill="FFFFFF"/>
            <w:tcMar>
              <w:top w:w="15" w:type="dxa"/>
              <w:left w:w="0" w:type="dxa"/>
              <w:bottom w:w="0" w:type="dxa"/>
              <w:right w:w="15" w:type="dxa"/>
            </w:tcMar>
            <w:vAlign w:val="bottom"/>
            <w:hideMark/>
          </w:tcPr>
          <w:p w14:paraId="133097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1F6E9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32E373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5ACA10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14D5E7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17AA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4001346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944F0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34BABE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2743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2C523D1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9FE26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5629D7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4AA5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shd w:val="clear" w:color="auto" w:fill="FFFFFF"/>
            <w:noWrap/>
            <w:tcMar>
              <w:top w:w="15" w:type="dxa"/>
              <w:left w:w="0" w:type="dxa"/>
              <w:bottom w:w="0" w:type="dxa"/>
              <w:right w:w="15" w:type="dxa"/>
            </w:tcMar>
            <w:vAlign w:val="bottom"/>
            <w:hideMark/>
          </w:tcPr>
          <w:p w14:paraId="30B381E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718ACD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78E51A6" w14:textId="77777777">
        <w:trPr>
          <w:divId w:val="1781030067"/>
          <w:jc w:val="center"/>
        </w:trPr>
        <w:tc>
          <w:tcPr>
            <w:tcW w:w="1529" w:type="pct"/>
            <w:shd w:val="clear" w:color="auto" w:fill="CFF0FC"/>
            <w:tcMar>
              <w:top w:w="15" w:type="dxa"/>
              <w:left w:w="0" w:type="dxa"/>
              <w:bottom w:w="0" w:type="dxa"/>
              <w:right w:w="15" w:type="dxa"/>
            </w:tcMar>
            <w:hideMark/>
          </w:tcPr>
          <w:p w14:paraId="0F3F790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vertAlign w:val="superscript"/>
              </w:rPr>
              <w:t>(1)</w:t>
            </w:r>
          </w:p>
        </w:tc>
        <w:tc>
          <w:tcPr>
            <w:tcW w:w="85" w:type="pct"/>
            <w:shd w:val="clear" w:color="auto" w:fill="CFF0FC"/>
            <w:tcMar>
              <w:top w:w="15" w:type="dxa"/>
              <w:left w:w="0" w:type="dxa"/>
              <w:bottom w:w="0" w:type="dxa"/>
              <w:right w:w="15" w:type="dxa"/>
            </w:tcMar>
            <w:vAlign w:val="bottom"/>
            <w:hideMark/>
          </w:tcPr>
          <w:p w14:paraId="1112C4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0D379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4E1A680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w:t>
            </w:r>
          </w:p>
        </w:tc>
        <w:tc>
          <w:tcPr>
            <w:tcW w:w="50" w:type="pct"/>
            <w:shd w:val="clear" w:color="auto" w:fill="CFF0FC"/>
            <w:noWrap/>
            <w:tcMar>
              <w:top w:w="15" w:type="dxa"/>
              <w:left w:w="0" w:type="dxa"/>
              <w:bottom w:w="0" w:type="dxa"/>
              <w:right w:w="15" w:type="dxa"/>
            </w:tcMar>
            <w:vAlign w:val="bottom"/>
            <w:hideMark/>
          </w:tcPr>
          <w:p w14:paraId="6616D6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left w:w="0" w:type="dxa"/>
              <w:bottom w:w="0" w:type="dxa"/>
              <w:right w:w="15" w:type="dxa"/>
            </w:tcMar>
            <w:vAlign w:val="bottom"/>
            <w:hideMark/>
          </w:tcPr>
          <w:p w14:paraId="153E17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A1993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122FE5D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29211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left w:w="0" w:type="dxa"/>
              <w:bottom w:w="0" w:type="dxa"/>
              <w:right w:w="15" w:type="dxa"/>
            </w:tcMar>
            <w:vAlign w:val="bottom"/>
            <w:hideMark/>
          </w:tcPr>
          <w:p w14:paraId="48C28A8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A48D3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06D39A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7ECE1E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CFF0FC"/>
            <w:tcMar>
              <w:top w:w="15" w:type="dxa"/>
              <w:left w:w="0" w:type="dxa"/>
              <w:bottom w:w="0" w:type="dxa"/>
              <w:right w:w="15" w:type="dxa"/>
            </w:tcMar>
            <w:vAlign w:val="bottom"/>
            <w:hideMark/>
          </w:tcPr>
          <w:p w14:paraId="44643F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ED9C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CFF0FC"/>
            <w:noWrap/>
            <w:tcMar>
              <w:top w:w="15" w:type="dxa"/>
              <w:left w:w="0" w:type="dxa"/>
              <w:bottom w:w="0" w:type="dxa"/>
              <w:right w:w="15" w:type="dxa"/>
            </w:tcMar>
            <w:vAlign w:val="bottom"/>
            <w:hideMark/>
          </w:tcPr>
          <w:p w14:paraId="3A9639D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(75</w:t>
            </w:r>
          </w:p>
        </w:tc>
        <w:tc>
          <w:tcPr>
            <w:tcW w:w="50" w:type="pct"/>
            <w:shd w:val="clear" w:color="auto" w:fill="CFF0FC"/>
            <w:noWrap/>
            <w:tcMar>
              <w:top w:w="15" w:type="dxa"/>
              <w:left w:w="0" w:type="dxa"/>
              <w:bottom w:w="0" w:type="dxa"/>
              <w:right w:w="15" w:type="dxa"/>
            </w:tcMar>
            <w:vAlign w:val="bottom"/>
            <w:hideMark/>
          </w:tcPr>
          <w:p w14:paraId="3034E0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180F8D74" w14:textId="77777777">
        <w:trPr>
          <w:divId w:val="1781030067"/>
          <w:jc w:val="center"/>
        </w:trPr>
        <w:tc>
          <w:tcPr>
            <w:tcW w:w="1529" w:type="pct"/>
            <w:shd w:val="clear" w:color="auto" w:fill="FFFFFF"/>
            <w:tcMar>
              <w:top w:w="15" w:type="dxa"/>
              <w:left w:w="0" w:type="dxa"/>
              <w:bottom w:w="0" w:type="dxa"/>
              <w:right w:w="15" w:type="dxa"/>
            </w:tcMar>
            <w:hideMark/>
          </w:tcPr>
          <w:p w14:paraId="29DF3F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Balances as of February 28, 2019</w:t>
            </w:r>
          </w:p>
        </w:tc>
        <w:tc>
          <w:tcPr>
            <w:tcW w:w="85" w:type="pct"/>
            <w:shd w:val="clear" w:color="auto" w:fill="FFFFFF"/>
            <w:tcMar>
              <w:top w:w="15" w:type="dxa"/>
              <w:left w:w="0" w:type="dxa"/>
              <w:bottom w:w="0" w:type="dxa"/>
              <w:right w:w="15" w:type="dxa"/>
            </w:tcMar>
            <w:vAlign w:val="bottom"/>
            <w:hideMark/>
          </w:tcPr>
          <w:p w14:paraId="7490DE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AC7E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78D3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39,631</w:t>
            </w:r>
          </w:p>
        </w:tc>
        <w:tc>
          <w:tcPr>
            <w:tcW w:w="50" w:type="pct"/>
            <w:shd w:val="clear" w:color="auto" w:fill="FFFFFF"/>
            <w:noWrap/>
            <w:tcMar>
              <w:top w:w="15" w:type="dxa"/>
              <w:left w:w="0" w:type="dxa"/>
              <w:bottom w:w="0" w:type="dxa"/>
              <w:right w:w="15" w:type="dxa"/>
            </w:tcMar>
            <w:vAlign w:val="bottom"/>
            <w:hideMark/>
          </w:tcPr>
          <w:p w14:paraId="6E45CA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67596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2D6A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52285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FFFFFF"/>
            <w:noWrap/>
            <w:tcMar>
              <w:top w:w="15" w:type="dxa"/>
              <w:left w:w="0" w:type="dxa"/>
              <w:bottom w:w="0" w:type="dxa"/>
              <w:right w:w="15" w:type="dxa"/>
            </w:tcMar>
            <w:vAlign w:val="bottom"/>
            <w:hideMark/>
          </w:tcPr>
          <w:p w14:paraId="37E34F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265D7D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98B3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202C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1,778</w:t>
            </w:r>
          </w:p>
        </w:tc>
        <w:tc>
          <w:tcPr>
            <w:tcW w:w="50" w:type="pct"/>
            <w:shd w:val="clear" w:color="auto" w:fill="FFFFFF"/>
            <w:noWrap/>
            <w:tcMar>
              <w:top w:w="15" w:type="dxa"/>
              <w:left w:w="0" w:type="dxa"/>
              <w:bottom w:w="0" w:type="dxa"/>
              <w:right w:w="15" w:type="dxa"/>
            </w:tcMar>
            <w:vAlign w:val="bottom"/>
            <w:hideMark/>
          </w:tcPr>
          <w:p w14:paraId="5964B7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left w:w="0" w:type="dxa"/>
              <w:bottom w:w="0" w:type="dxa"/>
              <w:right w:w="15" w:type="dxa"/>
            </w:tcMar>
            <w:vAlign w:val="bottom"/>
            <w:hideMark/>
          </w:tcPr>
          <w:p w14:paraId="07F0E3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434F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49E8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43,776</w:t>
            </w:r>
          </w:p>
        </w:tc>
        <w:tc>
          <w:tcPr>
            <w:tcW w:w="50" w:type="pct"/>
            <w:shd w:val="clear" w:color="auto" w:fill="FFFFFF"/>
            <w:noWrap/>
            <w:tcMar>
              <w:top w:w="15" w:type="dxa"/>
              <w:left w:w="0" w:type="dxa"/>
              <w:bottom w:w="0" w:type="dxa"/>
              <w:right w:w="15" w:type="dxa"/>
            </w:tcMar>
            <w:vAlign w:val="bottom"/>
            <w:hideMark/>
          </w:tcPr>
          <w:p w14:paraId="726B43A9"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7B253B7" w14:textId="77777777" w:rsidR="00716E85" w:rsidRDefault="00716E85">
      <w:pPr>
        <w:pStyle w:val="a3"/>
        <w:pBdr>
          <w:bottom w:val="single" w:sz="6" w:space="1" w:color="auto"/>
        </w:pBdr>
        <w:spacing w:before="0" w:beforeAutospacing="0" w:after="0" w:afterAutospacing="0"/>
        <w:ind w:right="10477"/>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7E93828C" w14:textId="77777777">
        <w:tc>
          <w:tcPr>
            <w:tcW w:w="192" w:type="pct"/>
            <w:noWrap/>
            <w:hideMark/>
          </w:tcPr>
          <w:p w14:paraId="7F424C46"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2D750D7F"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 xml:space="preserve">Pursuant to our business combinations accounting policy, we recorded goodwill adjustments for the effects on goodwill of changes to net assets acquired during the period that such a change is identified, provided that any such change is within the measurement period (up to one year from the date of the acquisition). Amounts also include any changes in goodwill balances for the period presented that resulted from foreign currency translations. </w:t>
            </w:r>
          </w:p>
        </w:tc>
      </w:tr>
    </w:tbl>
    <w:p w14:paraId="7C0424A6" w14:textId="77777777" w:rsidR="00716E85" w:rsidRDefault="00716E85">
      <w:pPr>
        <w:pStyle w:val="a3"/>
        <w:spacing w:before="0" w:beforeAutospacing="0" w:after="0" w:afterAutospacing="0"/>
        <w:jc w:val="both"/>
        <w:rPr>
          <w:sz w:val="12"/>
          <w:szCs w:val="12"/>
        </w:rPr>
      </w:pPr>
      <w:r>
        <w:rPr>
          <w:sz w:val="12"/>
          <w:szCs w:val="12"/>
        </w:rPr>
        <w:t> </w:t>
      </w:r>
    </w:p>
    <w:p w14:paraId="45FEF4CF"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19</w:t>
      </w:r>
    </w:p>
    <w:p w14:paraId="61027074" w14:textId="77777777" w:rsidR="00716E85" w:rsidRDefault="00716E85">
      <w:pPr>
        <w:rPr>
          <w:rFonts w:ascii="Times New Roman" w:eastAsia="Times New Roman" w:hAnsi="Times New Roman" w:cs="Times New Roman"/>
          <w:sz w:val="24"/>
          <w:szCs w:val="24"/>
        </w:rPr>
      </w:pPr>
      <w:r>
        <w:rPr>
          <w:rFonts w:eastAsia="Times New Roman"/>
        </w:rPr>
        <w:pict w14:anchorId="0C3A070B">
          <v:rect id="_x0000_i1045" style="width:415.3pt;height:1.5pt" o:hralign="center" o:hrstd="t" o:hr="t" fillcolor="#a0a0a0" stroked="f"/>
        </w:pict>
      </w:r>
    </w:p>
    <w:p w14:paraId="35A10861"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DCB3CD6" w14:textId="77777777" w:rsidR="00716E85" w:rsidRDefault="00716E85">
      <w:pPr>
        <w:pStyle w:val="a3"/>
      </w:pPr>
      <w:r>
        <w:t> </w:t>
      </w:r>
    </w:p>
    <w:p w14:paraId="78E9E88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089AC5A"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7CA5CC89"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7FA4ADC9"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6BABE856"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40877B7D" w14:textId="77777777">
        <w:tc>
          <w:tcPr>
            <w:tcW w:w="262" w:type="pct"/>
            <w:noWrap/>
            <w:hideMark/>
          </w:tcPr>
          <w:p w14:paraId="3CFD0FDF"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5.</w:t>
            </w:r>
          </w:p>
        </w:tc>
        <w:tc>
          <w:tcPr>
            <w:tcW w:w="0" w:type="auto"/>
            <w:hideMark/>
          </w:tcPr>
          <w:p w14:paraId="5356B5C0" w14:textId="77777777" w:rsidR="00716E85" w:rsidRDefault="00716E85">
            <w:pPr>
              <w:pStyle w:val="a3"/>
              <w:spacing w:before="120" w:beforeAutospacing="0" w:after="0" w:afterAutospacing="0"/>
              <w:jc w:val="both"/>
              <w:rPr>
                <w:rFonts w:ascii="Calibri" w:hAnsi="Calibri" w:cs="Calibri"/>
                <w:b/>
                <w:bCs/>
                <w:sz w:val="20"/>
                <w:szCs w:val="20"/>
              </w:rPr>
            </w:pPr>
            <w:bookmarkStart w:id="30" w:name="_AEIOULastRenderedPageBreakAEIOU22"/>
            <w:bookmarkEnd w:id="30"/>
            <w:r>
              <w:rPr>
                <w:rFonts w:ascii="Calibri" w:hAnsi="Calibri" w:cs="Calibri"/>
                <w:b/>
                <w:bCs/>
                <w:sz w:val="20"/>
                <w:szCs w:val="20"/>
              </w:rPr>
              <w:t>RESTRUCTURING ACTIVITIES</w:t>
            </w:r>
          </w:p>
        </w:tc>
      </w:tr>
    </w:tbl>
    <w:p w14:paraId="2899441A"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Fiscal 2019 Oracle Restructuring Plan</w:t>
      </w:r>
    </w:p>
    <w:p w14:paraId="1AD65D2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During fiscal 2019, our management approved, committed to and initiated plans to restructure and further improve efficiencies in our operations due to our recent acquisitions and certain other operational activities (2019 Restructuring Plan). The total estimated restructuring costs associated with the 2019 Restructuring Plan are up to $432 million and will be recorded to the restructuring expense line item within our condensed consolidated statements of operations as they are incurred. We recorded $297 million of restructuring expenses in connection with the 2019 Restructuring Plan in the first nine months of fiscal 2019 and we expect to incur the majority of the estimated remaining $135 million through the end of fiscal 2020. Any changes to the estimates of executing the 2019 Restructuring Plan will be reflected in our future results of operations.</w:t>
      </w:r>
    </w:p>
    <w:p w14:paraId="2CC18F58"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Summary of All Plans</w:t>
      </w:r>
    </w:p>
    <w:p w14:paraId="18A4F073" w14:textId="77777777" w:rsidR="00716E85" w:rsidRDefault="00716E85">
      <w:pPr>
        <w:pStyle w:val="a3"/>
        <w:spacing w:before="0" w:beforeAutospacing="0" w:after="0" w:afterAutospacing="0"/>
        <w:jc w:val="both"/>
        <w:rPr>
          <w:b/>
          <w:bCs/>
          <w:sz w:val="16"/>
          <w:szCs w:val="16"/>
        </w:rPr>
      </w:pPr>
      <w:r>
        <w:rPr>
          <w:b/>
          <w:bCs/>
          <w:sz w:val="16"/>
          <w:szCs w:val="16"/>
        </w:rPr>
        <w:t> </w:t>
      </w:r>
    </w:p>
    <w:tbl>
      <w:tblPr>
        <w:tblW w:w="5000" w:type="pct"/>
        <w:jc w:val="center"/>
        <w:tblCellMar>
          <w:left w:w="0" w:type="dxa"/>
          <w:right w:w="0" w:type="dxa"/>
        </w:tblCellMar>
        <w:tblLook w:val="04A0" w:firstRow="1" w:lastRow="0" w:firstColumn="1" w:lastColumn="0" w:noHBand="0" w:noVBand="1"/>
      </w:tblPr>
      <w:tblGrid>
        <w:gridCol w:w="2809"/>
        <w:gridCol w:w="57"/>
        <w:gridCol w:w="109"/>
        <w:gridCol w:w="419"/>
        <w:gridCol w:w="61"/>
        <w:gridCol w:w="58"/>
        <w:gridCol w:w="110"/>
        <w:gridCol w:w="357"/>
        <w:gridCol w:w="61"/>
        <w:gridCol w:w="58"/>
        <w:gridCol w:w="110"/>
        <w:gridCol w:w="348"/>
        <w:gridCol w:w="72"/>
        <w:gridCol w:w="58"/>
        <w:gridCol w:w="110"/>
        <w:gridCol w:w="516"/>
        <w:gridCol w:w="72"/>
        <w:gridCol w:w="58"/>
        <w:gridCol w:w="110"/>
        <w:gridCol w:w="430"/>
        <w:gridCol w:w="72"/>
        <w:gridCol w:w="58"/>
        <w:gridCol w:w="119"/>
        <w:gridCol w:w="670"/>
        <w:gridCol w:w="61"/>
        <w:gridCol w:w="58"/>
        <w:gridCol w:w="110"/>
        <w:gridCol w:w="419"/>
        <w:gridCol w:w="58"/>
        <w:gridCol w:w="58"/>
        <w:gridCol w:w="110"/>
        <w:gridCol w:w="472"/>
        <w:gridCol w:w="58"/>
      </w:tblGrid>
      <w:tr w:rsidR="00716E85" w14:paraId="4953A87E" w14:textId="77777777">
        <w:trPr>
          <w:divId w:val="1340498320"/>
          <w:trHeight w:val="372"/>
          <w:jc w:val="center"/>
        </w:trPr>
        <w:tc>
          <w:tcPr>
            <w:tcW w:w="1637" w:type="pct"/>
            <w:shd w:val="clear" w:color="auto" w:fill="FFFFFF"/>
            <w:tcMar>
              <w:top w:w="15" w:type="dxa"/>
              <w:left w:w="0" w:type="dxa"/>
              <w:bottom w:w="0" w:type="dxa"/>
              <w:right w:w="15" w:type="dxa"/>
            </w:tcMar>
            <w:vAlign w:val="bottom"/>
            <w:hideMark/>
          </w:tcPr>
          <w:p w14:paraId="0AA91837" w14:textId="77777777" w:rsidR="00716E85" w:rsidRDefault="00716E85">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14129E72"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39" w:type="pct"/>
            <w:gridSpan w:val="2"/>
            <w:vMerge w:val="restart"/>
            <w:shd w:val="clear" w:color="auto" w:fill="FFFFFF"/>
            <w:tcMar>
              <w:top w:w="15" w:type="dxa"/>
              <w:left w:w="0" w:type="dxa"/>
              <w:bottom w:w="0" w:type="dxa"/>
              <w:right w:w="15" w:type="dxa"/>
            </w:tcMar>
            <w:vAlign w:val="bottom"/>
            <w:hideMark/>
          </w:tcPr>
          <w:p w14:paraId="29553230"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Accrued</w:t>
            </w:r>
          </w:p>
          <w:p w14:paraId="44732CCF"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May 31,</w:t>
            </w:r>
          </w:p>
          <w:p w14:paraId="118AE515"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2018</w:t>
            </w:r>
            <w:r>
              <w:rPr>
                <w:rFonts w:ascii="Calibri" w:hAnsi="Calibri" w:cs="Calibri"/>
                <w:b/>
                <w:bCs/>
                <w:color w:val="000000"/>
                <w:sz w:val="14"/>
                <w:szCs w:val="14"/>
                <w:vertAlign w:val="superscript"/>
              </w:rPr>
              <w:t>(2)</w:t>
            </w:r>
          </w:p>
        </w:tc>
        <w:tc>
          <w:tcPr>
            <w:tcW w:w="36" w:type="pct"/>
            <w:shd w:val="clear" w:color="auto" w:fill="FFFFFF"/>
            <w:noWrap/>
            <w:tcMar>
              <w:top w:w="15" w:type="dxa"/>
              <w:left w:w="0" w:type="dxa"/>
              <w:bottom w:w="0" w:type="dxa"/>
              <w:right w:w="15" w:type="dxa"/>
            </w:tcMar>
            <w:vAlign w:val="bottom"/>
            <w:hideMark/>
          </w:tcPr>
          <w:p w14:paraId="18830EFA"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0" w:type="pct"/>
            <w:shd w:val="clear" w:color="auto" w:fill="FFFFFF"/>
            <w:tcMar>
              <w:top w:w="15" w:type="dxa"/>
              <w:left w:w="0" w:type="dxa"/>
              <w:bottom w:w="0" w:type="dxa"/>
              <w:right w:w="15" w:type="dxa"/>
            </w:tcMar>
            <w:vAlign w:val="bottom"/>
            <w:hideMark/>
          </w:tcPr>
          <w:p w14:paraId="76E25712"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567" w:type="pct"/>
            <w:gridSpan w:val="14"/>
            <w:tcBorders>
              <w:bottom w:val="single" w:sz="6" w:space="0" w:color="000000"/>
            </w:tcBorders>
            <w:shd w:val="clear" w:color="auto" w:fill="FFFFFF"/>
            <w:tcMar>
              <w:top w:w="15" w:type="dxa"/>
              <w:left w:w="0" w:type="dxa"/>
              <w:bottom w:w="0" w:type="dxa"/>
              <w:right w:w="15" w:type="dxa"/>
            </w:tcMar>
            <w:vAlign w:val="bottom"/>
            <w:hideMark/>
          </w:tcPr>
          <w:p w14:paraId="64334DF7"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Nine Months Ended February 28, 2019</w:t>
            </w:r>
          </w:p>
        </w:tc>
        <w:tc>
          <w:tcPr>
            <w:tcW w:w="41" w:type="pct"/>
            <w:shd w:val="clear" w:color="auto" w:fill="FFFFFF"/>
            <w:noWrap/>
            <w:tcMar>
              <w:top w:w="15" w:type="dxa"/>
              <w:left w:w="0" w:type="dxa"/>
              <w:bottom w:w="0" w:type="dxa"/>
              <w:right w:w="15" w:type="dxa"/>
            </w:tcMar>
            <w:vAlign w:val="bottom"/>
            <w:hideMark/>
          </w:tcPr>
          <w:p w14:paraId="1F42E376"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9" w:type="pct"/>
            <w:shd w:val="clear" w:color="auto" w:fill="FFFFFF"/>
            <w:tcMar>
              <w:top w:w="15" w:type="dxa"/>
              <w:left w:w="0" w:type="dxa"/>
              <w:bottom w:w="0" w:type="dxa"/>
              <w:right w:w="15" w:type="dxa"/>
            </w:tcMar>
            <w:vAlign w:val="bottom"/>
            <w:hideMark/>
          </w:tcPr>
          <w:p w14:paraId="641CDA77"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455" w:type="pct"/>
            <w:gridSpan w:val="2"/>
            <w:vMerge w:val="restart"/>
            <w:shd w:val="clear" w:color="auto" w:fill="FFFFFF"/>
            <w:tcMar>
              <w:top w:w="15" w:type="dxa"/>
              <w:left w:w="0" w:type="dxa"/>
              <w:bottom w:w="0" w:type="dxa"/>
              <w:right w:w="15" w:type="dxa"/>
            </w:tcMar>
            <w:vAlign w:val="bottom"/>
            <w:hideMark/>
          </w:tcPr>
          <w:p w14:paraId="41F5F4B3"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Accrued</w:t>
            </w:r>
          </w:p>
          <w:p w14:paraId="13B95F55"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February 28,</w:t>
            </w:r>
          </w:p>
          <w:p w14:paraId="498AED5C"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2019</w:t>
            </w:r>
            <w:r>
              <w:rPr>
                <w:rFonts w:ascii="Calibri" w:hAnsi="Calibri" w:cs="Calibri"/>
                <w:b/>
                <w:bCs/>
                <w:color w:val="000000"/>
                <w:sz w:val="14"/>
                <w:szCs w:val="14"/>
                <w:vertAlign w:val="superscript"/>
              </w:rPr>
              <w:t>(2)</w:t>
            </w:r>
          </w:p>
        </w:tc>
        <w:tc>
          <w:tcPr>
            <w:tcW w:w="39" w:type="pct"/>
            <w:shd w:val="clear" w:color="auto" w:fill="FFFFFF"/>
            <w:noWrap/>
            <w:tcMar>
              <w:top w:w="15" w:type="dxa"/>
              <w:left w:w="0" w:type="dxa"/>
              <w:bottom w:w="0" w:type="dxa"/>
              <w:right w:w="15" w:type="dxa"/>
            </w:tcMar>
            <w:vAlign w:val="bottom"/>
            <w:hideMark/>
          </w:tcPr>
          <w:p w14:paraId="71C0C613"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0" w:type="pct"/>
            <w:shd w:val="clear" w:color="auto" w:fill="FFFFFF"/>
            <w:tcMar>
              <w:top w:w="15" w:type="dxa"/>
              <w:left w:w="0" w:type="dxa"/>
              <w:bottom w:w="0" w:type="dxa"/>
              <w:right w:w="15" w:type="dxa"/>
            </w:tcMar>
            <w:vAlign w:val="bottom"/>
            <w:hideMark/>
          </w:tcPr>
          <w:p w14:paraId="0B7BB713"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39" w:type="pct"/>
            <w:gridSpan w:val="2"/>
            <w:vMerge w:val="restart"/>
            <w:shd w:val="clear" w:color="auto" w:fill="FFFFFF"/>
            <w:tcMar>
              <w:top w:w="15" w:type="dxa"/>
              <w:left w:w="0" w:type="dxa"/>
              <w:bottom w:w="0" w:type="dxa"/>
              <w:right w:w="15" w:type="dxa"/>
            </w:tcMar>
            <w:vAlign w:val="bottom"/>
            <w:hideMark/>
          </w:tcPr>
          <w:p w14:paraId="242B043C"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Total</w:t>
            </w:r>
          </w:p>
          <w:p w14:paraId="214E2B58"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Costs</w:t>
            </w:r>
          </w:p>
          <w:p w14:paraId="4EE195A0"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Accrued</w:t>
            </w:r>
          </w:p>
          <w:p w14:paraId="3F35FFFB"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to Date</w:t>
            </w:r>
          </w:p>
        </w:tc>
        <w:tc>
          <w:tcPr>
            <w:tcW w:w="39" w:type="pct"/>
            <w:shd w:val="clear" w:color="auto" w:fill="FFFFFF"/>
            <w:noWrap/>
            <w:tcMar>
              <w:top w:w="15" w:type="dxa"/>
              <w:left w:w="0" w:type="dxa"/>
              <w:bottom w:w="0" w:type="dxa"/>
              <w:right w:w="15" w:type="dxa"/>
            </w:tcMar>
            <w:vAlign w:val="bottom"/>
            <w:hideMark/>
          </w:tcPr>
          <w:p w14:paraId="15AA0665"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0" w:type="pct"/>
            <w:shd w:val="clear" w:color="auto" w:fill="FFFFFF"/>
            <w:tcMar>
              <w:top w:w="15" w:type="dxa"/>
              <w:left w:w="0" w:type="dxa"/>
              <w:bottom w:w="0" w:type="dxa"/>
              <w:right w:w="15" w:type="dxa"/>
            </w:tcMar>
            <w:vAlign w:val="bottom"/>
            <w:hideMark/>
          </w:tcPr>
          <w:p w14:paraId="36C40BBC"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45" w:type="pct"/>
            <w:gridSpan w:val="2"/>
            <w:vMerge w:val="restart"/>
            <w:shd w:val="clear" w:color="auto" w:fill="FFFFFF"/>
            <w:tcMar>
              <w:top w:w="15" w:type="dxa"/>
              <w:left w:w="0" w:type="dxa"/>
              <w:bottom w:w="0" w:type="dxa"/>
              <w:right w:w="15" w:type="dxa"/>
            </w:tcMar>
            <w:vAlign w:val="bottom"/>
            <w:hideMark/>
          </w:tcPr>
          <w:p w14:paraId="1A030A3C"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Total</w:t>
            </w:r>
          </w:p>
          <w:p w14:paraId="01AC5899"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Expected</w:t>
            </w:r>
          </w:p>
          <w:p w14:paraId="4BCF8CEB"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Program</w:t>
            </w:r>
          </w:p>
          <w:p w14:paraId="745DFB12"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Costs</w:t>
            </w:r>
          </w:p>
        </w:tc>
        <w:tc>
          <w:tcPr>
            <w:tcW w:w="32" w:type="pct"/>
            <w:shd w:val="clear" w:color="auto" w:fill="FFFFFF"/>
            <w:noWrap/>
            <w:tcMar>
              <w:top w:w="15" w:type="dxa"/>
              <w:left w:w="0" w:type="dxa"/>
              <w:bottom w:w="0" w:type="dxa"/>
              <w:right w:w="15" w:type="dxa"/>
            </w:tcMar>
            <w:vAlign w:val="bottom"/>
            <w:hideMark/>
          </w:tcPr>
          <w:p w14:paraId="5475E15E"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r>
      <w:tr w:rsidR="00716E85" w14:paraId="41C6E728" w14:textId="77777777">
        <w:trPr>
          <w:divId w:val="1340498320"/>
          <w:jc w:val="center"/>
        </w:trPr>
        <w:tc>
          <w:tcPr>
            <w:tcW w:w="1637" w:type="pct"/>
            <w:tcBorders>
              <w:bottom w:val="single" w:sz="6" w:space="0" w:color="000000"/>
            </w:tcBorders>
            <w:shd w:val="clear" w:color="auto" w:fill="FFFFFF"/>
            <w:tcMar>
              <w:top w:w="15" w:type="dxa"/>
              <w:left w:w="0" w:type="dxa"/>
              <w:bottom w:w="0" w:type="dxa"/>
              <w:right w:w="15" w:type="dxa"/>
            </w:tcMar>
            <w:vAlign w:val="bottom"/>
            <w:hideMark/>
          </w:tcPr>
          <w:p w14:paraId="2973BF58"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(in millions)</w:t>
            </w:r>
          </w:p>
        </w:tc>
        <w:tc>
          <w:tcPr>
            <w:tcW w:w="51" w:type="pct"/>
            <w:shd w:val="clear" w:color="auto" w:fill="FFFFFF"/>
            <w:tcMar>
              <w:top w:w="15" w:type="dxa"/>
              <w:left w:w="0" w:type="dxa"/>
              <w:bottom w:w="0" w:type="dxa"/>
              <w:right w:w="15" w:type="dxa"/>
            </w:tcMar>
            <w:vAlign w:val="bottom"/>
            <w:hideMark/>
          </w:tcPr>
          <w:p w14:paraId="58805714"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0" w:type="auto"/>
            <w:gridSpan w:val="2"/>
            <w:vMerge/>
            <w:vAlign w:val="center"/>
            <w:hideMark/>
          </w:tcPr>
          <w:p w14:paraId="4E997860" w14:textId="77777777" w:rsidR="00716E85" w:rsidRDefault="00716E85">
            <w:pPr>
              <w:rPr>
                <w:rFonts w:ascii="Calibri" w:hAnsi="Calibri" w:cs="Calibri"/>
                <w:b/>
                <w:bCs/>
                <w:color w:val="000000"/>
                <w:sz w:val="16"/>
                <w:szCs w:val="16"/>
              </w:rPr>
            </w:pPr>
          </w:p>
        </w:tc>
        <w:tc>
          <w:tcPr>
            <w:tcW w:w="36" w:type="pct"/>
            <w:shd w:val="clear" w:color="auto" w:fill="FFFFFF"/>
            <w:noWrap/>
            <w:tcMar>
              <w:top w:w="15" w:type="dxa"/>
              <w:left w:w="0" w:type="dxa"/>
              <w:bottom w:w="0" w:type="dxa"/>
              <w:right w:w="15" w:type="dxa"/>
            </w:tcMar>
            <w:vAlign w:val="bottom"/>
            <w:hideMark/>
          </w:tcPr>
          <w:p w14:paraId="70ABDA1B"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20" w:type="pct"/>
            <w:shd w:val="clear" w:color="auto" w:fill="FFFFFF"/>
            <w:tcMar>
              <w:top w:w="15" w:type="dxa"/>
              <w:left w:w="0" w:type="dxa"/>
              <w:bottom w:w="0" w:type="dxa"/>
              <w:right w:w="15" w:type="dxa"/>
            </w:tcMar>
            <w:vAlign w:val="bottom"/>
            <w:hideMark/>
          </w:tcPr>
          <w:p w14:paraId="0BDB38D8"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2073D5"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Initial</w:t>
            </w:r>
          </w:p>
          <w:p w14:paraId="1C08A984"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Costs</w:t>
            </w:r>
            <w:r>
              <w:rPr>
                <w:rFonts w:ascii="Calibri" w:hAnsi="Calibri" w:cs="Calibri"/>
                <w:b/>
                <w:bCs/>
                <w:color w:val="000000"/>
                <w:sz w:val="14"/>
                <w:szCs w:val="14"/>
                <w:vertAlign w:val="superscript"/>
              </w:rPr>
              <w:t>(3)</w:t>
            </w:r>
          </w:p>
        </w:tc>
        <w:tc>
          <w:tcPr>
            <w:tcW w:w="39" w:type="pct"/>
            <w:shd w:val="clear" w:color="auto" w:fill="FFFFFF"/>
            <w:noWrap/>
            <w:tcMar>
              <w:top w:w="15" w:type="dxa"/>
              <w:left w:w="0" w:type="dxa"/>
              <w:bottom w:w="0" w:type="dxa"/>
              <w:right w:w="15" w:type="dxa"/>
            </w:tcMar>
            <w:vAlign w:val="bottom"/>
            <w:hideMark/>
          </w:tcPr>
          <w:p w14:paraId="135BFF9A"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20" w:type="pct"/>
            <w:tcBorders>
              <w:top w:val="single" w:sz="6" w:space="0" w:color="000000"/>
            </w:tcBorders>
            <w:shd w:val="clear" w:color="auto" w:fill="FFFFFF"/>
            <w:tcMar>
              <w:top w:w="15" w:type="dxa"/>
              <w:left w:w="0" w:type="dxa"/>
              <w:bottom w:w="0" w:type="dxa"/>
              <w:right w:w="15" w:type="dxa"/>
            </w:tcMar>
            <w:vAlign w:val="bottom"/>
            <w:hideMark/>
          </w:tcPr>
          <w:p w14:paraId="4B6977D5"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270BC2"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Adj. to</w:t>
            </w:r>
          </w:p>
          <w:p w14:paraId="7CFAE219"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Cost</w:t>
            </w:r>
            <w:r>
              <w:rPr>
                <w:rFonts w:ascii="Calibri" w:hAnsi="Calibri" w:cs="Calibri"/>
                <w:b/>
                <w:bCs/>
                <w:color w:val="000000"/>
                <w:sz w:val="14"/>
                <w:szCs w:val="14"/>
                <w:vertAlign w:val="superscript"/>
              </w:rPr>
              <w:t>(4)</w:t>
            </w:r>
          </w:p>
        </w:tc>
        <w:tc>
          <w:tcPr>
            <w:tcW w:w="41" w:type="pct"/>
            <w:shd w:val="clear" w:color="auto" w:fill="FFFFFF"/>
            <w:noWrap/>
            <w:tcMar>
              <w:top w:w="15" w:type="dxa"/>
              <w:left w:w="0" w:type="dxa"/>
              <w:bottom w:w="0" w:type="dxa"/>
              <w:right w:w="15" w:type="dxa"/>
            </w:tcMar>
            <w:vAlign w:val="bottom"/>
            <w:hideMark/>
          </w:tcPr>
          <w:p w14:paraId="3FC0C401"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18" w:type="pct"/>
            <w:tcBorders>
              <w:top w:val="single" w:sz="6" w:space="0" w:color="000000"/>
            </w:tcBorders>
            <w:shd w:val="clear" w:color="auto" w:fill="FFFFFF"/>
            <w:tcMar>
              <w:top w:w="15" w:type="dxa"/>
              <w:left w:w="0" w:type="dxa"/>
              <w:bottom w:w="0" w:type="dxa"/>
              <w:right w:w="15" w:type="dxa"/>
            </w:tcMar>
            <w:vAlign w:val="bottom"/>
            <w:hideMark/>
          </w:tcPr>
          <w:p w14:paraId="612C3BFE"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06731C"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Cash</w:t>
            </w:r>
          </w:p>
          <w:p w14:paraId="077AF256"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Payments</w:t>
            </w:r>
          </w:p>
        </w:tc>
        <w:tc>
          <w:tcPr>
            <w:tcW w:w="41" w:type="pct"/>
            <w:shd w:val="clear" w:color="auto" w:fill="FFFFFF"/>
            <w:noWrap/>
            <w:tcMar>
              <w:top w:w="15" w:type="dxa"/>
              <w:left w:w="0" w:type="dxa"/>
              <w:bottom w:w="0" w:type="dxa"/>
              <w:right w:w="15" w:type="dxa"/>
            </w:tcMar>
            <w:vAlign w:val="bottom"/>
            <w:hideMark/>
          </w:tcPr>
          <w:p w14:paraId="12AF75C8"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8" w:type="pct"/>
            <w:tcBorders>
              <w:top w:val="single" w:sz="6" w:space="0" w:color="000000"/>
            </w:tcBorders>
            <w:shd w:val="clear" w:color="auto" w:fill="FFFFFF"/>
            <w:tcMar>
              <w:top w:w="15" w:type="dxa"/>
              <w:left w:w="0" w:type="dxa"/>
              <w:bottom w:w="0" w:type="dxa"/>
              <w:right w:w="15" w:type="dxa"/>
            </w:tcMar>
            <w:vAlign w:val="bottom"/>
            <w:hideMark/>
          </w:tcPr>
          <w:p w14:paraId="70463765"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4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C8114E"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Others</w:t>
            </w:r>
            <w:r>
              <w:rPr>
                <w:rFonts w:ascii="Calibri" w:hAnsi="Calibri" w:cs="Calibri"/>
                <w:b/>
                <w:bCs/>
                <w:color w:val="000000"/>
                <w:sz w:val="14"/>
                <w:szCs w:val="14"/>
                <w:vertAlign w:val="superscript"/>
              </w:rPr>
              <w:t>(5)</w:t>
            </w:r>
          </w:p>
        </w:tc>
        <w:tc>
          <w:tcPr>
            <w:tcW w:w="41" w:type="pct"/>
            <w:shd w:val="clear" w:color="auto" w:fill="FFFFFF"/>
            <w:noWrap/>
            <w:tcMar>
              <w:top w:w="15" w:type="dxa"/>
              <w:left w:w="0" w:type="dxa"/>
              <w:bottom w:w="0" w:type="dxa"/>
              <w:right w:w="15" w:type="dxa"/>
            </w:tcMar>
            <w:vAlign w:val="bottom"/>
            <w:hideMark/>
          </w:tcPr>
          <w:p w14:paraId="264CC1AB"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19" w:type="pct"/>
            <w:shd w:val="clear" w:color="auto" w:fill="FFFFFF"/>
            <w:tcMar>
              <w:top w:w="15" w:type="dxa"/>
              <w:left w:w="0" w:type="dxa"/>
              <w:bottom w:w="0" w:type="dxa"/>
              <w:right w:w="15" w:type="dxa"/>
            </w:tcMar>
            <w:vAlign w:val="bottom"/>
            <w:hideMark/>
          </w:tcPr>
          <w:p w14:paraId="69AE78E9"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0" w:type="auto"/>
            <w:gridSpan w:val="2"/>
            <w:vMerge/>
            <w:vAlign w:val="center"/>
            <w:hideMark/>
          </w:tcPr>
          <w:p w14:paraId="656180E6" w14:textId="77777777" w:rsidR="00716E85" w:rsidRDefault="00716E85">
            <w:pPr>
              <w:rPr>
                <w:rFonts w:ascii="Calibri" w:hAnsi="Calibri" w:cs="Calibri"/>
                <w:b/>
                <w:bCs/>
                <w:color w:val="000000"/>
                <w:sz w:val="16"/>
                <w:szCs w:val="16"/>
              </w:rPr>
            </w:pPr>
          </w:p>
        </w:tc>
        <w:tc>
          <w:tcPr>
            <w:tcW w:w="39" w:type="pct"/>
            <w:shd w:val="clear" w:color="auto" w:fill="FFFFFF"/>
            <w:noWrap/>
            <w:tcMar>
              <w:top w:w="15" w:type="dxa"/>
              <w:left w:w="0" w:type="dxa"/>
              <w:bottom w:w="0" w:type="dxa"/>
              <w:right w:w="15" w:type="dxa"/>
            </w:tcMar>
            <w:vAlign w:val="bottom"/>
            <w:hideMark/>
          </w:tcPr>
          <w:p w14:paraId="689AD3DD"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20" w:type="pct"/>
            <w:shd w:val="clear" w:color="auto" w:fill="FFFFFF"/>
            <w:tcMar>
              <w:top w:w="15" w:type="dxa"/>
              <w:left w:w="0" w:type="dxa"/>
              <w:bottom w:w="0" w:type="dxa"/>
              <w:right w:w="15" w:type="dxa"/>
            </w:tcMar>
            <w:vAlign w:val="bottom"/>
            <w:hideMark/>
          </w:tcPr>
          <w:p w14:paraId="16BEBD19"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0" w:type="auto"/>
            <w:gridSpan w:val="2"/>
            <w:vMerge/>
            <w:vAlign w:val="center"/>
            <w:hideMark/>
          </w:tcPr>
          <w:p w14:paraId="2E692C91" w14:textId="77777777" w:rsidR="00716E85" w:rsidRDefault="00716E85">
            <w:pPr>
              <w:rPr>
                <w:rFonts w:ascii="Calibri" w:hAnsi="Calibri" w:cs="Calibri"/>
                <w:b/>
                <w:bCs/>
                <w:color w:val="000000"/>
                <w:sz w:val="16"/>
                <w:szCs w:val="16"/>
              </w:rPr>
            </w:pPr>
          </w:p>
        </w:tc>
        <w:tc>
          <w:tcPr>
            <w:tcW w:w="39" w:type="pct"/>
            <w:shd w:val="clear" w:color="auto" w:fill="FFFFFF"/>
            <w:noWrap/>
            <w:tcMar>
              <w:top w:w="15" w:type="dxa"/>
              <w:left w:w="0" w:type="dxa"/>
              <w:bottom w:w="0" w:type="dxa"/>
              <w:right w:w="15" w:type="dxa"/>
            </w:tcMar>
            <w:vAlign w:val="bottom"/>
            <w:hideMark/>
          </w:tcPr>
          <w:p w14:paraId="13DF9144"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20" w:type="pct"/>
            <w:shd w:val="clear" w:color="auto" w:fill="FFFFFF"/>
            <w:tcMar>
              <w:top w:w="15" w:type="dxa"/>
              <w:left w:w="0" w:type="dxa"/>
              <w:bottom w:w="0" w:type="dxa"/>
              <w:right w:w="15" w:type="dxa"/>
            </w:tcMar>
            <w:vAlign w:val="bottom"/>
            <w:hideMark/>
          </w:tcPr>
          <w:p w14:paraId="02D4A856"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0" w:type="auto"/>
            <w:gridSpan w:val="2"/>
            <w:vMerge/>
            <w:vAlign w:val="center"/>
            <w:hideMark/>
          </w:tcPr>
          <w:p w14:paraId="334A9B6C" w14:textId="77777777" w:rsidR="00716E85" w:rsidRDefault="00716E85">
            <w:pPr>
              <w:rPr>
                <w:rFonts w:ascii="Calibri" w:hAnsi="Calibri" w:cs="Calibri"/>
                <w:b/>
                <w:bCs/>
                <w:color w:val="000000"/>
                <w:sz w:val="16"/>
                <w:szCs w:val="16"/>
              </w:rPr>
            </w:pPr>
          </w:p>
        </w:tc>
        <w:tc>
          <w:tcPr>
            <w:tcW w:w="32" w:type="pct"/>
            <w:shd w:val="clear" w:color="auto" w:fill="FFFFFF"/>
            <w:noWrap/>
            <w:tcMar>
              <w:top w:w="15" w:type="dxa"/>
              <w:left w:w="0" w:type="dxa"/>
              <w:bottom w:w="0" w:type="dxa"/>
              <w:right w:w="15" w:type="dxa"/>
            </w:tcMar>
            <w:vAlign w:val="bottom"/>
            <w:hideMark/>
          </w:tcPr>
          <w:p w14:paraId="50395035"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r>
      <w:tr w:rsidR="00716E85" w14:paraId="20681C48" w14:textId="77777777">
        <w:trPr>
          <w:divId w:val="1340498320"/>
          <w:jc w:val="center"/>
        </w:trPr>
        <w:tc>
          <w:tcPr>
            <w:tcW w:w="1637" w:type="pct"/>
            <w:tcBorders>
              <w:top w:val="single" w:sz="6" w:space="0" w:color="000000"/>
            </w:tcBorders>
            <w:shd w:val="clear" w:color="auto" w:fill="CFF0FC"/>
            <w:tcMar>
              <w:top w:w="15" w:type="dxa"/>
              <w:left w:w="0" w:type="dxa"/>
              <w:bottom w:w="0" w:type="dxa"/>
              <w:right w:w="15" w:type="dxa"/>
            </w:tcMar>
            <w:hideMark/>
          </w:tcPr>
          <w:p w14:paraId="069EC493"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2019 Restructuring Plan</w:t>
            </w:r>
            <w:r>
              <w:rPr>
                <w:rFonts w:ascii="Calibri" w:hAnsi="Calibri" w:cs="Calibri"/>
                <w:b/>
                <w:bCs/>
                <w:color w:val="000000"/>
                <w:sz w:val="17"/>
                <w:szCs w:val="17"/>
                <w:vertAlign w:val="superscript"/>
              </w:rPr>
              <w:t>(1)</w:t>
            </w:r>
          </w:p>
        </w:tc>
        <w:tc>
          <w:tcPr>
            <w:tcW w:w="51" w:type="pct"/>
            <w:shd w:val="clear" w:color="auto" w:fill="CFF0FC"/>
            <w:tcMar>
              <w:top w:w="15" w:type="dxa"/>
              <w:left w:w="0" w:type="dxa"/>
              <w:bottom w:w="0" w:type="dxa"/>
              <w:right w:w="15" w:type="dxa"/>
            </w:tcMar>
            <w:vAlign w:val="bottom"/>
            <w:hideMark/>
          </w:tcPr>
          <w:p w14:paraId="13E7E31E"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4200B3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left w:w="0" w:type="dxa"/>
              <w:bottom w:w="0" w:type="dxa"/>
              <w:right w:w="15" w:type="dxa"/>
            </w:tcMar>
            <w:vAlign w:val="bottom"/>
            <w:hideMark/>
          </w:tcPr>
          <w:p w14:paraId="2FFB47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6" w:type="pct"/>
            <w:shd w:val="clear" w:color="auto" w:fill="CFF0FC"/>
            <w:noWrap/>
            <w:tcMar>
              <w:top w:w="15" w:type="dxa"/>
              <w:left w:w="0" w:type="dxa"/>
              <w:bottom w:w="0" w:type="dxa"/>
              <w:right w:w="15" w:type="dxa"/>
            </w:tcMar>
            <w:vAlign w:val="bottom"/>
            <w:hideMark/>
          </w:tcPr>
          <w:p w14:paraId="55FA7E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05C6C6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35B84E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left w:w="0" w:type="dxa"/>
              <w:bottom w:w="0" w:type="dxa"/>
              <w:right w:w="15" w:type="dxa"/>
            </w:tcMar>
            <w:vAlign w:val="bottom"/>
            <w:hideMark/>
          </w:tcPr>
          <w:p w14:paraId="7ABB53F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9" w:type="pct"/>
            <w:shd w:val="clear" w:color="auto" w:fill="CFF0FC"/>
            <w:noWrap/>
            <w:tcMar>
              <w:top w:w="15" w:type="dxa"/>
              <w:left w:w="0" w:type="dxa"/>
              <w:bottom w:w="0" w:type="dxa"/>
              <w:right w:w="15" w:type="dxa"/>
            </w:tcMar>
            <w:vAlign w:val="bottom"/>
            <w:hideMark/>
          </w:tcPr>
          <w:p w14:paraId="7F9127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7EB5E9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23D509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left w:w="0" w:type="dxa"/>
              <w:bottom w:w="0" w:type="dxa"/>
              <w:right w:w="15" w:type="dxa"/>
            </w:tcMar>
            <w:vAlign w:val="bottom"/>
            <w:hideMark/>
          </w:tcPr>
          <w:p w14:paraId="3EE78BF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41" w:type="pct"/>
            <w:shd w:val="clear" w:color="auto" w:fill="CFF0FC"/>
            <w:noWrap/>
            <w:tcMar>
              <w:top w:w="15" w:type="dxa"/>
              <w:left w:w="0" w:type="dxa"/>
              <w:bottom w:w="0" w:type="dxa"/>
              <w:right w:w="15" w:type="dxa"/>
            </w:tcMar>
            <w:vAlign w:val="bottom"/>
            <w:hideMark/>
          </w:tcPr>
          <w:p w14:paraId="53F278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8" w:type="pct"/>
            <w:shd w:val="clear" w:color="auto" w:fill="CFF0FC"/>
            <w:tcMar>
              <w:top w:w="15" w:type="dxa"/>
              <w:left w:w="0" w:type="dxa"/>
              <w:bottom w:w="0" w:type="dxa"/>
              <w:right w:w="15" w:type="dxa"/>
            </w:tcMar>
            <w:vAlign w:val="bottom"/>
            <w:hideMark/>
          </w:tcPr>
          <w:p w14:paraId="17F355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6D22CD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6B41498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41" w:type="pct"/>
            <w:shd w:val="clear" w:color="auto" w:fill="CFF0FC"/>
            <w:noWrap/>
            <w:tcMar>
              <w:top w:w="15" w:type="dxa"/>
              <w:left w:w="0" w:type="dxa"/>
              <w:bottom w:w="0" w:type="dxa"/>
              <w:right w:w="15" w:type="dxa"/>
            </w:tcMar>
            <w:vAlign w:val="bottom"/>
            <w:hideMark/>
          </w:tcPr>
          <w:p w14:paraId="42AE34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8" w:type="pct"/>
            <w:shd w:val="clear" w:color="auto" w:fill="CFF0FC"/>
            <w:tcMar>
              <w:top w:w="15" w:type="dxa"/>
              <w:left w:w="0" w:type="dxa"/>
              <w:bottom w:w="0" w:type="dxa"/>
              <w:right w:w="15" w:type="dxa"/>
            </w:tcMar>
            <w:vAlign w:val="bottom"/>
            <w:hideMark/>
          </w:tcPr>
          <w:p w14:paraId="302F73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276284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0" w:type="pct"/>
            <w:tcBorders>
              <w:top w:val="single" w:sz="6" w:space="0" w:color="000000"/>
            </w:tcBorders>
            <w:shd w:val="clear" w:color="auto" w:fill="CFF0FC"/>
            <w:noWrap/>
            <w:tcMar>
              <w:top w:w="15" w:type="dxa"/>
              <w:left w:w="0" w:type="dxa"/>
              <w:bottom w:w="0" w:type="dxa"/>
              <w:right w:w="15" w:type="dxa"/>
            </w:tcMar>
            <w:vAlign w:val="bottom"/>
            <w:hideMark/>
          </w:tcPr>
          <w:p w14:paraId="0984E59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41" w:type="pct"/>
            <w:shd w:val="clear" w:color="auto" w:fill="CFF0FC"/>
            <w:noWrap/>
            <w:tcMar>
              <w:top w:w="15" w:type="dxa"/>
              <w:left w:w="0" w:type="dxa"/>
              <w:bottom w:w="0" w:type="dxa"/>
              <w:right w:w="15" w:type="dxa"/>
            </w:tcMar>
            <w:vAlign w:val="bottom"/>
            <w:hideMark/>
          </w:tcPr>
          <w:p w14:paraId="4A6821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CFF0FC"/>
            <w:tcMar>
              <w:top w:w="15" w:type="dxa"/>
              <w:left w:w="0" w:type="dxa"/>
              <w:bottom w:w="0" w:type="dxa"/>
              <w:right w:w="15" w:type="dxa"/>
            </w:tcMar>
            <w:vAlign w:val="bottom"/>
            <w:hideMark/>
          </w:tcPr>
          <w:p w14:paraId="17C6EC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tcBorders>
              <w:top w:val="single" w:sz="6" w:space="0" w:color="000000"/>
            </w:tcBorders>
            <w:shd w:val="clear" w:color="auto" w:fill="CFF0FC"/>
            <w:noWrap/>
            <w:tcMar>
              <w:top w:w="15" w:type="dxa"/>
              <w:left w:w="0" w:type="dxa"/>
              <w:bottom w:w="0" w:type="dxa"/>
              <w:right w:w="15" w:type="dxa"/>
            </w:tcMar>
            <w:vAlign w:val="bottom"/>
            <w:hideMark/>
          </w:tcPr>
          <w:p w14:paraId="457422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7" w:type="pct"/>
            <w:tcBorders>
              <w:top w:val="single" w:sz="6" w:space="0" w:color="000000"/>
            </w:tcBorders>
            <w:shd w:val="clear" w:color="auto" w:fill="CFF0FC"/>
            <w:noWrap/>
            <w:tcMar>
              <w:top w:w="15" w:type="dxa"/>
              <w:left w:w="0" w:type="dxa"/>
              <w:bottom w:w="0" w:type="dxa"/>
              <w:right w:w="15" w:type="dxa"/>
            </w:tcMar>
            <w:vAlign w:val="bottom"/>
            <w:hideMark/>
          </w:tcPr>
          <w:p w14:paraId="1349BEC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9" w:type="pct"/>
            <w:shd w:val="clear" w:color="auto" w:fill="CFF0FC"/>
            <w:noWrap/>
            <w:tcMar>
              <w:top w:w="15" w:type="dxa"/>
              <w:left w:w="0" w:type="dxa"/>
              <w:bottom w:w="0" w:type="dxa"/>
              <w:right w:w="15" w:type="dxa"/>
            </w:tcMar>
            <w:vAlign w:val="bottom"/>
            <w:hideMark/>
          </w:tcPr>
          <w:p w14:paraId="0F27E1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07EFDC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17FD0E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left w:w="0" w:type="dxa"/>
              <w:bottom w:w="0" w:type="dxa"/>
              <w:right w:w="15" w:type="dxa"/>
            </w:tcMar>
            <w:vAlign w:val="bottom"/>
            <w:hideMark/>
          </w:tcPr>
          <w:p w14:paraId="622AE0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9" w:type="pct"/>
            <w:shd w:val="clear" w:color="auto" w:fill="CFF0FC"/>
            <w:noWrap/>
            <w:tcMar>
              <w:top w:w="15" w:type="dxa"/>
              <w:left w:w="0" w:type="dxa"/>
              <w:bottom w:w="0" w:type="dxa"/>
              <w:right w:w="15" w:type="dxa"/>
            </w:tcMar>
            <w:vAlign w:val="bottom"/>
            <w:hideMark/>
          </w:tcPr>
          <w:p w14:paraId="21ED639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2B1266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tcBorders>
            <w:shd w:val="clear" w:color="auto" w:fill="CFF0FC"/>
            <w:noWrap/>
            <w:tcMar>
              <w:top w:w="15" w:type="dxa"/>
              <w:left w:w="0" w:type="dxa"/>
              <w:bottom w:w="0" w:type="dxa"/>
              <w:right w:w="15" w:type="dxa"/>
            </w:tcMar>
            <w:vAlign w:val="bottom"/>
            <w:hideMark/>
          </w:tcPr>
          <w:p w14:paraId="7BF71E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25903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noWrap/>
            <w:tcMar>
              <w:top w:w="15" w:type="dxa"/>
              <w:left w:w="0" w:type="dxa"/>
              <w:bottom w:w="0" w:type="dxa"/>
              <w:right w:w="15" w:type="dxa"/>
            </w:tcMar>
            <w:vAlign w:val="bottom"/>
            <w:hideMark/>
          </w:tcPr>
          <w:p w14:paraId="3BF426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DA0DAF1" w14:textId="77777777">
        <w:trPr>
          <w:divId w:val="1340498320"/>
          <w:jc w:val="center"/>
        </w:trPr>
        <w:tc>
          <w:tcPr>
            <w:tcW w:w="1637" w:type="pct"/>
            <w:shd w:val="clear" w:color="auto" w:fill="FFFFFF"/>
            <w:tcMar>
              <w:top w:w="15" w:type="dxa"/>
              <w:left w:w="0" w:type="dxa"/>
              <w:bottom w:w="0" w:type="dxa"/>
              <w:right w:w="15" w:type="dxa"/>
            </w:tcMar>
            <w:hideMark/>
          </w:tcPr>
          <w:p w14:paraId="5511AA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and license</w:t>
            </w:r>
          </w:p>
        </w:tc>
        <w:tc>
          <w:tcPr>
            <w:tcW w:w="51" w:type="pct"/>
            <w:shd w:val="clear" w:color="auto" w:fill="FFFFFF"/>
            <w:tcMar>
              <w:top w:w="15" w:type="dxa"/>
              <w:left w:w="0" w:type="dxa"/>
              <w:bottom w:w="0" w:type="dxa"/>
              <w:right w:w="15" w:type="dxa"/>
            </w:tcMar>
            <w:vAlign w:val="bottom"/>
            <w:hideMark/>
          </w:tcPr>
          <w:p w14:paraId="21C7FB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101A4D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left w:w="0" w:type="dxa"/>
              <w:bottom w:w="0" w:type="dxa"/>
              <w:right w:w="15" w:type="dxa"/>
            </w:tcMar>
            <w:vAlign w:val="bottom"/>
            <w:hideMark/>
          </w:tcPr>
          <w:p w14:paraId="5C25DE3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36" w:type="pct"/>
            <w:shd w:val="clear" w:color="auto" w:fill="FFFFFF"/>
            <w:noWrap/>
            <w:tcMar>
              <w:top w:w="15" w:type="dxa"/>
              <w:left w:w="0" w:type="dxa"/>
              <w:bottom w:w="0" w:type="dxa"/>
              <w:right w:w="15" w:type="dxa"/>
            </w:tcMar>
            <w:vAlign w:val="bottom"/>
            <w:hideMark/>
          </w:tcPr>
          <w:p w14:paraId="33CA12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6A301A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52833A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left w:w="0" w:type="dxa"/>
              <w:bottom w:w="0" w:type="dxa"/>
              <w:right w:w="15" w:type="dxa"/>
            </w:tcMar>
            <w:vAlign w:val="bottom"/>
            <w:hideMark/>
          </w:tcPr>
          <w:p w14:paraId="0F7830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141</w:t>
            </w:r>
          </w:p>
        </w:tc>
        <w:tc>
          <w:tcPr>
            <w:tcW w:w="39" w:type="pct"/>
            <w:shd w:val="clear" w:color="auto" w:fill="FFFFFF"/>
            <w:noWrap/>
            <w:tcMar>
              <w:top w:w="15" w:type="dxa"/>
              <w:left w:w="0" w:type="dxa"/>
              <w:bottom w:w="0" w:type="dxa"/>
              <w:right w:w="15" w:type="dxa"/>
            </w:tcMar>
            <w:vAlign w:val="bottom"/>
            <w:hideMark/>
          </w:tcPr>
          <w:p w14:paraId="10F3E8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7839EE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617ED0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left w:w="0" w:type="dxa"/>
              <w:bottom w:w="0" w:type="dxa"/>
              <w:right w:w="15" w:type="dxa"/>
            </w:tcMar>
            <w:vAlign w:val="bottom"/>
            <w:hideMark/>
          </w:tcPr>
          <w:p w14:paraId="590C0DA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41" w:type="pct"/>
            <w:shd w:val="clear" w:color="auto" w:fill="FFFFFF"/>
            <w:noWrap/>
            <w:tcMar>
              <w:top w:w="15" w:type="dxa"/>
              <w:left w:w="0" w:type="dxa"/>
              <w:bottom w:w="0" w:type="dxa"/>
              <w:right w:w="15" w:type="dxa"/>
            </w:tcMar>
            <w:vAlign w:val="bottom"/>
            <w:hideMark/>
          </w:tcPr>
          <w:p w14:paraId="3E7463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122A9E5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080A4E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0E63CA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w:t>
            </w:r>
          </w:p>
        </w:tc>
        <w:tc>
          <w:tcPr>
            <w:tcW w:w="41" w:type="pct"/>
            <w:shd w:val="clear" w:color="auto" w:fill="FFFFFF"/>
            <w:noWrap/>
            <w:tcMar>
              <w:top w:w="15" w:type="dxa"/>
              <w:left w:w="0" w:type="dxa"/>
              <w:bottom w:w="0" w:type="dxa"/>
              <w:right w:w="15" w:type="dxa"/>
            </w:tcMar>
            <w:vAlign w:val="bottom"/>
            <w:hideMark/>
          </w:tcPr>
          <w:p w14:paraId="254F6B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72C8AC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1784F7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0" w:type="pct"/>
            <w:shd w:val="clear" w:color="auto" w:fill="FFFFFF"/>
            <w:noWrap/>
            <w:tcMar>
              <w:top w:w="15" w:type="dxa"/>
              <w:left w:w="0" w:type="dxa"/>
              <w:bottom w:w="0" w:type="dxa"/>
              <w:right w:w="15" w:type="dxa"/>
            </w:tcMar>
            <w:vAlign w:val="bottom"/>
            <w:hideMark/>
          </w:tcPr>
          <w:p w14:paraId="6317EB3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41" w:type="pct"/>
            <w:shd w:val="clear" w:color="auto" w:fill="FFFFFF"/>
            <w:noWrap/>
            <w:tcMar>
              <w:top w:w="15" w:type="dxa"/>
              <w:left w:w="0" w:type="dxa"/>
              <w:bottom w:w="0" w:type="dxa"/>
              <w:right w:w="15" w:type="dxa"/>
            </w:tcMar>
            <w:vAlign w:val="bottom"/>
            <w:hideMark/>
          </w:tcPr>
          <w:p w14:paraId="27A6ED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9" w:type="pct"/>
            <w:shd w:val="clear" w:color="auto" w:fill="FFFFFF"/>
            <w:tcMar>
              <w:top w:w="15" w:type="dxa"/>
              <w:left w:w="0" w:type="dxa"/>
              <w:bottom w:w="0" w:type="dxa"/>
              <w:right w:w="15" w:type="dxa"/>
            </w:tcMar>
            <w:vAlign w:val="bottom"/>
            <w:hideMark/>
          </w:tcPr>
          <w:p w14:paraId="49F135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noWrap/>
            <w:tcMar>
              <w:top w:w="15" w:type="dxa"/>
              <w:left w:w="0" w:type="dxa"/>
              <w:bottom w:w="0" w:type="dxa"/>
              <w:right w:w="15" w:type="dxa"/>
            </w:tcMar>
            <w:vAlign w:val="bottom"/>
            <w:hideMark/>
          </w:tcPr>
          <w:p w14:paraId="458BB0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7" w:type="pct"/>
            <w:shd w:val="clear" w:color="auto" w:fill="FFFFFF"/>
            <w:noWrap/>
            <w:tcMar>
              <w:top w:w="15" w:type="dxa"/>
              <w:left w:w="0" w:type="dxa"/>
              <w:bottom w:w="0" w:type="dxa"/>
              <w:right w:w="15" w:type="dxa"/>
            </w:tcMar>
            <w:vAlign w:val="bottom"/>
            <w:hideMark/>
          </w:tcPr>
          <w:p w14:paraId="1AF25A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39" w:type="pct"/>
            <w:shd w:val="clear" w:color="auto" w:fill="FFFFFF"/>
            <w:noWrap/>
            <w:tcMar>
              <w:top w:w="15" w:type="dxa"/>
              <w:left w:w="0" w:type="dxa"/>
              <w:bottom w:w="0" w:type="dxa"/>
              <w:right w:w="15" w:type="dxa"/>
            </w:tcMar>
            <w:vAlign w:val="bottom"/>
            <w:hideMark/>
          </w:tcPr>
          <w:p w14:paraId="5E74BA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3F2E1DE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673E67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left w:w="0" w:type="dxa"/>
              <w:bottom w:w="0" w:type="dxa"/>
              <w:right w:w="15" w:type="dxa"/>
            </w:tcMar>
            <w:vAlign w:val="bottom"/>
            <w:hideMark/>
          </w:tcPr>
          <w:p w14:paraId="601A929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138</w:t>
            </w:r>
          </w:p>
        </w:tc>
        <w:tc>
          <w:tcPr>
            <w:tcW w:w="39" w:type="pct"/>
            <w:shd w:val="clear" w:color="auto" w:fill="FFFFFF"/>
            <w:noWrap/>
            <w:tcMar>
              <w:top w:w="15" w:type="dxa"/>
              <w:left w:w="0" w:type="dxa"/>
              <w:bottom w:w="0" w:type="dxa"/>
              <w:right w:w="15" w:type="dxa"/>
            </w:tcMar>
            <w:vAlign w:val="bottom"/>
            <w:hideMark/>
          </w:tcPr>
          <w:p w14:paraId="76764B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332AF5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122410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0CA4D70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w:t>
            </w:r>
          </w:p>
        </w:tc>
        <w:tc>
          <w:tcPr>
            <w:tcW w:w="32" w:type="pct"/>
            <w:shd w:val="clear" w:color="auto" w:fill="FFFFFF"/>
            <w:noWrap/>
            <w:tcMar>
              <w:top w:w="15" w:type="dxa"/>
              <w:left w:w="0" w:type="dxa"/>
              <w:bottom w:w="0" w:type="dxa"/>
              <w:right w:w="15" w:type="dxa"/>
            </w:tcMar>
            <w:vAlign w:val="bottom"/>
            <w:hideMark/>
          </w:tcPr>
          <w:p w14:paraId="2AD9B9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ACA21B0" w14:textId="77777777">
        <w:trPr>
          <w:divId w:val="1340498320"/>
          <w:jc w:val="center"/>
        </w:trPr>
        <w:tc>
          <w:tcPr>
            <w:tcW w:w="1637" w:type="pct"/>
            <w:shd w:val="clear" w:color="auto" w:fill="CFF0FC"/>
            <w:tcMar>
              <w:top w:w="15" w:type="dxa"/>
              <w:left w:w="0" w:type="dxa"/>
              <w:bottom w:w="0" w:type="dxa"/>
              <w:right w:w="15" w:type="dxa"/>
            </w:tcMar>
            <w:hideMark/>
          </w:tcPr>
          <w:p w14:paraId="1EFC3E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51" w:type="pct"/>
            <w:shd w:val="clear" w:color="auto" w:fill="CFF0FC"/>
            <w:tcMar>
              <w:top w:w="15" w:type="dxa"/>
              <w:left w:w="0" w:type="dxa"/>
              <w:bottom w:w="0" w:type="dxa"/>
              <w:right w:w="15" w:type="dxa"/>
            </w:tcMar>
            <w:vAlign w:val="bottom"/>
            <w:hideMark/>
          </w:tcPr>
          <w:p w14:paraId="4DEBCF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6A75BDD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left w:w="0" w:type="dxa"/>
              <w:bottom w:w="0" w:type="dxa"/>
              <w:right w:w="15" w:type="dxa"/>
            </w:tcMar>
            <w:vAlign w:val="bottom"/>
            <w:hideMark/>
          </w:tcPr>
          <w:p w14:paraId="4201AC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36" w:type="pct"/>
            <w:shd w:val="clear" w:color="auto" w:fill="CFF0FC"/>
            <w:noWrap/>
            <w:tcMar>
              <w:top w:w="15" w:type="dxa"/>
              <w:left w:w="0" w:type="dxa"/>
              <w:bottom w:w="0" w:type="dxa"/>
              <w:right w:w="15" w:type="dxa"/>
            </w:tcMar>
            <w:vAlign w:val="bottom"/>
            <w:hideMark/>
          </w:tcPr>
          <w:p w14:paraId="554F86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66D935F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35F740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left w:w="0" w:type="dxa"/>
              <w:bottom w:w="0" w:type="dxa"/>
              <w:right w:w="15" w:type="dxa"/>
            </w:tcMar>
            <w:vAlign w:val="bottom"/>
            <w:hideMark/>
          </w:tcPr>
          <w:p w14:paraId="697FF7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39" w:type="pct"/>
            <w:shd w:val="clear" w:color="auto" w:fill="CFF0FC"/>
            <w:noWrap/>
            <w:tcMar>
              <w:top w:w="15" w:type="dxa"/>
              <w:left w:w="0" w:type="dxa"/>
              <w:bottom w:w="0" w:type="dxa"/>
              <w:right w:w="15" w:type="dxa"/>
            </w:tcMar>
            <w:vAlign w:val="bottom"/>
            <w:hideMark/>
          </w:tcPr>
          <w:p w14:paraId="6D4265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272ADC7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3258A51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left w:w="0" w:type="dxa"/>
              <w:bottom w:w="0" w:type="dxa"/>
              <w:right w:w="15" w:type="dxa"/>
            </w:tcMar>
            <w:vAlign w:val="bottom"/>
            <w:hideMark/>
          </w:tcPr>
          <w:p w14:paraId="0DC301E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41" w:type="pct"/>
            <w:shd w:val="clear" w:color="auto" w:fill="CFF0FC"/>
            <w:noWrap/>
            <w:tcMar>
              <w:top w:w="15" w:type="dxa"/>
              <w:left w:w="0" w:type="dxa"/>
              <w:bottom w:w="0" w:type="dxa"/>
              <w:right w:w="15" w:type="dxa"/>
            </w:tcMar>
            <w:vAlign w:val="bottom"/>
            <w:hideMark/>
          </w:tcPr>
          <w:p w14:paraId="0D2C05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8" w:type="pct"/>
            <w:shd w:val="clear" w:color="auto" w:fill="CFF0FC"/>
            <w:tcMar>
              <w:top w:w="15" w:type="dxa"/>
              <w:left w:w="0" w:type="dxa"/>
              <w:bottom w:w="0" w:type="dxa"/>
              <w:right w:w="15" w:type="dxa"/>
            </w:tcMar>
            <w:vAlign w:val="bottom"/>
            <w:hideMark/>
          </w:tcPr>
          <w:p w14:paraId="6CD64E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747FE1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6907C23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41" w:type="pct"/>
            <w:shd w:val="clear" w:color="auto" w:fill="CFF0FC"/>
            <w:noWrap/>
            <w:tcMar>
              <w:top w:w="15" w:type="dxa"/>
              <w:left w:w="0" w:type="dxa"/>
              <w:bottom w:w="0" w:type="dxa"/>
              <w:right w:w="15" w:type="dxa"/>
            </w:tcMar>
            <w:vAlign w:val="bottom"/>
            <w:hideMark/>
          </w:tcPr>
          <w:p w14:paraId="69B241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CFF0FC"/>
            <w:tcMar>
              <w:top w:w="15" w:type="dxa"/>
              <w:left w:w="0" w:type="dxa"/>
              <w:bottom w:w="0" w:type="dxa"/>
              <w:right w:w="15" w:type="dxa"/>
            </w:tcMar>
            <w:vAlign w:val="bottom"/>
            <w:hideMark/>
          </w:tcPr>
          <w:p w14:paraId="768D41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24107D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0" w:type="pct"/>
            <w:shd w:val="clear" w:color="auto" w:fill="CFF0FC"/>
            <w:noWrap/>
            <w:tcMar>
              <w:top w:w="15" w:type="dxa"/>
              <w:left w:w="0" w:type="dxa"/>
              <w:bottom w:w="0" w:type="dxa"/>
              <w:right w:w="15" w:type="dxa"/>
            </w:tcMar>
            <w:vAlign w:val="bottom"/>
            <w:hideMark/>
          </w:tcPr>
          <w:p w14:paraId="27B4EBD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41" w:type="pct"/>
            <w:shd w:val="clear" w:color="auto" w:fill="CFF0FC"/>
            <w:noWrap/>
            <w:tcMar>
              <w:top w:w="15" w:type="dxa"/>
              <w:left w:w="0" w:type="dxa"/>
              <w:bottom w:w="0" w:type="dxa"/>
              <w:right w:w="15" w:type="dxa"/>
            </w:tcMar>
            <w:vAlign w:val="bottom"/>
            <w:hideMark/>
          </w:tcPr>
          <w:p w14:paraId="62C78C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CFF0FC"/>
            <w:tcMar>
              <w:top w:w="15" w:type="dxa"/>
              <w:left w:w="0" w:type="dxa"/>
              <w:bottom w:w="0" w:type="dxa"/>
              <w:right w:w="15" w:type="dxa"/>
            </w:tcMar>
            <w:vAlign w:val="bottom"/>
            <w:hideMark/>
          </w:tcPr>
          <w:p w14:paraId="1C59F06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noWrap/>
            <w:tcMar>
              <w:top w:w="15" w:type="dxa"/>
              <w:left w:w="0" w:type="dxa"/>
              <w:bottom w:w="0" w:type="dxa"/>
              <w:right w:w="15" w:type="dxa"/>
            </w:tcMar>
            <w:vAlign w:val="bottom"/>
            <w:hideMark/>
          </w:tcPr>
          <w:p w14:paraId="416910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7" w:type="pct"/>
            <w:shd w:val="clear" w:color="auto" w:fill="CFF0FC"/>
            <w:noWrap/>
            <w:tcMar>
              <w:top w:w="15" w:type="dxa"/>
              <w:left w:w="0" w:type="dxa"/>
              <w:bottom w:w="0" w:type="dxa"/>
              <w:right w:w="15" w:type="dxa"/>
            </w:tcMar>
            <w:vAlign w:val="bottom"/>
            <w:hideMark/>
          </w:tcPr>
          <w:p w14:paraId="76B2054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39" w:type="pct"/>
            <w:shd w:val="clear" w:color="auto" w:fill="CFF0FC"/>
            <w:noWrap/>
            <w:tcMar>
              <w:top w:w="15" w:type="dxa"/>
              <w:left w:w="0" w:type="dxa"/>
              <w:bottom w:w="0" w:type="dxa"/>
              <w:right w:w="15" w:type="dxa"/>
            </w:tcMar>
            <w:vAlign w:val="bottom"/>
            <w:hideMark/>
          </w:tcPr>
          <w:p w14:paraId="268170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4ECE53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5C72D8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left w:w="0" w:type="dxa"/>
              <w:bottom w:w="0" w:type="dxa"/>
              <w:right w:w="15" w:type="dxa"/>
            </w:tcMar>
            <w:vAlign w:val="bottom"/>
            <w:hideMark/>
          </w:tcPr>
          <w:p w14:paraId="3CD7B4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39" w:type="pct"/>
            <w:shd w:val="clear" w:color="auto" w:fill="CFF0FC"/>
            <w:noWrap/>
            <w:tcMar>
              <w:top w:w="15" w:type="dxa"/>
              <w:left w:w="0" w:type="dxa"/>
              <w:bottom w:w="0" w:type="dxa"/>
              <w:right w:w="15" w:type="dxa"/>
            </w:tcMar>
            <w:vAlign w:val="bottom"/>
            <w:hideMark/>
          </w:tcPr>
          <w:p w14:paraId="3A4018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47EF522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CFF0FC"/>
            <w:noWrap/>
            <w:tcMar>
              <w:top w:w="15" w:type="dxa"/>
              <w:left w:w="0" w:type="dxa"/>
              <w:bottom w:w="0" w:type="dxa"/>
              <w:right w:w="15" w:type="dxa"/>
            </w:tcMar>
            <w:vAlign w:val="bottom"/>
            <w:hideMark/>
          </w:tcPr>
          <w:p w14:paraId="432F62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0BD5770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w:t>
            </w:r>
          </w:p>
        </w:tc>
        <w:tc>
          <w:tcPr>
            <w:tcW w:w="32" w:type="pct"/>
            <w:shd w:val="clear" w:color="auto" w:fill="CFF0FC"/>
            <w:noWrap/>
            <w:tcMar>
              <w:top w:w="15" w:type="dxa"/>
              <w:left w:w="0" w:type="dxa"/>
              <w:bottom w:w="0" w:type="dxa"/>
              <w:right w:w="15" w:type="dxa"/>
            </w:tcMar>
            <w:vAlign w:val="bottom"/>
            <w:hideMark/>
          </w:tcPr>
          <w:p w14:paraId="1743B0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3B94F32" w14:textId="77777777">
        <w:trPr>
          <w:divId w:val="1340498320"/>
          <w:jc w:val="center"/>
        </w:trPr>
        <w:tc>
          <w:tcPr>
            <w:tcW w:w="1637" w:type="pct"/>
            <w:shd w:val="clear" w:color="auto" w:fill="FFFFFF"/>
            <w:tcMar>
              <w:top w:w="15" w:type="dxa"/>
              <w:left w:w="0" w:type="dxa"/>
              <w:bottom w:w="0" w:type="dxa"/>
              <w:right w:w="15" w:type="dxa"/>
            </w:tcMar>
            <w:hideMark/>
          </w:tcPr>
          <w:p w14:paraId="577B1C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51" w:type="pct"/>
            <w:shd w:val="clear" w:color="auto" w:fill="FFFFFF"/>
            <w:tcMar>
              <w:top w:w="15" w:type="dxa"/>
              <w:left w:w="0" w:type="dxa"/>
              <w:bottom w:w="0" w:type="dxa"/>
              <w:right w:w="15" w:type="dxa"/>
            </w:tcMar>
            <w:vAlign w:val="bottom"/>
            <w:hideMark/>
          </w:tcPr>
          <w:p w14:paraId="28EF10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764ACF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left w:w="0" w:type="dxa"/>
              <w:bottom w:w="0" w:type="dxa"/>
              <w:right w:w="15" w:type="dxa"/>
            </w:tcMar>
            <w:vAlign w:val="bottom"/>
            <w:hideMark/>
          </w:tcPr>
          <w:p w14:paraId="2EF9ED1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36" w:type="pct"/>
            <w:shd w:val="clear" w:color="auto" w:fill="FFFFFF"/>
            <w:noWrap/>
            <w:tcMar>
              <w:top w:w="15" w:type="dxa"/>
              <w:left w:w="0" w:type="dxa"/>
              <w:bottom w:w="0" w:type="dxa"/>
              <w:right w:w="15" w:type="dxa"/>
            </w:tcMar>
            <w:vAlign w:val="bottom"/>
            <w:hideMark/>
          </w:tcPr>
          <w:p w14:paraId="4509C1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2251618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271684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left w:w="0" w:type="dxa"/>
              <w:bottom w:w="0" w:type="dxa"/>
              <w:right w:w="15" w:type="dxa"/>
            </w:tcMar>
            <w:vAlign w:val="bottom"/>
            <w:hideMark/>
          </w:tcPr>
          <w:p w14:paraId="25E33F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39" w:type="pct"/>
            <w:shd w:val="clear" w:color="auto" w:fill="FFFFFF"/>
            <w:noWrap/>
            <w:tcMar>
              <w:top w:w="15" w:type="dxa"/>
              <w:left w:w="0" w:type="dxa"/>
              <w:bottom w:w="0" w:type="dxa"/>
              <w:right w:w="15" w:type="dxa"/>
            </w:tcMar>
            <w:vAlign w:val="bottom"/>
            <w:hideMark/>
          </w:tcPr>
          <w:p w14:paraId="1A0381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137D59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4ACD48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left w:w="0" w:type="dxa"/>
              <w:bottom w:w="0" w:type="dxa"/>
              <w:right w:w="15" w:type="dxa"/>
            </w:tcMar>
            <w:vAlign w:val="bottom"/>
            <w:hideMark/>
          </w:tcPr>
          <w:p w14:paraId="406019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41" w:type="pct"/>
            <w:shd w:val="clear" w:color="auto" w:fill="FFFFFF"/>
            <w:noWrap/>
            <w:tcMar>
              <w:top w:w="15" w:type="dxa"/>
              <w:left w:w="0" w:type="dxa"/>
              <w:bottom w:w="0" w:type="dxa"/>
              <w:right w:w="15" w:type="dxa"/>
            </w:tcMar>
            <w:vAlign w:val="bottom"/>
            <w:hideMark/>
          </w:tcPr>
          <w:p w14:paraId="41C97F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8" w:type="pct"/>
            <w:shd w:val="clear" w:color="auto" w:fill="FFFFFF"/>
            <w:tcMar>
              <w:top w:w="15" w:type="dxa"/>
              <w:left w:w="0" w:type="dxa"/>
              <w:bottom w:w="0" w:type="dxa"/>
              <w:right w:w="15" w:type="dxa"/>
            </w:tcMar>
            <w:vAlign w:val="bottom"/>
            <w:hideMark/>
          </w:tcPr>
          <w:p w14:paraId="6A3877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135899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491560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41" w:type="pct"/>
            <w:shd w:val="clear" w:color="auto" w:fill="FFFFFF"/>
            <w:noWrap/>
            <w:tcMar>
              <w:top w:w="15" w:type="dxa"/>
              <w:left w:w="0" w:type="dxa"/>
              <w:bottom w:w="0" w:type="dxa"/>
              <w:right w:w="15" w:type="dxa"/>
            </w:tcMar>
            <w:vAlign w:val="bottom"/>
            <w:hideMark/>
          </w:tcPr>
          <w:p w14:paraId="54220F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39C0D31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356DFD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0" w:type="pct"/>
            <w:shd w:val="clear" w:color="auto" w:fill="FFFFFF"/>
            <w:noWrap/>
            <w:tcMar>
              <w:top w:w="15" w:type="dxa"/>
              <w:left w:w="0" w:type="dxa"/>
              <w:bottom w:w="0" w:type="dxa"/>
              <w:right w:w="15" w:type="dxa"/>
            </w:tcMar>
            <w:vAlign w:val="bottom"/>
            <w:hideMark/>
          </w:tcPr>
          <w:p w14:paraId="57B17E3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41" w:type="pct"/>
            <w:shd w:val="clear" w:color="auto" w:fill="FFFFFF"/>
            <w:noWrap/>
            <w:tcMar>
              <w:top w:w="15" w:type="dxa"/>
              <w:left w:w="0" w:type="dxa"/>
              <w:bottom w:w="0" w:type="dxa"/>
              <w:right w:w="15" w:type="dxa"/>
            </w:tcMar>
            <w:vAlign w:val="bottom"/>
            <w:hideMark/>
          </w:tcPr>
          <w:p w14:paraId="4F452B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FFFFFF"/>
            <w:tcMar>
              <w:top w:w="15" w:type="dxa"/>
              <w:left w:w="0" w:type="dxa"/>
              <w:bottom w:w="0" w:type="dxa"/>
              <w:right w:w="15" w:type="dxa"/>
            </w:tcMar>
            <w:vAlign w:val="bottom"/>
            <w:hideMark/>
          </w:tcPr>
          <w:p w14:paraId="2B9353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noWrap/>
            <w:tcMar>
              <w:top w:w="15" w:type="dxa"/>
              <w:left w:w="0" w:type="dxa"/>
              <w:bottom w:w="0" w:type="dxa"/>
              <w:right w:w="15" w:type="dxa"/>
            </w:tcMar>
            <w:vAlign w:val="bottom"/>
            <w:hideMark/>
          </w:tcPr>
          <w:p w14:paraId="4DFF9A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7" w:type="pct"/>
            <w:shd w:val="clear" w:color="auto" w:fill="FFFFFF"/>
            <w:noWrap/>
            <w:tcMar>
              <w:top w:w="15" w:type="dxa"/>
              <w:left w:w="0" w:type="dxa"/>
              <w:bottom w:w="0" w:type="dxa"/>
              <w:right w:w="15" w:type="dxa"/>
            </w:tcMar>
            <w:vAlign w:val="bottom"/>
            <w:hideMark/>
          </w:tcPr>
          <w:p w14:paraId="61D4269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w:t>
            </w:r>
          </w:p>
        </w:tc>
        <w:tc>
          <w:tcPr>
            <w:tcW w:w="39" w:type="pct"/>
            <w:shd w:val="clear" w:color="auto" w:fill="FFFFFF"/>
            <w:noWrap/>
            <w:tcMar>
              <w:top w:w="15" w:type="dxa"/>
              <w:left w:w="0" w:type="dxa"/>
              <w:bottom w:w="0" w:type="dxa"/>
              <w:right w:w="15" w:type="dxa"/>
            </w:tcMar>
            <w:vAlign w:val="bottom"/>
            <w:hideMark/>
          </w:tcPr>
          <w:p w14:paraId="22D9EE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1D9D084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2C5300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left w:w="0" w:type="dxa"/>
              <w:bottom w:w="0" w:type="dxa"/>
              <w:right w:w="15" w:type="dxa"/>
            </w:tcMar>
            <w:vAlign w:val="bottom"/>
            <w:hideMark/>
          </w:tcPr>
          <w:p w14:paraId="0751B79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39" w:type="pct"/>
            <w:shd w:val="clear" w:color="auto" w:fill="FFFFFF"/>
            <w:noWrap/>
            <w:tcMar>
              <w:top w:w="15" w:type="dxa"/>
              <w:left w:w="0" w:type="dxa"/>
              <w:bottom w:w="0" w:type="dxa"/>
              <w:right w:w="15" w:type="dxa"/>
            </w:tcMar>
            <w:vAlign w:val="bottom"/>
            <w:hideMark/>
          </w:tcPr>
          <w:p w14:paraId="64FD32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607D16D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39E217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1A43BE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32" w:type="pct"/>
            <w:shd w:val="clear" w:color="auto" w:fill="FFFFFF"/>
            <w:noWrap/>
            <w:tcMar>
              <w:top w:w="15" w:type="dxa"/>
              <w:left w:w="0" w:type="dxa"/>
              <w:bottom w:w="0" w:type="dxa"/>
              <w:right w:w="15" w:type="dxa"/>
            </w:tcMar>
            <w:vAlign w:val="bottom"/>
            <w:hideMark/>
          </w:tcPr>
          <w:p w14:paraId="049B45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C3BACA5" w14:textId="77777777">
        <w:trPr>
          <w:divId w:val="1340498320"/>
          <w:jc w:val="center"/>
        </w:trPr>
        <w:tc>
          <w:tcPr>
            <w:tcW w:w="1637" w:type="pct"/>
            <w:shd w:val="clear" w:color="auto" w:fill="CFF0FC"/>
            <w:tcMar>
              <w:top w:w="15" w:type="dxa"/>
              <w:left w:w="0" w:type="dxa"/>
              <w:bottom w:w="0" w:type="dxa"/>
              <w:right w:w="15" w:type="dxa"/>
            </w:tcMar>
            <w:hideMark/>
          </w:tcPr>
          <w:p w14:paraId="072023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vertAlign w:val="superscript"/>
              </w:rPr>
              <w:t>(6)</w:t>
            </w:r>
          </w:p>
        </w:tc>
        <w:tc>
          <w:tcPr>
            <w:tcW w:w="51" w:type="pct"/>
            <w:shd w:val="clear" w:color="auto" w:fill="CFF0FC"/>
            <w:tcMar>
              <w:top w:w="15" w:type="dxa"/>
              <w:left w:w="0" w:type="dxa"/>
              <w:bottom w:w="0" w:type="dxa"/>
              <w:right w:w="15" w:type="dxa"/>
            </w:tcMar>
            <w:vAlign w:val="bottom"/>
            <w:hideMark/>
          </w:tcPr>
          <w:p w14:paraId="76FC0C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3E86C6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left w:w="0" w:type="dxa"/>
              <w:bottom w:w="0" w:type="dxa"/>
              <w:right w:w="15" w:type="dxa"/>
            </w:tcMar>
            <w:vAlign w:val="bottom"/>
            <w:hideMark/>
          </w:tcPr>
          <w:p w14:paraId="53675CC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36" w:type="pct"/>
            <w:shd w:val="clear" w:color="auto" w:fill="CFF0FC"/>
            <w:noWrap/>
            <w:tcMar>
              <w:top w:w="15" w:type="dxa"/>
              <w:left w:w="0" w:type="dxa"/>
              <w:bottom w:w="0" w:type="dxa"/>
              <w:right w:w="15" w:type="dxa"/>
            </w:tcMar>
            <w:vAlign w:val="bottom"/>
            <w:hideMark/>
          </w:tcPr>
          <w:p w14:paraId="3F5FD3A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5A487E5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2A22ED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left w:w="0" w:type="dxa"/>
              <w:bottom w:w="0" w:type="dxa"/>
              <w:right w:w="15" w:type="dxa"/>
            </w:tcMar>
            <w:vAlign w:val="bottom"/>
            <w:hideMark/>
          </w:tcPr>
          <w:p w14:paraId="190D6F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w:t>
            </w:r>
          </w:p>
        </w:tc>
        <w:tc>
          <w:tcPr>
            <w:tcW w:w="39" w:type="pct"/>
            <w:shd w:val="clear" w:color="auto" w:fill="CFF0FC"/>
            <w:noWrap/>
            <w:tcMar>
              <w:top w:w="15" w:type="dxa"/>
              <w:left w:w="0" w:type="dxa"/>
              <w:bottom w:w="0" w:type="dxa"/>
              <w:right w:w="15" w:type="dxa"/>
            </w:tcMar>
            <w:vAlign w:val="bottom"/>
            <w:hideMark/>
          </w:tcPr>
          <w:p w14:paraId="33866D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47126F4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2944C6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left w:w="0" w:type="dxa"/>
              <w:bottom w:w="0" w:type="dxa"/>
              <w:right w:w="15" w:type="dxa"/>
            </w:tcMar>
            <w:vAlign w:val="bottom"/>
            <w:hideMark/>
          </w:tcPr>
          <w:p w14:paraId="4E7360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41" w:type="pct"/>
            <w:shd w:val="clear" w:color="auto" w:fill="CFF0FC"/>
            <w:noWrap/>
            <w:tcMar>
              <w:top w:w="15" w:type="dxa"/>
              <w:left w:w="0" w:type="dxa"/>
              <w:bottom w:w="0" w:type="dxa"/>
              <w:right w:w="15" w:type="dxa"/>
            </w:tcMar>
            <w:vAlign w:val="bottom"/>
            <w:hideMark/>
          </w:tcPr>
          <w:p w14:paraId="3B5271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CFF0FC"/>
            <w:tcMar>
              <w:top w:w="15" w:type="dxa"/>
              <w:left w:w="0" w:type="dxa"/>
              <w:bottom w:w="0" w:type="dxa"/>
              <w:right w:w="15" w:type="dxa"/>
            </w:tcMar>
            <w:vAlign w:val="bottom"/>
            <w:hideMark/>
          </w:tcPr>
          <w:p w14:paraId="64E3873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07C7B5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137D876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41" w:type="pct"/>
            <w:shd w:val="clear" w:color="auto" w:fill="CFF0FC"/>
            <w:noWrap/>
            <w:tcMar>
              <w:top w:w="15" w:type="dxa"/>
              <w:left w:w="0" w:type="dxa"/>
              <w:bottom w:w="0" w:type="dxa"/>
              <w:right w:w="15" w:type="dxa"/>
            </w:tcMar>
            <w:vAlign w:val="bottom"/>
            <w:hideMark/>
          </w:tcPr>
          <w:p w14:paraId="51BFC2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CFF0FC"/>
            <w:tcMar>
              <w:top w:w="15" w:type="dxa"/>
              <w:left w:w="0" w:type="dxa"/>
              <w:bottom w:w="0" w:type="dxa"/>
              <w:right w:w="15" w:type="dxa"/>
            </w:tcMar>
            <w:vAlign w:val="bottom"/>
            <w:hideMark/>
          </w:tcPr>
          <w:p w14:paraId="448AD5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1D3541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0" w:type="pct"/>
            <w:tcBorders>
              <w:bottom w:val="single" w:sz="6" w:space="0" w:color="000000"/>
            </w:tcBorders>
            <w:shd w:val="clear" w:color="auto" w:fill="CFF0FC"/>
            <w:noWrap/>
            <w:tcMar>
              <w:top w:w="15" w:type="dxa"/>
              <w:left w:w="0" w:type="dxa"/>
              <w:bottom w:w="0" w:type="dxa"/>
              <w:right w:w="15" w:type="dxa"/>
            </w:tcMar>
            <w:vAlign w:val="bottom"/>
            <w:hideMark/>
          </w:tcPr>
          <w:p w14:paraId="1F29D5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41" w:type="pct"/>
            <w:shd w:val="clear" w:color="auto" w:fill="CFF0FC"/>
            <w:noWrap/>
            <w:tcMar>
              <w:top w:w="15" w:type="dxa"/>
              <w:left w:w="0" w:type="dxa"/>
              <w:bottom w:w="0" w:type="dxa"/>
              <w:right w:w="15" w:type="dxa"/>
            </w:tcMar>
            <w:vAlign w:val="bottom"/>
            <w:hideMark/>
          </w:tcPr>
          <w:p w14:paraId="22F7FC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CFF0FC"/>
            <w:tcMar>
              <w:top w:w="15" w:type="dxa"/>
              <w:left w:w="0" w:type="dxa"/>
              <w:bottom w:w="0" w:type="dxa"/>
              <w:right w:w="15" w:type="dxa"/>
            </w:tcMar>
            <w:vAlign w:val="bottom"/>
            <w:hideMark/>
          </w:tcPr>
          <w:p w14:paraId="1E9B0D7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8" w:type="pct"/>
            <w:tcBorders>
              <w:bottom w:val="single" w:sz="6" w:space="0" w:color="000000"/>
            </w:tcBorders>
            <w:shd w:val="clear" w:color="auto" w:fill="CFF0FC"/>
            <w:noWrap/>
            <w:tcMar>
              <w:top w:w="15" w:type="dxa"/>
              <w:left w:w="0" w:type="dxa"/>
              <w:bottom w:w="0" w:type="dxa"/>
              <w:right w:w="15" w:type="dxa"/>
            </w:tcMar>
            <w:vAlign w:val="bottom"/>
            <w:hideMark/>
          </w:tcPr>
          <w:p w14:paraId="3D5FF5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87" w:type="pct"/>
            <w:tcBorders>
              <w:bottom w:val="single" w:sz="6" w:space="0" w:color="000000"/>
            </w:tcBorders>
            <w:shd w:val="clear" w:color="auto" w:fill="CFF0FC"/>
            <w:noWrap/>
            <w:tcMar>
              <w:top w:w="15" w:type="dxa"/>
              <w:left w:w="0" w:type="dxa"/>
              <w:bottom w:w="0" w:type="dxa"/>
              <w:right w:w="15" w:type="dxa"/>
            </w:tcMar>
            <w:vAlign w:val="bottom"/>
            <w:hideMark/>
          </w:tcPr>
          <w:p w14:paraId="255FF1B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46</w:t>
            </w:r>
          </w:p>
        </w:tc>
        <w:tc>
          <w:tcPr>
            <w:tcW w:w="39" w:type="pct"/>
            <w:shd w:val="clear" w:color="auto" w:fill="CFF0FC"/>
            <w:noWrap/>
            <w:tcMar>
              <w:top w:w="15" w:type="dxa"/>
              <w:left w:w="0" w:type="dxa"/>
              <w:bottom w:w="0" w:type="dxa"/>
              <w:right w:w="15" w:type="dxa"/>
            </w:tcMar>
            <w:vAlign w:val="bottom"/>
            <w:hideMark/>
          </w:tcPr>
          <w:p w14:paraId="6CC7EDF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4D00EE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37C3DF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left w:w="0" w:type="dxa"/>
              <w:bottom w:w="0" w:type="dxa"/>
              <w:right w:w="15" w:type="dxa"/>
            </w:tcMar>
            <w:vAlign w:val="bottom"/>
            <w:hideMark/>
          </w:tcPr>
          <w:p w14:paraId="704F4F6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w:t>
            </w:r>
          </w:p>
        </w:tc>
        <w:tc>
          <w:tcPr>
            <w:tcW w:w="39" w:type="pct"/>
            <w:shd w:val="clear" w:color="auto" w:fill="CFF0FC"/>
            <w:noWrap/>
            <w:tcMar>
              <w:top w:w="15" w:type="dxa"/>
              <w:left w:w="0" w:type="dxa"/>
              <w:bottom w:w="0" w:type="dxa"/>
              <w:right w:w="15" w:type="dxa"/>
            </w:tcMar>
            <w:vAlign w:val="bottom"/>
            <w:hideMark/>
          </w:tcPr>
          <w:p w14:paraId="2DA610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56C21F9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63" w:type="pct"/>
            <w:tcBorders>
              <w:bottom w:val="single" w:sz="6" w:space="0" w:color="000000"/>
            </w:tcBorders>
            <w:shd w:val="clear" w:color="auto" w:fill="CFF0FC"/>
            <w:noWrap/>
            <w:tcMar>
              <w:top w:w="15" w:type="dxa"/>
              <w:left w:w="0" w:type="dxa"/>
              <w:bottom w:w="0" w:type="dxa"/>
              <w:right w:w="15" w:type="dxa"/>
            </w:tcMar>
            <w:vAlign w:val="bottom"/>
            <w:hideMark/>
          </w:tcPr>
          <w:p w14:paraId="704269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EDDD85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w:t>
            </w:r>
          </w:p>
        </w:tc>
        <w:tc>
          <w:tcPr>
            <w:tcW w:w="32" w:type="pct"/>
            <w:shd w:val="clear" w:color="auto" w:fill="CFF0FC"/>
            <w:noWrap/>
            <w:tcMar>
              <w:top w:w="15" w:type="dxa"/>
              <w:left w:w="0" w:type="dxa"/>
              <w:bottom w:w="0" w:type="dxa"/>
              <w:right w:w="15" w:type="dxa"/>
            </w:tcMar>
            <w:vAlign w:val="bottom"/>
            <w:hideMark/>
          </w:tcPr>
          <w:p w14:paraId="5FC038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4B31CF8" w14:textId="77777777">
        <w:trPr>
          <w:divId w:val="1340498320"/>
          <w:jc w:val="center"/>
        </w:trPr>
        <w:tc>
          <w:tcPr>
            <w:tcW w:w="1637" w:type="pct"/>
            <w:shd w:val="clear" w:color="auto" w:fill="FFFFFF"/>
            <w:tcMar>
              <w:top w:w="15" w:type="dxa"/>
              <w:left w:w="0" w:type="dxa"/>
              <w:bottom w:w="0" w:type="dxa"/>
              <w:right w:w="15" w:type="dxa"/>
            </w:tcMar>
            <w:hideMark/>
          </w:tcPr>
          <w:p w14:paraId="485B2044"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2019 Restructuring Plan</w:t>
            </w:r>
          </w:p>
        </w:tc>
        <w:tc>
          <w:tcPr>
            <w:tcW w:w="51" w:type="pct"/>
            <w:shd w:val="clear" w:color="auto" w:fill="FFFFFF"/>
            <w:tcMar>
              <w:top w:w="15" w:type="dxa"/>
              <w:left w:w="0" w:type="dxa"/>
              <w:bottom w:w="0" w:type="dxa"/>
              <w:right w:w="15" w:type="dxa"/>
            </w:tcMar>
            <w:vAlign w:val="bottom"/>
            <w:hideMark/>
          </w:tcPr>
          <w:p w14:paraId="6AF1A0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B878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FC21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36" w:type="pct"/>
            <w:shd w:val="clear" w:color="auto" w:fill="FFFFFF"/>
            <w:noWrap/>
            <w:tcMar>
              <w:top w:w="15" w:type="dxa"/>
              <w:left w:w="0" w:type="dxa"/>
              <w:bottom w:w="0" w:type="dxa"/>
              <w:right w:w="15" w:type="dxa"/>
            </w:tcMar>
            <w:vAlign w:val="bottom"/>
            <w:hideMark/>
          </w:tcPr>
          <w:p w14:paraId="2890CE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563F9B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4618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163A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300</w:t>
            </w:r>
          </w:p>
        </w:tc>
        <w:tc>
          <w:tcPr>
            <w:tcW w:w="39" w:type="pct"/>
            <w:shd w:val="clear" w:color="auto" w:fill="FFFFFF"/>
            <w:noWrap/>
            <w:tcMar>
              <w:top w:w="15" w:type="dxa"/>
              <w:left w:w="0" w:type="dxa"/>
              <w:bottom w:w="0" w:type="dxa"/>
              <w:right w:w="15" w:type="dxa"/>
            </w:tcMar>
            <w:vAlign w:val="bottom"/>
            <w:hideMark/>
          </w:tcPr>
          <w:p w14:paraId="44DA1F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7EF5E8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D33F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3979A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41" w:type="pct"/>
            <w:shd w:val="clear" w:color="auto" w:fill="FFFFFF"/>
            <w:noWrap/>
            <w:tcMar>
              <w:top w:w="15" w:type="dxa"/>
              <w:left w:w="0" w:type="dxa"/>
              <w:bottom w:w="0" w:type="dxa"/>
              <w:right w:w="15" w:type="dxa"/>
            </w:tcMar>
            <w:vAlign w:val="bottom"/>
            <w:hideMark/>
          </w:tcPr>
          <w:p w14:paraId="18FD0A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3E9371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8742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03B7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(171</w:t>
            </w:r>
          </w:p>
        </w:tc>
        <w:tc>
          <w:tcPr>
            <w:tcW w:w="41" w:type="pct"/>
            <w:shd w:val="clear" w:color="auto" w:fill="FFFFFF"/>
            <w:noWrap/>
            <w:tcMar>
              <w:top w:w="15" w:type="dxa"/>
              <w:left w:w="0" w:type="dxa"/>
              <w:bottom w:w="0" w:type="dxa"/>
              <w:right w:w="15" w:type="dxa"/>
            </w:tcMar>
            <w:vAlign w:val="bottom"/>
            <w:hideMark/>
          </w:tcPr>
          <w:p w14:paraId="4A9C13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6098E8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292F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1A136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41" w:type="pct"/>
            <w:shd w:val="clear" w:color="auto" w:fill="FFFFFF"/>
            <w:noWrap/>
            <w:tcMar>
              <w:top w:w="15" w:type="dxa"/>
              <w:left w:w="0" w:type="dxa"/>
              <w:bottom w:w="0" w:type="dxa"/>
              <w:right w:w="15" w:type="dxa"/>
            </w:tcMar>
            <w:vAlign w:val="bottom"/>
            <w:hideMark/>
          </w:tcPr>
          <w:p w14:paraId="1B66F5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FFFFFF"/>
            <w:tcMar>
              <w:top w:w="15" w:type="dxa"/>
              <w:left w:w="0" w:type="dxa"/>
              <w:bottom w:w="0" w:type="dxa"/>
              <w:right w:w="15" w:type="dxa"/>
            </w:tcMar>
            <w:vAlign w:val="bottom"/>
            <w:hideMark/>
          </w:tcPr>
          <w:p w14:paraId="57E2AB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D336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D5A18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127</w:t>
            </w:r>
          </w:p>
        </w:tc>
        <w:tc>
          <w:tcPr>
            <w:tcW w:w="39" w:type="pct"/>
            <w:shd w:val="clear" w:color="auto" w:fill="FFFFFF"/>
            <w:noWrap/>
            <w:tcMar>
              <w:top w:w="15" w:type="dxa"/>
              <w:left w:w="0" w:type="dxa"/>
              <w:bottom w:w="0" w:type="dxa"/>
              <w:right w:w="15" w:type="dxa"/>
            </w:tcMar>
            <w:vAlign w:val="bottom"/>
            <w:hideMark/>
          </w:tcPr>
          <w:p w14:paraId="10A17A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1DDE9F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91AB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63C07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297</w:t>
            </w:r>
          </w:p>
        </w:tc>
        <w:tc>
          <w:tcPr>
            <w:tcW w:w="39" w:type="pct"/>
            <w:shd w:val="clear" w:color="auto" w:fill="FFFFFF"/>
            <w:noWrap/>
            <w:tcMar>
              <w:top w:w="15" w:type="dxa"/>
              <w:left w:w="0" w:type="dxa"/>
              <w:bottom w:w="0" w:type="dxa"/>
              <w:right w:w="15" w:type="dxa"/>
            </w:tcMar>
            <w:vAlign w:val="bottom"/>
            <w:hideMark/>
          </w:tcPr>
          <w:p w14:paraId="60DC80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0639EAD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F3131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315E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432</w:t>
            </w:r>
          </w:p>
        </w:tc>
        <w:tc>
          <w:tcPr>
            <w:tcW w:w="32" w:type="pct"/>
            <w:shd w:val="clear" w:color="auto" w:fill="FFFFFF"/>
            <w:noWrap/>
            <w:tcMar>
              <w:top w:w="15" w:type="dxa"/>
              <w:left w:w="0" w:type="dxa"/>
              <w:bottom w:w="0" w:type="dxa"/>
              <w:right w:w="15" w:type="dxa"/>
            </w:tcMar>
            <w:vAlign w:val="bottom"/>
            <w:hideMark/>
          </w:tcPr>
          <w:p w14:paraId="0EF053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53989F1" w14:textId="77777777">
        <w:trPr>
          <w:divId w:val="1340498320"/>
          <w:jc w:val="center"/>
        </w:trPr>
        <w:tc>
          <w:tcPr>
            <w:tcW w:w="1637" w:type="pct"/>
            <w:shd w:val="clear" w:color="auto" w:fill="CFF0FC"/>
            <w:tcMar>
              <w:top w:w="15" w:type="dxa"/>
              <w:left w:w="0" w:type="dxa"/>
              <w:bottom w:w="0" w:type="dxa"/>
              <w:right w:w="15" w:type="dxa"/>
            </w:tcMar>
            <w:hideMark/>
          </w:tcPr>
          <w:p w14:paraId="566B1E19"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vertAlign w:val="superscript"/>
              </w:rPr>
              <w:t>(7)</w:t>
            </w:r>
          </w:p>
        </w:tc>
        <w:tc>
          <w:tcPr>
            <w:tcW w:w="51" w:type="pct"/>
            <w:shd w:val="clear" w:color="auto" w:fill="CFF0FC"/>
            <w:tcMar>
              <w:top w:w="15" w:type="dxa"/>
              <w:left w:w="0" w:type="dxa"/>
              <w:bottom w:w="0" w:type="dxa"/>
              <w:right w:w="15" w:type="dxa"/>
            </w:tcMar>
            <w:vAlign w:val="bottom"/>
            <w:hideMark/>
          </w:tcPr>
          <w:p w14:paraId="666E94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B3B30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8C253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282</w:t>
            </w:r>
          </w:p>
        </w:tc>
        <w:tc>
          <w:tcPr>
            <w:tcW w:w="36" w:type="pct"/>
            <w:shd w:val="clear" w:color="auto" w:fill="CFF0FC"/>
            <w:noWrap/>
            <w:tcMar>
              <w:top w:w="15" w:type="dxa"/>
              <w:left w:w="0" w:type="dxa"/>
              <w:bottom w:w="0" w:type="dxa"/>
              <w:right w:w="15" w:type="dxa"/>
            </w:tcMar>
            <w:vAlign w:val="bottom"/>
            <w:hideMark/>
          </w:tcPr>
          <w:p w14:paraId="01F760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0A2AA5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11D41D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A73304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39" w:type="pct"/>
            <w:shd w:val="clear" w:color="auto" w:fill="CFF0FC"/>
            <w:noWrap/>
            <w:tcMar>
              <w:top w:w="15" w:type="dxa"/>
              <w:left w:w="0" w:type="dxa"/>
              <w:bottom w:w="0" w:type="dxa"/>
              <w:right w:w="15" w:type="dxa"/>
            </w:tcMar>
            <w:vAlign w:val="bottom"/>
            <w:hideMark/>
          </w:tcPr>
          <w:p w14:paraId="30110A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18C016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C2CD2A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E9AC89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w:t>
            </w:r>
          </w:p>
        </w:tc>
        <w:tc>
          <w:tcPr>
            <w:tcW w:w="41" w:type="pct"/>
            <w:shd w:val="clear" w:color="auto" w:fill="CFF0FC"/>
            <w:noWrap/>
            <w:tcMar>
              <w:top w:w="15" w:type="dxa"/>
              <w:left w:w="0" w:type="dxa"/>
              <w:bottom w:w="0" w:type="dxa"/>
              <w:right w:w="15" w:type="dxa"/>
            </w:tcMar>
            <w:vAlign w:val="bottom"/>
            <w:hideMark/>
          </w:tcPr>
          <w:p w14:paraId="130EBE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CFF0FC"/>
            <w:tcMar>
              <w:top w:w="15" w:type="dxa"/>
              <w:left w:w="0" w:type="dxa"/>
              <w:bottom w:w="0" w:type="dxa"/>
              <w:right w:w="15" w:type="dxa"/>
            </w:tcMar>
            <w:vAlign w:val="bottom"/>
            <w:hideMark/>
          </w:tcPr>
          <w:p w14:paraId="379CAC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088AB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0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63A6D6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(167</w:t>
            </w:r>
          </w:p>
        </w:tc>
        <w:tc>
          <w:tcPr>
            <w:tcW w:w="41" w:type="pct"/>
            <w:shd w:val="clear" w:color="auto" w:fill="CFF0FC"/>
            <w:noWrap/>
            <w:tcMar>
              <w:top w:w="15" w:type="dxa"/>
              <w:left w:w="0" w:type="dxa"/>
              <w:bottom w:w="0" w:type="dxa"/>
              <w:right w:w="15" w:type="dxa"/>
            </w:tcMar>
            <w:vAlign w:val="bottom"/>
            <w:hideMark/>
          </w:tcPr>
          <w:p w14:paraId="6A843B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CFF0FC"/>
            <w:tcMar>
              <w:top w:w="15" w:type="dxa"/>
              <w:left w:w="0" w:type="dxa"/>
              <w:bottom w:w="0" w:type="dxa"/>
              <w:right w:w="15" w:type="dxa"/>
            </w:tcMar>
            <w:vAlign w:val="bottom"/>
            <w:hideMark/>
          </w:tcPr>
          <w:p w14:paraId="6DFC94D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DE70B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3BD39B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41" w:type="pct"/>
            <w:shd w:val="clear" w:color="auto" w:fill="CFF0FC"/>
            <w:noWrap/>
            <w:tcMar>
              <w:top w:w="15" w:type="dxa"/>
              <w:left w:w="0" w:type="dxa"/>
              <w:bottom w:w="0" w:type="dxa"/>
              <w:right w:w="15" w:type="dxa"/>
            </w:tcMar>
            <w:vAlign w:val="bottom"/>
            <w:hideMark/>
          </w:tcPr>
          <w:p w14:paraId="3D5D59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CFF0FC"/>
            <w:tcMar>
              <w:top w:w="15" w:type="dxa"/>
              <w:left w:w="0" w:type="dxa"/>
              <w:bottom w:w="0" w:type="dxa"/>
              <w:right w:w="15" w:type="dxa"/>
            </w:tcMar>
            <w:vAlign w:val="bottom"/>
            <w:hideMark/>
          </w:tcPr>
          <w:p w14:paraId="412C8F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57899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EAE2A4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w:t>
            </w:r>
          </w:p>
        </w:tc>
        <w:tc>
          <w:tcPr>
            <w:tcW w:w="39" w:type="pct"/>
            <w:shd w:val="clear" w:color="auto" w:fill="CFF0FC"/>
            <w:noWrap/>
            <w:tcMar>
              <w:top w:w="15" w:type="dxa"/>
              <w:left w:w="0" w:type="dxa"/>
              <w:bottom w:w="0" w:type="dxa"/>
              <w:right w:w="15" w:type="dxa"/>
            </w:tcMar>
            <w:vAlign w:val="bottom"/>
            <w:hideMark/>
          </w:tcPr>
          <w:p w14:paraId="5A9962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495743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tcBorders>
            <w:shd w:val="clear" w:color="auto" w:fill="CFF0FC"/>
            <w:noWrap/>
            <w:tcMar>
              <w:top w:w="15" w:type="dxa"/>
              <w:left w:w="0" w:type="dxa"/>
              <w:bottom w:w="0" w:type="dxa"/>
              <w:right w:w="15" w:type="dxa"/>
            </w:tcMar>
            <w:vAlign w:val="bottom"/>
            <w:hideMark/>
          </w:tcPr>
          <w:p w14:paraId="33B2C9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double" w:sz="6" w:space="0" w:color="000000"/>
            </w:tcBorders>
            <w:shd w:val="clear" w:color="auto" w:fill="CFF0FC"/>
            <w:noWrap/>
            <w:tcMar>
              <w:top w:w="15" w:type="dxa"/>
              <w:left w:w="0" w:type="dxa"/>
              <w:bottom w:w="0" w:type="dxa"/>
              <w:right w:w="15" w:type="dxa"/>
            </w:tcMar>
            <w:vAlign w:val="bottom"/>
            <w:hideMark/>
          </w:tcPr>
          <w:p w14:paraId="6CF911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9" w:type="pct"/>
            <w:shd w:val="clear" w:color="auto" w:fill="CFF0FC"/>
            <w:noWrap/>
            <w:tcMar>
              <w:top w:w="15" w:type="dxa"/>
              <w:left w:w="0" w:type="dxa"/>
              <w:bottom w:w="0" w:type="dxa"/>
              <w:right w:w="15" w:type="dxa"/>
            </w:tcMar>
            <w:vAlign w:val="bottom"/>
            <w:hideMark/>
          </w:tcPr>
          <w:p w14:paraId="2A23AF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CFF0FC"/>
            <w:tcMar>
              <w:top w:w="15" w:type="dxa"/>
              <w:left w:w="0" w:type="dxa"/>
              <w:bottom w:w="0" w:type="dxa"/>
              <w:right w:w="15" w:type="dxa"/>
            </w:tcMar>
            <w:vAlign w:val="bottom"/>
            <w:hideMark/>
          </w:tcPr>
          <w:p w14:paraId="360936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tcBorders>
            <w:shd w:val="clear" w:color="auto" w:fill="CFF0FC"/>
            <w:noWrap/>
            <w:tcMar>
              <w:top w:w="15" w:type="dxa"/>
              <w:left w:w="0" w:type="dxa"/>
              <w:bottom w:w="0" w:type="dxa"/>
              <w:right w:w="15" w:type="dxa"/>
            </w:tcMar>
            <w:vAlign w:val="bottom"/>
            <w:hideMark/>
          </w:tcPr>
          <w:p w14:paraId="1A6B6E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2" w:type="pct"/>
            <w:tcBorders>
              <w:top w:val="double" w:sz="6" w:space="0" w:color="000000"/>
            </w:tcBorders>
            <w:shd w:val="clear" w:color="auto" w:fill="CFF0FC"/>
            <w:noWrap/>
            <w:tcMar>
              <w:top w:w="15" w:type="dxa"/>
              <w:left w:w="0" w:type="dxa"/>
              <w:bottom w:w="0" w:type="dxa"/>
              <w:right w:w="15" w:type="dxa"/>
            </w:tcMar>
            <w:vAlign w:val="bottom"/>
            <w:hideMark/>
          </w:tcPr>
          <w:p w14:paraId="266B01E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CFF0FC"/>
            <w:noWrap/>
            <w:tcMar>
              <w:top w:w="15" w:type="dxa"/>
              <w:left w:w="0" w:type="dxa"/>
              <w:bottom w:w="0" w:type="dxa"/>
              <w:right w:w="15" w:type="dxa"/>
            </w:tcMar>
            <w:vAlign w:val="bottom"/>
            <w:hideMark/>
          </w:tcPr>
          <w:p w14:paraId="7234F8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DF920D9" w14:textId="77777777">
        <w:trPr>
          <w:divId w:val="1340498320"/>
          <w:jc w:val="center"/>
        </w:trPr>
        <w:tc>
          <w:tcPr>
            <w:tcW w:w="1637" w:type="pct"/>
            <w:shd w:val="clear" w:color="auto" w:fill="FFFFFF"/>
            <w:tcMar>
              <w:top w:w="15" w:type="dxa"/>
              <w:left w:w="0" w:type="dxa"/>
              <w:bottom w:w="0" w:type="dxa"/>
              <w:right w:w="15" w:type="dxa"/>
            </w:tcMar>
            <w:hideMark/>
          </w:tcPr>
          <w:p w14:paraId="3B6DC8AE" w14:textId="77777777" w:rsidR="00716E85" w:rsidRDefault="00716E85">
            <w:pPr>
              <w:pStyle w:val="a3"/>
              <w:spacing w:before="0" w:beforeAutospacing="0" w:after="0" w:afterAutospacing="0"/>
              <w:ind w:left="684"/>
              <w:rPr>
                <w:rFonts w:ascii="Calibri" w:hAnsi="Calibri" w:cs="Calibri"/>
                <w:color w:val="000000"/>
                <w:sz w:val="20"/>
                <w:szCs w:val="20"/>
              </w:rPr>
            </w:pPr>
            <w:r>
              <w:rPr>
                <w:rFonts w:ascii="Calibri" w:hAnsi="Calibri" w:cs="Calibri"/>
                <w:color w:val="000000"/>
                <w:sz w:val="20"/>
                <w:szCs w:val="20"/>
              </w:rPr>
              <w:t>Total restructuring plans</w:t>
            </w:r>
          </w:p>
        </w:tc>
        <w:tc>
          <w:tcPr>
            <w:tcW w:w="51" w:type="pct"/>
            <w:shd w:val="clear" w:color="auto" w:fill="FFFFFF"/>
            <w:tcMar>
              <w:top w:w="15" w:type="dxa"/>
              <w:left w:w="0" w:type="dxa"/>
              <w:bottom w:w="0" w:type="dxa"/>
              <w:right w:w="15" w:type="dxa"/>
            </w:tcMar>
            <w:vAlign w:val="bottom"/>
            <w:hideMark/>
          </w:tcPr>
          <w:p w14:paraId="7DB884DD"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ACE01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C15D4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282</w:t>
            </w:r>
          </w:p>
        </w:tc>
        <w:tc>
          <w:tcPr>
            <w:tcW w:w="36" w:type="pct"/>
            <w:shd w:val="clear" w:color="auto" w:fill="FFFFFF"/>
            <w:noWrap/>
            <w:tcMar>
              <w:top w:w="15" w:type="dxa"/>
              <w:left w:w="0" w:type="dxa"/>
              <w:bottom w:w="0" w:type="dxa"/>
              <w:right w:w="15" w:type="dxa"/>
            </w:tcMar>
            <w:vAlign w:val="bottom"/>
            <w:hideMark/>
          </w:tcPr>
          <w:p w14:paraId="2C9360C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2CF555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AD9AAA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B74B3E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305</w:t>
            </w:r>
          </w:p>
        </w:tc>
        <w:tc>
          <w:tcPr>
            <w:tcW w:w="39" w:type="pct"/>
            <w:shd w:val="clear" w:color="auto" w:fill="FFFFFF"/>
            <w:noWrap/>
            <w:tcMar>
              <w:top w:w="15" w:type="dxa"/>
              <w:left w:w="0" w:type="dxa"/>
              <w:bottom w:w="0" w:type="dxa"/>
              <w:right w:w="15" w:type="dxa"/>
            </w:tcMar>
            <w:vAlign w:val="bottom"/>
            <w:hideMark/>
          </w:tcPr>
          <w:p w14:paraId="772608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093015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4BE67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7822A1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41" w:type="pct"/>
            <w:shd w:val="clear" w:color="auto" w:fill="FFFFFF"/>
            <w:noWrap/>
            <w:tcMar>
              <w:top w:w="15" w:type="dxa"/>
              <w:left w:w="0" w:type="dxa"/>
              <w:bottom w:w="0" w:type="dxa"/>
              <w:right w:w="15" w:type="dxa"/>
            </w:tcMar>
            <w:vAlign w:val="bottom"/>
            <w:hideMark/>
          </w:tcPr>
          <w:p w14:paraId="07958B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0F26A9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949B3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0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B74AC7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(338</w:t>
            </w:r>
          </w:p>
        </w:tc>
        <w:tc>
          <w:tcPr>
            <w:tcW w:w="41" w:type="pct"/>
            <w:shd w:val="clear" w:color="auto" w:fill="FFFFFF"/>
            <w:noWrap/>
            <w:tcMar>
              <w:top w:w="15" w:type="dxa"/>
              <w:left w:w="0" w:type="dxa"/>
              <w:bottom w:w="0" w:type="dxa"/>
              <w:right w:w="15" w:type="dxa"/>
            </w:tcMar>
            <w:vAlign w:val="bottom"/>
            <w:hideMark/>
          </w:tcPr>
          <w:p w14:paraId="460A46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18" w:type="pct"/>
            <w:shd w:val="clear" w:color="auto" w:fill="FFFFFF"/>
            <w:tcMar>
              <w:top w:w="15" w:type="dxa"/>
              <w:left w:w="0" w:type="dxa"/>
              <w:bottom w:w="0" w:type="dxa"/>
              <w:right w:w="15" w:type="dxa"/>
            </w:tcMar>
            <w:vAlign w:val="bottom"/>
            <w:hideMark/>
          </w:tcPr>
          <w:p w14:paraId="133D7A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884E6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8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D866B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41" w:type="pct"/>
            <w:shd w:val="clear" w:color="auto" w:fill="FFFFFF"/>
            <w:noWrap/>
            <w:tcMar>
              <w:top w:w="15" w:type="dxa"/>
              <w:left w:w="0" w:type="dxa"/>
              <w:bottom w:w="0" w:type="dxa"/>
              <w:right w:w="15" w:type="dxa"/>
            </w:tcMar>
            <w:vAlign w:val="bottom"/>
            <w:hideMark/>
          </w:tcPr>
          <w:p w14:paraId="08DEC4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9" w:type="pct"/>
            <w:shd w:val="clear" w:color="auto" w:fill="FFFFFF"/>
            <w:tcMar>
              <w:top w:w="15" w:type="dxa"/>
              <w:left w:w="0" w:type="dxa"/>
              <w:bottom w:w="0" w:type="dxa"/>
              <w:right w:w="15" w:type="dxa"/>
            </w:tcMar>
            <w:vAlign w:val="bottom"/>
            <w:hideMark/>
          </w:tcPr>
          <w:p w14:paraId="651754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B05E8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CA4AF3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207</w:t>
            </w:r>
          </w:p>
        </w:tc>
        <w:tc>
          <w:tcPr>
            <w:tcW w:w="39" w:type="pct"/>
            <w:shd w:val="clear" w:color="auto" w:fill="FFFFFF"/>
            <w:noWrap/>
            <w:tcMar>
              <w:top w:w="15" w:type="dxa"/>
              <w:left w:w="0" w:type="dxa"/>
              <w:bottom w:w="0" w:type="dxa"/>
              <w:right w:w="15" w:type="dxa"/>
            </w:tcMar>
            <w:vAlign w:val="bottom"/>
            <w:hideMark/>
          </w:tcPr>
          <w:p w14:paraId="14E29F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54FCC0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7F68C4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left w:w="0" w:type="dxa"/>
              <w:bottom w:w="0" w:type="dxa"/>
              <w:right w:w="15" w:type="dxa"/>
            </w:tcMar>
            <w:vAlign w:val="bottom"/>
            <w:hideMark/>
          </w:tcPr>
          <w:p w14:paraId="715771D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9" w:type="pct"/>
            <w:shd w:val="clear" w:color="auto" w:fill="FFFFFF"/>
            <w:noWrap/>
            <w:tcMar>
              <w:top w:w="15" w:type="dxa"/>
              <w:left w:w="0" w:type="dxa"/>
              <w:bottom w:w="0" w:type="dxa"/>
              <w:right w:w="15" w:type="dxa"/>
            </w:tcMar>
            <w:vAlign w:val="bottom"/>
            <w:hideMark/>
          </w:tcPr>
          <w:p w14:paraId="42B82D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0" w:type="pct"/>
            <w:shd w:val="clear" w:color="auto" w:fill="FFFFFF"/>
            <w:tcMar>
              <w:top w:w="15" w:type="dxa"/>
              <w:left w:w="0" w:type="dxa"/>
              <w:bottom w:w="0" w:type="dxa"/>
              <w:right w:w="15" w:type="dxa"/>
            </w:tcMar>
            <w:vAlign w:val="bottom"/>
            <w:hideMark/>
          </w:tcPr>
          <w:p w14:paraId="2EAE29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3" w:type="pct"/>
            <w:shd w:val="clear" w:color="auto" w:fill="FFFFFF"/>
            <w:noWrap/>
            <w:tcMar>
              <w:top w:w="15" w:type="dxa"/>
              <w:left w:w="0" w:type="dxa"/>
              <w:bottom w:w="0" w:type="dxa"/>
              <w:right w:w="15" w:type="dxa"/>
            </w:tcMar>
            <w:vAlign w:val="bottom"/>
            <w:hideMark/>
          </w:tcPr>
          <w:p w14:paraId="6A69C8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734ABC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2" w:type="pct"/>
            <w:shd w:val="clear" w:color="auto" w:fill="FFFFFF"/>
            <w:noWrap/>
            <w:tcMar>
              <w:top w:w="15" w:type="dxa"/>
              <w:left w:w="0" w:type="dxa"/>
              <w:bottom w:w="0" w:type="dxa"/>
              <w:right w:w="15" w:type="dxa"/>
            </w:tcMar>
            <w:vAlign w:val="bottom"/>
            <w:hideMark/>
          </w:tcPr>
          <w:p w14:paraId="3AAF9BCF"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96E1E11" w14:textId="77777777" w:rsidR="00716E85" w:rsidRDefault="00716E85">
      <w:pPr>
        <w:pStyle w:val="a3"/>
        <w:pBdr>
          <w:bottom w:val="single" w:sz="6" w:space="1" w:color="auto"/>
        </w:pBdr>
        <w:spacing w:before="0" w:beforeAutospacing="0" w:after="0" w:afterAutospacing="0"/>
        <w:ind w:right="10477"/>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3E81ADDA" w14:textId="77777777">
        <w:tc>
          <w:tcPr>
            <w:tcW w:w="192" w:type="pct"/>
            <w:noWrap/>
            <w:hideMark/>
          </w:tcPr>
          <w:p w14:paraId="7084481E"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1DCF8DDA"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Restructuring costs recorded for individual line items primarily related to employee severance costs.</w:t>
            </w:r>
          </w:p>
        </w:tc>
      </w:tr>
    </w:tbl>
    <w:p w14:paraId="0FF74CE1"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61A05B57" w14:textId="77777777">
        <w:tc>
          <w:tcPr>
            <w:tcW w:w="192" w:type="pct"/>
            <w:noWrap/>
            <w:hideMark/>
          </w:tcPr>
          <w:p w14:paraId="1D4D0E8F"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30344DFB"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The balances at February 28, 2019 and May 31, 2018 included $183 million and $257 million, respectively, recorded in other current liabilities, and $24 million and $25 million, respectively, recorded in other non-current liabilities.</w:t>
            </w:r>
          </w:p>
        </w:tc>
      </w:tr>
    </w:tbl>
    <w:p w14:paraId="5FDD0B8B"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4FB9FBC1" w14:textId="77777777">
        <w:tc>
          <w:tcPr>
            <w:tcW w:w="192" w:type="pct"/>
            <w:noWrap/>
            <w:hideMark/>
          </w:tcPr>
          <w:p w14:paraId="3E10C5C3"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(3)</w:t>
            </w:r>
          </w:p>
        </w:tc>
        <w:tc>
          <w:tcPr>
            <w:tcW w:w="0" w:type="auto"/>
            <w:hideMark/>
          </w:tcPr>
          <w:p w14:paraId="247FA3C1"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2CFBF062"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1A648800" w14:textId="77777777">
        <w:tc>
          <w:tcPr>
            <w:tcW w:w="192" w:type="pct"/>
            <w:noWrap/>
            <w:hideMark/>
          </w:tcPr>
          <w:p w14:paraId="5841AE33"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(4)</w:t>
            </w:r>
          </w:p>
        </w:tc>
        <w:tc>
          <w:tcPr>
            <w:tcW w:w="0" w:type="auto"/>
            <w:hideMark/>
          </w:tcPr>
          <w:p w14:paraId="6AC4C91F"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period of adjustments.</w:t>
            </w:r>
          </w:p>
        </w:tc>
      </w:tr>
    </w:tbl>
    <w:p w14:paraId="1DC22478"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79C2AD50" w14:textId="77777777">
        <w:tc>
          <w:tcPr>
            <w:tcW w:w="192" w:type="pct"/>
            <w:noWrap/>
            <w:hideMark/>
          </w:tcPr>
          <w:p w14:paraId="3BFDD979"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(5)</w:t>
            </w:r>
          </w:p>
        </w:tc>
        <w:tc>
          <w:tcPr>
            <w:tcW w:w="0" w:type="auto"/>
            <w:hideMark/>
          </w:tcPr>
          <w:p w14:paraId="148CD48C"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3C7FC794"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15F68D14" w14:textId="77777777">
        <w:tc>
          <w:tcPr>
            <w:tcW w:w="192" w:type="pct"/>
            <w:noWrap/>
            <w:hideMark/>
          </w:tcPr>
          <w:p w14:paraId="0D1859CD"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(6)</w:t>
            </w:r>
            <w:r>
              <w:rPr>
                <w:sz w:val="20"/>
                <w:szCs w:val="20"/>
              </w:rPr>
              <w:t xml:space="preserve"> </w:t>
            </w:r>
          </w:p>
        </w:tc>
        <w:tc>
          <w:tcPr>
            <w:tcW w:w="0" w:type="auto"/>
            <w:hideMark/>
          </w:tcPr>
          <w:p w14:paraId="7A39C990" w14:textId="77777777" w:rsidR="00716E85" w:rsidRDefault="00716E85">
            <w:pPr>
              <w:pStyle w:val="a3"/>
              <w:spacing w:before="40" w:beforeAutospacing="0" w:after="0" w:afterAutospacing="0"/>
              <w:jc w:val="both"/>
              <w:rPr>
                <w:sz w:val="20"/>
                <w:szCs w:val="20"/>
              </w:rPr>
            </w:pPr>
            <w:r>
              <w:rPr>
                <w:rFonts w:ascii="Calibri" w:hAnsi="Calibri" w:cs="Calibri"/>
                <w:sz w:val="15"/>
                <w:szCs w:val="15"/>
              </w:rPr>
              <w:t>Represents employee related severance costs for functions that are not included within our operating segments and certain other restructuring costs.</w:t>
            </w:r>
          </w:p>
        </w:tc>
      </w:tr>
    </w:tbl>
    <w:p w14:paraId="2E8F042B"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4FEC686A" w14:textId="77777777">
        <w:tc>
          <w:tcPr>
            <w:tcW w:w="192" w:type="pct"/>
            <w:noWrap/>
            <w:hideMark/>
          </w:tcPr>
          <w:p w14:paraId="3F9FBF89"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(7)</w:t>
            </w:r>
          </w:p>
        </w:tc>
        <w:tc>
          <w:tcPr>
            <w:tcW w:w="0" w:type="auto"/>
            <w:hideMark/>
          </w:tcPr>
          <w:p w14:paraId="6E83C368"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information for other Oracle based plans and other plans associated with certain of our acquisitions whereby we continued to make cash outlays to settle obligations under these plans during the period presented but for which the periodic impact to our condensed consolidated statements of operations was not significant.</w:t>
            </w:r>
          </w:p>
        </w:tc>
      </w:tr>
    </w:tbl>
    <w:p w14:paraId="3B6E7942" w14:textId="77777777" w:rsidR="00716E85" w:rsidRDefault="00716E85">
      <w:pPr>
        <w:pStyle w:val="a3"/>
        <w:spacing w:before="0" w:beforeAutospacing="0" w:after="0" w:afterAutospacing="0"/>
        <w:jc w:val="both"/>
        <w:rPr>
          <w:sz w:val="12"/>
          <w:szCs w:val="12"/>
        </w:rPr>
      </w:pPr>
      <w:r>
        <w:rPr>
          <w:sz w:val="12"/>
          <w:szCs w:val="12"/>
        </w:rPr>
        <w:t> </w:t>
      </w:r>
    </w:p>
    <w:p w14:paraId="182EAF26" w14:textId="77777777" w:rsidR="00716E85" w:rsidRDefault="00716E85">
      <w:pPr>
        <w:pStyle w:val="a3"/>
        <w:spacing w:before="0" w:beforeAutospacing="0" w:after="0" w:afterAutospacing="0"/>
        <w:rPr>
          <w:sz w:val="12"/>
          <w:szCs w:val="12"/>
        </w:rPr>
      </w:pPr>
      <w:r>
        <w:rPr>
          <w:sz w:val="12"/>
          <w:szCs w:val="12"/>
        </w:rPr>
        <w:t> </w:t>
      </w:r>
    </w:p>
    <w:p w14:paraId="5201F3EF"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20</w:t>
      </w:r>
    </w:p>
    <w:p w14:paraId="2FF7FB55" w14:textId="77777777" w:rsidR="00716E85" w:rsidRDefault="00716E85">
      <w:pPr>
        <w:rPr>
          <w:rFonts w:ascii="Times New Roman" w:eastAsia="Times New Roman" w:hAnsi="Times New Roman" w:cs="Times New Roman"/>
          <w:sz w:val="24"/>
          <w:szCs w:val="24"/>
        </w:rPr>
      </w:pPr>
      <w:r>
        <w:rPr>
          <w:rFonts w:eastAsia="Times New Roman"/>
        </w:rPr>
        <w:pict w14:anchorId="292CEC6A">
          <v:rect id="_x0000_i1046" style="width:415.3pt;height:1.5pt" o:hralign="center" o:hrstd="t" o:hr="t" fillcolor="#a0a0a0" stroked="f"/>
        </w:pict>
      </w:r>
    </w:p>
    <w:p w14:paraId="5771A7BF"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E3D293F" w14:textId="77777777" w:rsidR="00716E85" w:rsidRDefault="00716E85">
      <w:pPr>
        <w:pStyle w:val="a3"/>
      </w:pPr>
      <w:r>
        <w:t> </w:t>
      </w:r>
    </w:p>
    <w:p w14:paraId="4B642E14"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D48871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42733E52"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5A2A95C5"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2EC0996F"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2789A15B" w14:textId="77777777">
        <w:tc>
          <w:tcPr>
            <w:tcW w:w="262" w:type="pct"/>
            <w:noWrap/>
            <w:hideMark/>
          </w:tcPr>
          <w:p w14:paraId="2DCAFC42"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6.</w:t>
            </w:r>
          </w:p>
        </w:tc>
        <w:tc>
          <w:tcPr>
            <w:tcW w:w="0" w:type="auto"/>
            <w:hideMark/>
          </w:tcPr>
          <w:p w14:paraId="5F3C4E03" w14:textId="77777777" w:rsidR="00716E85" w:rsidRDefault="00716E85">
            <w:pPr>
              <w:pStyle w:val="a3"/>
              <w:spacing w:before="0" w:beforeAutospacing="0" w:after="0" w:afterAutospacing="0"/>
              <w:jc w:val="both"/>
              <w:rPr>
                <w:rFonts w:ascii="Calibri" w:hAnsi="Calibri" w:cs="Calibri"/>
                <w:b/>
                <w:bCs/>
                <w:sz w:val="20"/>
                <w:szCs w:val="20"/>
              </w:rPr>
            </w:pPr>
            <w:bookmarkStart w:id="31" w:name="_AEIOULastRenderedPageBreakAEIOU23"/>
            <w:bookmarkEnd w:id="31"/>
            <w:r>
              <w:rPr>
                <w:rFonts w:ascii="Calibri" w:hAnsi="Calibri" w:cs="Calibri"/>
                <w:b/>
                <w:bCs/>
                <w:sz w:val="20"/>
                <w:szCs w:val="20"/>
              </w:rPr>
              <w:t>DEFERRED REVENUES</w:t>
            </w:r>
          </w:p>
        </w:tc>
      </w:tr>
    </w:tbl>
    <w:p w14:paraId="65FFF8D9"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Deferred revenues consisted of the following:</w:t>
      </w:r>
    </w:p>
    <w:p w14:paraId="27FA800A"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5555"/>
        <w:gridCol w:w="125"/>
        <w:gridCol w:w="117"/>
        <w:gridCol w:w="1060"/>
        <w:gridCol w:w="73"/>
        <w:gridCol w:w="125"/>
        <w:gridCol w:w="117"/>
        <w:gridCol w:w="1060"/>
        <w:gridCol w:w="74"/>
      </w:tblGrid>
      <w:tr w:rsidR="00716E85" w14:paraId="15D4114D" w14:textId="77777777">
        <w:trPr>
          <w:divId w:val="338775197"/>
          <w:jc w:val="center"/>
        </w:trPr>
        <w:tc>
          <w:tcPr>
            <w:tcW w:w="3349" w:type="pct"/>
            <w:tcBorders>
              <w:bottom w:val="single" w:sz="6" w:space="0" w:color="000000"/>
            </w:tcBorders>
            <w:shd w:val="clear" w:color="auto" w:fill="FFFFFF"/>
            <w:tcMar>
              <w:top w:w="15" w:type="dxa"/>
              <w:left w:w="0" w:type="dxa"/>
              <w:bottom w:w="0" w:type="dxa"/>
              <w:right w:w="15" w:type="dxa"/>
            </w:tcMar>
            <w:vAlign w:val="bottom"/>
            <w:hideMark/>
          </w:tcPr>
          <w:p w14:paraId="500EC5F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left w:w="0" w:type="dxa"/>
              <w:bottom w:w="0" w:type="dxa"/>
              <w:right w:w="15" w:type="dxa"/>
            </w:tcMar>
            <w:vAlign w:val="bottom"/>
            <w:hideMark/>
          </w:tcPr>
          <w:p w14:paraId="61CE6A4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6CF164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11978E3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E38CD8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left w:w="0" w:type="dxa"/>
              <w:bottom w:w="0" w:type="dxa"/>
              <w:right w:w="15" w:type="dxa"/>
            </w:tcMar>
            <w:vAlign w:val="bottom"/>
            <w:hideMark/>
          </w:tcPr>
          <w:p w14:paraId="6432325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4C26D0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61DE7B1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F24120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9BCF368" w14:textId="77777777">
        <w:trPr>
          <w:divId w:val="338775197"/>
          <w:jc w:val="center"/>
        </w:trPr>
        <w:tc>
          <w:tcPr>
            <w:tcW w:w="3349" w:type="pct"/>
            <w:tcBorders>
              <w:top w:val="single" w:sz="6" w:space="0" w:color="000000"/>
            </w:tcBorders>
            <w:shd w:val="clear" w:color="auto" w:fill="CFF0FC"/>
            <w:tcMar>
              <w:top w:w="15" w:type="dxa"/>
              <w:left w:w="0" w:type="dxa"/>
              <w:bottom w:w="0" w:type="dxa"/>
              <w:right w:w="15" w:type="dxa"/>
            </w:tcMar>
            <w:hideMark/>
          </w:tcPr>
          <w:p w14:paraId="03A875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left w:w="0" w:type="dxa"/>
              <w:bottom w:w="0" w:type="dxa"/>
              <w:right w:w="15" w:type="dxa"/>
            </w:tcMar>
            <w:vAlign w:val="bottom"/>
            <w:hideMark/>
          </w:tcPr>
          <w:p w14:paraId="70AC3C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A9C6C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DEFE58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6,807</w:t>
            </w:r>
          </w:p>
        </w:tc>
        <w:tc>
          <w:tcPr>
            <w:tcW w:w="50" w:type="pct"/>
            <w:shd w:val="clear" w:color="auto" w:fill="CFF0FC"/>
            <w:noWrap/>
            <w:tcMar>
              <w:top w:w="15" w:type="dxa"/>
              <w:left w:w="0" w:type="dxa"/>
              <w:bottom w:w="0" w:type="dxa"/>
              <w:right w:w="15" w:type="dxa"/>
            </w:tcMar>
            <w:vAlign w:val="bottom"/>
            <w:hideMark/>
          </w:tcPr>
          <w:p w14:paraId="77452F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343587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A984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763B8F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7,265</w:t>
            </w:r>
          </w:p>
        </w:tc>
        <w:tc>
          <w:tcPr>
            <w:tcW w:w="50" w:type="pct"/>
            <w:shd w:val="clear" w:color="auto" w:fill="CFF0FC"/>
            <w:noWrap/>
            <w:tcMar>
              <w:top w:w="15" w:type="dxa"/>
              <w:left w:w="0" w:type="dxa"/>
              <w:bottom w:w="0" w:type="dxa"/>
              <w:right w:w="15" w:type="dxa"/>
            </w:tcMar>
            <w:vAlign w:val="bottom"/>
            <w:hideMark/>
          </w:tcPr>
          <w:p w14:paraId="66021A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ED9DB70" w14:textId="77777777">
        <w:trPr>
          <w:divId w:val="338775197"/>
          <w:jc w:val="center"/>
        </w:trPr>
        <w:tc>
          <w:tcPr>
            <w:tcW w:w="3349" w:type="pct"/>
            <w:shd w:val="clear" w:color="auto" w:fill="FFFFFF"/>
            <w:tcMar>
              <w:top w:w="15" w:type="dxa"/>
              <w:left w:w="0" w:type="dxa"/>
              <w:bottom w:w="0" w:type="dxa"/>
              <w:right w:w="15" w:type="dxa"/>
            </w:tcMar>
            <w:hideMark/>
          </w:tcPr>
          <w:p w14:paraId="60D2C9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left w:w="0" w:type="dxa"/>
              <w:bottom w:w="0" w:type="dxa"/>
              <w:right w:w="15" w:type="dxa"/>
            </w:tcMar>
            <w:vAlign w:val="bottom"/>
            <w:hideMark/>
          </w:tcPr>
          <w:p w14:paraId="119782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6AA0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1A088D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550</w:t>
            </w:r>
          </w:p>
        </w:tc>
        <w:tc>
          <w:tcPr>
            <w:tcW w:w="50" w:type="pct"/>
            <w:shd w:val="clear" w:color="auto" w:fill="FFFFFF"/>
            <w:noWrap/>
            <w:tcMar>
              <w:top w:w="15" w:type="dxa"/>
              <w:left w:w="0" w:type="dxa"/>
              <w:bottom w:w="0" w:type="dxa"/>
              <w:right w:w="15" w:type="dxa"/>
            </w:tcMar>
            <w:vAlign w:val="bottom"/>
            <w:hideMark/>
          </w:tcPr>
          <w:p w14:paraId="26AD95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6C49D5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7E5F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61D22F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645</w:t>
            </w:r>
          </w:p>
        </w:tc>
        <w:tc>
          <w:tcPr>
            <w:tcW w:w="50" w:type="pct"/>
            <w:shd w:val="clear" w:color="auto" w:fill="FFFFFF"/>
            <w:noWrap/>
            <w:tcMar>
              <w:top w:w="15" w:type="dxa"/>
              <w:left w:w="0" w:type="dxa"/>
              <w:bottom w:w="0" w:type="dxa"/>
              <w:right w:w="15" w:type="dxa"/>
            </w:tcMar>
            <w:vAlign w:val="bottom"/>
            <w:hideMark/>
          </w:tcPr>
          <w:p w14:paraId="56D32F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D6C74C0" w14:textId="77777777">
        <w:trPr>
          <w:divId w:val="338775197"/>
          <w:jc w:val="center"/>
        </w:trPr>
        <w:tc>
          <w:tcPr>
            <w:tcW w:w="3349" w:type="pct"/>
            <w:shd w:val="clear" w:color="auto" w:fill="CFF0FC"/>
            <w:tcMar>
              <w:top w:w="15" w:type="dxa"/>
              <w:left w:w="0" w:type="dxa"/>
              <w:bottom w:w="0" w:type="dxa"/>
              <w:right w:w="15" w:type="dxa"/>
            </w:tcMar>
            <w:hideMark/>
          </w:tcPr>
          <w:p w14:paraId="06C449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left w:w="0" w:type="dxa"/>
              <w:bottom w:w="0" w:type="dxa"/>
              <w:right w:w="15" w:type="dxa"/>
            </w:tcMar>
            <w:vAlign w:val="bottom"/>
            <w:hideMark/>
          </w:tcPr>
          <w:p w14:paraId="334D50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0675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ACEB08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378</w:t>
            </w:r>
          </w:p>
        </w:tc>
        <w:tc>
          <w:tcPr>
            <w:tcW w:w="50" w:type="pct"/>
            <w:shd w:val="clear" w:color="auto" w:fill="CFF0FC"/>
            <w:noWrap/>
            <w:tcMar>
              <w:top w:w="15" w:type="dxa"/>
              <w:left w:w="0" w:type="dxa"/>
              <w:bottom w:w="0" w:type="dxa"/>
              <w:right w:w="15" w:type="dxa"/>
            </w:tcMar>
            <w:vAlign w:val="bottom"/>
            <w:hideMark/>
          </w:tcPr>
          <w:p w14:paraId="16566B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0C670C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5786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0C194F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404</w:t>
            </w:r>
          </w:p>
        </w:tc>
        <w:tc>
          <w:tcPr>
            <w:tcW w:w="50" w:type="pct"/>
            <w:shd w:val="clear" w:color="auto" w:fill="CFF0FC"/>
            <w:noWrap/>
            <w:tcMar>
              <w:top w:w="15" w:type="dxa"/>
              <w:left w:w="0" w:type="dxa"/>
              <w:bottom w:w="0" w:type="dxa"/>
              <w:right w:w="15" w:type="dxa"/>
            </w:tcMar>
            <w:vAlign w:val="bottom"/>
            <w:hideMark/>
          </w:tcPr>
          <w:p w14:paraId="1D7C1C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A4BFECC" w14:textId="77777777">
        <w:trPr>
          <w:divId w:val="338775197"/>
          <w:jc w:val="center"/>
        </w:trPr>
        <w:tc>
          <w:tcPr>
            <w:tcW w:w="3349" w:type="pct"/>
            <w:shd w:val="clear" w:color="auto" w:fill="FFFFFF"/>
            <w:tcMar>
              <w:top w:w="15" w:type="dxa"/>
              <w:left w:w="0" w:type="dxa"/>
              <w:bottom w:w="0" w:type="dxa"/>
              <w:right w:w="15" w:type="dxa"/>
            </w:tcMar>
            <w:hideMark/>
          </w:tcPr>
          <w:p w14:paraId="04C7B1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left w:w="0" w:type="dxa"/>
              <w:bottom w:w="0" w:type="dxa"/>
              <w:right w:w="15" w:type="dxa"/>
            </w:tcMar>
            <w:vAlign w:val="bottom"/>
            <w:hideMark/>
          </w:tcPr>
          <w:p w14:paraId="7BF6D8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DB18A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B4EC81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272</w:t>
            </w:r>
          </w:p>
        </w:tc>
        <w:tc>
          <w:tcPr>
            <w:tcW w:w="50" w:type="pct"/>
            <w:shd w:val="clear" w:color="auto" w:fill="FFFFFF"/>
            <w:noWrap/>
            <w:tcMar>
              <w:top w:w="15" w:type="dxa"/>
              <w:left w:w="0" w:type="dxa"/>
              <w:bottom w:w="0" w:type="dxa"/>
              <w:right w:w="15" w:type="dxa"/>
            </w:tcMar>
            <w:vAlign w:val="bottom"/>
            <w:hideMark/>
          </w:tcPr>
          <w:p w14:paraId="585FF8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74DB51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E23B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2E1B02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FFFFFF"/>
            <w:noWrap/>
            <w:tcMar>
              <w:top w:w="15" w:type="dxa"/>
              <w:left w:w="0" w:type="dxa"/>
              <w:bottom w:w="0" w:type="dxa"/>
              <w:right w:w="15" w:type="dxa"/>
            </w:tcMar>
            <w:vAlign w:val="bottom"/>
            <w:hideMark/>
          </w:tcPr>
          <w:p w14:paraId="5D289E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1DF9D86" w14:textId="77777777">
        <w:trPr>
          <w:divId w:val="338775197"/>
          <w:jc w:val="center"/>
        </w:trPr>
        <w:tc>
          <w:tcPr>
            <w:tcW w:w="3349" w:type="pct"/>
            <w:shd w:val="clear" w:color="auto" w:fill="CFF0FC"/>
            <w:tcMar>
              <w:top w:w="15" w:type="dxa"/>
              <w:left w:w="0" w:type="dxa"/>
              <w:bottom w:w="0" w:type="dxa"/>
              <w:right w:w="15" w:type="dxa"/>
            </w:tcMar>
            <w:hideMark/>
          </w:tcPr>
          <w:p w14:paraId="507ADA7C"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left w:w="0" w:type="dxa"/>
              <w:bottom w:w="0" w:type="dxa"/>
              <w:right w:w="15" w:type="dxa"/>
            </w:tcMar>
            <w:vAlign w:val="bottom"/>
            <w:hideMark/>
          </w:tcPr>
          <w:p w14:paraId="141CA2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A5728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B270B0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8,007</w:t>
            </w:r>
          </w:p>
        </w:tc>
        <w:tc>
          <w:tcPr>
            <w:tcW w:w="50" w:type="pct"/>
            <w:shd w:val="clear" w:color="auto" w:fill="CFF0FC"/>
            <w:noWrap/>
            <w:tcMar>
              <w:top w:w="15" w:type="dxa"/>
              <w:left w:w="0" w:type="dxa"/>
              <w:bottom w:w="0" w:type="dxa"/>
              <w:right w:w="15" w:type="dxa"/>
            </w:tcMar>
            <w:vAlign w:val="bottom"/>
            <w:hideMark/>
          </w:tcPr>
          <w:p w14:paraId="33DF7D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1FE68B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7CEC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58B32B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8,341</w:t>
            </w:r>
          </w:p>
        </w:tc>
        <w:tc>
          <w:tcPr>
            <w:tcW w:w="50" w:type="pct"/>
            <w:shd w:val="clear" w:color="auto" w:fill="CFF0FC"/>
            <w:noWrap/>
            <w:tcMar>
              <w:top w:w="15" w:type="dxa"/>
              <w:left w:w="0" w:type="dxa"/>
              <w:bottom w:w="0" w:type="dxa"/>
              <w:right w:w="15" w:type="dxa"/>
            </w:tcMar>
            <w:vAlign w:val="bottom"/>
            <w:hideMark/>
          </w:tcPr>
          <w:p w14:paraId="582656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55CAA70" w14:textId="77777777">
        <w:trPr>
          <w:divId w:val="338775197"/>
          <w:jc w:val="center"/>
        </w:trPr>
        <w:tc>
          <w:tcPr>
            <w:tcW w:w="3349" w:type="pct"/>
            <w:shd w:val="clear" w:color="auto" w:fill="FFFFFF"/>
            <w:tcMar>
              <w:top w:w="15" w:type="dxa"/>
              <w:left w:w="0" w:type="dxa"/>
              <w:bottom w:w="0" w:type="dxa"/>
              <w:right w:w="15" w:type="dxa"/>
            </w:tcMar>
            <w:hideMark/>
          </w:tcPr>
          <w:p w14:paraId="0AAB08D5"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left w:w="0" w:type="dxa"/>
              <w:bottom w:w="0" w:type="dxa"/>
              <w:right w:w="15" w:type="dxa"/>
            </w:tcMar>
            <w:vAlign w:val="bottom"/>
            <w:hideMark/>
          </w:tcPr>
          <w:p w14:paraId="5E7E7D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92A2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555F58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626</w:t>
            </w:r>
          </w:p>
        </w:tc>
        <w:tc>
          <w:tcPr>
            <w:tcW w:w="50" w:type="pct"/>
            <w:shd w:val="clear" w:color="auto" w:fill="FFFFFF"/>
            <w:noWrap/>
            <w:tcMar>
              <w:top w:w="15" w:type="dxa"/>
              <w:left w:w="0" w:type="dxa"/>
              <w:bottom w:w="0" w:type="dxa"/>
              <w:right w:w="15" w:type="dxa"/>
            </w:tcMar>
            <w:vAlign w:val="bottom"/>
            <w:hideMark/>
          </w:tcPr>
          <w:p w14:paraId="45C13B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left w:w="0" w:type="dxa"/>
              <w:bottom w:w="0" w:type="dxa"/>
              <w:right w:w="15" w:type="dxa"/>
            </w:tcMar>
            <w:vAlign w:val="bottom"/>
            <w:hideMark/>
          </w:tcPr>
          <w:p w14:paraId="211526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73A7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46FD8F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625</w:t>
            </w:r>
          </w:p>
        </w:tc>
        <w:tc>
          <w:tcPr>
            <w:tcW w:w="50" w:type="pct"/>
            <w:shd w:val="clear" w:color="auto" w:fill="FFFFFF"/>
            <w:noWrap/>
            <w:tcMar>
              <w:top w:w="15" w:type="dxa"/>
              <w:left w:w="0" w:type="dxa"/>
              <w:bottom w:w="0" w:type="dxa"/>
              <w:right w:w="15" w:type="dxa"/>
            </w:tcMar>
            <w:vAlign w:val="bottom"/>
            <w:hideMark/>
          </w:tcPr>
          <w:p w14:paraId="087902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AA7F8F6" w14:textId="77777777">
        <w:trPr>
          <w:divId w:val="338775197"/>
          <w:jc w:val="center"/>
        </w:trPr>
        <w:tc>
          <w:tcPr>
            <w:tcW w:w="3349" w:type="pct"/>
            <w:shd w:val="clear" w:color="auto" w:fill="CFF0FC"/>
            <w:tcMar>
              <w:top w:w="15" w:type="dxa"/>
              <w:left w:w="0" w:type="dxa"/>
              <w:bottom w:w="0" w:type="dxa"/>
              <w:right w:w="15" w:type="dxa"/>
            </w:tcMar>
            <w:hideMark/>
          </w:tcPr>
          <w:p w14:paraId="6F035FCE" w14:textId="77777777" w:rsidR="00716E85" w:rsidRDefault="00716E85">
            <w:pPr>
              <w:pStyle w:val="a3"/>
              <w:spacing w:before="0" w:beforeAutospacing="0" w:after="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81" w:type="pct"/>
            <w:shd w:val="clear" w:color="auto" w:fill="CFF0FC"/>
            <w:tcMar>
              <w:top w:w="15" w:type="dxa"/>
              <w:left w:w="0" w:type="dxa"/>
              <w:bottom w:w="0" w:type="dxa"/>
              <w:right w:w="15" w:type="dxa"/>
            </w:tcMar>
            <w:vAlign w:val="bottom"/>
            <w:hideMark/>
          </w:tcPr>
          <w:p w14:paraId="6F7F48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1B16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47CD6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8,633</w:t>
            </w:r>
          </w:p>
        </w:tc>
        <w:tc>
          <w:tcPr>
            <w:tcW w:w="50" w:type="pct"/>
            <w:shd w:val="clear" w:color="auto" w:fill="CFF0FC"/>
            <w:noWrap/>
            <w:tcMar>
              <w:top w:w="15" w:type="dxa"/>
              <w:left w:w="0" w:type="dxa"/>
              <w:bottom w:w="0" w:type="dxa"/>
              <w:right w:w="15" w:type="dxa"/>
            </w:tcMar>
            <w:vAlign w:val="bottom"/>
            <w:hideMark/>
          </w:tcPr>
          <w:p w14:paraId="689FFB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left w:w="0" w:type="dxa"/>
              <w:bottom w:w="0" w:type="dxa"/>
              <w:right w:w="15" w:type="dxa"/>
            </w:tcMar>
            <w:vAlign w:val="bottom"/>
            <w:hideMark/>
          </w:tcPr>
          <w:p w14:paraId="5C7D78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83A3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228FC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8,966</w:t>
            </w:r>
          </w:p>
        </w:tc>
        <w:tc>
          <w:tcPr>
            <w:tcW w:w="50" w:type="pct"/>
            <w:shd w:val="clear" w:color="auto" w:fill="CFF0FC"/>
            <w:noWrap/>
            <w:tcMar>
              <w:top w:w="15" w:type="dxa"/>
              <w:left w:w="0" w:type="dxa"/>
              <w:bottom w:w="0" w:type="dxa"/>
              <w:right w:w="15" w:type="dxa"/>
            </w:tcMar>
            <w:vAlign w:val="bottom"/>
            <w:hideMark/>
          </w:tcPr>
          <w:p w14:paraId="1DF1A732"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906E05D" w14:textId="77777777" w:rsidR="00716E85" w:rsidRDefault="00716E85">
      <w:pPr>
        <w:pStyle w:val="a3"/>
        <w:spacing w:before="0" w:beforeAutospacing="0" w:after="0" w:afterAutospacing="0"/>
        <w:rPr>
          <w:sz w:val="12"/>
          <w:szCs w:val="12"/>
        </w:rPr>
      </w:pPr>
      <w:r>
        <w:rPr>
          <w:sz w:val="12"/>
          <w:szCs w:val="12"/>
        </w:rPr>
        <w:t> </w:t>
      </w:r>
    </w:p>
    <w:p w14:paraId="17DA3850"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 xml:space="preserve">Deferred cloud services and license support revenues and deferred hardware revenues substantially represent customer payments made in advance for cloud or support contracts that are typically billed in advance with corresponding revenues generally being recognized ratably over the contractual periods. Deferred services revenues include prepayments for our services business and revenues for these services are generally recognized as the services are performed. Deferred cloud license and on-premise license revenues typically resulted from customer payments that related to undelivered products and services or specified enhancements. </w:t>
      </w:r>
    </w:p>
    <w:p w14:paraId="29AF1787" w14:textId="77777777" w:rsidR="00716E85" w:rsidRDefault="00716E85">
      <w:pPr>
        <w:pStyle w:val="a3"/>
        <w:spacing w:before="120" w:beforeAutospacing="0" w:after="0" w:afterAutospacing="0"/>
        <w:jc w:val="both"/>
        <w:rPr>
          <w:rFonts w:ascii="Calibri" w:hAnsi="Calibri" w:cs="Calibri"/>
          <w:color w:val="000000"/>
          <w:sz w:val="20"/>
          <w:szCs w:val="20"/>
        </w:rPr>
      </w:pPr>
      <w:r>
        <w:rPr>
          <w:rFonts w:ascii="Calibri" w:hAnsi="Calibri" w:cs="Calibri"/>
          <w:color w:val="000000"/>
          <w:sz w:val="20"/>
          <w:szCs w:val="20"/>
        </w:rPr>
        <w:t>In connection with our acquisitions, we have estimated the fair values of the cloud services and license support performance obligations assumed from our acquired companies. We generally have estimated the fair values of these obligations assumed using a cost build-up approach. The cost build-up approach determines fair value by estimating the costs related to fulfilling the obligations plus a normal profit margin. The sum of the costs and operating profit approximates, in theory, the amount that we would be required to pay a third party to assume these acquired obligations. These aforementioned fair value adjustments recorded for obligations assumed from our acquisitions reduced the cloud services and license support deferred revenues balances that we recorded as liabilities from these acquisitions and also reduced the resulting revenues that we recognized or will recognize over the terms of the acquired obligations during the post-combination periods.</w:t>
      </w:r>
    </w:p>
    <w:p w14:paraId="3D264DF1" w14:textId="77777777" w:rsidR="00716E85" w:rsidRDefault="00716E85">
      <w:pPr>
        <w:pStyle w:val="a3"/>
        <w:spacing w:before="0" w:beforeAutospacing="0" w:after="0" w:afterAutospacing="0"/>
        <w:jc w:val="both"/>
        <w:rPr>
          <w:sz w:val="12"/>
          <w:szCs w:val="12"/>
        </w:rPr>
      </w:pPr>
      <w:r>
        <w:rPr>
          <w:sz w:val="12"/>
          <w:szCs w:val="12"/>
        </w:rPr>
        <w:t> </w:t>
      </w:r>
    </w:p>
    <w:p w14:paraId="0188DD5D"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665C85AA" w14:textId="77777777">
        <w:tc>
          <w:tcPr>
            <w:tcW w:w="262" w:type="pct"/>
            <w:noWrap/>
            <w:hideMark/>
          </w:tcPr>
          <w:p w14:paraId="7AA0DED8"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7.</w:t>
            </w:r>
          </w:p>
        </w:tc>
        <w:tc>
          <w:tcPr>
            <w:tcW w:w="0" w:type="auto"/>
            <w:hideMark/>
          </w:tcPr>
          <w:p w14:paraId="08920F2A"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DERIVATIVE FINANCIAL INSTRUMENTS</w:t>
            </w:r>
          </w:p>
        </w:tc>
      </w:tr>
    </w:tbl>
    <w:p w14:paraId="0680A89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held the following derivative and non-derivative instruments that were accounted for pursuant to ASC 815, </w:t>
      </w:r>
      <w:r>
        <w:rPr>
          <w:rFonts w:ascii="Calibri" w:hAnsi="Calibri" w:cs="Calibri"/>
          <w:i/>
          <w:iCs/>
          <w:sz w:val="20"/>
          <w:szCs w:val="20"/>
        </w:rPr>
        <w:t>Derivatives and Hedging</w:t>
      </w:r>
      <w:r>
        <w:rPr>
          <w:rFonts w:ascii="Calibri" w:hAnsi="Calibri" w:cs="Calibri"/>
          <w:sz w:val="20"/>
          <w:szCs w:val="20"/>
        </w:rPr>
        <w:t xml:space="preserve"> (ASC 815):</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880D52A" w14:textId="77777777">
        <w:tc>
          <w:tcPr>
            <w:tcW w:w="262" w:type="pct"/>
            <w:noWrap/>
            <w:hideMark/>
          </w:tcPr>
          <w:p w14:paraId="10CFAC67"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0A15AA36"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7C2F9555"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interest rate swap agreements, which are used to protect us against changes in the fair values of certain of our fixed-rate borrowings attributable to the movements in benchmark interest rates. We have designated these swap agreements as qualifying hedging instruments and are accounting for them as fair value hedges pursuant to ASC 815;</w:t>
            </w:r>
          </w:p>
        </w:tc>
      </w:tr>
    </w:tbl>
    <w:p w14:paraId="117E8CB2"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F7DE094" w14:textId="77777777">
        <w:tc>
          <w:tcPr>
            <w:tcW w:w="262" w:type="pct"/>
            <w:noWrap/>
            <w:hideMark/>
          </w:tcPr>
          <w:p w14:paraId="3EE83360"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6D07B1E1"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5B3FF3EE"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cross-currency interest rate swap agreements, which are used to protect us against changes in the fair values of certain of our fixed-rate Euro-denominated borrowings attributable to the movements in benchmark interest rates and foreign currency exchange rates by effectively converting the fixed-rate, Euro-denominated borrowings, including the annual interest payments and the payment of principal at maturity, to variable-rate, U.S. Dollar denominated debt based on LIBOR. We have designated these swap agreements as qualifying hedging instruments and are accounting for them as fair value hedges pursuant to ASC 815. As a result of our adoption of ASU 2017-12, we have elected to exclude the portion of the change in fair value of these swap agreements attributable to the related cross-currency basis spread in our assessment of hedge effectiveness. The change in fair value of these swap agreements attributable to the cross-currency basis spread is included in accumulated other comprehensive loss;</w:t>
            </w:r>
          </w:p>
        </w:tc>
      </w:tr>
    </w:tbl>
    <w:p w14:paraId="5B1D75EA"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21</w:t>
      </w:r>
    </w:p>
    <w:p w14:paraId="14417E48" w14:textId="77777777" w:rsidR="00716E85" w:rsidRDefault="00716E85">
      <w:pPr>
        <w:rPr>
          <w:rFonts w:ascii="Times New Roman" w:eastAsia="Times New Roman" w:hAnsi="Times New Roman" w:cs="Times New Roman"/>
          <w:sz w:val="24"/>
          <w:szCs w:val="24"/>
        </w:rPr>
      </w:pPr>
      <w:r>
        <w:rPr>
          <w:rFonts w:eastAsia="Times New Roman"/>
        </w:rPr>
        <w:pict w14:anchorId="3B7679EC">
          <v:rect id="_x0000_i1047" style="width:415.3pt;height:1.5pt" o:hralign="center" o:hrstd="t" o:hr="t" fillcolor="#a0a0a0" stroked="f"/>
        </w:pict>
      </w:r>
    </w:p>
    <w:p w14:paraId="2F9655B1"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562305B" w14:textId="77777777" w:rsidR="00716E85" w:rsidRDefault="00716E85">
      <w:pPr>
        <w:pStyle w:val="a3"/>
      </w:pPr>
      <w:r>
        <w:t> </w:t>
      </w:r>
    </w:p>
    <w:p w14:paraId="12E5F0B9"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1A509EA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21E273E3"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07848670"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0226284B" w14:textId="77777777" w:rsidR="00716E85" w:rsidRDefault="00716E85">
      <w:pPr>
        <w:pStyle w:val="a3"/>
        <w:spacing w:before="0" w:beforeAutospacing="0" w:after="0" w:afterAutospacing="0"/>
        <w:rPr>
          <w:sz w:val="20"/>
          <w:szCs w:val="20"/>
        </w:rPr>
      </w:pPr>
      <w:r>
        <w:rPr>
          <w:sz w:val="20"/>
          <w:szCs w:val="20"/>
        </w:rPr>
        <w:t> </w:t>
      </w:r>
    </w:p>
    <w:p w14:paraId="0CE4822B" w14:textId="77777777" w:rsidR="00716E85" w:rsidRDefault="00716E85">
      <w:pPr>
        <w:pStyle w:val="a3"/>
        <w:spacing w:before="0" w:beforeAutospacing="0" w:after="0" w:afterAutospacing="0"/>
        <w:ind w:left="833" w:hanging="321"/>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52E14858" w14:textId="77777777">
        <w:tc>
          <w:tcPr>
            <w:tcW w:w="262" w:type="pct"/>
            <w:noWrap/>
            <w:hideMark/>
          </w:tcPr>
          <w:p w14:paraId="35625296" w14:textId="77777777" w:rsidR="00716E85" w:rsidRDefault="00716E85">
            <w:pPr>
              <w:pStyle w:val="a3"/>
              <w:spacing w:before="0" w:beforeAutospacing="0" w:after="0" w:afterAutospacing="0"/>
              <w:jc w:val="both"/>
              <w:rPr>
                <w:sz w:val="20"/>
                <w:szCs w:val="20"/>
              </w:rPr>
            </w:pPr>
            <w:r>
              <w:rPr>
                <w:sz w:val="20"/>
                <w:szCs w:val="20"/>
              </w:rPr>
              <w:t> </w:t>
            </w:r>
          </w:p>
        </w:tc>
        <w:tc>
          <w:tcPr>
            <w:tcW w:w="131" w:type="pct"/>
            <w:noWrap/>
            <w:hideMark/>
          </w:tcPr>
          <w:p w14:paraId="18072059" w14:textId="77777777" w:rsidR="00716E85" w:rsidRDefault="00716E85">
            <w:pPr>
              <w:pStyle w:val="a3"/>
              <w:spacing w:before="0" w:beforeAutospacing="0" w:after="0" w:afterAutospacing="0"/>
              <w:jc w:val="both"/>
              <w:rPr>
                <w:sz w:val="20"/>
                <w:szCs w:val="20"/>
              </w:rPr>
            </w:pPr>
            <w:r>
              <w:rPr>
                <w:sz w:val="20"/>
                <w:szCs w:val="20"/>
              </w:rPr>
              <w:t>•</w:t>
            </w:r>
          </w:p>
        </w:tc>
        <w:tc>
          <w:tcPr>
            <w:tcW w:w="0" w:type="auto"/>
            <w:hideMark/>
          </w:tcPr>
          <w:p w14:paraId="6470B51F" w14:textId="77777777" w:rsidR="00716E85" w:rsidRDefault="00716E85">
            <w:pPr>
              <w:pStyle w:val="a3"/>
              <w:spacing w:before="0" w:beforeAutospacing="0" w:after="0" w:afterAutospacing="0"/>
              <w:jc w:val="both"/>
              <w:rPr>
                <w:sz w:val="20"/>
                <w:szCs w:val="20"/>
              </w:rPr>
            </w:pPr>
            <w:r>
              <w:rPr>
                <w:rFonts w:ascii="Calibri" w:hAnsi="Calibri" w:cs="Calibri"/>
                <w:sz w:val="20"/>
                <w:szCs w:val="20"/>
              </w:rPr>
              <w:t xml:space="preserve">cross-currency swap agreements, which are used to manage foreign currency exchange risk by converting certain of our fixed-rate Euro-denominated borrowings to fixed-rate U.S. Dollar denominated debt and are accounted for as cash flow hedges pursuant to ASC 815; and </w:t>
            </w:r>
          </w:p>
        </w:tc>
      </w:tr>
    </w:tbl>
    <w:p w14:paraId="27A128E5" w14:textId="77777777" w:rsidR="00716E85" w:rsidRDefault="00716E85">
      <w:pPr>
        <w:pStyle w:val="a3"/>
        <w:spacing w:before="0" w:beforeAutospacing="0" w:after="0" w:afterAutospacing="0"/>
        <w:ind w:left="833" w:hanging="321"/>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A99E486" w14:textId="77777777">
        <w:tc>
          <w:tcPr>
            <w:tcW w:w="262" w:type="pct"/>
            <w:noWrap/>
            <w:hideMark/>
          </w:tcPr>
          <w:p w14:paraId="6CAA9342" w14:textId="77777777" w:rsidR="00716E85" w:rsidRDefault="00716E85">
            <w:pPr>
              <w:pStyle w:val="a3"/>
              <w:spacing w:before="0" w:beforeAutospacing="0" w:after="0" w:afterAutospacing="0"/>
              <w:jc w:val="both"/>
              <w:rPr>
                <w:sz w:val="20"/>
                <w:szCs w:val="20"/>
              </w:rPr>
            </w:pPr>
            <w:r>
              <w:rPr>
                <w:sz w:val="20"/>
                <w:szCs w:val="20"/>
              </w:rPr>
              <w:t> </w:t>
            </w:r>
          </w:p>
        </w:tc>
        <w:tc>
          <w:tcPr>
            <w:tcW w:w="131" w:type="pct"/>
            <w:noWrap/>
            <w:hideMark/>
          </w:tcPr>
          <w:p w14:paraId="66E04269" w14:textId="77777777" w:rsidR="00716E85" w:rsidRDefault="00716E85">
            <w:pPr>
              <w:pStyle w:val="a3"/>
              <w:spacing w:before="0" w:beforeAutospacing="0" w:after="0" w:afterAutospacing="0"/>
              <w:jc w:val="both"/>
              <w:rPr>
                <w:sz w:val="20"/>
                <w:szCs w:val="20"/>
              </w:rPr>
            </w:pPr>
            <w:r>
              <w:rPr>
                <w:sz w:val="20"/>
                <w:szCs w:val="20"/>
              </w:rPr>
              <w:t>•</w:t>
            </w:r>
          </w:p>
        </w:tc>
        <w:tc>
          <w:tcPr>
            <w:tcW w:w="0" w:type="auto"/>
            <w:hideMark/>
          </w:tcPr>
          <w:p w14:paraId="4460A4AA" w14:textId="77777777" w:rsidR="00716E85" w:rsidRDefault="00716E85">
            <w:pPr>
              <w:pStyle w:val="a3"/>
              <w:spacing w:before="0" w:beforeAutospacing="0" w:after="0" w:afterAutospacing="0"/>
              <w:jc w:val="both"/>
              <w:rPr>
                <w:sz w:val="20"/>
                <w:szCs w:val="20"/>
              </w:rPr>
            </w:pPr>
            <w:r>
              <w:rPr>
                <w:rFonts w:ascii="Calibri" w:hAnsi="Calibri" w:cs="Calibri"/>
                <w:sz w:val="20"/>
                <w:szCs w:val="20"/>
              </w:rPr>
              <w:t>foreign currency borrowings, which were used to reduce the volatility in stockholders’ equity caused by the changes in the foreign currency exchange rates of the Euro with respect to the U.S. Dollar and were accounted for as net investment hedges pursuant to ASC 815 in the first quarter of fiscal 2018. In the fourth quarter of fiscal 2018, we de-designated the foreign currency borrowings as a net investment hedge.</w:t>
            </w:r>
          </w:p>
        </w:tc>
      </w:tr>
    </w:tbl>
    <w:p w14:paraId="0CE0CF8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also held certain foreign currency contracts that were not designated as hedges pursuant to ASC 815. As of February 28, 2019 and May 31, 2018, the notional amounts of such forward contracts we held to purchase U.S. Dollars in exchange for other major international currencies were $3.8 billion and $3.4 billion, respectively, and the notional amount of forward contracts we held to sell U.S. Dollars in exchange for other major international currencies were $3.2 billion and $1.4 billion, respectively. The fair values of our outstanding foreign currency forward contracts were nominal as of February 28, 2019 and May 31, 2018. The cash flows related to these foreign currency contracts are classified as operating activities. Net gains or losses related to these forward contracts are included in non-operating income, net. </w:t>
      </w:r>
    </w:p>
    <w:p w14:paraId="2787637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adoption of ASU-2017-12 during fiscal 2019 did not have a material impact on our previously existing hedge designations. See Note 10 of Notes to Consolidated Financial Statements included in our Annual Report on Form 10-K for the fiscal year ended May 31, 2018 for additional information regarding the purpose, accounting and classification of our derivative and non-derivative instruments. None of our derivative instruments are used for trading purposes. The effects of derivative and non-derivative instruments designated as hedges on certain of our condensed consolidated financial statements were as follows as of or for each of the respective periods presented below (amounts presented exclude any income tax effects):</w:t>
      </w:r>
    </w:p>
    <w:p w14:paraId="10007147"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Fair Values of Derivative Instruments Designated as Hedges in Condensed Consolidated Balance Sheets</w:t>
      </w:r>
    </w:p>
    <w:p w14:paraId="7C06737A"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375"/>
        <w:gridCol w:w="113"/>
        <w:gridCol w:w="1649"/>
        <w:gridCol w:w="113"/>
        <w:gridCol w:w="103"/>
        <w:gridCol w:w="820"/>
        <w:gridCol w:w="72"/>
        <w:gridCol w:w="114"/>
        <w:gridCol w:w="102"/>
        <w:gridCol w:w="793"/>
        <w:gridCol w:w="52"/>
      </w:tblGrid>
      <w:tr w:rsidR="00716E85" w14:paraId="7CBC146F" w14:textId="77777777">
        <w:trPr>
          <w:divId w:val="489517872"/>
          <w:jc w:val="center"/>
        </w:trPr>
        <w:tc>
          <w:tcPr>
            <w:tcW w:w="2641" w:type="pct"/>
            <w:shd w:val="clear" w:color="auto" w:fill="FFFFFF"/>
            <w:tcMar>
              <w:top w:w="15" w:type="dxa"/>
              <w:left w:w="0" w:type="dxa"/>
              <w:bottom w:w="0" w:type="dxa"/>
              <w:right w:w="15" w:type="dxa"/>
            </w:tcMar>
            <w:vAlign w:val="bottom"/>
            <w:hideMark/>
          </w:tcPr>
          <w:p w14:paraId="1E89027D" w14:textId="77777777" w:rsidR="00716E85" w:rsidRDefault="00716E85">
            <w:pPr>
              <w:pStyle w:val="a3"/>
              <w:spacing w:before="0" w:beforeAutospacing="0" w:after="0" w:afterAutospacing="0"/>
              <w:rPr>
                <w:sz w:val="15"/>
                <w:szCs w:val="15"/>
              </w:rPr>
            </w:pPr>
            <w:r>
              <w:rPr>
                <w:sz w:val="15"/>
                <w:szCs w:val="15"/>
              </w:rPr>
              <w:t> </w:t>
            </w:r>
          </w:p>
        </w:tc>
        <w:tc>
          <w:tcPr>
            <w:tcW w:w="75" w:type="pct"/>
            <w:shd w:val="clear" w:color="auto" w:fill="FFFFFF"/>
            <w:tcMar>
              <w:top w:w="15" w:type="dxa"/>
              <w:left w:w="0" w:type="dxa"/>
              <w:bottom w:w="0" w:type="dxa"/>
              <w:right w:w="15" w:type="dxa"/>
            </w:tcMar>
            <w:vAlign w:val="bottom"/>
            <w:hideMark/>
          </w:tcPr>
          <w:p w14:paraId="09312FEF"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000" w:type="pct"/>
            <w:shd w:val="clear" w:color="auto" w:fill="FFFFFF"/>
            <w:tcMar>
              <w:top w:w="15" w:type="dxa"/>
              <w:left w:w="0" w:type="dxa"/>
              <w:bottom w:w="0" w:type="dxa"/>
              <w:right w:w="15" w:type="dxa"/>
            </w:tcMar>
            <w:vAlign w:val="bottom"/>
            <w:hideMark/>
          </w:tcPr>
          <w:p w14:paraId="3F0891FB"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 </w:t>
            </w:r>
          </w:p>
        </w:tc>
        <w:tc>
          <w:tcPr>
            <w:tcW w:w="75" w:type="pct"/>
            <w:shd w:val="clear" w:color="auto" w:fill="FFFFFF"/>
            <w:tcMar>
              <w:top w:w="15" w:type="dxa"/>
              <w:left w:w="0" w:type="dxa"/>
              <w:bottom w:w="0" w:type="dxa"/>
              <w:right w:w="15" w:type="dxa"/>
            </w:tcMar>
            <w:vAlign w:val="bottom"/>
            <w:hideMark/>
          </w:tcPr>
          <w:p w14:paraId="46D51FD4"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0" w:type="pct"/>
            <w:gridSpan w:val="6"/>
            <w:tcBorders>
              <w:bottom w:val="single" w:sz="6" w:space="0" w:color="000000"/>
            </w:tcBorders>
            <w:shd w:val="clear" w:color="auto" w:fill="FFFFFF"/>
            <w:tcMar>
              <w:top w:w="15" w:type="dxa"/>
              <w:left w:w="0" w:type="dxa"/>
              <w:bottom w:w="0" w:type="dxa"/>
              <w:right w:w="15" w:type="dxa"/>
            </w:tcMar>
            <w:vAlign w:val="bottom"/>
            <w:hideMark/>
          </w:tcPr>
          <w:p w14:paraId="7932D317"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Fair Value as of</w:t>
            </w:r>
          </w:p>
        </w:tc>
        <w:tc>
          <w:tcPr>
            <w:tcW w:w="50" w:type="pct"/>
            <w:shd w:val="clear" w:color="auto" w:fill="FFFFFF"/>
            <w:noWrap/>
            <w:tcMar>
              <w:top w:w="15" w:type="dxa"/>
              <w:left w:w="0" w:type="dxa"/>
              <w:bottom w:w="0" w:type="dxa"/>
              <w:right w:w="15" w:type="dxa"/>
            </w:tcMar>
            <w:vAlign w:val="bottom"/>
            <w:hideMark/>
          </w:tcPr>
          <w:p w14:paraId="2DD919B6"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r>
      <w:tr w:rsidR="00716E85" w14:paraId="734DAB90" w14:textId="77777777">
        <w:trPr>
          <w:divId w:val="489517872"/>
          <w:jc w:val="center"/>
        </w:trPr>
        <w:tc>
          <w:tcPr>
            <w:tcW w:w="2641" w:type="pct"/>
            <w:tcBorders>
              <w:bottom w:val="single" w:sz="6" w:space="0" w:color="000000"/>
            </w:tcBorders>
            <w:shd w:val="clear" w:color="auto" w:fill="FFFFFF"/>
            <w:tcMar>
              <w:top w:w="15" w:type="dxa"/>
              <w:left w:w="0" w:type="dxa"/>
              <w:bottom w:w="0" w:type="dxa"/>
              <w:right w:w="15" w:type="dxa"/>
            </w:tcMar>
            <w:vAlign w:val="bottom"/>
            <w:hideMark/>
          </w:tcPr>
          <w:p w14:paraId="5668E4CD"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(in millions)</w:t>
            </w:r>
          </w:p>
        </w:tc>
        <w:tc>
          <w:tcPr>
            <w:tcW w:w="75" w:type="pct"/>
            <w:shd w:val="clear" w:color="auto" w:fill="FFFFFF"/>
            <w:tcMar>
              <w:top w:w="15" w:type="dxa"/>
              <w:left w:w="0" w:type="dxa"/>
              <w:bottom w:w="0" w:type="dxa"/>
              <w:right w:w="15" w:type="dxa"/>
            </w:tcMar>
            <w:vAlign w:val="bottom"/>
            <w:hideMark/>
          </w:tcPr>
          <w:p w14:paraId="111E7DB1"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1000" w:type="pct"/>
            <w:tcBorders>
              <w:bottom w:val="single" w:sz="6" w:space="0" w:color="000000"/>
            </w:tcBorders>
            <w:shd w:val="clear" w:color="auto" w:fill="FFFFFF"/>
            <w:tcMar>
              <w:top w:w="15" w:type="dxa"/>
              <w:left w:w="0" w:type="dxa"/>
              <w:bottom w:w="0" w:type="dxa"/>
              <w:right w:w="15" w:type="dxa"/>
            </w:tcMar>
            <w:vAlign w:val="bottom"/>
            <w:hideMark/>
          </w:tcPr>
          <w:p w14:paraId="59C8B462"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Balance Sheet Location</w:t>
            </w:r>
          </w:p>
        </w:tc>
        <w:tc>
          <w:tcPr>
            <w:tcW w:w="75" w:type="pct"/>
            <w:shd w:val="clear" w:color="auto" w:fill="FFFFFF"/>
            <w:tcMar>
              <w:top w:w="15" w:type="dxa"/>
              <w:left w:w="0" w:type="dxa"/>
              <w:bottom w:w="0" w:type="dxa"/>
              <w:right w:w="15" w:type="dxa"/>
            </w:tcMar>
            <w:vAlign w:val="bottom"/>
            <w:hideMark/>
          </w:tcPr>
          <w:p w14:paraId="03BCFF94"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A57A6E"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February 28,</w:t>
            </w:r>
          </w:p>
          <w:p w14:paraId="5B568123"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0A4F7E1"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75" w:type="pct"/>
            <w:tcBorders>
              <w:top w:val="single" w:sz="6" w:space="0" w:color="000000"/>
            </w:tcBorders>
            <w:shd w:val="clear" w:color="auto" w:fill="FFFFFF"/>
            <w:tcMar>
              <w:top w:w="15" w:type="dxa"/>
              <w:left w:w="0" w:type="dxa"/>
              <w:bottom w:w="0" w:type="dxa"/>
              <w:right w:w="15" w:type="dxa"/>
            </w:tcMar>
            <w:vAlign w:val="bottom"/>
            <w:hideMark/>
          </w:tcPr>
          <w:p w14:paraId="73C6363F"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5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1C01FB"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May 31,</w:t>
            </w:r>
          </w:p>
          <w:p w14:paraId="4B84ADA9" w14:textId="77777777" w:rsidR="00716E85" w:rsidRDefault="00716E85">
            <w:pPr>
              <w:pStyle w:val="a3"/>
              <w:spacing w:before="0" w:beforeAutospacing="0" w:after="0" w:afterAutospacing="0"/>
              <w:jc w:val="center"/>
              <w:rPr>
                <w:rFonts w:ascii="Calibri" w:hAnsi="Calibri" w:cs="Calibri"/>
                <w:b/>
                <w:bCs/>
                <w:color w:val="000000"/>
                <w:sz w:val="16"/>
                <w:szCs w:val="16"/>
              </w:rPr>
            </w:pPr>
            <w:r>
              <w:rPr>
                <w:rFonts w:ascii="Calibri" w:hAnsi="Calibri" w:cs="Calibri"/>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C06FE11" w14:textId="77777777" w:rsidR="00716E85" w:rsidRDefault="00716E85">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r>
      <w:tr w:rsidR="00716E85" w14:paraId="36575567" w14:textId="77777777">
        <w:trPr>
          <w:divId w:val="489517872"/>
          <w:jc w:val="center"/>
        </w:trPr>
        <w:tc>
          <w:tcPr>
            <w:tcW w:w="2641" w:type="pct"/>
            <w:tcBorders>
              <w:top w:val="single" w:sz="6" w:space="0" w:color="000000"/>
            </w:tcBorders>
            <w:shd w:val="clear" w:color="auto" w:fill="CFF0FC"/>
            <w:tcMar>
              <w:top w:w="15" w:type="dxa"/>
              <w:left w:w="0" w:type="dxa"/>
              <w:bottom w:w="0" w:type="dxa"/>
              <w:right w:w="15" w:type="dxa"/>
            </w:tcMar>
            <w:vAlign w:val="bottom"/>
            <w:hideMark/>
          </w:tcPr>
          <w:p w14:paraId="05BBA7E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Derivative assets:</w:t>
            </w:r>
          </w:p>
        </w:tc>
        <w:tc>
          <w:tcPr>
            <w:tcW w:w="75" w:type="pct"/>
            <w:shd w:val="clear" w:color="auto" w:fill="CFF0FC"/>
            <w:tcMar>
              <w:top w:w="15" w:type="dxa"/>
              <w:left w:w="0" w:type="dxa"/>
              <w:bottom w:w="0" w:type="dxa"/>
              <w:right w:w="15" w:type="dxa"/>
            </w:tcMar>
            <w:vAlign w:val="bottom"/>
            <w:hideMark/>
          </w:tcPr>
          <w:p w14:paraId="0B2514A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tcBorders>
              <w:top w:val="single" w:sz="6" w:space="0" w:color="000000"/>
            </w:tcBorders>
            <w:shd w:val="clear" w:color="auto" w:fill="CFF0FC"/>
            <w:tcMar>
              <w:top w:w="15" w:type="dxa"/>
              <w:left w:w="0" w:type="dxa"/>
              <w:bottom w:w="0" w:type="dxa"/>
              <w:right w:w="15" w:type="dxa"/>
            </w:tcMar>
            <w:vAlign w:val="bottom"/>
            <w:hideMark/>
          </w:tcPr>
          <w:p w14:paraId="2896D67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3DAE4DC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E9934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top w:val="single" w:sz="6" w:space="0" w:color="000000"/>
            </w:tcBorders>
            <w:shd w:val="clear" w:color="auto" w:fill="CFF0FC"/>
            <w:noWrap/>
            <w:tcMar>
              <w:top w:w="15" w:type="dxa"/>
              <w:left w:w="0" w:type="dxa"/>
              <w:bottom w:w="0" w:type="dxa"/>
              <w:right w:w="15" w:type="dxa"/>
            </w:tcMar>
            <w:vAlign w:val="bottom"/>
            <w:hideMark/>
          </w:tcPr>
          <w:p w14:paraId="35C393B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B06783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323DF0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32E7C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top w:val="single" w:sz="6" w:space="0" w:color="000000"/>
            </w:tcBorders>
            <w:shd w:val="clear" w:color="auto" w:fill="CFF0FC"/>
            <w:noWrap/>
            <w:tcMar>
              <w:top w:w="15" w:type="dxa"/>
              <w:left w:w="0" w:type="dxa"/>
              <w:bottom w:w="0" w:type="dxa"/>
              <w:right w:w="15" w:type="dxa"/>
            </w:tcMar>
            <w:vAlign w:val="bottom"/>
            <w:hideMark/>
          </w:tcPr>
          <w:p w14:paraId="74F28E7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84F5407"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19A1B427" w14:textId="77777777">
        <w:trPr>
          <w:divId w:val="489517872"/>
          <w:jc w:val="center"/>
        </w:trPr>
        <w:tc>
          <w:tcPr>
            <w:tcW w:w="2641" w:type="pct"/>
            <w:shd w:val="clear" w:color="auto" w:fill="FFFFFF"/>
            <w:tcMar>
              <w:top w:w="15" w:type="dxa"/>
              <w:left w:w="0" w:type="dxa"/>
              <w:bottom w:w="0" w:type="dxa"/>
              <w:right w:w="15" w:type="dxa"/>
            </w:tcMar>
            <w:vAlign w:val="bottom"/>
            <w:hideMark/>
          </w:tcPr>
          <w:p w14:paraId="4F74277C"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Interest rate swap agreements designated as fair value hedges</w:t>
            </w:r>
          </w:p>
        </w:tc>
        <w:tc>
          <w:tcPr>
            <w:tcW w:w="75" w:type="pct"/>
            <w:shd w:val="clear" w:color="auto" w:fill="FFFFFF"/>
            <w:tcMar>
              <w:top w:w="15" w:type="dxa"/>
              <w:left w:w="0" w:type="dxa"/>
              <w:bottom w:w="0" w:type="dxa"/>
              <w:right w:w="15" w:type="dxa"/>
            </w:tcMar>
            <w:vAlign w:val="bottom"/>
            <w:hideMark/>
          </w:tcPr>
          <w:p w14:paraId="361B9C6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FFFFFF"/>
            <w:tcMar>
              <w:top w:w="15" w:type="dxa"/>
              <w:left w:w="0" w:type="dxa"/>
              <w:bottom w:w="0" w:type="dxa"/>
              <w:right w:w="15" w:type="dxa"/>
            </w:tcMar>
            <w:vAlign w:val="bottom"/>
            <w:hideMark/>
          </w:tcPr>
          <w:p w14:paraId="5C4D26B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non-current assets</w:t>
            </w:r>
          </w:p>
        </w:tc>
        <w:tc>
          <w:tcPr>
            <w:tcW w:w="75" w:type="pct"/>
            <w:shd w:val="clear" w:color="auto" w:fill="FFFFFF"/>
            <w:tcMar>
              <w:top w:w="15" w:type="dxa"/>
              <w:left w:w="0" w:type="dxa"/>
              <w:bottom w:w="0" w:type="dxa"/>
              <w:right w:w="15" w:type="dxa"/>
            </w:tcMar>
            <w:vAlign w:val="bottom"/>
            <w:hideMark/>
          </w:tcPr>
          <w:p w14:paraId="16D4076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F2C3BE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shd w:val="clear" w:color="auto" w:fill="FFFFFF"/>
            <w:noWrap/>
            <w:tcMar>
              <w:top w:w="15" w:type="dxa"/>
              <w:left w:w="0" w:type="dxa"/>
              <w:bottom w:w="0" w:type="dxa"/>
              <w:right w:w="15" w:type="dxa"/>
            </w:tcMar>
            <w:vAlign w:val="bottom"/>
            <w:hideMark/>
          </w:tcPr>
          <w:p w14:paraId="3F03E09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12CB02F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113E04A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345D1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shd w:val="clear" w:color="auto" w:fill="FFFFFF"/>
            <w:noWrap/>
            <w:tcMar>
              <w:top w:w="15" w:type="dxa"/>
              <w:left w:w="0" w:type="dxa"/>
              <w:bottom w:w="0" w:type="dxa"/>
              <w:right w:w="15" w:type="dxa"/>
            </w:tcMar>
            <w:vAlign w:val="bottom"/>
            <w:hideMark/>
          </w:tcPr>
          <w:p w14:paraId="787F994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24</w:t>
            </w:r>
          </w:p>
        </w:tc>
        <w:tc>
          <w:tcPr>
            <w:tcW w:w="50" w:type="pct"/>
            <w:shd w:val="clear" w:color="auto" w:fill="FFFFFF"/>
            <w:noWrap/>
            <w:tcMar>
              <w:top w:w="15" w:type="dxa"/>
              <w:left w:w="0" w:type="dxa"/>
              <w:bottom w:w="0" w:type="dxa"/>
              <w:right w:w="15" w:type="dxa"/>
            </w:tcMar>
            <w:vAlign w:val="bottom"/>
            <w:hideMark/>
          </w:tcPr>
          <w:p w14:paraId="522968AE"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7CA4FAAE" w14:textId="77777777">
        <w:trPr>
          <w:divId w:val="489517872"/>
          <w:jc w:val="center"/>
        </w:trPr>
        <w:tc>
          <w:tcPr>
            <w:tcW w:w="2641" w:type="pct"/>
            <w:shd w:val="clear" w:color="auto" w:fill="CFF0FC"/>
            <w:tcMar>
              <w:top w:w="15" w:type="dxa"/>
              <w:left w:w="0" w:type="dxa"/>
              <w:bottom w:w="0" w:type="dxa"/>
              <w:right w:w="15" w:type="dxa"/>
            </w:tcMar>
            <w:vAlign w:val="bottom"/>
            <w:hideMark/>
          </w:tcPr>
          <w:p w14:paraId="6B8906F2"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interest rate swap agreements designated as fair value hedges</w:t>
            </w:r>
          </w:p>
        </w:tc>
        <w:tc>
          <w:tcPr>
            <w:tcW w:w="75" w:type="pct"/>
            <w:shd w:val="clear" w:color="auto" w:fill="CFF0FC"/>
            <w:tcMar>
              <w:top w:w="15" w:type="dxa"/>
              <w:left w:w="0" w:type="dxa"/>
              <w:bottom w:w="0" w:type="dxa"/>
              <w:right w:w="15" w:type="dxa"/>
            </w:tcMar>
            <w:vAlign w:val="bottom"/>
            <w:hideMark/>
          </w:tcPr>
          <w:p w14:paraId="02DC566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CFF0FC"/>
            <w:tcMar>
              <w:top w:w="15" w:type="dxa"/>
              <w:left w:w="0" w:type="dxa"/>
              <w:bottom w:w="0" w:type="dxa"/>
              <w:right w:w="15" w:type="dxa"/>
            </w:tcMar>
            <w:vAlign w:val="bottom"/>
            <w:hideMark/>
          </w:tcPr>
          <w:p w14:paraId="59EB2A7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non-current assets</w:t>
            </w:r>
          </w:p>
        </w:tc>
        <w:tc>
          <w:tcPr>
            <w:tcW w:w="75" w:type="pct"/>
            <w:shd w:val="clear" w:color="auto" w:fill="CFF0FC"/>
            <w:tcMar>
              <w:top w:w="15" w:type="dxa"/>
              <w:left w:w="0" w:type="dxa"/>
              <w:bottom w:w="0" w:type="dxa"/>
              <w:right w:w="15" w:type="dxa"/>
            </w:tcMar>
            <w:vAlign w:val="bottom"/>
            <w:hideMark/>
          </w:tcPr>
          <w:p w14:paraId="2DCA20C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E577C0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bottom w:val="single" w:sz="6" w:space="0" w:color="000000"/>
            </w:tcBorders>
            <w:shd w:val="clear" w:color="auto" w:fill="CFF0FC"/>
            <w:noWrap/>
            <w:tcMar>
              <w:top w:w="15" w:type="dxa"/>
              <w:left w:w="0" w:type="dxa"/>
              <w:bottom w:w="0" w:type="dxa"/>
              <w:right w:w="15" w:type="dxa"/>
            </w:tcMar>
            <w:vAlign w:val="bottom"/>
            <w:hideMark/>
          </w:tcPr>
          <w:p w14:paraId="3D3F0D2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36E8C33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1A95452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B8BE4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bottom w:val="single" w:sz="6" w:space="0" w:color="000000"/>
            </w:tcBorders>
            <w:shd w:val="clear" w:color="auto" w:fill="CFF0FC"/>
            <w:noWrap/>
            <w:tcMar>
              <w:top w:w="15" w:type="dxa"/>
              <w:left w:w="0" w:type="dxa"/>
              <w:bottom w:w="0" w:type="dxa"/>
              <w:right w:w="15" w:type="dxa"/>
            </w:tcMar>
            <w:vAlign w:val="bottom"/>
            <w:hideMark/>
          </w:tcPr>
          <w:p w14:paraId="70D3A14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noWrap/>
            <w:tcMar>
              <w:top w:w="15" w:type="dxa"/>
              <w:left w:w="0" w:type="dxa"/>
              <w:bottom w:w="0" w:type="dxa"/>
              <w:right w:w="15" w:type="dxa"/>
            </w:tcMar>
            <w:vAlign w:val="bottom"/>
            <w:hideMark/>
          </w:tcPr>
          <w:p w14:paraId="01DFAAB8"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794F4E55" w14:textId="77777777">
        <w:trPr>
          <w:divId w:val="489517872"/>
          <w:jc w:val="center"/>
        </w:trPr>
        <w:tc>
          <w:tcPr>
            <w:tcW w:w="2641" w:type="pct"/>
            <w:shd w:val="clear" w:color="auto" w:fill="FFFFFF"/>
            <w:tcMar>
              <w:top w:w="15" w:type="dxa"/>
              <w:left w:w="0" w:type="dxa"/>
              <w:bottom w:w="0" w:type="dxa"/>
              <w:right w:w="15" w:type="dxa"/>
            </w:tcMar>
            <w:vAlign w:val="bottom"/>
            <w:hideMark/>
          </w:tcPr>
          <w:p w14:paraId="6031DB00"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Total derivative assets</w:t>
            </w:r>
          </w:p>
        </w:tc>
        <w:tc>
          <w:tcPr>
            <w:tcW w:w="75" w:type="pct"/>
            <w:shd w:val="clear" w:color="auto" w:fill="FFFFFF"/>
            <w:tcMar>
              <w:top w:w="15" w:type="dxa"/>
              <w:left w:w="0" w:type="dxa"/>
              <w:bottom w:w="0" w:type="dxa"/>
              <w:right w:w="15" w:type="dxa"/>
            </w:tcMar>
            <w:vAlign w:val="bottom"/>
            <w:hideMark/>
          </w:tcPr>
          <w:p w14:paraId="73AB6E3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FFFFFF"/>
            <w:tcMar>
              <w:top w:w="15" w:type="dxa"/>
              <w:left w:w="0" w:type="dxa"/>
              <w:bottom w:w="0" w:type="dxa"/>
              <w:right w:w="15" w:type="dxa"/>
            </w:tcMar>
            <w:vAlign w:val="bottom"/>
            <w:hideMark/>
          </w:tcPr>
          <w:p w14:paraId="12B0C87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230760F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1F8E2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9CCD9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108759C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338C8F0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58921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E8F77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left w:w="0" w:type="dxa"/>
              <w:bottom w:w="0" w:type="dxa"/>
              <w:right w:w="15" w:type="dxa"/>
            </w:tcMar>
            <w:vAlign w:val="bottom"/>
            <w:hideMark/>
          </w:tcPr>
          <w:p w14:paraId="266B314E"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7533B947" w14:textId="77777777">
        <w:trPr>
          <w:divId w:val="489517872"/>
          <w:jc w:val="center"/>
        </w:trPr>
        <w:tc>
          <w:tcPr>
            <w:tcW w:w="2641" w:type="pct"/>
            <w:shd w:val="clear" w:color="auto" w:fill="CFF0FC"/>
            <w:tcMar>
              <w:top w:w="15" w:type="dxa"/>
              <w:left w:w="0" w:type="dxa"/>
              <w:bottom w:w="0" w:type="dxa"/>
              <w:right w:w="15" w:type="dxa"/>
            </w:tcMar>
            <w:vAlign w:val="bottom"/>
            <w:hideMark/>
          </w:tcPr>
          <w:p w14:paraId="727CFA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Derivative liabilities:</w:t>
            </w:r>
          </w:p>
        </w:tc>
        <w:tc>
          <w:tcPr>
            <w:tcW w:w="75" w:type="pct"/>
            <w:shd w:val="clear" w:color="auto" w:fill="CFF0FC"/>
            <w:tcMar>
              <w:top w:w="15" w:type="dxa"/>
              <w:left w:w="0" w:type="dxa"/>
              <w:bottom w:w="0" w:type="dxa"/>
              <w:right w:w="15" w:type="dxa"/>
            </w:tcMar>
            <w:vAlign w:val="bottom"/>
            <w:hideMark/>
          </w:tcPr>
          <w:p w14:paraId="3F9A691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CFF0FC"/>
            <w:tcMar>
              <w:top w:w="15" w:type="dxa"/>
              <w:left w:w="0" w:type="dxa"/>
              <w:bottom w:w="0" w:type="dxa"/>
              <w:right w:w="15" w:type="dxa"/>
            </w:tcMar>
            <w:vAlign w:val="bottom"/>
            <w:hideMark/>
          </w:tcPr>
          <w:p w14:paraId="21BF1FA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3C2D2FC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C8E489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top w:val="double" w:sz="6" w:space="0" w:color="000000"/>
            </w:tcBorders>
            <w:shd w:val="clear" w:color="auto" w:fill="CFF0FC"/>
            <w:noWrap/>
            <w:tcMar>
              <w:top w:w="15" w:type="dxa"/>
              <w:left w:w="0" w:type="dxa"/>
              <w:bottom w:w="0" w:type="dxa"/>
              <w:right w:w="15" w:type="dxa"/>
            </w:tcMar>
            <w:vAlign w:val="bottom"/>
            <w:hideMark/>
          </w:tcPr>
          <w:p w14:paraId="6983D99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240598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79B7E67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F121DB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top w:val="double" w:sz="6" w:space="0" w:color="000000"/>
            </w:tcBorders>
            <w:shd w:val="clear" w:color="auto" w:fill="CFF0FC"/>
            <w:noWrap/>
            <w:tcMar>
              <w:top w:w="15" w:type="dxa"/>
              <w:left w:w="0" w:type="dxa"/>
              <w:bottom w:w="0" w:type="dxa"/>
              <w:right w:w="15" w:type="dxa"/>
            </w:tcMar>
            <w:vAlign w:val="bottom"/>
            <w:hideMark/>
          </w:tcPr>
          <w:p w14:paraId="150A807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EF05683"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2743D66B" w14:textId="77777777">
        <w:trPr>
          <w:divId w:val="489517872"/>
          <w:jc w:val="center"/>
        </w:trPr>
        <w:tc>
          <w:tcPr>
            <w:tcW w:w="2641" w:type="pct"/>
            <w:shd w:val="clear" w:color="auto" w:fill="FFFFFF"/>
            <w:tcMar>
              <w:top w:w="15" w:type="dxa"/>
              <w:left w:w="0" w:type="dxa"/>
              <w:bottom w:w="0" w:type="dxa"/>
              <w:right w:w="15" w:type="dxa"/>
            </w:tcMar>
            <w:vAlign w:val="bottom"/>
            <w:hideMark/>
          </w:tcPr>
          <w:p w14:paraId="5C57C2E4"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Interest rate swap agreements designated as fair value hedges</w:t>
            </w:r>
          </w:p>
        </w:tc>
        <w:tc>
          <w:tcPr>
            <w:tcW w:w="75" w:type="pct"/>
            <w:shd w:val="clear" w:color="auto" w:fill="FFFFFF"/>
            <w:tcMar>
              <w:top w:w="15" w:type="dxa"/>
              <w:left w:w="0" w:type="dxa"/>
              <w:bottom w:w="0" w:type="dxa"/>
              <w:right w:w="15" w:type="dxa"/>
            </w:tcMar>
            <w:vAlign w:val="bottom"/>
            <w:hideMark/>
          </w:tcPr>
          <w:p w14:paraId="2DDC867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FFFFFF"/>
            <w:tcMar>
              <w:top w:w="15" w:type="dxa"/>
              <w:left w:w="0" w:type="dxa"/>
              <w:bottom w:w="0" w:type="dxa"/>
              <w:right w:w="15" w:type="dxa"/>
            </w:tcMar>
            <w:vAlign w:val="bottom"/>
            <w:hideMark/>
          </w:tcPr>
          <w:p w14:paraId="001F2A5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current liabilities</w:t>
            </w:r>
          </w:p>
        </w:tc>
        <w:tc>
          <w:tcPr>
            <w:tcW w:w="75" w:type="pct"/>
            <w:shd w:val="clear" w:color="auto" w:fill="FFFFFF"/>
            <w:tcMar>
              <w:top w:w="15" w:type="dxa"/>
              <w:left w:w="0" w:type="dxa"/>
              <w:bottom w:w="0" w:type="dxa"/>
              <w:right w:w="15" w:type="dxa"/>
            </w:tcMar>
            <w:vAlign w:val="bottom"/>
            <w:hideMark/>
          </w:tcPr>
          <w:p w14:paraId="46A844C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062E20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shd w:val="clear" w:color="auto" w:fill="FFFFFF"/>
            <w:noWrap/>
            <w:tcMar>
              <w:top w:w="15" w:type="dxa"/>
              <w:left w:w="0" w:type="dxa"/>
              <w:bottom w:w="0" w:type="dxa"/>
              <w:right w:w="15" w:type="dxa"/>
            </w:tcMar>
            <w:vAlign w:val="bottom"/>
            <w:hideMark/>
          </w:tcPr>
          <w:p w14:paraId="2C86121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FFFFFF"/>
            <w:noWrap/>
            <w:tcMar>
              <w:top w:w="15" w:type="dxa"/>
              <w:left w:w="0" w:type="dxa"/>
              <w:bottom w:w="0" w:type="dxa"/>
              <w:right w:w="15" w:type="dxa"/>
            </w:tcMar>
            <w:vAlign w:val="bottom"/>
            <w:hideMark/>
          </w:tcPr>
          <w:p w14:paraId="2E6FE2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155AD20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837BD5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shd w:val="clear" w:color="auto" w:fill="FFFFFF"/>
            <w:noWrap/>
            <w:tcMar>
              <w:top w:w="15" w:type="dxa"/>
              <w:left w:w="0" w:type="dxa"/>
              <w:bottom w:w="0" w:type="dxa"/>
              <w:right w:w="15" w:type="dxa"/>
            </w:tcMar>
            <w:vAlign w:val="bottom"/>
            <w:hideMark/>
          </w:tcPr>
          <w:p w14:paraId="6D6897C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FFFFFF"/>
            <w:noWrap/>
            <w:tcMar>
              <w:top w:w="15" w:type="dxa"/>
              <w:left w:w="0" w:type="dxa"/>
              <w:bottom w:w="0" w:type="dxa"/>
              <w:right w:w="15" w:type="dxa"/>
            </w:tcMar>
            <w:vAlign w:val="bottom"/>
            <w:hideMark/>
          </w:tcPr>
          <w:p w14:paraId="6093F5A6"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0478B167" w14:textId="77777777">
        <w:trPr>
          <w:divId w:val="489517872"/>
          <w:jc w:val="center"/>
        </w:trPr>
        <w:tc>
          <w:tcPr>
            <w:tcW w:w="2641" w:type="pct"/>
            <w:shd w:val="clear" w:color="auto" w:fill="CFF0FC"/>
            <w:tcMar>
              <w:top w:w="15" w:type="dxa"/>
              <w:left w:w="0" w:type="dxa"/>
              <w:bottom w:w="0" w:type="dxa"/>
              <w:right w:w="15" w:type="dxa"/>
            </w:tcMar>
            <w:vAlign w:val="bottom"/>
            <w:hideMark/>
          </w:tcPr>
          <w:p w14:paraId="70859D09"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Interest rate swap agreements designated as fair value hedges</w:t>
            </w:r>
          </w:p>
        </w:tc>
        <w:tc>
          <w:tcPr>
            <w:tcW w:w="75" w:type="pct"/>
            <w:shd w:val="clear" w:color="auto" w:fill="CFF0FC"/>
            <w:tcMar>
              <w:top w:w="15" w:type="dxa"/>
              <w:left w:w="0" w:type="dxa"/>
              <w:bottom w:w="0" w:type="dxa"/>
              <w:right w:w="15" w:type="dxa"/>
            </w:tcMar>
            <w:vAlign w:val="bottom"/>
            <w:hideMark/>
          </w:tcPr>
          <w:p w14:paraId="50E65E2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CFF0FC"/>
            <w:tcMar>
              <w:top w:w="15" w:type="dxa"/>
              <w:left w:w="0" w:type="dxa"/>
              <w:bottom w:w="0" w:type="dxa"/>
              <w:right w:w="15" w:type="dxa"/>
            </w:tcMar>
            <w:vAlign w:val="bottom"/>
            <w:hideMark/>
          </w:tcPr>
          <w:p w14:paraId="30B5D53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non-current liabilities</w:t>
            </w:r>
          </w:p>
        </w:tc>
        <w:tc>
          <w:tcPr>
            <w:tcW w:w="75" w:type="pct"/>
            <w:shd w:val="clear" w:color="auto" w:fill="CFF0FC"/>
            <w:tcMar>
              <w:top w:w="15" w:type="dxa"/>
              <w:left w:w="0" w:type="dxa"/>
              <w:bottom w:w="0" w:type="dxa"/>
              <w:right w:w="15" w:type="dxa"/>
            </w:tcMar>
            <w:vAlign w:val="bottom"/>
            <w:hideMark/>
          </w:tcPr>
          <w:p w14:paraId="4AC115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C52EE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shd w:val="clear" w:color="auto" w:fill="CFF0FC"/>
            <w:noWrap/>
            <w:tcMar>
              <w:top w:w="15" w:type="dxa"/>
              <w:left w:w="0" w:type="dxa"/>
              <w:bottom w:w="0" w:type="dxa"/>
              <w:right w:w="15" w:type="dxa"/>
            </w:tcMar>
            <w:vAlign w:val="bottom"/>
            <w:hideMark/>
          </w:tcPr>
          <w:p w14:paraId="4484E74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CFF0FC"/>
            <w:noWrap/>
            <w:tcMar>
              <w:top w:w="15" w:type="dxa"/>
              <w:left w:w="0" w:type="dxa"/>
              <w:bottom w:w="0" w:type="dxa"/>
              <w:right w:w="15" w:type="dxa"/>
            </w:tcMar>
            <w:vAlign w:val="bottom"/>
            <w:hideMark/>
          </w:tcPr>
          <w:p w14:paraId="39A9A9F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3CEA6FC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8CDFEB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shd w:val="clear" w:color="auto" w:fill="CFF0FC"/>
            <w:noWrap/>
            <w:tcMar>
              <w:top w:w="15" w:type="dxa"/>
              <w:left w:w="0" w:type="dxa"/>
              <w:bottom w:w="0" w:type="dxa"/>
              <w:right w:w="15" w:type="dxa"/>
            </w:tcMar>
            <w:vAlign w:val="bottom"/>
            <w:hideMark/>
          </w:tcPr>
          <w:p w14:paraId="61B2079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48</w:t>
            </w:r>
          </w:p>
        </w:tc>
        <w:tc>
          <w:tcPr>
            <w:tcW w:w="50" w:type="pct"/>
            <w:shd w:val="clear" w:color="auto" w:fill="CFF0FC"/>
            <w:noWrap/>
            <w:tcMar>
              <w:top w:w="15" w:type="dxa"/>
              <w:left w:w="0" w:type="dxa"/>
              <w:bottom w:w="0" w:type="dxa"/>
              <w:right w:w="15" w:type="dxa"/>
            </w:tcMar>
            <w:vAlign w:val="bottom"/>
            <w:hideMark/>
          </w:tcPr>
          <w:p w14:paraId="05D982B9"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6080451C" w14:textId="77777777">
        <w:trPr>
          <w:divId w:val="489517872"/>
          <w:jc w:val="center"/>
        </w:trPr>
        <w:tc>
          <w:tcPr>
            <w:tcW w:w="2641" w:type="pct"/>
            <w:shd w:val="clear" w:color="auto" w:fill="FFFFFF"/>
            <w:tcMar>
              <w:top w:w="15" w:type="dxa"/>
              <w:left w:w="0" w:type="dxa"/>
              <w:bottom w:w="0" w:type="dxa"/>
              <w:right w:w="15" w:type="dxa"/>
            </w:tcMar>
            <w:vAlign w:val="bottom"/>
            <w:hideMark/>
          </w:tcPr>
          <w:p w14:paraId="253A66C1"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interest rate swap agreements designated as fair value hedges</w:t>
            </w:r>
          </w:p>
        </w:tc>
        <w:tc>
          <w:tcPr>
            <w:tcW w:w="75" w:type="pct"/>
            <w:shd w:val="clear" w:color="auto" w:fill="FFFFFF"/>
            <w:tcMar>
              <w:top w:w="15" w:type="dxa"/>
              <w:left w:w="0" w:type="dxa"/>
              <w:bottom w:w="0" w:type="dxa"/>
              <w:right w:w="15" w:type="dxa"/>
            </w:tcMar>
            <w:vAlign w:val="bottom"/>
            <w:hideMark/>
          </w:tcPr>
          <w:p w14:paraId="4C84C5A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FFFFFF"/>
            <w:tcMar>
              <w:top w:w="15" w:type="dxa"/>
              <w:left w:w="0" w:type="dxa"/>
              <w:bottom w:w="0" w:type="dxa"/>
              <w:right w:w="15" w:type="dxa"/>
            </w:tcMar>
            <w:vAlign w:val="bottom"/>
            <w:hideMark/>
          </w:tcPr>
          <w:p w14:paraId="1C9F020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non-current liabilities</w:t>
            </w:r>
          </w:p>
        </w:tc>
        <w:tc>
          <w:tcPr>
            <w:tcW w:w="75" w:type="pct"/>
            <w:shd w:val="clear" w:color="auto" w:fill="FFFFFF"/>
            <w:tcMar>
              <w:top w:w="15" w:type="dxa"/>
              <w:left w:w="0" w:type="dxa"/>
              <w:bottom w:w="0" w:type="dxa"/>
              <w:right w:w="15" w:type="dxa"/>
            </w:tcMar>
            <w:vAlign w:val="bottom"/>
            <w:hideMark/>
          </w:tcPr>
          <w:p w14:paraId="1B1D1A5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68828A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shd w:val="clear" w:color="auto" w:fill="FFFFFF"/>
            <w:noWrap/>
            <w:tcMar>
              <w:top w:w="15" w:type="dxa"/>
              <w:left w:w="0" w:type="dxa"/>
              <w:bottom w:w="0" w:type="dxa"/>
              <w:right w:w="15" w:type="dxa"/>
            </w:tcMar>
            <w:vAlign w:val="bottom"/>
            <w:hideMark/>
          </w:tcPr>
          <w:p w14:paraId="708BD56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FFFFFF"/>
            <w:noWrap/>
            <w:tcMar>
              <w:top w:w="15" w:type="dxa"/>
              <w:left w:w="0" w:type="dxa"/>
              <w:bottom w:w="0" w:type="dxa"/>
              <w:right w:w="15" w:type="dxa"/>
            </w:tcMar>
            <w:vAlign w:val="bottom"/>
            <w:hideMark/>
          </w:tcPr>
          <w:p w14:paraId="3F8772C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4A4A9DA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B8EB7F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shd w:val="clear" w:color="auto" w:fill="FFFFFF"/>
            <w:noWrap/>
            <w:tcMar>
              <w:top w:w="15" w:type="dxa"/>
              <w:left w:w="0" w:type="dxa"/>
              <w:bottom w:w="0" w:type="dxa"/>
              <w:right w:w="15" w:type="dxa"/>
            </w:tcMar>
            <w:vAlign w:val="bottom"/>
            <w:hideMark/>
          </w:tcPr>
          <w:p w14:paraId="1D34E76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119D7438"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0C7D51E2" w14:textId="77777777">
        <w:trPr>
          <w:divId w:val="489517872"/>
          <w:jc w:val="center"/>
        </w:trPr>
        <w:tc>
          <w:tcPr>
            <w:tcW w:w="2641" w:type="pct"/>
            <w:shd w:val="clear" w:color="auto" w:fill="CFF0FC"/>
            <w:tcMar>
              <w:top w:w="15" w:type="dxa"/>
              <w:left w:w="0" w:type="dxa"/>
              <w:bottom w:w="0" w:type="dxa"/>
              <w:right w:w="15" w:type="dxa"/>
            </w:tcMar>
            <w:vAlign w:val="bottom"/>
            <w:hideMark/>
          </w:tcPr>
          <w:p w14:paraId="33E828ED"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swap agreements designated as cash flow hedges</w:t>
            </w:r>
          </w:p>
        </w:tc>
        <w:tc>
          <w:tcPr>
            <w:tcW w:w="75" w:type="pct"/>
            <w:shd w:val="clear" w:color="auto" w:fill="CFF0FC"/>
            <w:tcMar>
              <w:top w:w="15" w:type="dxa"/>
              <w:left w:w="0" w:type="dxa"/>
              <w:bottom w:w="0" w:type="dxa"/>
              <w:right w:w="15" w:type="dxa"/>
            </w:tcMar>
            <w:vAlign w:val="bottom"/>
            <w:hideMark/>
          </w:tcPr>
          <w:p w14:paraId="6C76D93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CFF0FC"/>
            <w:tcMar>
              <w:top w:w="15" w:type="dxa"/>
              <w:left w:w="0" w:type="dxa"/>
              <w:bottom w:w="0" w:type="dxa"/>
              <w:right w:w="15" w:type="dxa"/>
            </w:tcMar>
            <w:vAlign w:val="bottom"/>
            <w:hideMark/>
          </w:tcPr>
          <w:p w14:paraId="26774FD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Other non-current liabilities</w:t>
            </w:r>
          </w:p>
        </w:tc>
        <w:tc>
          <w:tcPr>
            <w:tcW w:w="75" w:type="pct"/>
            <w:shd w:val="clear" w:color="auto" w:fill="CFF0FC"/>
            <w:tcMar>
              <w:top w:w="15" w:type="dxa"/>
              <w:left w:w="0" w:type="dxa"/>
              <w:bottom w:w="0" w:type="dxa"/>
              <w:right w:w="15" w:type="dxa"/>
            </w:tcMar>
            <w:vAlign w:val="bottom"/>
            <w:hideMark/>
          </w:tcPr>
          <w:p w14:paraId="4A3EF4E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45F6D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bottom w:val="single" w:sz="6" w:space="0" w:color="000000"/>
            </w:tcBorders>
            <w:shd w:val="clear" w:color="auto" w:fill="CFF0FC"/>
            <w:noWrap/>
            <w:tcMar>
              <w:top w:w="15" w:type="dxa"/>
              <w:left w:w="0" w:type="dxa"/>
              <w:bottom w:w="0" w:type="dxa"/>
              <w:right w:w="15" w:type="dxa"/>
            </w:tcMar>
            <w:vAlign w:val="bottom"/>
            <w:hideMark/>
          </w:tcPr>
          <w:p w14:paraId="531A92E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165</w:t>
            </w:r>
          </w:p>
        </w:tc>
        <w:tc>
          <w:tcPr>
            <w:tcW w:w="50" w:type="pct"/>
            <w:shd w:val="clear" w:color="auto" w:fill="CFF0FC"/>
            <w:noWrap/>
            <w:tcMar>
              <w:top w:w="15" w:type="dxa"/>
              <w:left w:w="0" w:type="dxa"/>
              <w:bottom w:w="0" w:type="dxa"/>
              <w:right w:w="15" w:type="dxa"/>
            </w:tcMar>
            <w:vAlign w:val="bottom"/>
            <w:hideMark/>
          </w:tcPr>
          <w:p w14:paraId="3D82A62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CFF0FC"/>
            <w:tcMar>
              <w:top w:w="15" w:type="dxa"/>
              <w:left w:w="0" w:type="dxa"/>
              <w:bottom w:w="0" w:type="dxa"/>
              <w:right w:w="15" w:type="dxa"/>
            </w:tcMar>
            <w:vAlign w:val="bottom"/>
            <w:hideMark/>
          </w:tcPr>
          <w:p w14:paraId="582DC24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83AF0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0" w:type="pct"/>
            <w:tcBorders>
              <w:bottom w:val="single" w:sz="6" w:space="0" w:color="000000"/>
            </w:tcBorders>
            <w:shd w:val="clear" w:color="auto" w:fill="CFF0FC"/>
            <w:noWrap/>
            <w:tcMar>
              <w:top w:w="15" w:type="dxa"/>
              <w:left w:w="0" w:type="dxa"/>
              <w:bottom w:w="0" w:type="dxa"/>
              <w:right w:w="15" w:type="dxa"/>
            </w:tcMar>
            <w:vAlign w:val="bottom"/>
            <w:hideMark/>
          </w:tcPr>
          <w:p w14:paraId="4CDF96E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103</w:t>
            </w:r>
          </w:p>
        </w:tc>
        <w:tc>
          <w:tcPr>
            <w:tcW w:w="50" w:type="pct"/>
            <w:shd w:val="clear" w:color="auto" w:fill="CFF0FC"/>
            <w:noWrap/>
            <w:tcMar>
              <w:top w:w="15" w:type="dxa"/>
              <w:left w:w="0" w:type="dxa"/>
              <w:bottom w:w="0" w:type="dxa"/>
              <w:right w:w="15" w:type="dxa"/>
            </w:tcMar>
            <w:vAlign w:val="bottom"/>
            <w:hideMark/>
          </w:tcPr>
          <w:p w14:paraId="38AE2990"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36C063B0" w14:textId="77777777">
        <w:trPr>
          <w:divId w:val="489517872"/>
          <w:jc w:val="center"/>
        </w:trPr>
        <w:tc>
          <w:tcPr>
            <w:tcW w:w="2641" w:type="pct"/>
            <w:shd w:val="clear" w:color="auto" w:fill="FFFFFF"/>
            <w:tcMar>
              <w:top w:w="15" w:type="dxa"/>
              <w:left w:w="0" w:type="dxa"/>
              <w:bottom w:w="0" w:type="dxa"/>
              <w:right w:w="15" w:type="dxa"/>
            </w:tcMar>
            <w:vAlign w:val="bottom"/>
            <w:hideMark/>
          </w:tcPr>
          <w:p w14:paraId="3EBAF30A"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Total derivative liabilities</w:t>
            </w:r>
          </w:p>
        </w:tc>
        <w:tc>
          <w:tcPr>
            <w:tcW w:w="75" w:type="pct"/>
            <w:shd w:val="clear" w:color="auto" w:fill="FFFFFF"/>
            <w:tcMar>
              <w:top w:w="15" w:type="dxa"/>
              <w:left w:w="0" w:type="dxa"/>
              <w:bottom w:w="0" w:type="dxa"/>
              <w:right w:w="15" w:type="dxa"/>
            </w:tcMar>
            <w:vAlign w:val="bottom"/>
            <w:hideMark/>
          </w:tcPr>
          <w:p w14:paraId="250A995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1000" w:type="pct"/>
            <w:shd w:val="clear" w:color="auto" w:fill="FFFFFF"/>
            <w:tcMar>
              <w:top w:w="15" w:type="dxa"/>
              <w:left w:w="0" w:type="dxa"/>
              <w:bottom w:w="0" w:type="dxa"/>
              <w:right w:w="15" w:type="dxa"/>
            </w:tcMar>
            <w:vAlign w:val="bottom"/>
            <w:hideMark/>
          </w:tcPr>
          <w:p w14:paraId="22A9FFE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6ECB954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2A22B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82148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206</w:t>
            </w:r>
          </w:p>
        </w:tc>
        <w:tc>
          <w:tcPr>
            <w:tcW w:w="50" w:type="pct"/>
            <w:shd w:val="clear" w:color="auto" w:fill="FFFFFF"/>
            <w:noWrap/>
            <w:tcMar>
              <w:top w:w="15" w:type="dxa"/>
              <w:left w:w="0" w:type="dxa"/>
              <w:bottom w:w="0" w:type="dxa"/>
              <w:right w:w="15" w:type="dxa"/>
            </w:tcMar>
            <w:vAlign w:val="bottom"/>
            <w:hideMark/>
          </w:tcPr>
          <w:p w14:paraId="63596CC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5" w:type="pct"/>
            <w:shd w:val="clear" w:color="auto" w:fill="FFFFFF"/>
            <w:tcMar>
              <w:top w:w="15" w:type="dxa"/>
              <w:left w:w="0" w:type="dxa"/>
              <w:bottom w:w="0" w:type="dxa"/>
              <w:right w:w="15" w:type="dxa"/>
            </w:tcMar>
            <w:vAlign w:val="bottom"/>
            <w:hideMark/>
          </w:tcPr>
          <w:p w14:paraId="78AF1F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4FD2D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58594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158</w:t>
            </w:r>
          </w:p>
        </w:tc>
        <w:tc>
          <w:tcPr>
            <w:tcW w:w="50" w:type="pct"/>
            <w:shd w:val="clear" w:color="auto" w:fill="FFFFFF"/>
            <w:noWrap/>
            <w:tcMar>
              <w:top w:w="15" w:type="dxa"/>
              <w:left w:w="0" w:type="dxa"/>
              <w:bottom w:w="0" w:type="dxa"/>
              <w:right w:w="15" w:type="dxa"/>
            </w:tcMar>
            <w:vAlign w:val="bottom"/>
            <w:hideMark/>
          </w:tcPr>
          <w:p w14:paraId="3E64A951"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DBD39E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22</w:t>
      </w:r>
    </w:p>
    <w:p w14:paraId="2F63C430" w14:textId="77777777" w:rsidR="00716E85" w:rsidRDefault="00716E85">
      <w:pPr>
        <w:rPr>
          <w:rFonts w:ascii="Times New Roman" w:eastAsia="Times New Roman" w:hAnsi="Times New Roman" w:cs="Times New Roman"/>
          <w:sz w:val="24"/>
          <w:szCs w:val="24"/>
        </w:rPr>
      </w:pPr>
      <w:r>
        <w:rPr>
          <w:rFonts w:eastAsia="Times New Roman"/>
        </w:rPr>
        <w:pict w14:anchorId="4B301D4A">
          <v:rect id="_x0000_i1048" style="width:415.3pt;height:1.5pt" o:hralign="center" o:hrstd="t" o:hr="t" fillcolor="#a0a0a0" stroked="f"/>
        </w:pict>
      </w:r>
    </w:p>
    <w:p w14:paraId="216A3AC8"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35DE03A" w14:textId="77777777" w:rsidR="00716E85" w:rsidRDefault="00716E85">
      <w:pPr>
        <w:pStyle w:val="a3"/>
      </w:pPr>
      <w:r>
        <w:t> </w:t>
      </w:r>
    </w:p>
    <w:p w14:paraId="436FD52E"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45223D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4E350E86"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647AFF59"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5DA2DCE9" w14:textId="77777777" w:rsidR="00716E85" w:rsidRDefault="00716E85">
      <w:pPr>
        <w:pStyle w:val="a3"/>
        <w:spacing w:before="0" w:beforeAutospacing="0" w:after="0" w:afterAutospacing="0"/>
        <w:rPr>
          <w:sz w:val="20"/>
          <w:szCs w:val="20"/>
        </w:rPr>
      </w:pPr>
      <w:r>
        <w:rPr>
          <w:sz w:val="20"/>
          <w:szCs w:val="20"/>
        </w:rPr>
        <w:t> </w:t>
      </w:r>
    </w:p>
    <w:p w14:paraId="4C01BFD8" w14:textId="77777777" w:rsidR="00716E85" w:rsidRDefault="00716E85">
      <w:pPr>
        <w:pStyle w:val="a3"/>
        <w:spacing w:before="240" w:beforeAutospacing="0" w:after="0" w:afterAutospacing="0"/>
        <w:jc w:val="both"/>
        <w:rPr>
          <w:rFonts w:ascii="Calibri" w:hAnsi="Calibri" w:cs="Calibri"/>
          <w:b/>
          <w:bCs/>
          <w:sz w:val="20"/>
          <w:szCs w:val="20"/>
        </w:rPr>
      </w:pPr>
      <w:bookmarkStart w:id="32" w:name="_AEIOULastRenderedPageBreakAEIOU24"/>
      <w:bookmarkEnd w:id="32"/>
      <w:r>
        <w:rPr>
          <w:rFonts w:ascii="Calibri" w:hAnsi="Calibri" w:cs="Calibri"/>
          <w:b/>
          <w:bCs/>
          <w:sz w:val="20"/>
          <w:szCs w:val="20"/>
        </w:rPr>
        <w:t>Effects of Fair Value Hedging Relationships on Hedged Items in Condensed Consolidated Balance Sheet</w:t>
      </w:r>
    </w:p>
    <w:p w14:paraId="7A299C34" w14:textId="77777777" w:rsidR="00716E85" w:rsidRDefault="00716E85">
      <w:pPr>
        <w:pStyle w:val="a3"/>
        <w:spacing w:before="0" w:beforeAutospacing="0" w:after="0" w:afterAutospacing="0"/>
        <w:jc w:val="both"/>
        <w:rPr>
          <w:b/>
          <w:bCs/>
          <w:sz w:val="16"/>
          <w:szCs w:val="16"/>
        </w:rPr>
      </w:pPr>
      <w:r>
        <w:rPr>
          <w:b/>
          <w:bCs/>
          <w:sz w:val="16"/>
          <w:szCs w:val="16"/>
        </w:rPr>
        <w:t> </w:t>
      </w:r>
    </w:p>
    <w:tbl>
      <w:tblPr>
        <w:tblW w:w="5000" w:type="pct"/>
        <w:jc w:val="center"/>
        <w:tblCellMar>
          <w:left w:w="0" w:type="dxa"/>
          <w:right w:w="0" w:type="dxa"/>
        </w:tblCellMar>
        <w:tblLook w:val="04A0" w:firstRow="1" w:lastRow="0" w:firstColumn="1" w:lastColumn="0" w:noHBand="0" w:noVBand="1"/>
      </w:tblPr>
      <w:tblGrid>
        <w:gridCol w:w="5719"/>
        <w:gridCol w:w="134"/>
        <w:gridCol w:w="108"/>
        <w:gridCol w:w="975"/>
        <w:gridCol w:w="76"/>
        <w:gridCol w:w="134"/>
        <w:gridCol w:w="107"/>
        <w:gridCol w:w="976"/>
        <w:gridCol w:w="77"/>
      </w:tblGrid>
      <w:tr w:rsidR="00716E85" w14:paraId="2D29F2E9" w14:textId="77777777">
        <w:trPr>
          <w:divId w:val="1167213131"/>
          <w:jc w:val="center"/>
        </w:trPr>
        <w:tc>
          <w:tcPr>
            <w:tcW w:w="3446" w:type="pct"/>
            <w:tcBorders>
              <w:bottom w:val="single" w:sz="6" w:space="0" w:color="000000"/>
            </w:tcBorders>
            <w:shd w:val="clear" w:color="auto" w:fill="FFFFFF"/>
            <w:tcMar>
              <w:top w:w="15" w:type="dxa"/>
              <w:left w:w="0" w:type="dxa"/>
              <w:bottom w:w="0" w:type="dxa"/>
              <w:right w:w="15" w:type="dxa"/>
            </w:tcMar>
            <w:vAlign w:val="bottom"/>
            <w:hideMark/>
          </w:tcPr>
          <w:p w14:paraId="295A75D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left w:w="0" w:type="dxa"/>
              <w:bottom w:w="0" w:type="dxa"/>
              <w:right w:w="15" w:type="dxa"/>
            </w:tcMar>
            <w:vAlign w:val="bottom"/>
            <w:hideMark/>
          </w:tcPr>
          <w:p w14:paraId="0E66C7B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41" w:type="pct"/>
            <w:gridSpan w:val="2"/>
            <w:tcBorders>
              <w:bottom w:val="single" w:sz="6" w:space="0" w:color="000000"/>
            </w:tcBorders>
            <w:shd w:val="clear" w:color="auto" w:fill="FFFFFF"/>
            <w:tcMar>
              <w:top w:w="15" w:type="dxa"/>
              <w:left w:w="0" w:type="dxa"/>
              <w:bottom w:w="0" w:type="dxa"/>
              <w:right w:w="15" w:type="dxa"/>
            </w:tcMar>
            <w:vAlign w:val="bottom"/>
            <w:hideMark/>
          </w:tcPr>
          <w:p w14:paraId="18097E5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3F3FCF6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E0484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left w:w="0" w:type="dxa"/>
              <w:bottom w:w="0" w:type="dxa"/>
              <w:right w:w="15" w:type="dxa"/>
            </w:tcMar>
            <w:vAlign w:val="bottom"/>
            <w:hideMark/>
          </w:tcPr>
          <w:p w14:paraId="5E59138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41" w:type="pct"/>
            <w:gridSpan w:val="2"/>
            <w:tcBorders>
              <w:bottom w:val="single" w:sz="6" w:space="0" w:color="000000"/>
            </w:tcBorders>
            <w:shd w:val="clear" w:color="auto" w:fill="FFFFFF"/>
            <w:tcMar>
              <w:top w:w="15" w:type="dxa"/>
              <w:left w:w="0" w:type="dxa"/>
              <w:bottom w:w="0" w:type="dxa"/>
              <w:right w:w="15" w:type="dxa"/>
            </w:tcMar>
            <w:vAlign w:val="bottom"/>
            <w:hideMark/>
          </w:tcPr>
          <w:p w14:paraId="1A4FECC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73B5EF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BB801C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22012F1" w14:textId="77777777">
        <w:trPr>
          <w:divId w:val="1167213131"/>
          <w:jc w:val="center"/>
        </w:trPr>
        <w:tc>
          <w:tcPr>
            <w:tcW w:w="3446" w:type="pct"/>
            <w:tcBorders>
              <w:top w:val="single" w:sz="6" w:space="0" w:color="000000"/>
            </w:tcBorders>
            <w:shd w:val="clear" w:color="auto" w:fill="CFF0FC"/>
            <w:tcMar>
              <w:top w:w="15" w:type="dxa"/>
              <w:left w:w="0" w:type="dxa"/>
              <w:bottom w:w="0" w:type="dxa"/>
              <w:right w:w="15" w:type="dxa"/>
            </w:tcMar>
            <w:vAlign w:val="bottom"/>
            <w:hideMark/>
          </w:tcPr>
          <w:p w14:paraId="3D589B8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Notes payable and other borrowings, current:</w:t>
            </w:r>
          </w:p>
        </w:tc>
        <w:tc>
          <w:tcPr>
            <w:tcW w:w="85" w:type="pct"/>
            <w:shd w:val="clear" w:color="auto" w:fill="CFF0FC"/>
            <w:tcMar>
              <w:top w:w="15" w:type="dxa"/>
              <w:left w:w="0" w:type="dxa"/>
              <w:bottom w:w="0" w:type="dxa"/>
              <w:right w:w="15" w:type="dxa"/>
            </w:tcMar>
            <w:vAlign w:val="bottom"/>
            <w:hideMark/>
          </w:tcPr>
          <w:p w14:paraId="0B535D71"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83471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tcBorders>
              <w:top w:val="single" w:sz="6" w:space="0" w:color="000000"/>
            </w:tcBorders>
            <w:shd w:val="clear" w:color="auto" w:fill="CFF0FC"/>
            <w:noWrap/>
            <w:tcMar>
              <w:top w:w="15" w:type="dxa"/>
              <w:left w:w="0" w:type="dxa"/>
              <w:bottom w:w="0" w:type="dxa"/>
              <w:right w:w="15" w:type="dxa"/>
            </w:tcMar>
            <w:vAlign w:val="bottom"/>
            <w:hideMark/>
          </w:tcPr>
          <w:p w14:paraId="2F0240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479CD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4FD06E79"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2AEB4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tcBorders>
              <w:top w:val="single" w:sz="6" w:space="0" w:color="000000"/>
            </w:tcBorders>
            <w:shd w:val="clear" w:color="auto" w:fill="CFF0FC"/>
            <w:noWrap/>
            <w:tcMar>
              <w:top w:w="15" w:type="dxa"/>
              <w:left w:w="0" w:type="dxa"/>
              <w:bottom w:w="0" w:type="dxa"/>
              <w:right w:w="15" w:type="dxa"/>
            </w:tcMar>
            <w:vAlign w:val="bottom"/>
            <w:hideMark/>
          </w:tcPr>
          <w:p w14:paraId="2B90DC0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F5605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48000FEF" w14:textId="77777777">
        <w:trPr>
          <w:divId w:val="1167213131"/>
          <w:jc w:val="center"/>
        </w:trPr>
        <w:tc>
          <w:tcPr>
            <w:tcW w:w="3446" w:type="pct"/>
            <w:shd w:val="clear" w:color="auto" w:fill="FFFFFF"/>
            <w:tcMar>
              <w:top w:w="15" w:type="dxa"/>
              <w:left w:w="0" w:type="dxa"/>
              <w:bottom w:w="0" w:type="dxa"/>
              <w:right w:w="15" w:type="dxa"/>
            </w:tcMar>
            <w:vAlign w:val="bottom"/>
            <w:hideMark/>
          </w:tcPr>
          <w:p w14:paraId="33839938" w14:textId="77777777" w:rsidR="00716E85" w:rsidRDefault="00716E85">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Carrying amount of hedged item</w:t>
            </w:r>
          </w:p>
        </w:tc>
        <w:tc>
          <w:tcPr>
            <w:tcW w:w="85" w:type="pct"/>
            <w:shd w:val="clear" w:color="auto" w:fill="FFFFFF"/>
            <w:tcMar>
              <w:top w:w="15" w:type="dxa"/>
              <w:left w:w="0" w:type="dxa"/>
              <w:bottom w:w="0" w:type="dxa"/>
              <w:right w:w="15" w:type="dxa"/>
            </w:tcMar>
            <w:vAlign w:val="bottom"/>
            <w:hideMark/>
          </w:tcPr>
          <w:p w14:paraId="5A99C1DF"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7AF819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1" w:type="pct"/>
            <w:shd w:val="clear" w:color="auto" w:fill="FFFFFF"/>
            <w:noWrap/>
            <w:tcMar>
              <w:top w:w="15" w:type="dxa"/>
              <w:left w:w="0" w:type="dxa"/>
              <w:bottom w:w="0" w:type="dxa"/>
              <w:right w:w="15" w:type="dxa"/>
            </w:tcMar>
            <w:vAlign w:val="bottom"/>
            <w:hideMark/>
          </w:tcPr>
          <w:p w14:paraId="030C830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1,988</w:t>
            </w:r>
          </w:p>
        </w:tc>
        <w:tc>
          <w:tcPr>
            <w:tcW w:w="50" w:type="pct"/>
            <w:shd w:val="clear" w:color="auto" w:fill="FFFFFF"/>
            <w:noWrap/>
            <w:tcMar>
              <w:top w:w="15" w:type="dxa"/>
              <w:left w:w="0" w:type="dxa"/>
              <w:bottom w:w="0" w:type="dxa"/>
              <w:right w:w="15" w:type="dxa"/>
            </w:tcMar>
            <w:vAlign w:val="bottom"/>
            <w:hideMark/>
          </w:tcPr>
          <w:p w14:paraId="120BB4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661F4AD5"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5986B3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591" w:type="pct"/>
            <w:shd w:val="clear" w:color="auto" w:fill="FFFFFF"/>
            <w:noWrap/>
            <w:tcMar>
              <w:top w:w="15" w:type="dxa"/>
              <w:left w:w="0" w:type="dxa"/>
              <w:bottom w:w="0" w:type="dxa"/>
              <w:right w:w="15" w:type="dxa"/>
            </w:tcMar>
            <w:vAlign w:val="bottom"/>
            <w:hideMark/>
          </w:tcPr>
          <w:p w14:paraId="1F92EC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1,492</w:t>
            </w:r>
          </w:p>
        </w:tc>
        <w:tc>
          <w:tcPr>
            <w:tcW w:w="50" w:type="pct"/>
            <w:shd w:val="clear" w:color="auto" w:fill="FFFFFF"/>
            <w:noWrap/>
            <w:tcMar>
              <w:top w:w="15" w:type="dxa"/>
              <w:left w:w="0" w:type="dxa"/>
              <w:bottom w:w="0" w:type="dxa"/>
              <w:right w:w="15" w:type="dxa"/>
            </w:tcMar>
            <w:vAlign w:val="bottom"/>
            <w:hideMark/>
          </w:tcPr>
          <w:p w14:paraId="6285F47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DD99C74" w14:textId="77777777">
        <w:trPr>
          <w:divId w:val="1167213131"/>
          <w:jc w:val="center"/>
        </w:trPr>
        <w:tc>
          <w:tcPr>
            <w:tcW w:w="3446" w:type="pct"/>
            <w:shd w:val="clear" w:color="auto" w:fill="CFF0FC"/>
            <w:tcMar>
              <w:top w:w="15" w:type="dxa"/>
              <w:left w:w="0" w:type="dxa"/>
              <w:bottom w:w="0" w:type="dxa"/>
              <w:right w:w="15" w:type="dxa"/>
            </w:tcMar>
            <w:vAlign w:val="bottom"/>
            <w:hideMark/>
          </w:tcPr>
          <w:p w14:paraId="45701F16" w14:textId="77777777" w:rsidR="00716E85" w:rsidRDefault="00716E85">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5" w:type="pct"/>
            <w:shd w:val="clear" w:color="auto" w:fill="CFF0FC"/>
            <w:tcMar>
              <w:top w:w="15" w:type="dxa"/>
              <w:left w:w="0" w:type="dxa"/>
              <w:bottom w:w="0" w:type="dxa"/>
              <w:right w:w="15" w:type="dxa"/>
            </w:tcMar>
            <w:vAlign w:val="bottom"/>
            <w:hideMark/>
          </w:tcPr>
          <w:p w14:paraId="796571F8"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43D235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725293C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w:t>
            </w:r>
          </w:p>
        </w:tc>
        <w:tc>
          <w:tcPr>
            <w:tcW w:w="50" w:type="pct"/>
            <w:shd w:val="clear" w:color="auto" w:fill="CFF0FC"/>
            <w:noWrap/>
            <w:tcMar>
              <w:top w:w="15" w:type="dxa"/>
              <w:left w:w="0" w:type="dxa"/>
              <w:bottom w:w="0" w:type="dxa"/>
              <w:right w:w="15" w:type="dxa"/>
            </w:tcMar>
            <w:vAlign w:val="bottom"/>
            <w:hideMark/>
          </w:tcPr>
          <w:p w14:paraId="64FBE8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85" w:type="pct"/>
            <w:shd w:val="clear" w:color="auto" w:fill="CFF0FC"/>
            <w:tcMar>
              <w:top w:w="15" w:type="dxa"/>
              <w:left w:w="0" w:type="dxa"/>
              <w:bottom w:w="0" w:type="dxa"/>
              <w:right w:w="15" w:type="dxa"/>
            </w:tcMar>
            <w:vAlign w:val="bottom"/>
            <w:hideMark/>
          </w:tcPr>
          <w:p w14:paraId="2F133AC3"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0FC2108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2300BBA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w:t>
            </w:r>
          </w:p>
        </w:tc>
        <w:tc>
          <w:tcPr>
            <w:tcW w:w="50" w:type="pct"/>
            <w:shd w:val="clear" w:color="auto" w:fill="CFF0FC"/>
            <w:noWrap/>
            <w:tcMar>
              <w:top w:w="15" w:type="dxa"/>
              <w:left w:w="0" w:type="dxa"/>
              <w:bottom w:w="0" w:type="dxa"/>
              <w:right w:w="15" w:type="dxa"/>
            </w:tcMar>
            <w:vAlign w:val="bottom"/>
            <w:hideMark/>
          </w:tcPr>
          <w:p w14:paraId="6E2C8A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81AD21A" w14:textId="77777777">
        <w:trPr>
          <w:divId w:val="1167213131"/>
          <w:jc w:val="center"/>
        </w:trPr>
        <w:tc>
          <w:tcPr>
            <w:tcW w:w="3446" w:type="pct"/>
            <w:shd w:val="clear" w:color="auto" w:fill="FFFFFF"/>
            <w:tcMar>
              <w:top w:w="15" w:type="dxa"/>
              <w:left w:w="0" w:type="dxa"/>
              <w:bottom w:w="0" w:type="dxa"/>
              <w:right w:w="15" w:type="dxa"/>
            </w:tcMar>
            <w:vAlign w:val="bottom"/>
            <w:hideMark/>
          </w:tcPr>
          <w:p w14:paraId="6053F4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Notes payable and other borrowings, non-current:</w:t>
            </w:r>
          </w:p>
        </w:tc>
        <w:tc>
          <w:tcPr>
            <w:tcW w:w="85" w:type="pct"/>
            <w:shd w:val="clear" w:color="auto" w:fill="FFFFFF"/>
            <w:tcMar>
              <w:top w:w="15" w:type="dxa"/>
              <w:left w:w="0" w:type="dxa"/>
              <w:bottom w:w="0" w:type="dxa"/>
              <w:right w:w="15" w:type="dxa"/>
            </w:tcMar>
            <w:vAlign w:val="bottom"/>
            <w:hideMark/>
          </w:tcPr>
          <w:p w14:paraId="0FDA4422"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43747D9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67027D9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98059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141BF4A9"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F85B9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1832251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C53F5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A401AAC" w14:textId="77777777">
        <w:trPr>
          <w:divId w:val="1167213131"/>
          <w:jc w:val="center"/>
        </w:trPr>
        <w:tc>
          <w:tcPr>
            <w:tcW w:w="3446" w:type="pct"/>
            <w:shd w:val="clear" w:color="auto" w:fill="CFF0FC"/>
            <w:tcMar>
              <w:top w:w="15" w:type="dxa"/>
              <w:left w:w="0" w:type="dxa"/>
              <w:bottom w:w="0" w:type="dxa"/>
              <w:right w:w="15" w:type="dxa"/>
            </w:tcMar>
            <w:vAlign w:val="bottom"/>
            <w:hideMark/>
          </w:tcPr>
          <w:p w14:paraId="67FB1AD1" w14:textId="77777777" w:rsidR="00716E85" w:rsidRDefault="00716E85">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Carrying amounts of hedged items</w:t>
            </w:r>
          </w:p>
        </w:tc>
        <w:tc>
          <w:tcPr>
            <w:tcW w:w="85" w:type="pct"/>
            <w:shd w:val="clear" w:color="auto" w:fill="CFF0FC"/>
            <w:tcMar>
              <w:top w:w="15" w:type="dxa"/>
              <w:left w:w="0" w:type="dxa"/>
              <w:bottom w:w="0" w:type="dxa"/>
              <w:right w:w="15" w:type="dxa"/>
            </w:tcMar>
            <w:vAlign w:val="bottom"/>
            <w:hideMark/>
          </w:tcPr>
          <w:p w14:paraId="2740A8EE"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769D869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1441C17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3,631</w:t>
            </w:r>
          </w:p>
        </w:tc>
        <w:tc>
          <w:tcPr>
            <w:tcW w:w="50" w:type="pct"/>
            <w:shd w:val="clear" w:color="auto" w:fill="CFF0FC"/>
            <w:noWrap/>
            <w:tcMar>
              <w:top w:w="15" w:type="dxa"/>
              <w:left w:w="0" w:type="dxa"/>
              <w:bottom w:w="0" w:type="dxa"/>
              <w:right w:w="15" w:type="dxa"/>
            </w:tcMar>
            <w:vAlign w:val="bottom"/>
            <w:hideMark/>
          </w:tcPr>
          <w:p w14:paraId="39A81EC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CFF0FC"/>
            <w:tcMar>
              <w:top w:w="15" w:type="dxa"/>
              <w:left w:w="0" w:type="dxa"/>
              <w:bottom w:w="0" w:type="dxa"/>
              <w:right w:w="15" w:type="dxa"/>
            </w:tcMar>
            <w:vAlign w:val="bottom"/>
            <w:hideMark/>
          </w:tcPr>
          <w:p w14:paraId="01B21170" w14:textId="77777777" w:rsidR="00716E85" w:rsidRDefault="00716E85">
            <w:pPr>
              <w:pStyle w:val="a3"/>
              <w:spacing w:before="0" w:beforeAutospacing="0" w:after="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CFF0FC"/>
            <w:noWrap/>
            <w:tcMar>
              <w:top w:w="15" w:type="dxa"/>
              <w:left w:w="0" w:type="dxa"/>
              <w:bottom w:w="0" w:type="dxa"/>
              <w:right w:w="15" w:type="dxa"/>
            </w:tcMar>
            <w:vAlign w:val="bottom"/>
            <w:hideMark/>
          </w:tcPr>
          <w:p w14:paraId="2753B8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CFF0FC"/>
            <w:noWrap/>
            <w:tcMar>
              <w:top w:w="15" w:type="dxa"/>
              <w:left w:w="0" w:type="dxa"/>
              <w:bottom w:w="0" w:type="dxa"/>
              <w:right w:w="15" w:type="dxa"/>
            </w:tcMar>
            <w:vAlign w:val="bottom"/>
            <w:hideMark/>
          </w:tcPr>
          <w:p w14:paraId="51D227C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5,584</w:t>
            </w:r>
          </w:p>
        </w:tc>
        <w:tc>
          <w:tcPr>
            <w:tcW w:w="50" w:type="pct"/>
            <w:shd w:val="clear" w:color="auto" w:fill="CFF0FC"/>
            <w:noWrap/>
            <w:tcMar>
              <w:top w:w="15" w:type="dxa"/>
              <w:left w:w="0" w:type="dxa"/>
              <w:bottom w:w="0" w:type="dxa"/>
              <w:right w:w="15" w:type="dxa"/>
            </w:tcMar>
            <w:vAlign w:val="bottom"/>
            <w:hideMark/>
          </w:tcPr>
          <w:p w14:paraId="064E05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5F4DA3A" w14:textId="77777777">
        <w:trPr>
          <w:divId w:val="1167213131"/>
          <w:jc w:val="center"/>
        </w:trPr>
        <w:tc>
          <w:tcPr>
            <w:tcW w:w="3446" w:type="pct"/>
            <w:shd w:val="clear" w:color="auto" w:fill="FFFFFF"/>
            <w:tcMar>
              <w:top w:w="15" w:type="dxa"/>
              <w:left w:w="0" w:type="dxa"/>
              <w:bottom w:w="0" w:type="dxa"/>
              <w:right w:w="15" w:type="dxa"/>
            </w:tcMar>
            <w:vAlign w:val="bottom"/>
            <w:hideMark/>
          </w:tcPr>
          <w:p w14:paraId="084C3CF6" w14:textId="77777777" w:rsidR="00716E85" w:rsidRDefault="00716E85">
            <w:pPr>
              <w:pStyle w:val="a3"/>
              <w:spacing w:before="0" w:beforeAutospacing="0" w:after="0" w:afterAutospacing="0"/>
              <w:ind w:left="274"/>
              <w:rPr>
                <w:rFonts w:ascii="Calibri" w:hAnsi="Calibri" w:cs="Calibri"/>
                <w:color w:val="000000"/>
                <w:sz w:val="18"/>
                <w:szCs w:val="18"/>
              </w:rPr>
            </w:pPr>
            <w:r>
              <w:rPr>
                <w:rFonts w:ascii="Calibri" w:hAnsi="Calibri" w:cs="Calibri"/>
                <w:color w:val="000000"/>
                <w:sz w:val="18"/>
                <w:szCs w:val="18"/>
              </w:rPr>
              <w:t>Cumulative hedging adjustments included in the carrying amount</w:t>
            </w:r>
          </w:p>
        </w:tc>
        <w:tc>
          <w:tcPr>
            <w:tcW w:w="85" w:type="pct"/>
            <w:shd w:val="clear" w:color="auto" w:fill="FFFFFF"/>
            <w:tcMar>
              <w:top w:w="15" w:type="dxa"/>
              <w:left w:w="0" w:type="dxa"/>
              <w:bottom w:w="0" w:type="dxa"/>
              <w:right w:w="15" w:type="dxa"/>
            </w:tcMar>
            <w:vAlign w:val="bottom"/>
            <w:hideMark/>
          </w:tcPr>
          <w:p w14:paraId="6FCB623C" w14:textId="77777777" w:rsidR="00716E85" w:rsidRDefault="00716E8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688492D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4101B2B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w:t>
            </w:r>
          </w:p>
        </w:tc>
        <w:tc>
          <w:tcPr>
            <w:tcW w:w="50" w:type="pct"/>
            <w:shd w:val="clear" w:color="auto" w:fill="FFFFFF"/>
            <w:noWrap/>
            <w:tcMar>
              <w:top w:w="15" w:type="dxa"/>
              <w:left w:w="0" w:type="dxa"/>
              <w:bottom w:w="0" w:type="dxa"/>
              <w:right w:w="15" w:type="dxa"/>
            </w:tcMar>
            <w:vAlign w:val="bottom"/>
            <w:hideMark/>
          </w:tcPr>
          <w:p w14:paraId="79331A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85" w:type="pct"/>
            <w:shd w:val="clear" w:color="auto" w:fill="FFFFFF"/>
            <w:tcMar>
              <w:top w:w="15" w:type="dxa"/>
              <w:left w:w="0" w:type="dxa"/>
              <w:bottom w:w="0" w:type="dxa"/>
              <w:right w:w="15" w:type="dxa"/>
            </w:tcMar>
            <w:vAlign w:val="bottom"/>
            <w:hideMark/>
          </w:tcPr>
          <w:p w14:paraId="387F6964" w14:textId="77777777" w:rsidR="00716E85" w:rsidRDefault="00716E85">
            <w:pPr>
              <w:pStyle w:val="a3"/>
              <w:spacing w:before="0" w:beforeAutospacing="0" w:after="0" w:afterAutospacing="0"/>
              <w:jc w:val="right"/>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14:paraId="0AFAFA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91" w:type="pct"/>
            <w:shd w:val="clear" w:color="auto" w:fill="FFFFFF"/>
            <w:noWrap/>
            <w:tcMar>
              <w:top w:w="15" w:type="dxa"/>
              <w:left w:w="0" w:type="dxa"/>
              <w:bottom w:w="0" w:type="dxa"/>
              <w:right w:w="15" w:type="dxa"/>
            </w:tcMar>
            <w:vAlign w:val="bottom"/>
            <w:hideMark/>
          </w:tcPr>
          <w:p w14:paraId="5971331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FFFFFF"/>
            <w:noWrap/>
            <w:tcMar>
              <w:top w:w="15" w:type="dxa"/>
              <w:left w:w="0" w:type="dxa"/>
              <w:bottom w:w="0" w:type="dxa"/>
              <w:right w:w="15" w:type="dxa"/>
            </w:tcMar>
            <w:vAlign w:val="bottom"/>
            <w:hideMark/>
          </w:tcPr>
          <w:p w14:paraId="66C105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bl>
    <w:p w14:paraId="6D649D96" w14:textId="77777777" w:rsidR="00716E85" w:rsidRDefault="00716E85">
      <w:pPr>
        <w:pStyle w:val="a3"/>
      </w:pPr>
      <w:r>
        <w:t> </w:t>
      </w:r>
    </w:p>
    <w:p w14:paraId="47FE7E60" w14:textId="77777777" w:rsidR="00716E85" w:rsidRDefault="00716E85">
      <w:pPr>
        <w:pStyle w:val="a3"/>
        <w:spacing w:before="40" w:beforeAutospacing="0" w:after="0" w:afterAutospacing="0"/>
        <w:jc w:val="both"/>
        <w:rPr>
          <w:rFonts w:ascii="Calibri" w:hAnsi="Calibri" w:cs="Calibri"/>
          <w:b/>
          <w:bCs/>
          <w:sz w:val="20"/>
          <w:szCs w:val="20"/>
        </w:rPr>
      </w:pPr>
      <w:r>
        <w:rPr>
          <w:rFonts w:ascii="Calibri" w:hAnsi="Calibri" w:cs="Calibri"/>
          <w:b/>
          <w:bCs/>
          <w:sz w:val="20"/>
          <w:szCs w:val="20"/>
        </w:rPr>
        <w:t xml:space="preserve">Effects of Derivative Instruments Designated as Hedges on Income </w:t>
      </w:r>
    </w:p>
    <w:p w14:paraId="0942FE86" w14:textId="77777777" w:rsidR="00716E85" w:rsidRDefault="00716E85">
      <w:pPr>
        <w:pStyle w:val="a3"/>
        <w:spacing w:before="0" w:beforeAutospacing="0" w:after="0" w:afterAutospacing="0"/>
        <w:jc w:val="both"/>
        <w:rPr>
          <w:b/>
          <w:bCs/>
          <w:sz w:val="16"/>
          <w:szCs w:val="16"/>
        </w:rPr>
      </w:pPr>
      <w:r>
        <w:rPr>
          <w:b/>
          <w:bCs/>
          <w:sz w:val="16"/>
          <w:szCs w:val="16"/>
        </w:rPr>
        <w:t> </w:t>
      </w:r>
    </w:p>
    <w:tbl>
      <w:tblPr>
        <w:tblW w:w="5000" w:type="pct"/>
        <w:jc w:val="center"/>
        <w:tblCellMar>
          <w:left w:w="0" w:type="dxa"/>
          <w:right w:w="0" w:type="dxa"/>
        </w:tblCellMar>
        <w:tblLook w:val="04A0" w:firstRow="1" w:lastRow="0" w:firstColumn="1" w:lastColumn="0" w:noHBand="0" w:noVBand="1"/>
      </w:tblPr>
      <w:tblGrid>
        <w:gridCol w:w="3935"/>
        <w:gridCol w:w="126"/>
        <w:gridCol w:w="102"/>
        <w:gridCol w:w="821"/>
        <w:gridCol w:w="88"/>
        <w:gridCol w:w="127"/>
        <w:gridCol w:w="103"/>
        <w:gridCol w:w="730"/>
        <w:gridCol w:w="88"/>
        <w:gridCol w:w="127"/>
        <w:gridCol w:w="102"/>
        <w:gridCol w:w="821"/>
        <w:gridCol w:w="88"/>
        <w:gridCol w:w="127"/>
        <w:gridCol w:w="103"/>
        <w:gridCol w:w="730"/>
        <w:gridCol w:w="88"/>
      </w:tblGrid>
      <w:tr w:rsidR="00716E85" w14:paraId="561ED356" w14:textId="77777777">
        <w:trPr>
          <w:divId w:val="795220007"/>
          <w:jc w:val="center"/>
        </w:trPr>
        <w:tc>
          <w:tcPr>
            <w:tcW w:w="2150" w:type="pct"/>
            <w:shd w:val="clear" w:color="auto" w:fill="FFFFFF"/>
            <w:tcMar>
              <w:top w:w="15" w:type="dxa"/>
              <w:left w:w="0" w:type="dxa"/>
              <w:bottom w:w="0" w:type="dxa"/>
              <w:right w:w="15" w:type="dxa"/>
            </w:tcMar>
            <w:vAlign w:val="bottom"/>
            <w:hideMark/>
          </w:tcPr>
          <w:p w14:paraId="6A2AFF64" w14:textId="77777777" w:rsidR="00716E85" w:rsidRDefault="00716E85">
            <w:pPr>
              <w:pStyle w:val="a3"/>
              <w:spacing w:before="0" w:beforeAutospacing="0" w:after="0" w:afterAutospacing="0"/>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0E949FA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14"/>
            <w:tcBorders>
              <w:bottom w:val="single" w:sz="6" w:space="0" w:color="000000"/>
            </w:tcBorders>
            <w:shd w:val="clear" w:color="auto" w:fill="FFFFFF"/>
            <w:tcMar>
              <w:top w:w="15" w:type="dxa"/>
              <w:left w:w="0" w:type="dxa"/>
              <w:bottom w:w="0" w:type="dxa"/>
              <w:right w:w="15" w:type="dxa"/>
            </w:tcMar>
            <w:vAlign w:val="bottom"/>
            <w:hideMark/>
          </w:tcPr>
          <w:p w14:paraId="76BEB5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D520A7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1F6739B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EA4EE37" w14:textId="77777777">
        <w:trPr>
          <w:divId w:val="795220007"/>
          <w:jc w:val="center"/>
        </w:trPr>
        <w:tc>
          <w:tcPr>
            <w:tcW w:w="2150" w:type="pct"/>
            <w:shd w:val="clear" w:color="auto" w:fill="FFFFFF"/>
            <w:tcMar>
              <w:top w:w="15" w:type="dxa"/>
              <w:left w:w="0" w:type="dxa"/>
              <w:bottom w:w="0" w:type="dxa"/>
              <w:right w:w="15" w:type="dxa"/>
            </w:tcMar>
            <w:vAlign w:val="bottom"/>
            <w:hideMark/>
          </w:tcPr>
          <w:p w14:paraId="779E759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71" w:type="pct"/>
            <w:shd w:val="clear" w:color="auto" w:fill="FFFFFF"/>
            <w:tcMar>
              <w:top w:w="15" w:type="dxa"/>
              <w:left w:w="0" w:type="dxa"/>
              <w:bottom w:w="0" w:type="dxa"/>
              <w:right w:w="15" w:type="dxa"/>
            </w:tcMar>
            <w:vAlign w:val="bottom"/>
            <w:hideMark/>
          </w:tcPr>
          <w:p w14:paraId="1512ED0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21C6CC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785E77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170D533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3D308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77C827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52B4679" w14:textId="77777777">
        <w:trPr>
          <w:divId w:val="795220007"/>
          <w:jc w:val="center"/>
        </w:trPr>
        <w:tc>
          <w:tcPr>
            <w:tcW w:w="2150" w:type="pct"/>
            <w:tcBorders>
              <w:bottom w:val="single" w:sz="6" w:space="0" w:color="000000"/>
            </w:tcBorders>
            <w:shd w:val="clear" w:color="auto" w:fill="FFFFFF"/>
            <w:tcMar>
              <w:top w:w="15" w:type="dxa"/>
              <w:left w:w="0" w:type="dxa"/>
              <w:bottom w:w="0" w:type="dxa"/>
              <w:right w:w="15" w:type="dxa"/>
            </w:tcMar>
            <w:vAlign w:val="bottom"/>
            <w:hideMark/>
          </w:tcPr>
          <w:p w14:paraId="68535A3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left w:w="0" w:type="dxa"/>
              <w:bottom w:w="0" w:type="dxa"/>
              <w:right w:w="15" w:type="dxa"/>
            </w:tcMar>
            <w:vAlign w:val="bottom"/>
            <w:hideMark/>
          </w:tcPr>
          <w:p w14:paraId="60B7FC1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4DF21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024D350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66F6EFE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2A5E65E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776E5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3AD0ADE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72ACA73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649835E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58FD6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76FDC5A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0095BB0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0B35613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DEB0F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0F37544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58A9CD0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565A19F" w14:textId="77777777">
        <w:trPr>
          <w:divId w:val="795220007"/>
          <w:jc w:val="center"/>
        </w:trPr>
        <w:tc>
          <w:tcPr>
            <w:tcW w:w="2150" w:type="pct"/>
            <w:tcBorders>
              <w:top w:val="single" w:sz="6" w:space="0" w:color="000000"/>
            </w:tcBorders>
            <w:shd w:val="clear" w:color="auto" w:fill="CFF0FC"/>
            <w:tcMar>
              <w:top w:w="15" w:type="dxa"/>
              <w:left w:w="0" w:type="dxa"/>
              <w:bottom w:w="0" w:type="dxa"/>
              <w:right w:w="15" w:type="dxa"/>
            </w:tcMar>
            <w:vAlign w:val="bottom"/>
            <w:hideMark/>
          </w:tcPr>
          <w:p w14:paraId="683B3F4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Condensed consolidated statements of income line amounts</w:t>
            </w:r>
          </w:p>
          <w:p w14:paraId="43F8B21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in which the hedge effects were recorded</w:t>
            </w:r>
          </w:p>
        </w:tc>
        <w:tc>
          <w:tcPr>
            <w:tcW w:w="71" w:type="pct"/>
            <w:shd w:val="clear" w:color="auto" w:fill="CFF0FC"/>
            <w:tcMar>
              <w:top w:w="15" w:type="dxa"/>
              <w:left w:w="0" w:type="dxa"/>
              <w:bottom w:w="0" w:type="dxa"/>
              <w:right w:w="15" w:type="dxa"/>
            </w:tcMar>
            <w:vAlign w:val="bottom"/>
            <w:hideMark/>
          </w:tcPr>
          <w:p w14:paraId="36D5B20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1C099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A9C00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198</w:t>
            </w:r>
          </w:p>
        </w:tc>
        <w:tc>
          <w:tcPr>
            <w:tcW w:w="50" w:type="pct"/>
            <w:shd w:val="clear" w:color="auto" w:fill="CFF0FC"/>
            <w:noWrap/>
            <w:tcMar>
              <w:top w:w="15" w:type="dxa"/>
              <w:left w:w="0" w:type="dxa"/>
              <w:bottom w:w="0" w:type="dxa"/>
              <w:right w:w="15" w:type="dxa"/>
            </w:tcMar>
            <w:vAlign w:val="bottom"/>
            <w:hideMark/>
          </w:tcPr>
          <w:p w14:paraId="583886E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0B9C859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BDCFB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D7765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(509</w:t>
            </w:r>
          </w:p>
        </w:tc>
        <w:tc>
          <w:tcPr>
            <w:tcW w:w="50" w:type="pct"/>
            <w:shd w:val="clear" w:color="auto" w:fill="CFF0FC"/>
            <w:noWrap/>
            <w:tcMar>
              <w:top w:w="15" w:type="dxa"/>
              <w:left w:w="0" w:type="dxa"/>
              <w:bottom w:w="0" w:type="dxa"/>
              <w:right w:w="15" w:type="dxa"/>
            </w:tcMar>
            <w:vAlign w:val="bottom"/>
            <w:hideMark/>
          </w:tcPr>
          <w:p w14:paraId="3EE43BB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CFF0FC"/>
            <w:tcMar>
              <w:top w:w="15" w:type="dxa"/>
              <w:left w:w="0" w:type="dxa"/>
              <w:bottom w:w="0" w:type="dxa"/>
              <w:right w:w="15" w:type="dxa"/>
            </w:tcMar>
            <w:vAlign w:val="bottom"/>
            <w:hideMark/>
          </w:tcPr>
          <w:p w14:paraId="54D431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69A6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365DB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409</w:t>
            </w:r>
          </w:p>
        </w:tc>
        <w:tc>
          <w:tcPr>
            <w:tcW w:w="50" w:type="pct"/>
            <w:shd w:val="clear" w:color="auto" w:fill="CFF0FC"/>
            <w:noWrap/>
            <w:tcMar>
              <w:top w:w="15" w:type="dxa"/>
              <w:left w:w="0" w:type="dxa"/>
              <w:bottom w:w="0" w:type="dxa"/>
              <w:right w:w="15" w:type="dxa"/>
            </w:tcMar>
            <w:vAlign w:val="bottom"/>
            <w:hideMark/>
          </w:tcPr>
          <w:p w14:paraId="73B714F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51AC4AD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C0889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455C0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(533</w:t>
            </w:r>
          </w:p>
        </w:tc>
        <w:tc>
          <w:tcPr>
            <w:tcW w:w="50" w:type="pct"/>
            <w:shd w:val="clear" w:color="auto" w:fill="CFF0FC"/>
            <w:noWrap/>
            <w:tcMar>
              <w:top w:w="15" w:type="dxa"/>
              <w:left w:w="0" w:type="dxa"/>
              <w:bottom w:w="0" w:type="dxa"/>
              <w:right w:w="15" w:type="dxa"/>
            </w:tcMar>
            <w:vAlign w:val="bottom"/>
            <w:hideMark/>
          </w:tcPr>
          <w:p w14:paraId="61E766F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716E85" w14:paraId="06682C32" w14:textId="77777777">
        <w:trPr>
          <w:divId w:val="795220007"/>
          <w:jc w:val="center"/>
        </w:trPr>
        <w:tc>
          <w:tcPr>
            <w:tcW w:w="2150" w:type="pct"/>
            <w:shd w:val="clear" w:color="auto" w:fill="FFFFFF"/>
            <w:tcMar>
              <w:top w:w="15" w:type="dxa"/>
              <w:left w:w="0" w:type="dxa"/>
              <w:bottom w:w="0" w:type="dxa"/>
              <w:right w:w="15" w:type="dxa"/>
            </w:tcMar>
            <w:vAlign w:val="bottom"/>
            <w:hideMark/>
          </w:tcPr>
          <w:p w14:paraId="26F5F15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Gain (loss) on hedges recognized in income:</w:t>
            </w:r>
          </w:p>
        </w:tc>
        <w:tc>
          <w:tcPr>
            <w:tcW w:w="71" w:type="pct"/>
            <w:shd w:val="clear" w:color="auto" w:fill="FFFFFF"/>
            <w:tcMar>
              <w:top w:w="15" w:type="dxa"/>
              <w:left w:w="0" w:type="dxa"/>
              <w:bottom w:w="0" w:type="dxa"/>
              <w:right w:w="15" w:type="dxa"/>
            </w:tcMar>
            <w:vAlign w:val="bottom"/>
            <w:hideMark/>
          </w:tcPr>
          <w:p w14:paraId="44390A6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B51AD5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FFFFFF"/>
            <w:noWrap/>
            <w:tcMar>
              <w:top w:w="15" w:type="dxa"/>
              <w:left w:w="0" w:type="dxa"/>
              <w:bottom w:w="0" w:type="dxa"/>
              <w:right w:w="15" w:type="dxa"/>
            </w:tcMar>
            <w:vAlign w:val="bottom"/>
            <w:hideMark/>
          </w:tcPr>
          <w:p w14:paraId="677305B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2AE4E8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3406D10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48EDB4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top w:val="double" w:sz="6" w:space="0" w:color="000000"/>
            </w:tcBorders>
            <w:shd w:val="clear" w:color="auto" w:fill="FFFFFF"/>
            <w:noWrap/>
            <w:tcMar>
              <w:top w:w="15" w:type="dxa"/>
              <w:left w:w="0" w:type="dxa"/>
              <w:bottom w:w="0" w:type="dxa"/>
              <w:right w:w="15" w:type="dxa"/>
            </w:tcMar>
            <w:vAlign w:val="bottom"/>
            <w:hideMark/>
          </w:tcPr>
          <w:p w14:paraId="777F20C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319B1B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6BC456B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640312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FFFFFF"/>
            <w:noWrap/>
            <w:tcMar>
              <w:top w:w="15" w:type="dxa"/>
              <w:left w:w="0" w:type="dxa"/>
              <w:bottom w:w="0" w:type="dxa"/>
              <w:right w:w="15" w:type="dxa"/>
            </w:tcMar>
            <w:vAlign w:val="bottom"/>
            <w:hideMark/>
          </w:tcPr>
          <w:p w14:paraId="47AB854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A23FCC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71A478C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DB9CC5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top w:val="double" w:sz="6" w:space="0" w:color="000000"/>
            </w:tcBorders>
            <w:shd w:val="clear" w:color="auto" w:fill="FFFFFF"/>
            <w:noWrap/>
            <w:tcMar>
              <w:top w:w="15" w:type="dxa"/>
              <w:left w:w="0" w:type="dxa"/>
              <w:bottom w:w="0" w:type="dxa"/>
              <w:right w:w="15" w:type="dxa"/>
            </w:tcMar>
            <w:vAlign w:val="bottom"/>
            <w:hideMark/>
          </w:tcPr>
          <w:p w14:paraId="6BE04CD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6EFBE6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60D3FDC" w14:textId="77777777">
        <w:trPr>
          <w:divId w:val="795220007"/>
          <w:jc w:val="center"/>
        </w:trPr>
        <w:tc>
          <w:tcPr>
            <w:tcW w:w="2150" w:type="pct"/>
            <w:shd w:val="clear" w:color="auto" w:fill="CFF0FC"/>
            <w:tcMar>
              <w:top w:w="15" w:type="dxa"/>
              <w:left w:w="0" w:type="dxa"/>
              <w:bottom w:w="0" w:type="dxa"/>
              <w:right w:w="15" w:type="dxa"/>
            </w:tcMar>
            <w:vAlign w:val="bottom"/>
            <w:hideMark/>
          </w:tcPr>
          <w:p w14:paraId="6574252C"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Interest rate swaps designated as fair value hedges:</w:t>
            </w:r>
          </w:p>
        </w:tc>
        <w:tc>
          <w:tcPr>
            <w:tcW w:w="71" w:type="pct"/>
            <w:shd w:val="clear" w:color="auto" w:fill="CFF0FC"/>
            <w:tcMar>
              <w:top w:w="15" w:type="dxa"/>
              <w:left w:w="0" w:type="dxa"/>
              <w:bottom w:w="0" w:type="dxa"/>
              <w:right w:w="15" w:type="dxa"/>
            </w:tcMar>
            <w:vAlign w:val="bottom"/>
            <w:hideMark/>
          </w:tcPr>
          <w:p w14:paraId="33C2ECD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805B8F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6E96D8E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C0B7CE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4FC31D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B51AB8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572F075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23909D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213A6AC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91EEB3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1232B38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E1D7F3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0CA5ED3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48961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357F3F0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DA1DFA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44B750B5" w14:textId="77777777">
        <w:trPr>
          <w:divId w:val="795220007"/>
          <w:jc w:val="center"/>
        </w:trPr>
        <w:tc>
          <w:tcPr>
            <w:tcW w:w="2150" w:type="pct"/>
            <w:shd w:val="clear" w:color="auto" w:fill="FFFFFF"/>
            <w:tcMar>
              <w:top w:w="15" w:type="dxa"/>
              <w:left w:w="0" w:type="dxa"/>
              <w:bottom w:w="0" w:type="dxa"/>
              <w:right w:w="15" w:type="dxa"/>
            </w:tcMar>
            <w:vAlign w:val="bottom"/>
            <w:hideMark/>
          </w:tcPr>
          <w:p w14:paraId="7557DE6B"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Derivative instruments</w:t>
            </w:r>
          </w:p>
        </w:tc>
        <w:tc>
          <w:tcPr>
            <w:tcW w:w="71" w:type="pct"/>
            <w:shd w:val="clear" w:color="auto" w:fill="FFFFFF"/>
            <w:tcMar>
              <w:top w:w="15" w:type="dxa"/>
              <w:left w:w="0" w:type="dxa"/>
              <w:bottom w:w="0" w:type="dxa"/>
              <w:right w:w="15" w:type="dxa"/>
            </w:tcMar>
            <w:vAlign w:val="bottom"/>
            <w:hideMark/>
          </w:tcPr>
          <w:p w14:paraId="46FCA6A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5934C2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left w:w="0" w:type="dxa"/>
              <w:bottom w:w="0" w:type="dxa"/>
              <w:right w:w="15" w:type="dxa"/>
            </w:tcMar>
            <w:vAlign w:val="bottom"/>
            <w:hideMark/>
          </w:tcPr>
          <w:p w14:paraId="5EDC95E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4F6FD2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0FDDF9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1A98F7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shd w:val="clear" w:color="auto" w:fill="FFFFFF"/>
            <w:noWrap/>
            <w:tcMar>
              <w:top w:w="15" w:type="dxa"/>
              <w:left w:w="0" w:type="dxa"/>
              <w:bottom w:w="0" w:type="dxa"/>
              <w:right w:w="15" w:type="dxa"/>
            </w:tcMar>
            <w:vAlign w:val="bottom"/>
            <w:hideMark/>
          </w:tcPr>
          <w:p w14:paraId="70F0C2B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FFFFFF"/>
            <w:noWrap/>
            <w:tcMar>
              <w:top w:w="15" w:type="dxa"/>
              <w:left w:w="0" w:type="dxa"/>
              <w:bottom w:w="0" w:type="dxa"/>
              <w:right w:w="15" w:type="dxa"/>
            </w:tcMar>
            <w:vAlign w:val="bottom"/>
            <w:hideMark/>
          </w:tcPr>
          <w:p w14:paraId="5F6A7FB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13B30B0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6BA696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left w:w="0" w:type="dxa"/>
              <w:bottom w:w="0" w:type="dxa"/>
              <w:right w:w="15" w:type="dxa"/>
            </w:tcMar>
            <w:vAlign w:val="bottom"/>
            <w:hideMark/>
          </w:tcPr>
          <w:p w14:paraId="4869684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0ED36FC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6073C6E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4A3AE0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shd w:val="clear" w:color="auto" w:fill="FFFFFF"/>
            <w:noWrap/>
            <w:tcMar>
              <w:top w:w="15" w:type="dxa"/>
              <w:left w:w="0" w:type="dxa"/>
              <w:bottom w:w="0" w:type="dxa"/>
              <w:right w:w="15" w:type="dxa"/>
            </w:tcMar>
            <w:vAlign w:val="bottom"/>
            <w:hideMark/>
          </w:tcPr>
          <w:p w14:paraId="2657BE9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(47</w:t>
            </w:r>
          </w:p>
        </w:tc>
        <w:tc>
          <w:tcPr>
            <w:tcW w:w="50" w:type="pct"/>
            <w:shd w:val="clear" w:color="auto" w:fill="FFFFFF"/>
            <w:noWrap/>
            <w:tcMar>
              <w:top w:w="15" w:type="dxa"/>
              <w:left w:w="0" w:type="dxa"/>
              <w:bottom w:w="0" w:type="dxa"/>
              <w:right w:w="15" w:type="dxa"/>
            </w:tcMar>
            <w:vAlign w:val="bottom"/>
            <w:hideMark/>
          </w:tcPr>
          <w:p w14:paraId="0F36CF3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716E85" w14:paraId="7353ED2E" w14:textId="77777777">
        <w:trPr>
          <w:divId w:val="795220007"/>
          <w:jc w:val="center"/>
        </w:trPr>
        <w:tc>
          <w:tcPr>
            <w:tcW w:w="2150" w:type="pct"/>
            <w:shd w:val="clear" w:color="auto" w:fill="CFF0FC"/>
            <w:tcMar>
              <w:top w:w="15" w:type="dxa"/>
              <w:left w:w="0" w:type="dxa"/>
              <w:bottom w:w="0" w:type="dxa"/>
              <w:right w:w="15" w:type="dxa"/>
            </w:tcMar>
            <w:vAlign w:val="bottom"/>
            <w:hideMark/>
          </w:tcPr>
          <w:p w14:paraId="47A01BA7"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Hedged items</w:t>
            </w:r>
          </w:p>
        </w:tc>
        <w:tc>
          <w:tcPr>
            <w:tcW w:w="71" w:type="pct"/>
            <w:shd w:val="clear" w:color="auto" w:fill="CFF0FC"/>
            <w:tcMar>
              <w:top w:w="15" w:type="dxa"/>
              <w:left w:w="0" w:type="dxa"/>
              <w:bottom w:w="0" w:type="dxa"/>
              <w:right w:w="15" w:type="dxa"/>
            </w:tcMar>
            <w:vAlign w:val="bottom"/>
            <w:hideMark/>
          </w:tcPr>
          <w:p w14:paraId="64519EB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A42FCD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66EBAC6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7A430BB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7925732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CC05D6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6ACB894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(43</w:t>
            </w:r>
          </w:p>
        </w:tc>
        <w:tc>
          <w:tcPr>
            <w:tcW w:w="50" w:type="pct"/>
            <w:shd w:val="clear" w:color="auto" w:fill="CFF0FC"/>
            <w:noWrap/>
            <w:tcMar>
              <w:top w:w="15" w:type="dxa"/>
              <w:left w:w="0" w:type="dxa"/>
              <w:bottom w:w="0" w:type="dxa"/>
              <w:right w:w="15" w:type="dxa"/>
            </w:tcMar>
            <w:vAlign w:val="bottom"/>
            <w:hideMark/>
          </w:tcPr>
          <w:p w14:paraId="1D5EAC0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CFF0FC"/>
            <w:tcMar>
              <w:top w:w="15" w:type="dxa"/>
              <w:left w:w="0" w:type="dxa"/>
              <w:bottom w:w="0" w:type="dxa"/>
              <w:right w:w="15" w:type="dxa"/>
            </w:tcMar>
            <w:vAlign w:val="bottom"/>
            <w:hideMark/>
          </w:tcPr>
          <w:p w14:paraId="53FB7CB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1EC33F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0D92B9D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50F0339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29F8E4F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C7433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20D8DA0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47</w:t>
            </w:r>
          </w:p>
        </w:tc>
        <w:tc>
          <w:tcPr>
            <w:tcW w:w="50" w:type="pct"/>
            <w:shd w:val="clear" w:color="auto" w:fill="CFF0FC"/>
            <w:noWrap/>
            <w:tcMar>
              <w:top w:w="15" w:type="dxa"/>
              <w:left w:w="0" w:type="dxa"/>
              <w:bottom w:w="0" w:type="dxa"/>
              <w:right w:w="15" w:type="dxa"/>
            </w:tcMar>
            <w:vAlign w:val="bottom"/>
            <w:hideMark/>
          </w:tcPr>
          <w:p w14:paraId="3A308B1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42E84382" w14:textId="77777777">
        <w:trPr>
          <w:divId w:val="795220007"/>
          <w:jc w:val="center"/>
        </w:trPr>
        <w:tc>
          <w:tcPr>
            <w:tcW w:w="2150" w:type="pct"/>
            <w:shd w:val="clear" w:color="auto" w:fill="FFFFFF"/>
            <w:tcMar>
              <w:top w:w="15" w:type="dxa"/>
              <w:left w:w="0" w:type="dxa"/>
              <w:bottom w:w="0" w:type="dxa"/>
              <w:right w:w="15" w:type="dxa"/>
            </w:tcMar>
            <w:vAlign w:val="bottom"/>
            <w:hideMark/>
          </w:tcPr>
          <w:p w14:paraId="75BEEE07"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interest rate swaps designated as fair value hedges:</w:t>
            </w:r>
          </w:p>
        </w:tc>
        <w:tc>
          <w:tcPr>
            <w:tcW w:w="71" w:type="pct"/>
            <w:shd w:val="clear" w:color="auto" w:fill="FFFFFF"/>
            <w:tcMar>
              <w:top w:w="15" w:type="dxa"/>
              <w:left w:w="0" w:type="dxa"/>
              <w:bottom w:w="0" w:type="dxa"/>
              <w:right w:w="15" w:type="dxa"/>
            </w:tcMar>
            <w:vAlign w:val="bottom"/>
            <w:hideMark/>
          </w:tcPr>
          <w:p w14:paraId="38BE672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B88DAB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4C3BDFF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00B20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35F45DC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ABEC16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030EA76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437B34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47E503A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7CB221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06E7E48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937323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258F192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DC5334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114D0E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432FB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1915EF6" w14:textId="77777777">
        <w:trPr>
          <w:divId w:val="795220007"/>
          <w:jc w:val="center"/>
        </w:trPr>
        <w:tc>
          <w:tcPr>
            <w:tcW w:w="2150" w:type="pct"/>
            <w:shd w:val="clear" w:color="auto" w:fill="CFF0FC"/>
            <w:tcMar>
              <w:top w:w="15" w:type="dxa"/>
              <w:left w:w="0" w:type="dxa"/>
              <w:bottom w:w="0" w:type="dxa"/>
              <w:right w:w="15" w:type="dxa"/>
            </w:tcMar>
            <w:vAlign w:val="bottom"/>
            <w:hideMark/>
          </w:tcPr>
          <w:p w14:paraId="6372A76B"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Derivative instruments</w:t>
            </w:r>
          </w:p>
        </w:tc>
        <w:tc>
          <w:tcPr>
            <w:tcW w:w="71" w:type="pct"/>
            <w:shd w:val="clear" w:color="auto" w:fill="CFF0FC"/>
            <w:tcMar>
              <w:top w:w="15" w:type="dxa"/>
              <w:left w:w="0" w:type="dxa"/>
              <w:bottom w:w="0" w:type="dxa"/>
              <w:right w:w="15" w:type="dxa"/>
            </w:tcMar>
            <w:vAlign w:val="bottom"/>
            <w:hideMark/>
          </w:tcPr>
          <w:p w14:paraId="408DA1D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4878E0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2F5F735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noWrap/>
            <w:tcMar>
              <w:top w:w="15" w:type="dxa"/>
              <w:left w:w="0" w:type="dxa"/>
              <w:bottom w:w="0" w:type="dxa"/>
              <w:right w:w="15" w:type="dxa"/>
            </w:tcMar>
            <w:vAlign w:val="bottom"/>
            <w:hideMark/>
          </w:tcPr>
          <w:p w14:paraId="7BD976B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60AB888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FA21C5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7925A89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CFF0FC"/>
            <w:noWrap/>
            <w:tcMar>
              <w:top w:w="15" w:type="dxa"/>
              <w:left w:w="0" w:type="dxa"/>
              <w:bottom w:w="0" w:type="dxa"/>
              <w:right w:w="15" w:type="dxa"/>
            </w:tcMar>
            <w:vAlign w:val="bottom"/>
            <w:hideMark/>
          </w:tcPr>
          <w:p w14:paraId="34C0ABA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5E85EB9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2AB524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11811D0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2143733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33A76DA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927733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397CF2D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097D93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1E6E7FC2" w14:textId="77777777">
        <w:trPr>
          <w:divId w:val="795220007"/>
          <w:jc w:val="center"/>
        </w:trPr>
        <w:tc>
          <w:tcPr>
            <w:tcW w:w="2150" w:type="pct"/>
            <w:shd w:val="clear" w:color="auto" w:fill="FFFFFF"/>
            <w:tcMar>
              <w:top w:w="15" w:type="dxa"/>
              <w:left w:w="0" w:type="dxa"/>
              <w:bottom w:w="0" w:type="dxa"/>
              <w:right w:w="15" w:type="dxa"/>
            </w:tcMar>
            <w:vAlign w:val="bottom"/>
            <w:hideMark/>
          </w:tcPr>
          <w:p w14:paraId="30F4D0B2"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Hedged items</w:t>
            </w:r>
          </w:p>
        </w:tc>
        <w:tc>
          <w:tcPr>
            <w:tcW w:w="71" w:type="pct"/>
            <w:shd w:val="clear" w:color="auto" w:fill="FFFFFF"/>
            <w:tcMar>
              <w:top w:w="15" w:type="dxa"/>
              <w:left w:w="0" w:type="dxa"/>
              <w:bottom w:w="0" w:type="dxa"/>
              <w:right w:w="15" w:type="dxa"/>
            </w:tcMar>
            <w:vAlign w:val="bottom"/>
            <w:hideMark/>
          </w:tcPr>
          <w:p w14:paraId="3AF7018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310248B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3FADA3C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(4</w:t>
            </w:r>
          </w:p>
        </w:tc>
        <w:tc>
          <w:tcPr>
            <w:tcW w:w="50" w:type="pct"/>
            <w:shd w:val="clear" w:color="auto" w:fill="FFFFFF"/>
            <w:noWrap/>
            <w:tcMar>
              <w:top w:w="15" w:type="dxa"/>
              <w:left w:w="0" w:type="dxa"/>
              <w:bottom w:w="0" w:type="dxa"/>
              <w:right w:w="15" w:type="dxa"/>
            </w:tcMar>
            <w:vAlign w:val="bottom"/>
            <w:hideMark/>
          </w:tcPr>
          <w:p w14:paraId="0370BB5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FFFFFF"/>
            <w:tcMar>
              <w:top w:w="15" w:type="dxa"/>
              <w:left w:w="0" w:type="dxa"/>
              <w:bottom w:w="0" w:type="dxa"/>
              <w:right w:w="15" w:type="dxa"/>
            </w:tcMar>
            <w:vAlign w:val="bottom"/>
            <w:hideMark/>
          </w:tcPr>
          <w:p w14:paraId="16D005B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57758A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0E8FDF9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left w:w="0" w:type="dxa"/>
              <w:bottom w:w="0" w:type="dxa"/>
              <w:right w:w="15" w:type="dxa"/>
            </w:tcMar>
            <w:vAlign w:val="bottom"/>
            <w:hideMark/>
          </w:tcPr>
          <w:p w14:paraId="4081B28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FFFFFF"/>
            <w:tcMar>
              <w:top w:w="15" w:type="dxa"/>
              <w:left w:w="0" w:type="dxa"/>
              <w:bottom w:w="0" w:type="dxa"/>
              <w:right w:w="15" w:type="dxa"/>
            </w:tcMar>
            <w:vAlign w:val="bottom"/>
            <w:hideMark/>
          </w:tcPr>
          <w:p w14:paraId="4AAA6C2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70444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49C69F0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63CFA62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30264BD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8381B8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2B84A1C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1A3FD8D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65C102E" w14:textId="77777777">
        <w:trPr>
          <w:divId w:val="795220007"/>
          <w:jc w:val="center"/>
        </w:trPr>
        <w:tc>
          <w:tcPr>
            <w:tcW w:w="2150" w:type="pct"/>
            <w:shd w:val="clear" w:color="auto" w:fill="CFF0FC"/>
            <w:tcMar>
              <w:top w:w="15" w:type="dxa"/>
              <w:left w:w="0" w:type="dxa"/>
              <w:bottom w:w="0" w:type="dxa"/>
              <w:right w:w="15" w:type="dxa"/>
            </w:tcMar>
            <w:vAlign w:val="bottom"/>
            <w:hideMark/>
          </w:tcPr>
          <w:p w14:paraId="1027EC2D"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swap agreements designated as cash flow hedges:</w:t>
            </w:r>
          </w:p>
        </w:tc>
        <w:tc>
          <w:tcPr>
            <w:tcW w:w="71" w:type="pct"/>
            <w:shd w:val="clear" w:color="auto" w:fill="CFF0FC"/>
            <w:tcMar>
              <w:top w:w="15" w:type="dxa"/>
              <w:left w:w="0" w:type="dxa"/>
              <w:bottom w:w="0" w:type="dxa"/>
              <w:right w:w="15" w:type="dxa"/>
            </w:tcMar>
            <w:vAlign w:val="bottom"/>
            <w:hideMark/>
          </w:tcPr>
          <w:p w14:paraId="669C44C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40661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53E0E11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527D6C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14670BE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03F4EC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27BE80F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267291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5A9F9C7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8423D8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6040062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3395F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1B01A31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8D96F0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3884838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EB6D02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AB18FC1" w14:textId="77777777">
        <w:trPr>
          <w:divId w:val="795220007"/>
          <w:jc w:val="center"/>
        </w:trPr>
        <w:tc>
          <w:tcPr>
            <w:tcW w:w="2150" w:type="pct"/>
            <w:shd w:val="clear" w:color="auto" w:fill="FFFFFF"/>
            <w:tcMar>
              <w:top w:w="15" w:type="dxa"/>
              <w:left w:w="0" w:type="dxa"/>
              <w:bottom w:w="0" w:type="dxa"/>
              <w:right w:w="15" w:type="dxa"/>
            </w:tcMar>
            <w:vAlign w:val="bottom"/>
            <w:hideMark/>
          </w:tcPr>
          <w:p w14:paraId="24E58E67"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Amount of gain reclassified from accumulated OCI or OCL</w:t>
            </w:r>
          </w:p>
        </w:tc>
        <w:tc>
          <w:tcPr>
            <w:tcW w:w="71" w:type="pct"/>
            <w:shd w:val="clear" w:color="auto" w:fill="FFFFFF"/>
            <w:tcMar>
              <w:top w:w="15" w:type="dxa"/>
              <w:left w:w="0" w:type="dxa"/>
              <w:bottom w:w="0" w:type="dxa"/>
              <w:right w:w="15" w:type="dxa"/>
            </w:tcMar>
            <w:vAlign w:val="bottom"/>
            <w:hideMark/>
          </w:tcPr>
          <w:p w14:paraId="1594C92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F5BEC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left w:w="0" w:type="dxa"/>
              <w:bottom w:w="0" w:type="dxa"/>
              <w:right w:w="15" w:type="dxa"/>
            </w:tcMar>
            <w:vAlign w:val="bottom"/>
            <w:hideMark/>
          </w:tcPr>
          <w:p w14:paraId="79A58BF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11</w:t>
            </w:r>
          </w:p>
        </w:tc>
        <w:tc>
          <w:tcPr>
            <w:tcW w:w="50" w:type="pct"/>
            <w:shd w:val="clear" w:color="auto" w:fill="FFFFFF"/>
            <w:noWrap/>
            <w:tcMar>
              <w:top w:w="15" w:type="dxa"/>
              <w:left w:w="0" w:type="dxa"/>
              <w:bottom w:w="0" w:type="dxa"/>
              <w:right w:w="15" w:type="dxa"/>
            </w:tcMar>
            <w:vAlign w:val="bottom"/>
            <w:hideMark/>
          </w:tcPr>
          <w:p w14:paraId="5EF6BC1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3A99F3C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2AE39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bottom w:val="single" w:sz="6" w:space="0" w:color="000000"/>
            </w:tcBorders>
            <w:shd w:val="clear" w:color="auto" w:fill="FFFFFF"/>
            <w:noWrap/>
            <w:tcMar>
              <w:top w:w="15" w:type="dxa"/>
              <w:left w:w="0" w:type="dxa"/>
              <w:bottom w:w="0" w:type="dxa"/>
              <w:right w:w="15" w:type="dxa"/>
            </w:tcMar>
            <w:vAlign w:val="bottom"/>
            <w:hideMark/>
          </w:tcPr>
          <w:p w14:paraId="6B69720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4747E7B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2C90E61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D7EA4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left w:w="0" w:type="dxa"/>
              <w:bottom w:w="0" w:type="dxa"/>
              <w:right w:w="15" w:type="dxa"/>
            </w:tcMar>
            <w:vAlign w:val="bottom"/>
            <w:hideMark/>
          </w:tcPr>
          <w:p w14:paraId="6F44860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51</w:t>
            </w:r>
          </w:p>
        </w:tc>
        <w:tc>
          <w:tcPr>
            <w:tcW w:w="50" w:type="pct"/>
            <w:shd w:val="clear" w:color="auto" w:fill="FFFFFF"/>
            <w:noWrap/>
            <w:tcMar>
              <w:top w:w="15" w:type="dxa"/>
              <w:left w:w="0" w:type="dxa"/>
              <w:bottom w:w="0" w:type="dxa"/>
              <w:right w:w="15" w:type="dxa"/>
            </w:tcMar>
            <w:vAlign w:val="bottom"/>
            <w:hideMark/>
          </w:tcPr>
          <w:p w14:paraId="32D6B6A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7228EA2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AC6FD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bottom w:val="single" w:sz="6" w:space="0" w:color="000000"/>
            </w:tcBorders>
            <w:shd w:val="clear" w:color="auto" w:fill="FFFFFF"/>
            <w:noWrap/>
            <w:tcMar>
              <w:top w:w="15" w:type="dxa"/>
              <w:left w:w="0" w:type="dxa"/>
              <w:bottom w:w="0" w:type="dxa"/>
              <w:right w:w="15" w:type="dxa"/>
            </w:tcMar>
            <w:vAlign w:val="bottom"/>
            <w:hideMark/>
          </w:tcPr>
          <w:p w14:paraId="404BDE5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399D181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37E148C4" w14:textId="77777777">
        <w:trPr>
          <w:divId w:val="795220007"/>
          <w:jc w:val="center"/>
        </w:trPr>
        <w:tc>
          <w:tcPr>
            <w:tcW w:w="2150" w:type="pct"/>
            <w:shd w:val="clear" w:color="auto" w:fill="CFF0FC"/>
            <w:tcMar>
              <w:top w:w="15" w:type="dxa"/>
              <w:left w:w="0" w:type="dxa"/>
              <w:bottom w:w="0" w:type="dxa"/>
              <w:right w:w="15" w:type="dxa"/>
            </w:tcMar>
            <w:vAlign w:val="bottom"/>
            <w:hideMark/>
          </w:tcPr>
          <w:p w14:paraId="68E4CCCE" w14:textId="77777777" w:rsidR="00716E85" w:rsidRDefault="00716E85">
            <w:pPr>
              <w:pStyle w:val="a3"/>
              <w:spacing w:before="0" w:beforeAutospacing="0" w:after="0" w:afterAutospacing="0"/>
              <w:ind w:left="821"/>
              <w:rPr>
                <w:rFonts w:ascii="Calibri" w:hAnsi="Calibri" w:cs="Calibri"/>
                <w:color w:val="000000"/>
                <w:sz w:val="17"/>
                <w:szCs w:val="17"/>
              </w:rPr>
            </w:pPr>
            <w:r>
              <w:rPr>
                <w:rFonts w:ascii="Calibri" w:hAnsi="Calibri" w:cs="Calibri"/>
                <w:color w:val="000000"/>
                <w:sz w:val="17"/>
                <w:szCs w:val="17"/>
              </w:rPr>
              <w:t>Total gain on hedges recognized in income</w:t>
            </w:r>
          </w:p>
        </w:tc>
        <w:tc>
          <w:tcPr>
            <w:tcW w:w="71" w:type="pct"/>
            <w:shd w:val="clear" w:color="auto" w:fill="CFF0FC"/>
            <w:tcMar>
              <w:top w:w="15" w:type="dxa"/>
              <w:left w:w="0" w:type="dxa"/>
              <w:bottom w:w="0" w:type="dxa"/>
              <w:right w:w="15" w:type="dxa"/>
            </w:tcMar>
            <w:vAlign w:val="bottom"/>
            <w:hideMark/>
          </w:tcPr>
          <w:p w14:paraId="2C91F80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E5857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3E7E1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w:t>
            </w:r>
          </w:p>
        </w:tc>
        <w:tc>
          <w:tcPr>
            <w:tcW w:w="50" w:type="pct"/>
            <w:shd w:val="clear" w:color="auto" w:fill="CFF0FC"/>
            <w:noWrap/>
            <w:tcMar>
              <w:top w:w="15" w:type="dxa"/>
              <w:left w:w="0" w:type="dxa"/>
              <w:bottom w:w="0" w:type="dxa"/>
              <w:right w:w="15" w:type="dxa"/>
            </w:tcMar>
            <w:vAlign w:val="bottom"/>
            <w:hideMark/>
          </w:tcPr>
          <w:p w14:paraId="1E786AC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0CA480F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F4AAE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4CF63F"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798FADA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180670B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1EA5B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C7849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51</w:t>
            </w:r>
          </w:p>
        </w:tc>
        <w:tc>
          <w:tcPr>
            <w:tcW w:w="50" w:type="pct"/>
            <w:shd w:val="clear" w:color="auto" w:fill="CFF0FC"/>
            <w:noWrap/>
            <w:tcMar>
              <w:top w:w="15" w:type="dxa"/>
              <w:left w:w="0" w:type="dxa"/>
              <w:bottom w:w="0" w:type="dxa"/>
              <w:right w:w="15" w:type="dxa"/>
            </w:tcMar>
            <w:vAlign w:val="bottom"/>
            <w:hideMark/>
          </w:tcPr>
          <w:p w14:paraId="45376AE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7A0D01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ED2C9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D4FFA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0E60EFE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bl>
    <w:p w14:paraId="58B14FB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23</w:t>
      </w:r>
    </w:p>
    <w:p w14:paraId="254CB28B" w14:textId="77777777" w:rsidR="00716E85" w:rsidRDefault="00716E85">
      <w:pPr>
        <w:rPr>
          <w:rFonts w:ascii="Times New Roman" w:eastAsia="Times New Roman" w:hAnsi="Times New Roman" w:cs="Times New Roman"/>
          <w:sz w:val="24"/>
          <w:szCs w:val="24"/>
        </w:rPr>
      </w:pPr>
      <w:r>
        <w:rPr>
          <w:rFonts w:eastAsia="Times New Roman"/>
        </w:rPr>
        <w:pict w14:anchorId="0FE06F76">
          <v:rect id="_x0000_i1049" style="width:415.3pt;height:1.5pt" o:hralign="center" o:hrstd="t" o:hr="t" fillcolor="#a0a0a0" stroked="f"/>
        </w:pict>
      </w:r>
    </w:p>
    <w:p w14:paraId="0A6A50C5"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BA959FA" w14:textId="77777777" w:rsidR="00716E85" w:rsidRDefault="00716E85">
      <w:pPr>
        <w:pStyle w:val="a3"/>
      </w:pPr>
      <w:r>
        <w:t> </w:t>
      </w:r>
    </w:p>
    <w:p w14:paraId="1AED9F7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290A80CD"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12FC0EA5"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6ACA7F12"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7579B90A" w14:textId="77777777" w:rsidR="00716E85" w:rsidRDefault="00716E85">
      <w:pPr>
        <w:pStyle w:val="a3"/>
        <w:spacing w:before="0" w:beforeAutospacing="0" w:after="0" w:afterAutospacing="0"/>
        <w:rPr>
          <w:sz w:val="20"/>
          <w:szCs w:val="20"/>
        </w:rPr>
      </w:pPr>
      <w:r>
        <w:rPr>
          <w:sz w:val="20"/>
          <w:szCs w:val="20"/>
        </w:rPr>
        <w:t> </w:t>
      </w:r>
    </w:p>
    <w:p w14:paraId="59BCBD3A" w14:textId="77777777" w:rsidR="00716E85" w:rsidRDefault="00716E85">
      <w:pPr>
        <w:pStyle w:val="a3"/>
        <w:spacing w:before="0" w:beforeAutospacing="0" w:after="0" w:afterAutospacing="0"/>
        <w:jc w:val="both"/>
        <w:rPr>
          <w:b/>
          <w:bCs/>
          <w:sz w:val="8"/>
          <w:szCs w:val="8"/>
        </w:rPr>
      </w:pPr>
      <w:r>
        <w:rPr>
          <w:b/>
          <w:bCs/>
          <w:sz w:val="8"/>
          <w:szCs w:val="8"/>
        </w:rPr>
        <w:t> </w:t>
      </w:r>
    </w:p>
    <w:p w14:paraId="38B43901" w14:textId="77777777" w:rsidR="00716E85" w:rsidRDefault="00716E85">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036"/>
        <w:gridCol w:w="92"/>
        <w:gridCol w:w="103"/>
        <w:gridCol w:w="748"/>
        <w:gridCol w:w="92"/>
        <w:gridCol w:w="130"/>
        <w:gridCol w:w="102"/>
        <w:gridCol w:w="748"/>
        <w:gridCol w:w="92"/>
        <w:gridCol w:w="92"/>
        <w:gridCol w:w="102"/>
        <w:gridCol w:w="843"/>
        <w:gridCol w:w="92"/>
        <w:gridCol w:w="92"/>
        <w:gridCol w:w="102"/>
        <w:gridCol w:w="748"/>
        <w:gridCol w:w="92"/>
      </w:tblGrid>
      <w:tr w:rsidR="00716E85" w14:paraId="66BC2E98" w14:textId="77777777">
        <w:trPr>
          <w:divId w:val="939029867"/>
          <w:jc w:val="center"/>
        </w:trPr>
        <w:tc>
          <w:tcPr>
            <w:tcW w:w="2150" w:type="pct"/>
            <w:shd w:val="clear" w:color="auto" w:fill="FFFFFF"/>
            <w:tcMar>
              <w:top w:w="15" w:type="dxa"/>
              <w:left w:w="0" w:type="dxa"/>
              <w:bottom w:w="0" w:type="dxa"/>
              <w:right w:w="15" w:type="dxa"/>
            </w:tcMar>
            <w:vAlign w:val="bottom"/>
            <w:hideMark/>
          </w:tcPr>
          <w:p w14:paraId="74FBBA85" w14:textId="77777777" w:rsidR="00716E85" w:rsidRDefault="00716E8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782F746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gridSpan w:val="14"/>
            <w:tcBorders>
              <w:bottom w:val="single" w:sz="6" w:space="0" w:color="000000"/>
            </w:tcBorders>
            <w:shd w:val="clear" w:color="auto" w:fill="FFFFFF"/>
            <w:tcMar>
              <w:top w:w="15" w:type="dxa"/>
              <w:left w:w="0" w:type="dxa"/>
              <w:bottom w:w="0" w:type="dxa"/>
              <w:right w:w="15" w:type="dxa"/>
            </w:tcMar>
            <w:vAlign w:val="bottom"/>
            <w:hideMark/>
          </w:tcPr>
          <w:p w14:paraId="4F90950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78B183F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4D202F1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50A8343" w14:textId="77777777">
        <w:trPr>
          <w:divId w:val="939029867"/>
          <w:jc w:val="center"/>
        </w:trPr>
        <w:tc>
          <w:tcPr>
            <w:tcW w:w="2150" w:type="pct"/>
            <w:shd w:val="clear" w:color="auto" w:fill="FFFFFF"/>
            <w:tcMar>
              <w:top w:w="15" w:type="dxa"/>
              <w:left w:w="0" w:type="dxa"/>
              <w:bottom w:w="0" w:type="dxa"/>
              <w:right w:w="15" w:type="dxa"/>
            </w:tcMar>
            <w:vAlign w:val="bottom"/>
            <w:hideMark/>
          </w:tcPr>
          <w:p w14:paraId="5C546CD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tcMar>
              <w:top w:w="15" w:type="dxa"/>
              <w:left w:w="0" w:type="dxa"/>
              <w:bottom w:w="0" w:type="dxa"/>
              <w:right w:w="15" w:type="dxa"/>
            </w:tcMar>
            <w:vAlign w:val="bottom"/>
            <w:hideMark/>
          </w:tcPr>
          <w:p w14:paraId="2DE1267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8E58D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CF2D1E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4A6B3B5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CF9FA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E2D25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403E1EBD" w14:textId="77777777">
        <w:trPr>
          <w:divId w:val="939029867"/>
          <w:jc w:val="center"/>
        </w:trPr>
        <w:tc>
          <w:tcPr>
            <w:tcW w:w="2150" w:type="pct"/>
            <w:tcBorders>
              <w:bottom w:val="single" w:sz="6" w:space="0" w:color="000000"/>
            </w:tcBorders>
            <w:shd w:val="clear" w:color="auto" w:fill="FFFFFF"/>
            <w:tcMar>
              <w:top w:w="15" w:type="dxa"/>
              <w:left w:w="0" w:type="dxa"/>
              <w:bottom w:w="0" w:type="dxa"/>
              <w:right w:w="15" w:type="dxa"/>
            </w:tcMar>
            <w:vAlign w:val="bottom"/>
            <w:hideMark/>
          </w:tcPr>
          <w:p w14:paraId="6F5A640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left w:w="0" w:type="dxa"/>
              <w:bottom w:w="0" w:type="dxa"/>
              <w:right w:w="15" w:type="dxa"/>
            </w:tcMar>
            <w:vAlign w:val="bottom"/>
            <w:hideMark/>
          </w:tcPr>
          <w:p w14:paraId="79BC2D5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2469D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66FDA4C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2BA7B5F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5BFDBE9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85A79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127ADB3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0E38AFE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tcMar>
              <w:top w:w="15" w:type="dxa"/>
              <w:left w:w="0" w:type="dxa"/>
              <w:bottom w:w="0" w:type="dxa"/>
              <w:right w:w="15" w:type="dxa"/>
            </w:tcMar>
            <w:vAlign w:val="bottom"/>
            <w:hideMark/>
          </w:tcPr>
          <w:p w14:paraId="2FC0685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6E9E8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Non-operating</w:t>
            </w:r>
          </w:p>
          <w:p w14:paraId="45C4763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income, net</w:t>
            </w:r>
          </w:p>
        </w:tc>
        <w:tc>
          <w:tcPr>
            <w:tcW w:w="50" w:type="pct"/>
            <w:shd w:val="clear" w:color="auto" w:fill="FFFFFF"/>
            <w:noWrap/>
            <w:tcMar>
              <w:top w:w="15" w:type="dxa"/>
              <w:left w:w="0" w:type="dxa"/>
              <w:bottom w:w="0" w:type="dxa"/>
              <w:right w:w="15" w:type="dxa"/>
            </w:tcMar>
            <w:vAlign w:val="bottom"/>
            <w:hideMark/>
          </w:tcPr>
          <w:p w14:paraId="1CF8C9C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0F623D1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CEC57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Interest</w:t>
            </w:r>
          </w:p>
          <w:p w14:paraId="0579665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expense</w:t>
            </w:r>
          </w:p>
        </w:tc>
        <w:tc>
          <w:tcPr>
            <w:tcW w:w="50" w:type="pct"/>
            <w:shd w:val="clear" w:color="auto" w:fill="FFFFFF"/>
            <w:noWrap/>
            <w:tcMar>
              <w:top w:w="15" w:type="dxa"/>
              <w:left w:w="0" w:type="dxa"/>
              <w:bottom w:w="0" w:type="dxa"/>
              <w:right w:w="15" w:type="dxa"/>
            </w:tcMar>
            <w:vAlign w:val="bottom"/>
            <w:hideMark/>
          </w:tcPr>
          <w:p w14:paraId="1D577C0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E555266" w14:textId="77777777">
        <w:trPr>
          <w:divId w:val="939029867"/>
          <w:jc w:val="center"/>
        </w:trPr>
        <w:tc>
          <w:tcPr>
            <w:tcW w:w="2150" w:type="pct"/>
            <w:tcBorders>
              <w:top w:val="single" w:sz="6" w:space="0" w:color="000000"/>
            </w:tcBorders>
            <w:shd w:val="clear" w:color="auto" w:fill="CFF0FC"/>
            <w:tcMar>
              <w:top w:w="15" w:type="dxa"/>
              <w:left w:w="0" w:type="dxa"/>
              <w:bottom w:w="0" w:type="dxa"/>
              <w:right w:w="15" w:type="dxa"/>
            </w:tcMar>
            <w:vAlign w:val="bottom"/>
            <w:hideMark/>
          </w:tcPr>
          <w:p w14:paraId="2A2E1EB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xml:space="preserve">Condensed consolidated statements of income line amounts </w:t>
            </w:r>
          </w:p>
          <w:p w14:paraId="465D15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in which the hedge effects were recorded</w:t>
            </w:r>
          </w:p>
        </w:tc>
        <w:tc>
          <w:tcPr>
            <w:tcW w:w="50" w:type="pct"/>
            <w:shd w:val="clear" w:color="auto" w:fill="CFF0FC"/>
            <w:tcMar>
              <w:top w:w="15" w:type="dxa"/>
              <w:left w:w="0" w:type="dxa"/>
              <w:bottom w:w="0" w:type="dxa"/>
              <w:right w:w="15" w:type="dxa"/>
            </w:tcMar>
            <w:vAlign w:val="bottom"/>
            <w:hideMark/>
          </w:tcPr>
          <w:p w14:paraId="7BFEFF8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9EA92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CC0A6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681</w:t>
            </w:r>
          </w:p>
        </w:tc>
        <w:tc>
          <w:tcPr>
            <w:tcW w:w="50" w:type="pct"/>
            <w:shd w:val="clear" w:color="auto" w:fill="CFF0FC"/>
            <w:noWrap/>
            <w:tcMar>
              <w:top w:w="15" w:type="dxa"/>
              <w:left w:w="0" w:type="dxa"/>
              <w:bottom w:w="0" w:type="dxa"/>
              <w:right w:w="15" w:type="dxa"/>
            </w:tcMar>
            <w:vAlign w:val="bottom"/>
            <w:hideMark/>
          </w:tcPr>
          <w:p w14:paraId="6BB88F2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2257A5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6C68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02985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(1,557</w:t>
            </w:r>
          </w:p>
        </w:tc>
        <w:tc>
          <w:tcPr>
            <w:tcW w:w="50" w:type="pct"/>
            <w:shd w:val="clear" w:color="auto" w:fill="CFF0FC"/>
            <w:noWrap/>
            <w:tcMar>
              <w:top w:w="15" w:type="dxa"/>
              <w:left w:w="0" w:type="dxa"/>
              <w:bottom w:w="0" w:type="dxa"/>
              <w:right w:w="15" w:type="dxa"/>
            </w:tcMar>
            <w:vAlign w:val="bottom"/>
            <w:hideMark/>
          </w:tcPr>
          <w:p w14:paraId="3F9B946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4E98255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DDDEE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BD7C1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891</w:t>
            </w:r>
          </w:p>
        </w:tc>
        <w:tc>
          <w:tcPr>
            <w:tcW w:w="50" w:type="pct"/>
            <w:shd w:val="clear" w:color="auto" w:fill="CFF0FC"/>
            <w:noWrap/>
            <w:tcMar>
              <w:top w:w="15" w:type="dxa"/>
              <w:left w:w="0" w:type="dxa"/>
              <w:bottom w:w="0" w:type="dxa"/>
              <w:right w:w="15" w:type="dxa"/>
            </w:tcMar>
            <w:vAlign w:val="bottom"/>
            <w:hideMark/>
          </w:tcPr>
          <w:p w14:paraId="174E6A5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3651E88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52CFA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F5D5A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(1,477</w:t>
            </w:r>
          </w:p>
        </w:tc>
        <w:tc>
          <w:tcPr>
            <w:tcW w:w="50" w:type="pct"/>
            <w:shd w:val="clear" w:color="auto" w:fill="CFF0FC"/>
            <w:noWrap/>
            <w:tcMar>
              <w:top w:w="15" w:type="dxa"/>
              <w:left w:w="0" w:type="dxa"/>
              <w:bottom w:w="0" w:type="dxa"/>
              <w:right w:w="15" w:type="dxa"/>
            </w:tcMar>
            <w:vAlign w:val="bottom"/>
            <w:hideMark/>
          </w:tcPr>
          <w:p w14:paraId="401204F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716E85" w14:paraId="336D13E4" w14:textId="77777777">
        <w:trPr>
          <w:divId w:val="939029867"/>
          <w:jc w:val="center"/>
        </w:trPr>
        <w:tc>
          <w:tcPr>
            <w:tcW w:w="2150" w:type="pct"/>
            <w:shd w:val="clear" w:color="auto" w:fill="FFFFFF"/>
            <w:tcMar>
              <w:top w:w="15" w:type="dxa"/>
              <w:left w:w="0" w:type="dxa"/>
              <w:bottom w:w="0" w:type="dxa"/>
              <w:right w:w="15" w:type="dxa"/>
            </w:tcMar>
            <w:vAlign w:val="bottom"/>
            <w:hideMark/>
          </w:tcPr>
          <w:p w14:paraId="7A46BE4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Gain (loss) on hedges recognized in income:</w:t>
            </w:r>
          </w:p>
        </w:tc>
        <w:tc>
          <w:tcPr>
            <w:tcW w:w="50" w:type="pct"/>
            <w:shd w:val="clear" w:color="auto" w:fill="FFFFFF"/>
            <w:tcMar>
              <w:top w:w="15" w:type="dxa"/>
              <w:left w:w="0" w:type="dxa"/>
              <w:bottom w:w="0" w:type="dxa"/>
              <w:right w:w="15" w:type="dxa"/>
            </w:tcMar>
            <w:vAlign w:val="bottom"/>
            <w:hideMark/>
          </w:tcPr>
          <w:p w14:paraId="06FEEF4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D2F55A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top w:val="double" w:sz="6" w:space="0" w:color="000000"/>
            </w:tcBorders>
            <w:shd w:val="clear" w:color="auto" w:fill="FFFFFF"/>
            <w:noWrap/>
            <w:tcMar>
              <w:top w:w="15" w:type="dxa"/>
              <w:left w:w="0" w:type="dxa"/>
              <w:bottom w:w="0" w:type="dxa"/>
              <w:right w:w="15" w:type="dxa"/>
            </w:tcMar>
            <w:vAlign w:val="bottom"/>
            <w:hideMark/>
          </w:tcPr>
          <w:p w14:paraId="1BF6E5F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9E0914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6732A0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C552E5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top w:val="double" w:sz="6" w:space="0" w:color="000000"/>
            </w:tcBorders>
            <w:shd w:val="clear" w:color="auto" w:fill="FFFFFF"/>
            <w:noWrap/>
            <w:tcMar>
              <w:top w:w="15" w:type="dxa"/>
              <w:left w:w="0" w:type="dxa"/>
              <w:bottom w:w="0" w:type="dxa"/>
              <w:right w:w="15" w:type="dxa"/>
            </w:tcMar>
            <w:vAlign w:val="bottom"/>
            <w:hideMark/>
          </w:tcPr>
          <w:p w14:paraId="0ADEC16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EAF50E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46C0AE9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8F7124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top w:val="double" w:sz="6" w:space="0" w:color="000000"/>
            </w:tcBorders>
            <w:shd w:val="clear" w:color="auto" w:fill="FFFFFF"/>
            <w:noWrap/>
            <w:tcMar>
              <w:top w:w="15" w:type="dxa"/>
              <w:left w:w="0" w:type="dxa"/>
              <w:bottom w:w="0" w:type="dxa"/>
              <w:right w:w="15" w:type="dxa"/>
            </w:tcMar>
            <w:vAlign w:val="bottom"/>
            <w:hideMark/>
          </w:tcPr>
          <w:p w14:paraId="698405F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8E540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5DDFA71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819887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top w:val="double" w:sz="6" w:space="0" w:color="000000"/>
            </w:tcBorders>
            <w:shd w:val="clear" w:color="auto" w:fill="FFFFFF"/>
            <w:noWrap/>
            <w:tcMar>
              <w:top w:w="15" w:type="dxa"/>
              <w:left w:w="0" w:type="dxa"/>
              <w:bottom w:w="0" w:type="dxa"/>
              <w:right w:w="15" w:type="dxa"/>
            </w:tcMar>
            <w:vAlign w:val="bottom"/>
            <w:hideMark/>
          </w:tcPr>
          <w:p w14:paraId="369489F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B7E32B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1DC7C7E" w14:textId="77777777">
        <w:trPr>
          <w:divId w:val="939029867"/>
          <w:jc w:val="center"/>
        </w:trPr>
        <w:tc>
          <w:tcPr>
            <w:tcW w:w="2150" w:type="pct"/>
            <w:shd w:val="clear" w:color="auto" w:fill="CFF0FC"/>
            <w:tcMar>
              <w:top w:w="15" w:type="dxa"/>
              <w:left w:w="0" w:type="dxa"/>
              <w:bottom w:w="0" w:type="dxa"/>
              <w:right w:w="15" w:type="dxa"/>
            </w:tcMar>
            <w:vAlign w:val="bottom"/>
            <w:hideMark/>
          </w:tcPr>
          <w:p w14:paraId="7AA0D14A"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Interest rate swaps designated as fair value hedges:</w:t>
            </w:r>
          </w:p>
        </w:tc>
        <w:tc>
          <w:tcPr>
            <w:tcW w:w="50" w:type="pct"/>
            <w:shd w:val="clear" w:color="auto" w:fill="CFF0FC"/>
            <w:tcMar>
              <w:top w:w="15" w:type="dxa"/>
              <w:left w:w="0" w:type="dxa"/>
              <w:bottom w:w="0" w:type="dxa"/>
              <w:right w:w="15" w:type="dxa"/>
            </w:tcMar>
            <w:vAlign w:val="bottom"/>
            <w:hideMark/>
          </w:tcPr>
          <w:p w14:paraId="0689FE5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6EE3BC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2C77E64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ECB345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24A4176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622481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2C34A8B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B39792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66EAA77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3282ED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479AC6E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7CE487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5FBFCDC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C47555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37A1CDF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5672AA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1FB2030" w14:textId="77777777">
        <w:trPr>
          <w:divId w:val="939029867"/>
          <w:jc w:val="center"/>
        </w:trPr>
        <w:tc>
          <w:tcPr>
            <w:tcW w:w="2150" w:type="pct"/>
            <w:shd w:val="clear" w:color="auto" w:fill="FFFFFF"/>
            <w:tcMar>
              <w:top w:w="15" w:type="dxa"/>
              <w:left w:w="0" w:type="dxa"/>
              <w:bottom w:w="0" w:type="dxa"/>
              <w:right w:w="15" w:type="dxa"/>
            </w:tcMar>
            <w:vAlign w:val="bottom"/>
            <w:hideMark/>
          </w:tcPr>
          <w:p w14:paraId="32A0EB94"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Derivative instruments</w:t>
            </w:r>
          </w:p>
        </w:tc>
        <w:tc>
          <w:tcPr>
            <w:tcW w:w="50" w:type="pct"/>
            <w:shd w:val="clear" w:color="auto" w:fill="FFFFFF"/>
            <w:tcMar>
              <w:top w:w="15" w:type="dxa"/>
              <w:left w:w="0" w:type="dxa"/>
              <w:bottom w:w="0" w:type="dxa"/>
              <w:right w:w="15" w:type="dxa"/>
            </w:tcMar>
            <w:vAlign w:val="bottom"/>
            <w:hideMark/>
          </w:tcPr>
          <w:p w14:paraId="627A65B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C9C9B8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shd w:val="clear" w:color="auto" w:fill="FFFFFF"/>
            <w:noWrap/>
            <w:tcMar>
              <w:top w:w="15" w:type="dxa"/>
              <w:left w:w="0" w:type="dxa"/>
              <w:bottom w:w="0" w:type="dxa"/>
              <w:right w:w="15" w:type="dxa"/>
            </w:tcMar>
            <w:vAlign w:val="bottom"/>
            <w:hideMark/>
          </w:tcPr>
          <w:p w14:paraId="6F0794E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10E7923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1EE057D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F95A3A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shd w:val="clear" w:color="auto" w:fill="FFFFFF"/>
            <w:noWrap/>
            <w:tcMar>
              <w:top w:w="15" w:type="dxa"/>
              <w:left w:w="0" w:type="dxa"/>
              <w:bottom w:w="0" w:type="dxa"/>
              <w:right w:w="15" w:type="dxa"/>
            </w:tcMar>
            <w:vAlign w:val="bottom"/>
            <w:hideMark/>
          </w:tcPr>
          <w:p w14:paraId="4AB2FB8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FFFFFF"/>
            <w:noWrap/>
            <w:tcMar>
              <w:top w:w="15" w:type="dxa"/>
              <w:left w:w="0" w:type="dxa"/>
              <w:bottom w:w="0" w:type="dxa"/>
              <w:right w:w="15" w:type="dxa"/>
            </w:tcMar>
            <w:vAlign w:val="bottom"/>
            <w:hideMark/>
          </w:tcPr>
          <w:p w14:paraId="4F68520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70204E5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269E0A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shd w:val="clear" w:color="auto" w:fill="FFFFFF"/>
            <w:noWrap/>
            <w:tcMar>
              <w:top w:w="15" w:type="dxa"/>
              <w:left w:w="0" w:type="dxa"/>
              <w:bottom w:w="0" w:type="dxa"/>
              <w:right w:w="15" w:type="dxa"/>
            </w:tcMar>
            <w:vAlign w:val="bottom"/>
            <w:hideMark/>
          </w:tcPr>
          <w:p w14:paraId="52DC557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69C868A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4864FE5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57DC6E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shd w:val="clear" w:color="auto" w:fill="FFFFFF"/>
            <w:noWrap/>
            <w:tcMar>
              <w:top w:w="15" w:type="dxa"/>
              <w:left w:w="0" w:type="dxa"/>
              <w:bottom w:w="0" w:type="dxa"/>
              <w:right w:w="15" w:type="dxa"/>
            </w:tcMar>
            <w:vAlign w:val="bottom"/>
            <w:hideMark/>
          </w:tcPr>
          <w:p w14:paraId="2544D62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(94</w:t>
            </w:r>
          </w:p>
        </w:tc>
        <w:tc>
          <w:tcPr>
            <w:tcW w:w="50" w:type="pct"/>
            <w:shd w:val="clear" w:color="auto" w:fill="FFFFFF"/>
            <w:noWrap/>
            <w:tcMar>
              <w:top w:w="15" w:type="dxa"/>
              <w:left w:w="0" w:type="dxa"/>
              <w:bottom w:w="0" w:type="dxa"/>
              <w:right w:w="15" w:type="dxa"/>
            </w:tcMar>
            <w:vAlign w:val="bottom"/>
            <w:hideMark/>
          </w:tcPr>
          <w:p w14:paraId="5CD8532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r w:rsidR="00716E85" w14:paraId="6483545D" w14:textId="77777777">
        <w:trPr>
          <w:divId w:val="939029867"/>
          <w:jc w:val="center"/>
        </w:trPr>
        <w:tc>
          <w:tcPr>
            <w:tcW w:w="2150" w:type="pct"/>
            <w:shd w:val="clear" w:color="auto" w:fill="CFF0FC"/>
            <w:tcMar>
              <w:top w:w="15" w:type="dxa"/>
              <w:left w:w="0" w:type="dxa"/>
              <w:bottom w:w="0" w:type="dxa"/>
              <w:right w:w="15" w:type="dxa"/>
            </w:tcMar>
            <w:vAlign w:val="bottom"/>
            <w:hideMark/>
          </w:tcPr>
          <w:p w14:paraId="4A0EB88A"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Hedged items</w:t>
            </w:r>
          </w:p>
        </w:tc>
        <w:tc>
          <w:tcPr>
            <w:tcW w:w="50" w:type="pct"/>
            <w:shd w:val="clear" w:color="auto" w:fill="CFF0FC"/>
            <w:tcMar>
              <w:top w:w="15" w:type="dxa"/>
              <w:left w:w="0" w:type="dxa"/>
              <w:bottom w:w="0" w:type="dxa"/>
              <w:right w:w="15" w:type="dxa"/>
            </w:tcMar>
            <w:vAlign w:val="bottom"/>
            <w:hideMark/>
          </w:tcPr>
          <w:p w14:paraId="31CA5D9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B74A94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058E7FE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46CC9CF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32AEEC2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BA74D8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5C55B29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noWrap/>
            <w:tcMar>
              <w:top w:w="15" w:type="dxa"/>
              <w:left w:w="0" w:type="dxa"/>
              <w:bottom w:w="0" w:type="dxa"/>
              <w:right w:w="15" w:type="dxa"/>
            </w:tcMar>
            <w:vAlign w:val="bottom"/>
            <w:hideMark/>
          </w:tcPr>
          <w:p w14:paraId="5EB2465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tcMar>
              <w:top w:w="15" w:type="dxa"/>
              <w:left w:w="0" w:type="dxa"/>
              <w:bottom w:w="0" w:type="dxa"/>
              <w:right w:w="15" w:type="dxa"/>
            </w:tcMar>
            <w:vAlign w:val="bottom"/>
            <w:hideMark/>
          </w:tcPr>
          <w:p w14:paraId="78425E5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52AE3F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7977330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6CEE2A6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07DE742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C1A22C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11B511C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94</w:t>
            </w:r>
          </w:p>
        </w:tc>
        <w:tc>
          <w:tcPr>
            <w:tcW w:w="50" w:type="pct"/>
            <w:shd w:val="clear" w:color="auto" w:fill="CFF0FC"/>
            <w:noWrap/>
            <w:tcMar>
              <w:top w:w="15" w:type="dxa"/>
              <w:left w:w="0" w:type="dxa"/>
              <w:bottom w:w="0" w:type="dxa"/>
              <w:right w:w="15" w:type="dxa"/>
            </w:tcMar>
            <w:vAlign w:val="bottom"/>
            <w:hideMark/>
          </w:tcPr>
          <w:p w14:paraId="6A76A42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57F12ADE" w14:textId="77777777">
        <w:trPr>
          <w:divId w:val="939029867"/>
          <w:jc w:val="center"/>
        </w:trPr>
        <w:tc>
          <w:tcPr>
            <w:tcW w:w="2150" w:type="pct"/>
            <w:shd w:val="clear" w:color="auto" w:fill="FFFFFF"/>
            <w:tcMar>
              <w:top w:w="15" w:type="dxa"/>
              <w:left w:w="0" w:type="dxa"/>
              <w:bottom w:w="0" w:type="dxa"/>
              <w:right w:w="15" w:type="dxa"/>
            </w:tcMar>
            <w:vAlign w:val="bottom"/>
            <w:hideMark/>
          </w:tcPr>
          <w:p w14:paraId="1D484D7A"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interest rate swaps designated as fair value hedges:</w:t>
            </w:r>
          </w:p>
        </w:tc>
        <w:tc>
          <w:tcPr>
            <w:tcW w:w="50" w:type="pct"/>
            <w:shd w:val="clear" w:color="auto" w:fill="FFFFFF"/>
            <w:tcMar>
              <w:top w:w="15" w:type="dxa"/>
              <w:left w:w="0" w:type="dxa"/>
              <w:bottom w:w="0" w:type="dxa"/>
              <w:right w:w="15" w:type="dxa"/>
            </w:tcMar>
            <w:vAlign w:val="bottom"/>
            <w:hideMark/>
          </w:tcPr>
          <w:p w14:paraId="79D1050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2BBCBB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59831F6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6583F7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5287363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8376CC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7154690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E4F0D5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49C063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4A8BC1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0845826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DA933A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0F2EDC3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3C3085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3C22D93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FF3683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888A9BE" w14:textId="77777777">
        <w:trPr>
          <w:divId w:val="939029867"/>
          <w:jc w:val="center"/>
        </w:trPr>
        <w:tc>
          <w:tcPr>
            <w:tcW w:w="2150" w:type="pct"/>
            <w:shd w:val="clear" w:color="auto" w:fill="CFF0FC"/>
            <w:tcMar>
              <w:top w:w="15" w:type="dxa"/>
              <w:left w:w="0" w:type="dxa"/>
              <w:bottom w:w="0" w:type="dxa"/>
              <w:right w:w="15" w:type="dxa"/>
            </w:tcMar>
            <w:vAlign w:val="bottom"/>
            <w:hideMark/>
          </w:tcPr>
          <w:p w14:paraId="5A066548"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Derivative instruments</w:t>
            </w:r>
          </w:p>
        </w:tc>
        <w:tc>
          <w:tcPr>
            <w:tcW w:w="50" w:type="pct"/>
            <w:shd w:val="clear" w:color="auto" w:fill="CFF0FC"/>
            <w:tcMar>
              <w:top w:w="15" w:type="dxa"/>
              <w:left w:w="0" w:type="dxa"/>
              <w:bottom w:w="0" w:type="dxa"/>
              <w:right w:w="15" w:type="dxa"/>
            </w:tcMar>
            <w:vAlign w:val="bottom"/>
            <w:hideMark/>
          </w:tcPr>
          <w:p w14:paraId="426864C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9F011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49C9D305"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(21</w:t>
            </w:r>
          </w:p>
        </w:tc>
        <w:tc>
          <w:tcPr>
            <w:tcW w:w="50" w:type="pct"/>
            <w:shd w:val="clear" w:color="auto" w:fill="CFF0FC"/>
            <w:noWrap/>
            <w:tcMar>
              <w:top w:w="15" w:type="dxa"/>
              <w:left w:w="0" w:type="dxa"/>
              <w:bottom w:w="0" w:type="dxa"/>
              <w:right w:w="15" w:type="dxa"/>
            </w:tcMar>
            <w:vAlign w:val="bottom"/>
            <w:hideMark/>
          </w:tcPr>
          <w:p w14:paraId="5EB1375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CFF0FC"/>
            <w:tcMar>
              <w:top w:w="15" w:type="dxa"/>
              <w:left w:w="0" w:type="dxa"/>
              <w:bottom w:w="0" w:type="dxa"/>
              <w:right w:w="15" w:type="dxa"/>
            </w:tcMar>
            <w:vAlign w:val="bottom"/>
            <w:hideMark/>
          </w:tcPr>
          <w:p w14:paraId="4FA5CEB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6F90E5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3BA7E5B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w:t>
            </w:r>
          </w:p>
        </w:tc>
        <w:tc>
          <w:tcPr>
            <w:tcW w:w="50" w:type="pct"/>
            <w:shd w:val="clear" w:color="auto" w:fill="CFF0FC"/>
            <w:noWrap/>
            <w:tcMar>
              <w:top w:w="15" w:type="dxa"/>
              <w:left w:w="0" w:type="dxa"/>
              <w:bottom w:w="0" w:type="dxa"/>
              <w:right w:w="15" w:type="dxa"/>
            </w:tcMar>
            <w:vAlign w:val="bottom"/>
            <w:hideMark/>
          </w:tcPr>
          <w:p w14:paraId="33255E1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3B97C82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8E5C58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31D690B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0F7ADF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77CF9B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72972AF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2C58C05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63D8A04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B171C39" w14:textId="77777777">
        <w:trPr>
          <w:divId w:val="939029867"/>
          <w:jc w:val="center"/>
        </w:trPr>
        <w:tc>
          <w:tcPr>
            <w:tcW w:w="2150" w:type="pct"/>
            <w:shd w:val="clear" w:color="auto" w:fill="FFFFFF"/>
            <w:tcMar>
              <w:top w:w="15" w:type="dxa"/>
              <w:left w:w="0" w:type="dxa"/>
              <w:bottom w:w="0" w:type="dxa"/>
              <w:right w:w="15" w:type="dxa"/>
            </w:tcMar>
            <w:vAlign w:val="bottom"/>
            <w:hideMark/>
          </w:tcPr>
          <w:p w14:paraId="7DE4A67A"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Hedged items</w:t>
            </w:r>
          </w:p>
        </w:tc>
        <w:tc>
          <w:tcPr>
            <w:tcW w:w="50" w:type="pct"/>
            <w:shd w:val="clear" w:color="auto" w:fill="FFFFFF"/>
            <w:tcMar>
              <w:top w:w="15" w:type="dxa"/>
              <w:left w:w="0" w:type="dxa"/>
              <w:bottom w:w="0" w:type="dxa"/>
              <w:right w:w="15" w:type="dxa"/>
            </w:tcMar>
            <w:vAlign w:val="bottom"/>
            <w:hideMark/>
          </w:tcPr>
          <w:p w14:paraId="47D388F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93A1BE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654D8B9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22</w:t>
            </w:r>
          </w:p>
        </w:tc>
        <w:tc>
          <w:tcPr>
            <w:tcW w:w="50" w:type="pct"/>
            <w:shd w:val="clear" w:color="auto" w:fill="FFFFFF"/>
            <w:noWrap/>
            <w:tcMar>
              <w:top w:w="15" w:type="dxa"/>
              <w:left w:w="0" w:type="dxa"/>
              <w:bottom w:w="0" w:type="dxa"/>
              <w:right w:w="15" w:type="dxa"/>
            </w:tcMar>
            <w:vAlign w:val="bottom"/>
            <w:hideMark/>
          </w:tcPr>
          <w:p w14:paraId="6AF1FB4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604276B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70D117B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20884531"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(10</w:t>
            </w:r>
          </w:p>
        </w:tc>
        <w:tc>
          <w:tcPr>
            <w:tcW w:w="50" w:type="pct"/>
            <w:shd w:val="clear" w:color="auto" w:fill="FFFFFF"/>
            <w:noWrap/>
            <w:tcMar>
              <w:top w:w="15" w:type="dxa"/>
              <w:left w:w="0" w:type="dxa"/>
              <w:bottom w:w="0" w:type="dxa"/>
              <w:right w:w="15" w:type="dxa"/>
            </w:tcMar>
            <w:vAlign w:val="bottom"/>
            <w:hideMark/>
          </w:tcPr>
          <w:p w14:paraId="26D31DC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tcMar>
              <w:top w:w="15" w:type="dxa"/>
              <w:left w:w="0" w:type="dxa"/>
              <w:bottom w:w="0" w:type="dxa"/>
              <w:right w:w="15" w:type="dxa"/>
            </w:tcMar>
            <w:vAlign w:val="bottom"/>
            <w:hideMark/>
          </w:tcPr>
          <w:p w14:paraId="0C2A1EE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46EF716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6ADF850A"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1BFFC90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3ED080F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FEF5E2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FFFFFF"/>
            <w:noWrap/>
            <w:tcMar>
              <w:top w:w="15" w:type="dxa"/>
              <w:left w:w="0" w:type="dxa"/>
              <w:bottom w:w="0" w:type="dxa"/>
              <w:right w:w="15" w:type="dxa"/>
            </w:tcMar>
            <w:vAlign w:val="bottom"/>
            <w:hideMark/>
          </w:tcPr>
          <w:p w14:paraId="7CFB5494"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50E8B93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2271F862" w14:textId="77777777">
        <w:trPr>
          <w:divId w:val="939029867"/>
          <w:jc w:val="center"/>
        </w:trPr>
        <w:tc>
          <w:tcPr>
            <w:tcW w:w="2150" w:type="pct"/>
            <w:shd w:val="clear" w:color="auto" w:fill="CFF0FC"/>
            <w:tcMar>
              <w:top w:w="15" w:type="dxa"/>
              <w:left w:w="0" w:type="dxa"/>
              <w:bottom w:w="0" w:type="dxa"/>
              <w:right w:w="15" w:type="dxa"/>
            </w:tcMar>
            <w:vAlign w:val="bottom"/>
            <w:hideMark/>
          </w:tcPr>
          <w:p w14:paraId="10A27FFD" w14:textId="77777777" w:rsidR="00716E85" w:rsidRDefault="00716E85">
            <w:pPr>
              <w:pStyle w:val="a3"/>
              <w:spacing w:before="0" w:beforeAutospacing="0" w:after="0" w:afterAutospacing="0"/>
              <w:ind w:left="274"/>
              <w:rPr>
                <w:rFonts w:ascii="Calibri" w:hAnsi="Calibri" w:cs="Calibri"/>
                <w:color w:val="000000"/>
                <w:sz w:val="17"/>
                <w:szCs w:val="17"/>
              </w:rPr>
            </w:pPr>
            <w:r>
              <w:rPr>
                <w:rFonts w:ascii="Calibri" w:hAnsi="Calibri" w:cs="Calibri"/>
                <w:color w:val="000000"/>
                <w:sz w:val="17"/>
                <w:szCs w:val="17"/>
              </w:rPr>
              <w:t>Cross-currency swap agreements designated as cash flow hedges:</w:t>
            </w:r>
          </w:p>
        </w:tc>
        <w:tc>
          <w:tcPr>
            <w:tcW w:w="50" w:type="pct"/>
            <w:shd w:val="clear" w:color="auto" w:fill="CFF0FC"/>
            <w:tcMar>
              <w:top w:w="15" w:type="dxa"/>
              <w:left w:w="0" w:type="dxa"/>
              <w:bottom w:w="0" w:type="dxa"/>
              <w:right w:w="15" w:type="dxa"/>
            </w:tcMar>
            <w:vAlign w:val="bottom"/>
            <w:hideMark/>
          </w:tcPr>
          <w:p w14:paraId="4514D91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BD9FCF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04CA318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5BDAB87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70E2D44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8F703C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4758F4E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3AB76B2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299683F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E51A1E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CFF0FC"/>
            <w:noWrap/>
            <w:tcMar>
              <w:top w:w="15" w:type="dxa"/>
              <w:left w:w="0" w:type="dxa"/>
              <w:bottom w:w="0" w:type="dxa"/>
              <w:right w:w="15" w:type="dxa"/>
            </w:tcMar>
            <w:vAlign w:val="bottom"/>
            <w:hideMark/>
          </w:tcPr>
          <w:p w14:paraId="6CBCE87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62F1D5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78861D4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C1DF1E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shd w:val="clear" w:color="auto" w:fill="CFF0FC"/>
            <w:noWrap/>
            <w:tcMar>
              <w:top w:w="15" w:type="dxa"/>
              <w:left w:w="0" w:type="dxa"/>
              <w:bottom w:w="0" w:type="dxa"/>
              <w:right w:w="15" w:type="dxa"/>
            </w:tcMar>
            <w:vAlign w:val="bottom"/>
            <w:hideMark/>
          </w:tcPr>
          <w:p w14:paraId="33D50A7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0F00881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0FC0EAB0" w14:textId="77777777">
        <w:trPr>
          <w:divId w:val="939029867"/>
          <w:jc w:val="center"/>
        </w:trPr>
        <w:tc>
          <w:tcPr>
            <w:tcW w:w="2150" w:type="pct"/>
            <w:shd w:val="clear" w:color="auto" w:fill="FFFFFF"/>
            <w:tcMar>
              <w:top w:w="15" w:type="dxa"/>
              <w:left w:w="0" w:type="dxa"/>
              <w:bottom w:w="0" w:type="dxa"/>
              <w:right w:w="15" w:type="dxa"/>
            </w:tcMar>
            <w:vAlign w:val="bottom"/>
            <w:hideMark/>
          </w:tcPr>
          <w:p w14:paraId="09527E27" w14:textId="77777777" w:rsidR="00716E85" w:rsidRDefault="00716E85">
            <w:pPr>
              <w:pStyle w:val="a3"/>
              <w:spacing w:before="0" w:beforeAutospacing="0" w:after="0" w:afterAutospacing="0"/>
              <w:ind w:left="547"/>
              <w:rPr>
                <w:rFonts w:ascii="Calibri" w:hAnsi="Calibri" w:cs="Calibri"/>
                <w:color w:val="000000"/>
                <w:sz w:val="17"/>
                <w:szCs w:val="17"/>
              </w:rPr>
            </w:pPr>
            <w:r>
              <w:rPr>
                <w:rFonts w:ascii="Calibri" w:hAnsi="Calibri" w:cs="Calibri"/>
                <w:color w:val="000000"/>
                <w:sz w:val="17"/>
                <w:szCs w:val="17"/>
              </w:rPr>
              <w:t>Amount of gain (loss) reclassified from accumulated OCI or OCL</w:t>
            </w:r>
          </w:p>
        </w:tc>
        <w:tc>
          <w:tcPr>
            <w:tcW w:w="50" w:type="pct"/>
            <w:shd w:val="clear" w:color="auto" w:fill="FFFFFF"/>
            <w:tcMar>
              <w:top w:w="15" w:type="dxa"/>
              <w:left w:w="0" w:type="dxa"/>
              <w:bottom w:w="0" w:type="dxa"/>
              <w:right w:w="15" w:type="dxa"/>
            </w:tcMar>
            <w:vAlign w:val="bottom"/>
            <w:hideMark/>
          </w:tcPr>
          <w:p w14:paraId="3CBE5AA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DA7E9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bottom w:val="single" w:sz="6" w:space="0" w:color="000000"/>
            </w:tcBorders>
            <w:shd w:val="clear" w:color="auto" w:fill="FFFFFF"/>
            <w:noWrap/>
            <w:tcMar>
              <w:top w:w="15" w:type="dxa"/>
              <w:left w:w="0" w:type="dxa"/>
              <w:bottom w:w="0" w:type="dxa"/>
              <w:right w:w="15" w:type="dxa"/>
            </w:tcMar>
            <w:vAlign w:val="bottom"/>
            <w:hideMark/>
          </w:tcPr>
          <w:p w14:paraId="5DA61B4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(26</w:t>
            </w:r>
          </w:p>
        </w:tc>
        <w:tc>
          <w:tcPr>
            <w:tcW w:w="50" w:type="pct"/>
            <w:shd w:val="clear" w:color="auto" w:fill="FFFFFF"/>
            <w:noWrap/>
            <w:tcMar>
              <w:top w:w="15" w:type="dxa"/>
              <w:left w:w="0" w:type="dxa"/>
              <w:bottom w:w="0" w:type="dxa"/>
              <w:right w:w="15" w:type="dxa"/>
            </w:tcMar>
            <w:vAlign w:val="bottom"/>
            <w:hideMark/>
          </w:tcPr>
          <w:p w14:paraId="4872543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FFFFFF"/>
            <w:tcMar>
              <w:top w:w="15" w:type="dxa"/>
              <w:left w:w="0" w:type="dxa"/>
              <w:bottom w:w="0" w:type="dxa"/>
              <w:right w:w="15" w:type="dxa"/>
            </w:tcMar>
            <w:vAlign w:val="bottom"/>
            <w:hideMark/>
          </w:tcPr>
          <w:p w14:paraId="65162D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DE7D6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bottom w:val="single" w:sz="6" w:space="0" w:color="000000"/>
            </w:tcBorders>
            <w:shd w:val="clear" w:color="auto" w:fill="FFFFFF"/>
            <w:noWrap/>
            <w:tcMar>
              <w:top w:w="15" w:type="dxa"/>
              <w:left w:w="0" w:type="dxa"/>
              <w:bottom w:w="0" w:type="dxa"/>
              <w:right w:w="15" w:type="dxa"/>
            </w:tcMar>
            <w:vAlign w:val="bottom"/>
            <w:hideMark/>
          </w:tcPr>
          <w:p w14:paraId="587E7418"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0638B11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47EE4FD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79C37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tcBorders>
              <w:bottom w:val="single" w:sz="6" w:space="0" w:color="000000"/>
            </w:tcBorders>
            <w:shd w:val="clear" w:color="auto" w:fill="FFFFFF"/>
            <w:noWrap/>
            <w:tcMar>
              <w:top w:w="15" w:type="dxa"/>
              <w:left w:w="0" w:type="dxa"/>
              <w:bottom w:w="0" w:type="dxa"/>
              <w:right w:w="15" w:type="dxa"/>
            </w:tcMar>
            <w:vAlign w:val="bottom"/>
            <w:hideMark/>
          </w:tcPr>
          <w:p w14:paraId="064BCC2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142</w:t>
            </w:r>
          </w:p>
        </w:tc>
        <w:tc>
          <w:tcPr>
            <w:tcW w:w="50" w:type="pct"/>
            <w:shd w:val="clear" w:color="auto" w:fill="FFFFFF"/>
            <w:noWrap/>
            <w:tcMar>
              <w:top w:w="15" w:type="dxa"/>
              <w:left w:w="0" w:type="dxa"/>
              <w:bottom w:w="0" w:type="dxa"/>
              <w:right w:w="15" w:type="dxa"/>
            </w:tcMar>
            <w:vAlign w:val="bottom"/>
            <w:hideMark/>
          </w:tcPr>
          <w:p w14:paraId="24E4931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tcMar>
              <w:top w:w="15" w:type="dxa"/>
              <w:left w:w="0" w:type="dxa"/>
              <w:bottom w:w="0" w:type="dxa"/>
              <w:right w:w="15" w:type="dxa"/>
            </w:tcMar>
            <w:vAlign w:val="bottom"/>
            <w:hideMark/>
          </w:tcPr>
          <w:p w14:paraId="6FEAE04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0AAA2E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00" w:type="pct"/>
            <w:tcBorders>
              <w:bottom w:val="single" w:sz="6" w:space="0" w:color="000000"/>
            </w:tcBorders>
            <w:shd w:val="clear" w:color="auto" w:fill="FFFFFF"/>
            <w:noWrap/>
            <w:tcMar>
              <w:top w:w="15" w:type="dxa"/>
              <w:left w:w="0" w:type="dxa"/>
              <w:bottom w:w="0" w:type="dxa"/>
              <w:right w:w="15" w:type="dxa"/>
            </w:tcMar>
            <w:vAlign w:val="bottom"/>
            <w:hideMark/>
          </w:tcPr>
          <w:p w14:paraId="4D37C6F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6FD9C0A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7E438518" w14:textId="77777777">
        <w:trPr>
          <w:divId w:val="939029867"/>
          <w:jc w:val="center"/>
        </w:trPr>
        <w:tc>
          <w:tcPr>
            <w:tcW w:w="2150" w:type="pct"/>
            <w:shd w:val="clear" w:color="auto" w:fill="CFF0FC"/>
            <w:tcMar>
              <w:top w:w="15" w:type="dxa"/>
              <w:left w:w="0" w:type="dxa"/>
              <w:bottom w:w="0" w:type="dxa"/>
              <w:right w:w="15" w:type="dxa"/>
            </w:tcMar>
            <w:vAlign w:val="bottom"/>
            <w:hideMark/>
          </w:tcPr>
          <w:p w14:paraId="76F82CF0" w14:textId="77777777" w:rsidR="00716E85" w:rsidRDefault="00716E85">
            <w:pPr>
              <w:pStyle w:val="a3"/>
              <w:spacing w:before="0" w:beforeAutospacing="0" w:after="0" w:afterAutospacing="0"/>
              <w:ind w:left="821"/>
              <w:rPr>
                <w:rFonts w:ascii="Calibri" w:hAnsi="Calibri" w:cs="Calibri"/>
                <w:color w:val="000000"/>
                <w:sz w:val="17"/>
                <w:szCs w:val="17"/>
              </w:rPr>
            </w:pPr>
            <w:r>
              <w:rPr>
                <w:rFonts w:ascii="Calibri" w:hAnsi="Calibri" w:cs="Calibri"/>
                <w:color w:val="000000"/>
                <w:sz w:val="17"/>
                <w:szCs w:val="17"/>
              </w:rPr>
              <w:t>Total gain (loss) on hedges recognized in income</w:t>
            </w:r>
          </w:p>
        </w:tc>
        <w:tc>
          <w:tcPr>
            <w:tcW w:w="50" w:type="pct"/>
            <w:shd w:val="clear" w:color="auto" w:fill="CFF0FC"/>
            <w:tcMar>
              <w:top w:w="15" w:type="dxa"/>
              <w:left w:w="0" w:type="dxa"/>
              <w:bottom w:w="0" w:type="dxa"/>
              <w:right w:w="15" w:type="dxa"/>
            </w:tcMar>
            <w:vAlign w:val="bottom"/>
            <w:hideMark/>
          </w:tcPr>
          <w:p w14:paraId="29E0EC93"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E080C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B8D65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(25</w:t>
            </w:r>
          </w:p>
        </w:tc>
        <w:tc>
          <w:tcPr>
            <w:tcW w:w="50" w:type="pct"/>
            <w:shd w:val="clear" w:color="auto" w:fill="CFF0FC"/>
            <w:noWrap/>
            <w:tcMar>
              <w:top w:w="15" w:type="dxa"/>
              <w:left w:w="0" w:type="dxa"/>
              <w:bottom w:w="0" w:type="dxa"/>
              <w:right w:w="15" w:type="dxa"/>
            </w:tcMar>
            <w:vAlign w:val="bottom"/>
            <w:hideMark/>
          </w:tcPr>
          <w:p w14:paraId="05039A1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CFF0FC"/>
            <w:tcMar>
              <w:top w:w="15" w:type="dxa"/>
              <w:left w:w="0" w:type="dxa"/>
              <w:bottom w:w="0" w:type="dxa"/>
              <w:right w:w="15" w:type="dxa"/>
            </w:tcMar>
            <w:vAlign w:val="bottom"/>
            <w:hideMark/>
          </w:tcPr>
          <w:p w14:paraId="763BB0C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F8F01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1FBF07"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3BF0688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10E7D08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387735"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41F8C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142</w:t>
            </w:r>
          </w:p>
        </w:tc>
        <w:tc>
          <w:tcPr>
            <w:tcW w:w="50" w:type="pct"/>
            <w:shd w:val="clear" w:color="auto" w:fill="CFF0FC"/>
            <w:noWrap/>
            <w:tcMar>
              <w:top w:w="15" w:type="dxa"/>
              <w:left w:w="0" w:type="dxa"/>
              <w:bottom w:w="0" w:type="dxa"/>
              <w:right w:w="15" w:type="dxa"/>
            </w:tcMar>
            <w:vAlign w:val="bottom"/>
            <w:hideMark/>
          </w:tcPr>
          <w:p w14:paraId="12F0EF6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tcMar>
              <w:top w:w="15" w:type="dxa"/>
              <w:left w:w="0" w:type="dxa"/>
              <w:bottom w:w="0" w:type="dxa"/>
              <w:right w:w="15" w:type="dxa"/>
            </w:tcMar>
            <w:vAlign w:val="bottom"/>
            <w:hideMark/>
          </w:tcPr>
          <w:p w14:paraId="401D6D2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F255F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0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D9309C"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left w:w="0" w:type="dxa"/>
              <w:bottom w:w="0" w:type="dxa"/>
              <w:right w:w="15" w:type="dxa"/>
            </w:tcMar>
            <w:vAlign w:val="bottom"/>
            <w:hideMark/>
          </w:tcPr>
          <w:p w14:paraId="212AB3E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bl>
    <w:p w14:paraId="7F55D90F" w14:textId="77777777" w:rsidR="00716E85" w:rsidRDefault="00716E85">
      <w:pPr>
        <w:pStyle w:val="a3"/>
      </w:pPr>
      <w:r>
        <w:t> </w:t>
      </w:r>
    </w:p>
    <w:p w14:paraId="1B7511A8" w14:textId="77777777" w:rsidR="00716E85" w:rsidRDefault="00716E85">
      <w:pPr>
        <w:pStyle w:val="a3"/>
        <w:spacing w:before="40" w:beforeAutospacing="0" w:after="0" w:afterAutospacing="0"/>
        <w:jc w:val="both"/>
        <w:rPr>
          <w:rFonts w:ascii="Calibri" w:hAnsi="Calibri" w:cs="Calibri"/>
          <w:b/>
          <w:bCs/>
          <w:sz w:val="20"/>
          <w:szCs w:val="20"/>
        </w:rPr>
      </w:pPr>
      <w:r>
        <w:rPr>
          <w:rFonts w:ascii="Calibri" w:hAnsi="Calibri" w:cs="Calibri"/>
          <w:b/>
          <w:bCs/>
          <w:sz w:val="20"/>
          <w:szCs w:val="20"/>
        </w:rPr>
        <w:t>Gain (Loss) on Derivative and Non-Derivative Instruments Designated as Hedges included in Other Comprehensive Income (OCI) or Loss (OCL)</w:t>
      </w:r>
    </w:p>
    <w:p w14:paraId="75332196" w14:textId="77777777" w:rsidR="00716E85" w:rsidRDefault="00716E85">
      <w:pPr>
        <w:pStyle w:val="a3"/>
        <w:spacing w:before="0" w:beforeAutospacing="0" w:after="0" w:afterAutospacing="0"/>
        <w:jc w:val="both"/>
        <w:rPr>
          <w:b/>
          <w:bCs/>
          <w:sz w:val="16"/>
          <w:szCs w:val="16"/>
        </w:rPr>
      </w:pPr>
      <w:r>
        <w:rPr>
          <w:b/>
          <w:bCs/>
          <w:sz w:val="16"/>
          <w:szCs w:val="16"/>
        </w:rPr>
        <w:t> </w:t>
      </w:r>
    </w:p>
    <w:tbl>
      <w:tblPr>
        <w:tblW w:w="5000" w:type="pct"/>
        <w:jc w:val="center"/>
        <w:tblCellMar>
          <w:left w:w="0" w:type="dxa"/>
          <w:right w:w="0" w:type="dxa"/>
        </w:tblCellMar>
        <w:tblLook w:val="04A0" w:firstRow="1" w:lastRow="0" w:firstColumn="1" w:lastColumn="0" w:noHBand="0" w:noVBand="1"/>
      </w:tblPr>
      <w:tblGrid>
        <w:gridCol w:w="4141"/>
        <w:gridCol w:w="106"/>
        <w:gridCol w:w="102"/>
        <w:gridCol w:w="736"/>
        <w:gridCol w:w="71"/>
        <w:gridCol w:w="106"/>
        <w:gridCol w:w="102"/>
        <w:gridCol w:w="736"/>
        <w:gridCol w:w="71"/>
        <w:gridCol w:w="106"/>
        <w:gridCol w:w="102"/>
        <w:gridCol w:w="736"/>
        <w:gridCol w:w="71"/>
        <w:gridCol w:w="106"/>
        <w:gridCol w:w="102"/>
        <w:gridCol w:w="845"/>
        <w:gridCol w:w="67"/>
      </w:tblGrid>
      <w:tr w:rsidR="00716E85" w14:paraId="12141446" w14:textId="77777777">
        <w:trPr>
          <w:divId w:val="1439133611"/>
          <w:jc w:val="center"/>
        </w:trPr>
        <w:tc>
          <w:tcPr>
            <w:tcW w:w="2500" w:type="pct"/>
            <w:shd w:val="clear" w:color="auto" w:fill="FFFFFF"/>
            <w:tcMar>
              <w:top w:w="15" w:type="dxa"/>
              <w:left w:w="0" w:type="dxa"/>
              <w:bottom w:w="0" w:type="dxa"/>
              <w:right w:w="15" w:type="dxa"/>
            </w:tcMar>
            <w:vAlign w:val="bottom"/>
            <w:hideMark/>
          </w:tcPr>
          <w:p w14:paraId="459C633D" w14:textId="77777777" w:rsidR="00716E85" w:rsidRDefault="00716E85">
            <w:pPr>
              <w:pStyle w:val="a3"/>
              <w:spacing w:before="0" w:beforeAutospacing="0" w:after="0" w:afterAutospacing="0"/>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1B97FCC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6"/>
            <w:tcBorders>
              <w:bottom w:val="single" w:sz="6" w:space="0" w:color="000000"/>
            </w:tcBorders>
            <w:shd w:val="clear" w:color="auto" w:fill="FFFFFF"/>
            <w:tcMar>
              <w:top w:w="15" w:type="dxa"/>
              <w:left w:w="0" w:type="dxa"/>
              <w:bottom w:w="0" w:type="dxa"/>
              <w:right w:w="15" w:type="dxa"/>
            </w:tcMar>
            <w:vAlign w:val="bottom"/>
            <w:hideMark/>
          </w:tcPr>
          <w:p w14:paraId="30C9C53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479FEE8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5D8D99B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1C4DD21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6"/>
            <w:tcBorders>
              <w:bottom w:val="single" w:sz="6" w:space="0" w:color="000000"/>
            </w:tcBorders>
            <w:shd w:val="clear" w:color="auto" w:fill="FFFFFF"/>
            <w:tcMar>
              <w:top w:w="15" w:type="dxa"/>
              <w:left w:w="0" w:type="dxa"/>
              <w:bottom w:w="0" w:type="dxa"/>
              <w:right w:w="15" w:type="dxa"/>
            </w:tcMar>
            <w:vAlign w:val="bottom"/>
            <w:hideMark/>
          </w:tcPr>
          <w:p w14:paraId="7080F44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1E28055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0060867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CC1B76F" w14:textId="77777777">
        <w:trPr>
          <w:divId w:val="1439133611"/>
          <w:jc w:val="center"/>
        </w:trPr>
        <w:tc>
          <w:tcPr>
            <w:tcW w:w="2500" w:type="pct"/>
            <w:tcBorders>
              <w:bottom w:val="single" w:sz="6" w:space="0" w:color="000000"/>
            </w:tcBorders>
            <w:shd w:val="clear" w:color="auto" w:fill="FFFFFF"/>
            <w:tcMar>
              <w:top w:w="15" w:type="dxa"/>
              <w:left w:w="0" w:type="dxa"/>
              <w:bottom w:w="0" w:type="dxa"/>
              <w:right w:w="15" w:type="dxa"/>
            </w:tcMar>
            <w:vAlign w:val="bottom"/>
            <w:hideMark/>
          </w:tcPr>
          <w:p w14:paraId="275A710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left w:w="0" w:type="dxa"/>
              <w:bottom w:w="0" w:type="dxa"/>
              <w:right w:w="15" w:type="dxa"/>
            </w:tcMar>
            <w:vAlign w:val="bottom"/>
            <w:hideMark/>
          </w:tcPr>
          <w:p w14:paraId="53AE4F0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1B4BE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F3D021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1286064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AB5DB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B36BE0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5E24BAC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4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1E52E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05EAC3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6B01034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0E7CA6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74DBFB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175FB3D" w14:textId="77777777">
        <w:trPr>
          <w:divId w:val="1439133611"/>
          <w:trHeight w:val="43"/>
          <w:jc w:val="center"/>
        </w:trPr>
        <w:tc>
          <w:tcPr>
            <w:tcW w:w="2500" w:type="pct"/>
            <w:tcBorders>
              <w:top w:val="single" w:sz="6" w:space="0" w:color="000000"/>
            </w:tcBorders>
            <w:shd w:val="clear" w:color="auto" w:fill="CFF0FC"/>
            <w:tcMar>
              <w:top w:w="15" w:type="dxa"/>
              <w:left w:w="0" w:type="dxa"/>
              <w:bottom w:w="0" w:type="dxa"/>
              <w:right w:w="15" w:type="dxa"/>
            </w:tcMar>
            <w:vAlign w:val="bottom"/>
            <w:hideMark/>
          </w:tcPr>
          <w:p w14:paraId="2EA70E3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Cross-currency swap agreements designated as cash flow hedges</w:t>
            </w:r>
          </w:p>
        </w:tc>
        <w:tc>
          <w:tcPr>
            <w:tcW w:w="71" w:type="pct"/>
            <w:shd w:val="clear" w:color="auto" w:fill="CFF0FC"/>
            <w:tcMar>
              <w:top w:w="15" w:type="dxa"/>
              <w:left w:w="0" w:type="dxa"/>
              <w:bottom w:w="0" w:type="dxa"/>
              <w:right w:w="15" w:type="dxa"/>
            </w:tcMar>
            <w:vAlign w:val="bottom"/>
            <w:hideMark/>
          </w:tcPr>
          <w:p w14:paraId="59DA302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76E50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left w:w="0" w:type="dxa"/>
              <w:bottom w:w="0" w:type="dxa"/>
              <w:right w:w="15" w:type="dxa"/>
            </w:tcMar>
            <w:vAlign w:val="bottom"/>
            <w:hideMark/>
          </w:tcPr>
          <w:p w14:paraId="463DC7C3"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(7</w:t>
            </w:r>
          </w:p>
        </w:tc>
        <w:tc>
          <w:tcPr>
            <w:tcW w:w="50" w:type="pct"/>
            <w:shd w:val="clear" w:color="auto" w:fill="CFF0FC"/>
            <w:noWrap/>
            <w:tcMar>
              <w:top w:w="15" w:type="dxa"/>
              <w:left w:w="0" w:type="dxa"/>
              <w:bottom w:w="0" w:type="dxa"/>
              <w:right w:w="15" w:type="dxa"/>
            </w:tcMar>
            <w:vAlign w:val="bottom"/>
            <w:hideMark/>
          </w:tcPr>
          <w:p w14:paraId="4B256BD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CFF0FC"/>
            <w:tcMar>
              <w:top w:w="15" w:type="dxa"/>
              <w:left w:w="0" w:type="dxa"/>
              <w:bottom w:w="0" w:type="dxa"/>
              <w:right w:w="15" w:type="dxa"/>
            </w:tcMar>
            <w:vAlign w:val="bottom"/>
            <w:hideMark/>
          </w:tcPr>
          <w:p w14:paraId="75A6F57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122BDD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left w:w="0" w:type="dxa"/>
              <w:bottom w:w="0" w:type="dxa"/>
              <w:right w:w="15" w:type="dxa"/>
            </w:tcMar>
            <w:vAlign w:val="bottom"/>
            <w:hideMark/>
          </w:tcPr>
          <w:p w14:paraId="4CD93679"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57</w:t>
            </w:r>
          </w:p>
        </w:tc>
        <w:tc>
          <w:tcPr>
            <w:tcW w:w="50" w:type="pct"/>
            <w:shd w:val="clear" w:color="auto" w:fill="CFF0FC"/>
            <w:noWrap/>
            <w:tcMar>
              <w:top w:w="15" w:type="dxa"/>
              <w:left w:w="0" w:type="dxa"/>
              <w:bottom w:w="0" w:type="dxa"/>
              <w:right w:w="15" w:type="dxa"/>
            </w:tcMar>
            <w:vAlign w:val="bottom"/>
            <w:hideMark/>
          </w:tcPr>
          <w:p w14:paraId="440B8C3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CFF0FC"/>
            <w:tcMar>
              <w:top w:w="15" w:type="dxa"/>
              <w:left w:w="0" w:type="dxa"/>
              <w:bottom w:w="0" w:type="dxa"/>
              <w:right w:w="15" w:type="dxa"/>
            </w:tcMar>
            <w:vAlign w:val="bottom"/>
            <w:hideMark/>
          </w:tcPr>
          <w:p w14:paraId="0A0FB03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E70BD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450" w:type="pct"/>
            <w:tcBorders>
              <w:top w:val="single" w:sz="6" w:space="0" w:color="000000"/>
            </w:tcBorders>
            <w:shd w:val="clear" w:color="auto" w:fill="CFF0FC"/>
            <w:noWrap/>
            <w:tcMar>
              <w:top w:w="15" w:type="dxa"/>
              <w:left w:w="0" w:type="dxa"/>
              <w:bottom w:w="0" w:type="dxa"/>
              <w:right w:w="15" w:type="dxa"/>
            </w:tcMar>
            <w:vAlign w:val="bottom"/>
            <w:hideMark/>
          </w:tcPr>
          <w:p w14:paraId="38BDE7E2"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(62</w:t>
            </w:r>
          </w:p>
        </w:tc>
        <w:tc>
          <w:tcPr>
            <w:tcW w:w="50" w:type="pct"/>
            <w:shd w:val="clear" w:color="auto" w:fill="CFF0FC"/>
            <w:noWrap/>
            <w:tcMar>
              <w:top w:w="15" w:type="dxa"/>
              <w:left w:w="0" w:type="dxa"/>
              <w:bottom w:w="0" w:type="dxa"/>
              <w:right w:w="15" w:type="dxa"/>
            </w:tcMar>
            <w:vAlign w:val="bottom"/>
            <w:hideMark/>
          </w:tcPr>
          <w:p w14:paraId="6875AC7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CFF0FC"/>
            <w:tcMar>
              <w:top w:w="15" w:type="dxa"/>
              <w:left w:w="0" w:type="dxa"/>
              <w:bottom w:w="0" w:type="dxa"/>
              <w:right w:w="15" w:type="dxa"/>
            </w:tcMar>
            <w:vAlign w:val="bottom"/>
            <w:hideMark/>
          </w:tcPr>
          <w:p w14:paraId="0565D8C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3AF13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14:paraId="03447C10"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161</w:t>
            </w:r>
          </w:p>
        </w:tc>
        <w:tc>
          <w:tcPr>
            <w:tcW w:w="50" w:type="pct"/>
            <w:shd w:val="clear" w:color="auto" w:fill="CFF0FC"/>
            <w:noWrap/>
            <w:tcMar>
              <w:top w:w="15" w:type="dxa"/>
              <w:left w:w="0" w:type="dxa"/>
              <w:bottom w:w="0" w:type="dxa"/>
              <w:right w:w="15" w:type="dxa"/>
            </w:tcMar>
            <w:vAlign w:val="bottom"/>
            <w:hideMark/>
          </w:tcPr>
          <w:p w14:paraId="7558245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r>
      <w:tr w:rsidR="00716E85" w14:paraId="67B99FD4" w14:textId="77777777">
        <w:trPr>
          <w:divId w:val="1439133611"/>
          <w:trHeight w:val="43"/>
          <w:jc w:val="center"/>
        </w:trPr>
        <w:tc>
          <w:tcPr>
            <w:tcW w:w="2500" w:type="pct"/>
            <w:shd w:val="clear" w:color="auto" w:fill="FFFFFF"/>
            <w:tcMar>
              <w:top w:w="15" w:type="dxa"/>
              <w:left w:w="0" w:type="dxa"/>
              <w:bottom w:w="0" w:type="dxa"/>
              <w:right w:w="15" w:type="dxa"/>
            </w:tcMar>
            <w:vAlign w:val="bottom"/>
            <w:hideMark/>
          </w:tcPr>
          <w:p w14:paraId="36342C6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Foreign currency borrowings designated as net investment hedge</w:t>
            </w:r>
          </w:p>
        </w:tc>
        <w:tc>
          <w:tcPr>
            <w:tcW w:w="71" w:type="pct"/>
            <w:shd w:val="clear" w:color="auto" w:fill="FFFFFF"/>
            <w:tcMar>
              <w:top w:w="15" w:type="dxa"/>
              <w:left w:w="0" w:type="dxa"/>
              <w:bottom w:w="0" w:type="dxa"/>
              <w:right w:w="15" w:type="dxa"/>
            </w:tcMar>
            <w:vAlign w:val="bottom"/>
            <w:hideMark/>
          </w:tcPr>
          <w:p w14:paraId="0A982BB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0AD192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24F79AFB"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4A0150B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2F8386C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63D56C0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0D9D7706"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(31</w:t>
            </w:r>
          </w:p>
        </w:tc>
        <w:tc>
          <w:tcPr>
            <w:tcW w:w="50" w:type="pct"/>
            <w:shd w:val="clear" w:color="auto" w:fill="FFFFFF"/>
            <w:noWrap/>
            <w:tcMar>
              <w:top w:w="15" w:type="dxa"/>
              <w:left w:w="0" w:type="dxa"/>
              <w:bottom w:w="0" w:type="dxa"/>
              <w:right w:w="15" w:type="dxa"/>
            </w:tcMar>
            <w:vAlign w:val="bottom"/>
            <w:hideMark/>
          </w:tcPr>
          <w:p w14:paraId="6CEBE30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c>
          <w:tcPr>
            <w:tcW w:w="71" w:type="pct"/>
            <w:shd w:val="clear" w:color="auto" w:fill="FFFFFF"/>
            <w:tcMar>
              <w:top w:w="15" w:type="dxa"/>
              <w:left w:w="0" w:type="dxa"/>
              <w:bottom w:w="0" w:type="dxa"/>
              <w:right w:w="15" w:type="dxa"/>
            </w:tcMar>
            <w:vAlign w:val="bottom"/>
            <w:hideMark/>
          </w:tcPr>
          <w:p w14:paraId="3071E9E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1D25F7F1"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450" w:type="pct"/>
            <w:shd w:val="clear" w:color="auto" w:fill="FFFFFF"/>
            <w:noWrap/>
            <w:tcMar>
              <w:top w:w="15" w:type="dxa"/>
              <w:left w:w="0" w:type="dxa"/>
              <w:bottom w:w="0" w:type="dxa"/>
              <w:right w:w="15" w:type="dxa"/>
            </w:tcMar>
            <w:vAlign w:val="bottom"/>
            <w:hideMark/>
          </w:tcPr>
          <w:p w14:paraId="54A5898E"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FFFFFF"/>
            <w:noWrap/>
            <w:tcMar>
              <w:top w:w="15" w:type="dxa"/>
              <w:left w:w="0" w:type="dxa"/>
              <w:bottom w:w="0" w:type="dxa"/>
              <w:right w:w="15" w:type="dxa"/>
            </w:tcMar>
            <w:vAlign w:val="bottom"/>
            <w:hideMark/>
          </w:tcPr>
          <w:p w14:paraId="6D9ADE7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71" w:type="pct"/>
            <w:shd w:val="clear" w:color="auto" w:fill="FFFFFF"/>
            <w:tcMar>
              <w:top w:w="15" w:type="dxa"/>
              <w:left w:w="0" w:type="dxa"/>
              <w:bottom w:w="0" w:type="dxa"/>
              <w:right w:w="15" w:type="dxa"/>
            </w:tcMar>
            <w:vAlign w:val="bottom"/>
            <w:hideMark/>
          </w:tcPr>
          <w:p w14:paraId="695602FA"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3BD190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52" w:type="pct"/>
            <w:shd w:val="clear" w:color="auto" w:fill="FFFFFF"/>
            <w:noWrap/>
            <w:tcMar>
              <w:top w:w="15" w:type="dxa"/>
              <w:left w:w="0" w:type="dxa"/>
              <w:bottom w:w="0" w:type="dxa"/>
              <w:right w:w="15" w:type="dxa"/>
            </w:tcMar>
            <w:vAlign w:val="bottom"/>
            <w:hideMark/>
          </w:tcPr>
          <w:p w14:paraId="2876AE3D" w14:textId="77777777" w:rsidR="00716E85" w:rsidRDefault="00716E85">
            <w:pPr>
              <w:pStyle w:val="a3"/>
              <w:spacing w:before="0" w:beforeAutospacing="0" w:after="0" w:afterAutospacing="0"/>
              <w:jc w:val="right"/>
              <w:rPr>
                <w:rFonts w:ascii="Calibri" w:hAnsi="Calibri" w:cs="Calibri"/>
                <w:color w:val="000000"/>
                <w:sz w:val="17"/>
                <w:szCs w:val="17"/>
              </w:rPr>
            </w:pPr>
            <w:r>
              <w:rPr>
                <w:rFonts w:ascii="Calibri" w:hAnsi="Calibri" w:cs="Calibri"/>
                <w:color w:val="000000"/>
                <w:sz w:val="17"/>
                <w:szCs w:val="17"/>
              </w:rPr>
              <w:t>(85</w:t>
            </w:r>
          </w:p>
        </w:tc>
        <w:tc>
          <w:tcPr>
            <w:tcW w:w="50" w:type="pct"/>
            <w:shd w:val="clear" w:color="auto" w:fill="FFFFFF"/>
            <w:noWrap/>
            <w:tcMar>
              <w:top w:w="15" w:type="dxa"/>
              <w:left w:w="0" w:type="dxa"/>
              <w:bottom w:w="0" w:type="dxa"/>
              <w:right w:w="15" w:type="dxa"/>
            </w:tcMar>
            <w:vAlign w:val="bottom"/>
            <w:hideMark/>
          </w:tcPr>
          <w:p w14:paraId="6C071B9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w:t>
            </w:r>
          </w:p>
        </w:tc>
      </w:tr>
    </w:tbl>
    <w:p w14:paraId="57358884" w14:textId="77777777" w:rsidR="00716E85" w:rsidRDefault="00716E85">
      <w:pPr>
        <w:pStyle w:val="a3"/>
        <w:spacing w:before="0" w:beforeAutospacing="0" w:after="0" w:afterAutospacing="0"/>
        <w:jc w:val="both"/>
        <w:rPr>
          <w:b/>
          <w:bCs/>
          <w:sz w:val="6"/>
          <w:szCs w:val="6"/>
        </w:rPr>
      </w:pPr>
      <w:r>
        <w:rPr>
          <w:b/>
          <w:bCs/>
          <w:sz w:val="6"/>
          <w:szCs w:val="6"/>
        </w:rPr>
        <w:t> </w:t>
      </w:r>
    </w:p>
    <w:p w14:paraId="3BC31D80" w14:textId="77777777" w:rsidR="00716E85" w:rsidRDefault="00716E85">
      <w:pPr>
        <w:pStyle w:val="a3"/>
        <w:spacing w:before="0" w:beforeAutospacing="0" w:after="0" w:afterAutospacing="0"/>
        <w:jc w:val="both"/>
        <w:rPr>
          <w:sz w:val="6"/>
          <w:szCs w:val="6"/>
        </w:rPr>
      </w:pPr>
      <w:r>
        <w:rPr>
          <w:sz w:val="6"/>
          <w:szCs w:val="6"/>
        </w:rPr>
        <w:t> </w:t>
      </w:r>
    </w:p>
    <w:p w14:paraId="474F8068"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599D3C79" w14:textId="77777777">
        <w:tc>
          <w:tcPr>
            <w:tcW w:w="262" w:type="pct"/>
            <w:noWrap/>
            <w:hideMark/>
          </w:tcPr>
          <w:p w14:paraId="4FFDE581"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8.</w:t>
            </w:r>
          </w:p>
        </w:tc>
        <w:tc>
          <w:tcPr>
            <w:tcW w:w="0" w:type="auto"/>
            <w:hideMark/>
          </w:tcPr>
          <w:p w14:paraId="5A5A69E4"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STOCKHOLDERS’ EQUITY</w:t>
            </w:r>
          </w:p>
        </w:tc>
      </w:tr>
    </w:tbl>
    <w:p w14:paraId="0025D656"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Common Stock Repurchases</w:t>
      </w:r>
    </w:p>
    <w:p w14:paraId="469C55B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On September 17, 2018 and February 15, 2019, we announced that our Board of Directors approved expansions of our stock repurchase program collectively totaling $24.0 billion. As of February 28, 2019, approximately $11.8 billion remained available for stock repurchases pursuant to our stock repurchase program. We repurchased 621.8 million shares for $30.0 billion during the nine months ended February 28, 2019 (including 5.6 million shares for $293 million that were repurchased but not settled) and 131.6 million shares for $6.5 billion during the nine months ended February 28, 2018 under the stock repurchase program.</w:t>
      </w:r>
    </w:p>
    <w:p w14:paraId="769046D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or pursuant to a Rule 10b5-1 plan. Our stock repurchase program may be accelerated, suspended, delayed or discontinued at any time.</w:t>
      </w:r>
    </w:p>
    <w:p w14:paraId="17FA584F"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24</w:t>
      </w:r>
    </w:p>
    <w:p w14:paraId="7A1A9D25" w14:textId="77777777" w:rsidR="00716E85" w:rsidRDefault="00716E85">
      <w:pPr>
        <w:rPr>
          <w:rFonts w:ascii="Times New Roman" w:eastAsia="Times New Roman" w:hAnsi="Times New Roman" w:cs="Times New Roman"/>
          <w:sz w:val="24"/>
          <w:szCs w:val="24"/>
        </w:rPr>
      </w:pPr>
      <w:r>
        <w:rPr>
          <w:rFonts w:eastAsia="Times New Roman"/>
        </w:rPr>
        <w:pict w14:anchorId="3020B199">
          <v:rect id="_x0000_i1050" style="width:415.3pt;height:1.5pt" o:hralign="center" o:hrstd="t" o:hr="t" fillcolor="#a0a0a0" stroked="f"/>
        </w:pict>
      </w:r>
    </w:p>
    <w:p w14:paraId="6A0B9B76"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5A57E3FE" w14:textId="77777777" w:rsidR="00716E85" w:rsidRDefault="00716E85">
      <w:pPr>
        <w:pStyle w:val="a3"/>
      </w:pPr>
      <w:r>
        <w:t> </w:t>
      </w:r>
    </w:p>
    <w:p w14:paraId="78D27737"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D34610E"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1D7C3B77"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420214DA"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64E6DA1E" w14:textId="77777777" w:rsidR="00716E85" w:rsidRDefault="00716E85">
      <w:pPr>
        <w:pStyle w:val="a3"/>
        <w:spacing w:before="0" w:beforeAutospacing="0" w:after="0" w:afterAutospacing="0"/>
        <w:rPr>
          <w:sz w:val="20"/>
          <w:szCs w:val="20"/>
        </w:rPr>
      </w:pPr>
      <w:r>
        <w:rPr>
          <w:sz w:val="20"/>
          <w:szCs w:val="20"/>
        </w:rPr>
        <w:t> </w:t>
      </w:r>
    </w:p>
    <w:p w14:paraId="074A9275" w14:textId="77777777" w:rsidR="00716E85" w:rsidRDefault="00716E85">
      <w:pPr>
        <w:pStyle w:val="a3"/>
        <w:spacing w:before="240" w:beforeAutospacing="0" w:after="0" w:afterAutospacing="0"/>
        <w:jc w:val="both"/>
        <w:rPr>
          <w:rFonts w:ascii="Calibri" w:hAnsi="Calibri" w:cs="Calibri"/>
          <w:b/>
          <w:bCs/>
          <w:sz w:val="20"/>
          <w:szCs w:val="20"/>
        </w:rPr>
      </w:pPr>
      <w:bookmarkStart w:id="33" w:name="_AEIOULastRenderedPageBreakAEIOU25"/>
      <w:bookmarkEnd w:id="33"/>
      <w:r>
        <w:rPr>
          <w:rFonts w:ascii="Calibri" w:hAnsi="Calibri" w:cs="Calibri"/>
          <w:b/>
          <w:bCs/>
          <w:sz w:val="20"/>
          <w:szCs w:val="20"/>
        </w:rPr>
        <w:t>Dividends on Common Stock</w:t>
      </w:r>
    </w:p>
    <w:p w14:paraId="52E15903"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March 2019, our Board of Directors declared a quarterly cash dividend of $0.24 per share of our outstanding common stock, an increase of $0.05 per share over the dividend declared in December 2018. The dividend is payable on April 25, 2019 to stockholders of record as of the close of business on April 11, 2019. Future declarations of dividends and the establishment of future record and payment dates are subject to the final determination of our Board of Directors.</w:t>
      </w:r>
    </w:p>
    <w:p w14:paraId="2A209F02"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Fiscal 2019 Stock-Based Awards Activity and Compensation Expense</w:t>
      </w:r>
    </w:p>
    <w:p w14:paraId="4080DE2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During the first nine months of fiscal 2019, we issued 49 million restricted stock-based units (RSUs) and 7 million stock options (SOs). Substantially all of the awards were issued as a part of our annual stock-based award process and are subject to service-based vesting restrictions. Our fiscal 2019 stock-based awards issuances were partially offset by forfeitures and cancellations of 24 million shares during the first nine months of fiscal 2019. </w:t>
      </w:r>
    </w:p>
    <w:p w14:paraId="2AD8450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RSUs and SOs that were granted during the nine months ended February 28, 2019 have vesting restrictions, valuations and contractual lives of a similar nature to those described in Note 13 of Notes to Consolidated Financial Statements included in our Annual Report on Form 10-K for the fiscal year ended May 31, 2018.</w:t>
      </w:r>
    </w:p>
    <w:p w14:paraId="45DC1D5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Stock-based compensation expense is included in the following operating expense line items in our condensed consolidated statements of operations:</w:t>
      </w:r>
    </w:p>
    <w:p w14:paraId="285E749D" w14:textId="77777777" w:rsidR="00716E85" w:rsidRDefault="00716E85">
      <w:pPr>
        <w:pStyle w:val="a3"/>
        <w:spacing w:before="0" w:beforeAutospacing="0" w:after="0" w:afterAutospacing="0"/>
        <w:rPr>
          <w:rFonts w:ascii="Calibri" w:hAnsi="Calibri" w:cs="Calibri"/>
          <w:sz w:val="16"/>
          <w:szCs w:val="16"/>
        </w:rPr>
      </w:pPr>
      <w:r>
        <w:rPr>
          <w:rFonts w:ascii="Calibri" w:hAnsi="Calibri" w:cs="Calibri"/>
          <w:sz w:val="16"/>
          <w:szCs w:val="16"/>
        </w:rPr>
        <w:t> </w:t>
      </w:r>
    </w:p>
    <w:tbl>
      <w:tblPr>
        <w:tblW w:w="5000" w:type="pct"/>
        <w:jc w:val="center"/>
        <w:tblCellMar>
          <w:left w:w="0" w:type="dxa"/>
          <w:right w:w="0" w:type="dxa"/>
        </w:tblCellMar>
        <w:tblLook w:val="04A0" w:firstRow="1" w:lastRow="0" w:firstColumn="1" w:lastColumn="0" w:noHBand="0" w:noVBand="1"/>
      </w:tblPr>
      <w:tblGrid>
        <w:gridCol w:w="4868"/>
        <w:gridCol w:w="107"/>
        <w:gridCol w:w="117"/>
        <w:gridCol w:w="560"/>
        <w:gridCol w:w="73"/>
        <w:gridCol w:w="108"/>
        <w:gridCol w:w="117"/>
        <w:gridCol w:w="563"/>
        <w:gridCol w:w="73"/>
        <w:gridCol w:w="108"/>
        <w:gridCol w:w="117"/>
        <w:gridCol w:w="561"/>
        <w:gridCol w:w="73"/>
        <w:gridCol w:w="108"/>
        <w:gridCol w:w="117"/>
        <w:gridCol w:w="563"/>
        <w:gridCol w:w="73"/>
      </w:tblGrid>
      <w:tr w:rsidR="00716E85" w14:paraId="0D214B28" w14:textId="77777777">
        <w:trPr>
          <w:divId w:val="352583825"/>
          <w:jc w:val="center"/>
        </w:trPr>
        <w:tc>
          <w:tcPr>
            <w:tcW w:w="2935" w:type="pct"/>
            <w:shd w:val="clear" w:color="auto" w:fill="FFFFFF"/>
            <w:tcMar>
              <w:top w:w="15" w:type="dxa"/>
              <w:left w:w="0" w:type="dxa"/>
              <w:bottom w:w="0" w:type="dxa"/>
              <w:right w:w="15" w:type="dxa"/>
            </w:tcMar>
            <w:vAlign w:val="bottom"/>
            <w:hideMark/>
          </w:tcPr>
          <w:p w14:paraId="4AAC74FD" w14:textId="77777777" w:rsidR="00716E85" w:rsidRDefault="00716E85">
            <w:pPr>
              <w:pStyle w:val="a3"/>
              <w:spacing w:before="0" w:beforeAutospacing="0" w:after="0" w:afterAutospacing="0"/>
              <w:jc w:val="center"/>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5510F27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06328FE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CC868F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0F708F5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6C38103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3DD2E16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5E1D002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199BE80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AB23119" w14:textId="77777777">
        <w:trPr>
          <w:divId w:val="352583825"/>
          <w:jc w:val="center"/>
        </w:trPr>
        <w:tc>
          <w:tcPr>
            <w:tcW w:w="2935" w:type="pct"/>
            <w:tcBorders>
              <w:bottom w:val="single" w:sz="6" w:space="0" w:color="000000"/>
            </w:tcBorders>
            <w:shd w:val="clear" w:color="auto" w:fill="FFFFFF"/>
            <w:tcMar>
              <w:top w:w="15" w:type="dxa"/>
              <w:left w:w="0" w:type="dxa"/>
              <w:bottom w:w="0" w:type="dxa"/>
              <w:right w:w="15" w:type="dxa"/>
            </w:tcMar>
            <w:vAlign w:val="bottom"/>
            <w:hideMark/>
          </w:tcPr>
          <w:p w14:paraId="514D059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left w:w="0" w:type="dxa"/>
              <w:bottom w:w="0" w:type="dxa"/>
              <w:right w:w="15" w:type="dxa"/>
            </w:tcMar>
            <w:vAlign w:val="bottom"/>
            <w:hideMark/>
          </w:tcPr>
          <w:p w14:paraId="12DD27D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4E016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097A86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652439C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CA6B2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57C9BE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387652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44E11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37BD96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614FA75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D3C8E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2CE983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2470D0D" w14:textId="77777777">
        <w:trPr>
          <w:divId w:val="352583825"/>
          <w:jc w:val="center"/>
        </w:trPr>
        <w:tc>
          <w:tcPr>
            <w:tcW w:w="2935" w:type="pct"/>
            <w:tcBorders>
              <w:top w:val="single" w:sz="6" w:space="0" w:color="000000"/>
            </w:tcBorders>
            <w:shd w:val="clear" w:color="auto" w:fill="CFF0FC"/>
            <w:tcMar>
              <w:top w:w="15" w:type="dxa"/>
              <w:left w:w="0" w:type="dxa"/>
              <w:bottom w:w="0" w:type="dxa"/>
              <w:right w:w="15" w:type="dxa"/>
            </w:tcMar>
            <w:hideMark/>
          </w:tcPr>
          <w:p w14:paraId="511271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71" w:type="pct"/>
            <w:shd w:val="clear" w:color="auto" w:fill="CFF0FC"/>
            <w:tcMar>
              <w:top w:w="15" w:type="dxa"/>
              <w:left w:w="0" w:type="dxa"/>
              <w:bottom w:w="0" w:type="dxa"/>
              <w:right w:w="15" w:type="dxa"/>
            </w:tcMar>
            <w:vAlign w:val="bottom"/>
            <w:hideMark/>
          </w:tcPr>
          <w:p w14:paraId="4BABAB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E267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FAC09D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w:t>
            </w:r>
          </w:p>
        </w:tc>
        <w:tc>
          <w:tcPr>
            <w:tcW w:w="50" w:type="pct"/>
            <w:shd w:val="clear" w:color="auto" w:fill="CFF0FC"/>
            <w:noWrap/>
            <w:tcMar>
              <w:top w:w="15" w:type="dxa"/>
              <w:left w:w="0" w:type="dxa"/>
              <w:bottom w:w="0" w:type="dxa"/>
              <w:right w:w="15" w:type="dxa"/>
            </w:tcMar>
            <w:vAlign w:val="bottom"/>
            <w:hideMark/>
          </w:tcPr>
          <w:p w14:paraId="3602EA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28F5B4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1795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24C21E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left w:w="0" w:type="dxa"/>
              <w:bottom w:w="0" w:type="dxa"/>
              <w:right w:w="15" w:type="dxa"/>
            </w:tcMar>
            <w:vAlign w:val="bottom"/>
            <w:hideMark/>
          </w:tcPr>
          <w:p w14:paraId="461483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1C00B1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9F80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F1206B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74</w:t>
            </w:r>
          </w:p>
        </w:tc>
        <w:tc>
          <w:tcPr>
            <w:tcW w:w="50" w:type="pct"/>
            <w:shd w:val="clear" w:color="auto" w:fill="CFF0FC"/>
            <w:noWrap/>
            <w:tcMar>
              <w:top w:w="15" w:type="dxa"/>
              <w:left w:w="0" w:type="dxa"/>
              <w:bottom w:w="0" w:type="dxa"/>
              <w:right w:w="15" w:type="dxa"/>
            </w:tcMar>
            <w:vAlign w:val="bottom"/>
            <w:hideMark/>
          </w:tcPr>
          <w:p w14:paraId="319989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6A2DA1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A2635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7CADE3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58</w:t>
            </w:r>
          </w:p>
        </w:tc>
        <w:tc>
          <w:tcPr>
            <w:tcW w:w="50" w:type="pct"/>
            <w:shd w:val="clear" w:color="auto" w:fill="CFF0FC"/>
            <w:noWrap/>
            <w:tcMar>
              <w:top w:w="15" w:type="dxa"/>
              <w:left w:w="0" w:type="dxa"/>
              <w:bottom w:w="0" w:type="dxa"/>
              <w:right w:w="15" w:type="dxa"/>
            </w:tcMar>
            <w:vAlign w:val="bottom"/>
            <w:hideMark/>
          </w:tcPr>
          <w:p w14:paraId="7CBBF8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077B24C" w14:textId="77777777">
        <w:trPr>
          <w:divId w:val="352583825"/>
          <w:jc w:val="center"/>
        </w:trPr>
        <w:tc>
          <w:tcPr>
            <w:tcW w:w="2935" w:type="pct"/>
            <w:shd w:val="clear" w:color="auto" w:fill="FFFFFF"/>
            <w:tcMar>
              <w:top w:w="15" w:type="dxa"/>
              <w:left w:w="0" w:type="dxa"/>
              <w:bottom w:w="0" w:type="dxa"/>
              <w:right w:w="15" w:type="dxa"/>
            </w:tcMar>
            <w:hideMark/>
          </w:tcPr>
          <w:p w14:paraId="0ACC92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71" w:type="pct"/>
            <w:shd w:val="clear" w:color="auto" w:fill="FFFFFF"/>
            <w:tcMar>
              <w:top w:w="15" w:type="dxa"/>
              <w:left w:w="0" w:type="dxa"/>
              <w:bottom w:w="0" w:type="dxa"/>
              <w:right w:w="15" w:type="dxa"/>
            </w:tcMar>
            <w:vAlign w:val="bottom"/>
            <w:hideMark/>
          </w:tcPr>
          <w:p w14:paraId="6526A0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DD87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6EAB7B1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439E5A3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2CF75A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680E5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3AFBDE9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6B9690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0A3677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8136F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062659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08323D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0A67AC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6147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1D1319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FFFFFF"/>
            <w:noWrap/>
            <w:tcMar>
              <w:top w:w="15" w:type="dxa"/>
              <w:left w:w="0" w:type="dxa"/>
              <w:bottom w:w="0" w:type="dxa"/>
              <w:right w:w="15" w:type="dxa"/>
            </w:tcMar>
            <w:vAlign w:val="bottom"/>
            <w:hideMark/>
          </w:tcPr>
          <w:p w14:paraId="00D117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75781E7" w14:textId="77777777">
        <w:trPr>
          <w:divId w:val="352583825"/>
          <w:jc w:val="center"/>
        </w:trPr>
        <w:tc>
          <w:tcPr>
            <w:tcW w:w="2935" w:type="pct"/>
            <w:shd w:val="clear" w:color="auto" w:fill="CFF0FC"/>
            <w:tcMar>
              <w:top w:w="15" w:type="dxa"/>
              <w:left w:w="0" w:type="dxa"/>
              <w:bottom w:w="0" w:type="dxa"/>
              <w:right w:w="15" w:type="dxa"/>
            </w:tcMar>
            <w:hideMark/>
          </w:tcPr>
          <w:p w14:paraId="3AFFF8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71" w:type="pct"/>
            <w:shd w:val="clear" w:color="auto" w:fill="CFF0FC"/>
            <w:tcMar>
              <w:top w:w="15" w:type="dxa"/>
              <w:left w:w="0" w:type="dxa"/>
              <w:bottom w:w="0" w:type="dxa"/>
              <w:right w:w="15" w:type="dxa"/>
            </w:tcMar>
            <w:vAlign w:val="bottom"/>
            <w:hideMark/>
          </w:tcPr>
          <w:p w14:paraId="08F9E6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FBAF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539264F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323745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0D7996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9C22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5CEC052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left w:w="0" w:type="dxa"/>
              <w:bottom w:w="0" w:type="dxa"/>
              <w:right w:w="15" w:type="dxa"/>
            </w:tcMar>
            <w:vAlign w:val="bottom"/>
            <w:hideMark/>
          </w:tcPr>
          <w:p w14:paraId="658E274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198653B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4599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7615E27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left w:w="0" w:type="dxa"/>
              <w:bottom w:w="0" w:type="dxa"/>
              <w:right w:w="15" w:type="dxa"/>
            </w:tcMar>
            <w:vAlign w:val="bottom"/>
            <w:hideMark/>
          </w:tcPr>
          <w:p w14:paraId="409D55A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6EECD0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0596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07622A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left w:w="0" w:type="dxa"/>
              <w:bottom w:w="0" w:type="dxa"/>
              <w:right w:w="15" w:type="dxa"/>
            </w:tcMar>
            <w:vAlign w:val="bottom"/>
            <w:hideMark/>
          </w:tcPr>
          <w:p w14:paraId="5C0E30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F74CC15" w14:textId="77777777">
        <w:trPr>
          <w:divId w:val="352583825"/>
          <w:jc w:val="center"/>
        </w:trPr>
        <w:tc>
          <w:tcPr>
            <w:tcW w:w="2935" w:type="pct"/>
            <w:shd w:val="clear" w:color="auto" w:fill="FFFFFF"/>
            <w:tcMar>
              <w:top w:w="15" w:type="dxa"/>
              <w:left w:w="0" w:type="dxa"/>
              <w:bottom w:w="0" w:type="dxa"/>
              <w:right w:w="15" w:type="dxa"/>
            </w:tcMar>
            <w:hideMark/>
          </w:tcPr>
          <w:p w14:paraId="631F40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Sales and marketing</w:t>
            </w:r>
          </w:p>
        </w:tc>
        <w:tc>
          <w:tcPr>
            <w:tcW w:w="71" w:type="pct"/>
            <w:shd w:val="clear" w:color="auto" w:fill="FFFFFF"/>
            <w:tcMar>
              <w:top w:w="15" w:type="dxa"/>
              <w:left w:w="0" w:type="dxa"/>
              <w:bottom w:w="0" w:type="dxa"/>
              <w:right w:w="15" w:type="dxa"/>
            </w:tcMar>
            <w:vAlign w:val="bottom"/>
            <w:hideMark/>
          </w:tcPr>
          <w:p w14:paraId="40F86B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353AD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361E8C7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left w:w="0" w:type="dxa"/>
              <w:bottom w:w="0" w:type="dxa"/>
              <w:right w:w="15" w:type="dxa"/>
            </w:tcMar>
            <w:vAlign w:val="bottom"/>
            <w:hideMark/>
          </w:tcPr>
          <w:p w14:paraId="4CFE92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5D3710F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9285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2411F1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87</w:t>
            </w:r>
          </w:p>
        </w:tc>
        <w:tc>
          <w:tcPr>
            <w:tcW w:w="50" w:type="pct"/>
            <w:shd w:val="clear" w:color="auto" w:fill="FFFFFF"/>
            <w:noWrap/>
            <w:tcMar>
              <w:top w:w="15" w:type="dxa"/>
              <w:left w:w="0" w:type="dxa"/>
              <w:bottom w:w="0" w:type="dxa"/>
              <w:right w:w="15" w:type="dxa"/>
            </w:tcMar>
            <w:vAlign w:val="bottom"/>
            <w:hideMark/>
          </w:tcPr>
          <w:p w14:paraId="5F5D7F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20E672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3C5FB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1D5784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278</w:t>
            </w:r>
          </w:p>
        </w:tc>
        <w:tc>
          <w:tcPr>
            <w:tcW w:w="50" w:type="pct"/>
            <w:shd w:val="clear" w:color="auto" w:fill="FFFFFF"/>
            <w:noWrap/>
            <w:tcMar>
              <w:top w:w="15" w:type="dxa"/>
              <w:left w:w="0" w:type="dxa"/>
              <w:bottom w:w="0" w:type="dxa"/>
              <w:right w:w="15" w:type="dxa"/>
            </w:tcMar>
            <w:vAlign w:val="bottom"/>
            <w:hideMark/>
          </w:tcPr>
          <w:p w14:paraId="417F88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54A6BC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A113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0D81D9A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FFFFFF"/>
            <w:noWrap/>
            <w:tcMar>
              <w:top w:w="15" w:type="dxa"/>
              <w:left w:w="0" w:type="dxa"/>
              <w:bottom w:w="0" w:type="dxa"/>
              <w:right w:w="15" w:type="dxa"/>
            </w:tcMar>
            <w:vAlign w:val="bottom"/>
            <w:hideMark/>
          </w:tcPr>
          <w:p w14:paraId="49885D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202F1A3" w14:textId="77777777">
        <w:trPr>
          <w:divId w:val="352583825"/>
          <w:jc w:val="center"/>
        </w:trPr>
        <w:tc>
          <w:tcPr>
            <w:tcW w:w="2935" w:type="pct"/>
            <w:shd w:val="clear" w:color="auto" w:fill="CFF0FC"/>
            <w:tcMar>
              <w:top w:w="15" w:type="dxa"/>
              <w:left w:w="0" w:type="dxa"/>
              <w:bottom w:w="0" w:type="dxa"/>
              <w:right w:w="15" w:type="dxa"/>
            </w:tcMar>
            <w:hideMark/>
          </w:tcPr>
          <w:p w14:paraId="0EC5FE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71" w:type="pct"/>
            <w:shd w:val="clear" w:color="auto" w:fill="CFF0FC"/>
            <w:tcMar>
              <w:top w:w="15" w:type="dxa"/>
              <w:left w:w="0" w:type="dxa"/>
              <w:bottom w:w="0" w:type="dxa"/>
              <w:right w:w="15" w:type="dxa"/>
            </w:tcMar>
            <w:vAlign w:val="bottom"/>
            <w:hideMark/>
          </w:tcPr>
          <w:p w14:paraId="5CD16D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641DB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40D627B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254</w:t>
            </w:r>
          </w:p>
        </w:tc>
        <w:tc>
          <w:tcPr>
            <w:tcW w:w="50" w:type="pct"/>
            <w:shd w:val="clear" w:color="auto" w:fill="CFF0FC"/>
            <w:noWrap/>
            <w:tcMar>
              <w:top w:w="15" w:type="dxa"/>
              <w:left w:w="0" w:type="dxa"/>
              <w:bottom w:w="0" w:type="dxa"/>
              <w:right w:w="15" w:type="dxa"/>
            </w:tcMar>
            <w:vAlign w:val="bottom"/>
            <w:hideMark/>
          </w:tcPr>
          <w:p w14:paraId="72BD7C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6A4DEF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F33C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7058FA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CFF0FC"/>
            <w:noWrap/>
            <w:tcMar>
              <w:top w:w="15" w:type="dxa"/>
              <w:left w:w="0" w:type="dxa"/>
              <w:bottom w:w="0" w:type="dxa"/>
              <w:right w:w="15" w:type="dxa"/>
            </w:tcMar>
            <w:vAlign w:val="bottom"/>
            <w:hideMark/>
          </w:tcPr>
          <w:p w14:paraId="208BB3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2A7DFD6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E6FB6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5ECA9A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732</w:t>
            </w:r>
          </w:p>
        </w:tc>
        <w:tc>
          <w:tcPr>
            <w:tcW w:w="50" w:type="pct"/>
            <w:shd w:val="clear" w:color="auto" w:fill="CFF0FC"/>
            <w:noWrap/>
            <w:tcMar>
              <w:top w:w="15" w:type="dxa"/>
              <w:left w:w="0" w:type="dxa"/>
              <w:bottom w:w="0" w:type="dxa"/>
              <w:right w:w="15" w:type="dxa"/>
            </w:tcMar>
            <w:vAlign w:val="bottom"/>
            <w:hideMark/>
          </w:tcPr>
          <w:p w14:paraId="1D9A49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42F19D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46CF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1982CF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693</w:t>
            </w:r>
          </w:p>
        </w:tc>
        <w:tc>
          <w:tcPr>
            <w:tcW w:w="50" w:type="pct"/>
            <w:shd w:val="clear" w:color="auto" w:fill="CFF0FC"/>
            <w:noWrap/>
            <w:tcMar>
              <w:top w:w="15" w:type="dxa"/>
              <w:left w:w="0" w:type="dxa"/>
              <w:bottom w:w="0" w:type="dxa"/>
              <w:right w:w="15" w:type="dxa"/>
            </w:tcMar>
            <w:vAlign w:val="bottom"/>
            <w:hideMark/>
          </w:tcPr>
          <w:p w14:paraId="4A5BE2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AD58ED3" w14:textId="77777777">
        <w:trPr>
          <w:divId w:val="352583825"/>
          <w:jc w:val="center"/>
        </w:trPr>
        <w:tc>
          <w:tcPr>
            <w:tcW w:w="2935" w:type="pct"/>
            <w:shd w:val="clear" w:color="auto" w:fill="FFFFFF"/>
            <w:tcMar>
              <w:top w:w="15" w:type="dxa"/>
              <w:left w:w="0" w:type="dxa"/>
              <w:bottom w:w="0" w:type="dxa"/>
              <w:right w:w="15" w:type="dxa"/>
            </w:tcMar>
            <w:hideMark/>
          </w:tcPr>
          <w:p w14:paraId="05FCCB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71" w:type="pct"/>
            <w:shd w:val="clear" w:color="auto" w:fill="FFFFFF"/>
            <w:tcMar>
              <w:top w:w="15" w:type="dxa"/>
              <w:left w:w="0" w:type="dxa"/>
              <w:bottom w:w="0" w:type="dxa"/>
              <w:right w:w="15" w:type="dxa"/>
            </w:tcMar>
            <w:vAlign w:val="bottom"/>
            <w:hideMark/>
          </w:tcPr>
          <w:p w14:paraId="4E269C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C4B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01D429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left w:w="0" w:type="dxa"/>
              <w:bottom w:w="0" w:type="dxa"/>
              <w:right w:w="15" w:type="dxa"/>
            </w:tcMar>
            <w:vAlign w:val="bottom"/>
            <w:hideMark/>
          </w:tcPr>
          <w:p w14:paraId="43535C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702011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3F63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2FE3BC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FFFFFF"/>
            <w:noWrap/>
            <w:tcMar>
              <w:top w:w="15" w:type="dxa"/>
              <w:left w:w="0" w:type="dxa"/>
              <w:bottom w:w="0" w:type="dxa"/>
              <w:right w:w="15" w:type="dxa"/>
            </w:tcMar>
            <w:vAlign w:val="bottom"/>
            <w:hideMark/>
          </w:tcPr>
          <w:p w14:paraId="4EBBF5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1BC8B7D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E413F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2829D77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131</w:t>
            </w:r>
          </w:p>
        </w:tc>
        <w:tc>
          <w:tcPr>
            <w:tcW w:w="50" w:type="pct"/>
            <w:shd w:val="clear" w:color="auto" w:fill="FFFFFF"/>
            <w:noWrap/>
            <w:tcMar>
              <w:top w:w="15" w:type="dxa"/>
              <w:left w:w="0" w:type="dxa"/>
              <w:bottom w:w="0" w:type="dxa"/>
              <w:right w:w="15" w:type="dxa"/>
            </w:tcMar>
            <w:vAlign w:val="bottom"/>
            <w:hideMark/>
          </w:tcPr>
          <w:p w14:paraId="683AC41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3182AA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CD6D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FFFFFF"/>
            <w:noWrap/>
            <w:tcMar>
              <w:top w:w="15" w:type="dxa"/>
              <w:left w:w="0" w:type="dxa"/>
              <w:bottom w:w="0" w:type="dxa"/>
              <w:right w:w="15" w:type="dxa"/>
            </w:tcMar>
            <w:vAlign w:val="bottom"/>
            <w:hideMark/>
          </w:tcPr>
          <w:p w14:paraId="6FE4F91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FFFFFF"/>
            <w:noWrap/>
            <w:tcMar>
              <w:top w:w="15" w:type="dxa"/>
              <w:left w:w="0" w:type="dxa"/>
              <w:bottom w:w="0" w:type="dxa"/>
              <w:right w:w="15" w:type="dxa"/>
            </w:tcMar>
            <w:vAlign w:val="bottom"/>
            <w:hideMark/>
          </w:tcPr>
          <w:p w14:paraId="3E3463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7600B59" w14:textId="77777777">
        <w:trPr>
          <w:divId w:val="352583825"/>
          <w:jc w:val="center"/>
        </w:trPr>
        <w:tc>
          <w:tcPr>
            <w:tcW w:w="2935" w:type="pct"/>
            <w:shd w:val="clear" w:color="auto" w:fill="CFF0FC"/>
            <w:tcMar>
              <w:top w:w="15" w:type="dxa"/>
              <w:left w:w="0" w:type="dxa"/>
              <w:bottom w:w="0" w:type="dxa"/>
              <w:right w:w="15" w:type="dxa"/>
            </w:tcMar>
            <w:hideMark/>
          </w:tcPr>
          <w:p w14:paraId="6DD527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71" w:type="pct"/>
            <w:shd w:val="clear" w:color="auto" w:fill="CFF0FC"/>
            <w:tcMar>
              <w:top w:w="15" w:type="dxa"/>
              <w:left w:w="0" w:type="dxa"/>
              <w:bottom w:w="0" w:type="dxa"/>
              <w:right w:w="15" w:type="dxa"/>
            </w:tcMar>
            <w:vAlign w:val="bottom"/>
            <w:hideMark/>
          </w:tcPr>
          <w:p w14:paraId="25683D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B15EC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0320DC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B611F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49DB7F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C5BB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30A778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3BA95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4808A42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8D78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64598EE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ACB38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CFF0FC"/>
            <w:tcMar>
              <w:top w:w="15" w:type="dxa"/>
              <w:left w:w="0" w:type="dxa"/>
              <w:bottom w:w="0" w:type="dxa"/>
              <w:right w:w="15" w:type="dxa"/>
            </w:tcMar>
            <w:vAlign w:val="bottom"/>
            <w:hideMark/>
          </w:tcPr>
          <w:p w14:paraId="41356D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C44D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3AEDDE4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527617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7191907" w14:textId="77777777">
        <w:trPr>
          <w:divId w:val="352583825"/>
          <w:jc w:val="center"/>
        </w:trPr>
        <w:tc>
          <w:tcPr>
            <w:tcW w:w="2935" w:type="pct"/>
            <w:shd w:val="clear" w:color="auto" w:fill="FFFFFF"/>
            <w:tcMar>
              <w:top w:w="15" w:type="dxa"/>
              <w:left w:w="0" w:type="dxa"/>
              <w:bottom w:w="0" w:type="dxa"/>
              <w:right w:w="15" w:type="dxa"/>
            </w:tcMar>
            <w:hideMark/>
          </w:tcPr>
          <w:p w14:paraId="5AA007D5"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stock-based compensation</w:t>
            </w:r>
          </w:p>
        </w:tc>
        <w:tc>
          <w:tcPr>
            <w:tcW w:w="71" w:type="pct"/>
            <w:shd w:val="clear" w:color="auto" w:fill="FFFFFF"/>
            <w:tcMar>
              <w:top w:w="15" w:type="dxa"/>
              <w:left w:w="0" w:type="dxa"/>
              <w:bottom w:w="0" w:type="dxa"/>
              <w:right w:w="15" w:type="dxa"/>
            </w:tcMar>
            <w:vAlign w:val="bottom"/>
            <w:hideMark/>
          </w:tcPr>
          <w:p w14:paraId="485960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D9E9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EC0D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427</w:t>
            </w:r>
          </w:p>
        </w:tc>
        <w:tc>
          <w:tcPr>
            <w:tcW w:w="50" w:type="pct"/>
            <w:shd w:val="clear" w:color="auto" w:fill="FFFFFF"/>
            <w:noWrap/>
            <w:tcMar>
              <w:top w:w="15" w:type="dxa"/>
              <w:left w:w="0" w:type="dxa"/>
              <w:bottom w:w="0" w:type="dxa"/>
              <w:right w:w="15" w:type="dxa"/>
            </w:tcMar>
            <w:vAlign w:val="bottom"/>
            <w:hideMark/>
          </w:tcPr>
          <w:p w14:paraId="13BBD8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287CBB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41F12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09D3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389</w:t>
            </w:r>
          </w:p>
        </w:tc>
        <w:tc>
          <w:tcPr>
            <w:tcW w:w="50" w:type="pct"/>
            <w:shd w:val="clear" w:color="auto" w:fill="FFFFFF"/>
            <w:noWrap/>
            <w:tcMar>
              <w:top w:w="15" w:type="dxa"/>
              <w:left w:w="0" w:type="dxa"/>
              <w:bottom w:w="0" w:type="dxa"/>
              <w:right w:w="15" w:type="dxa"/>
            </w:tcMar>
            <w:vAlign w:val="bottom"/>
            <w:hideMark/>
          </w:tcPr>
          <w:p w14:paraId="5EF6EB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41BAD6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BC65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8DA5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1,259</w:t>
            </w:r>
          </w:p>
        </w:tc>
        <w:tc>
          <w:tcPr>
            <w:tcW w:w="50" w:type="pct"/>
            <w:shd w:val="clear" w:color="auto" w:fill="FFFFFF"/>
            <w:noWrap/>
            <w:tcMar>
              <w:top w:w="15" w:type="dxa"/>
              <w:left w:w="0" w:type="dxa"/>
              <w:bottom w:w="0" w:type="dxa"/>
              <w:right w:w="15" w:type="dxa"/>
            </w:tcMar>
            <w:vAlign w:val="bottom"/>
            <w:hideMark/>
          </w:tcPr>
          <w:p w14:paraId="42112C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1" w:type="pct"/>
            <w:shd w:val="clear" w:color="auto" w:fill="FFFFFF"/>
            <w:tcMar>
              <w:top w:w="15" w:type="dxa"/>
              <w:left w:w="0" w:type="dxa"/>
              <w:bottom w:w="0" w:type="dxa"/>
              <w:right w:w="15" w:type="dxa"/>
            </w:tcMar>
            <w:vAlign w:val="bottom"/>
            <w:hideMark/>
          </w:tcPr>
          <w:p w14:paraId="27E34B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DE47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72031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1,211</w:t>
            </w:r>
          </w:p>
        </w:tc>
        <w:tc>
          <w:tcPr>
            <w:tcW w:w="50" w:type="pct"/>
            <w:shd w:val="clear" w:color="auto" w:fill="FFFFFF"/>
            <w:noWrap/>
            <w:tcMar>
              <w:top w:w="15" w:type="dxa"/>
              <w:left w:w="0" w:type="dxa"/>
              <w:bottom w:w="0" w:type="dxa"/>
              <w:right w:w="15" w:type="dxa"/>
            </w:tcMar>
            <w:vAlign w:val="bottom"/>
            <w:hideMark/>
          </w:tcPr>
          <w:p w14:paraId="6FED2108"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8E21BC1" w14:textId="77777777" w:rsidR="00716E85" w:rsidRDefault="00716E85">
      <w:pPr>
        <w:pStyle w:val="a3"/>
        <w:spacing w:before="0" w:beforeAutospacing="0" w:after="0" w:afterAutospacing="0"/>
        <w:rPr>
          <w:sz w:val="12"/>
          <w:szCs w:val="12"/>
        </w:rPr>
      </w:pPr>
      <w:r>
        <w:rPr>
          <w:sz w:val="12"/>
          <w:szCs w:val="12"/>
        </w:rPr>
        <w:t> </w:t>
      </w:r>
    </w:p>
    <w:p w14:paraId="354F787B" w14:textId="77777777" w:rsidR="00716E85" w:rsidRDefault="00716E85">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5CEEB750" w14:textId="77777777">
        <w:tc>
          <w:tcPr>
            <w:tcW w:w="262" w:type="pct"/>
            <w:noWrap/>
            <w:hideMark/>
          </w:tcPr>
          <w:p w14:paraId="44CDD775"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9.</w:t>
            </w:r>
          </w:p>
        </w:tc>
        <w:tc>
          <w:tcPr>
            <w:tcW w:w="0" w:type="auto"/>
            <w:hideMark/>
          </w:tcPr>
          <w:p w14:paraId="27CF7600"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INCOME TAXES</w:t>
            </w:r>
          </w:p>
        </w:tc>
      </w:tr>
    </w:tbl>
    <w:p w14:paraId="4CFB65AF" w14:textId="77777777" w:rsidR="00716E85" w:rsidRDefault="00716E85">
      <w:pPr>
        <w:pStyle w:val="a3"/>
        <w:spacing w:before="120" w:beforeAutospacing="0" w:after="0" w:afterAutospacing="0"/>
        <w:jc w:val="both"/>
        <w:rPr>
          <w:rFonts w:ascii="Calibri" w:hAnsi="Calibri" w:cs="Calibri"/>
          <w:sz w:val="20"/>
          <w:szCs w:val="20"/>
        </w:rPr>
      </w:pPr>
      <w:bookmarkStart w:id="34" w:name="_AEIOULastRenderedPageBreakAEIOU26"/>
      <w:bookmarkEnd w:id="34"/>
      <w:r>
        <w:rPr>
          <w:rFonts w:ascii="Calibri" w:hAnsi="Calibri" w:cs="Calibri"/>
          <w:sz w:val="20"/>
          <w:szCs w:val="20"/>
        </w:rPr>
        <w:t xml:space="preserve">Our effective tax rates for the periods presented are the result of the mix of income earned in various tax jurisdictions that apply a broad range of income tax rates. In the third quarter of fiscal 2018, the Tax Act was signed into law. The more significant provisions of the Tax Act as applicable to us are described in Note 1 under “Impacts of the U.S. Tax Cuts and Jobs Act of 2017” above and in our Annual Report on Form 10-K for the fiscal year ended May 31, 2018. During the first nine months of fiscal 2019, we recorded a net benefit of $389 million in accordance with SAB 118 related to adjustments in our estimates of the one-time transition tax on certain foreign subsidiary earnings, and the remeasurement of our net deferred tax assets and liabilities affected by the Tax Act. Our provision for income taxes for the first nine months of fiscal 2019 varied from the 21% U.S. statutory rate imposed by the Tax Act primarily due to earnings in foreign operations, state taxes, the U.S. research and development tax credit, settlements with tax authorities, the tax effects of stock-based compensation, the Foreign Derived Intangible Income deduction, the tax effect of GILTI, and a reduction to our transition tax recorded consistent with the provision of SAB 118. Our provision for income taxes for the fiscal 2018 periods presented varied from the 21% U.S. statutory rate imposed by the Tax Act primarily due to the impacts of the Tax Act upon adoption, state taxes, the U.S. research and development tax credit, settlements with tax authorities, the tax effects of stock-based </w:t>
      </w:r>
    </w:p>
    <w:p w14:paraId="6378BA72"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25</w:t>
      </w:r>
    </w:p>
    <w:p w14:paraId="29959962" w14:textId="77777777" w:rsidR="00716E85" w:rsidRDefault="00716E85">
      <w:pPr>
        <w:rPr>
          <w:rFonts w:ascii="Times New Roman" w:eastAsia="Times New Roman" w:hAnsi="Times New Roman" w:cs="Times New Roman"/>
          <w:sz w:val="24"/>
          <w:szCs w:val="24"/>
        </w:rPr>
      </w:pPr>
      <w:r>
        <w:rPr>
          <w:rFonts w:eastAsia="Times New Roman"/>
        </w:rPr>
        <w:pict w14:anchorId="714A091B">
          <v:rect id="_x0000_i1051" style="width:415.3pt;height:1.5pt" o:hralign="center" o:hrstd="t" o:hr="t" fillcolor="#a0a0a0" stroked="f"/>
        </w:pict>
      </w:r>
    </w:p>
    <w:p w14:paraId="6B2A02A4"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5B436B4" w14:textId="77777777" w:rsidR="00716E85" w:rsidRDefault="00716E85">
      <w:pPr>
        <w:pStyle w:val="a3"/>
      </w:pPr>
      <w:r>
        <w:t> </w:t>
      </w:r>
    </w:p>
    <w:p w14:paraId="2DA36B3D"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155C073"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01C4EBF3"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7A9C799A"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5FF20F38" w14:textId="77777777" w:rsidR="00716E85" w:rsidRDefault="00716E85">
      <w:pPr>
        <w:pStyle w:val="a3"/>
        <w:spacing w:before="0" w:beforeAutospacing="0" w:after="0" w:afterAutospacing="0"/>
        <w:rPr>
          <w:sz w:val="20"/>
          <w:szCs w:val="20"/>
        </w:rPr>
      </w:pPr>
      <w:r>
        <w:rPr>
          <w:sz w:val="20"/>
          <w:szCs w:val="20"/>
        </w:rPr>
        <w:t> </w:t>
      </w:r>
    </w:p>
    <w:p w14:paraId="643EB51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compensation and the U.S. domestic production activity deduction. Our effective tax rates were 11.1% and 12.6%, respectively, for the three and nine months ended February 28, 2019, respectively, and 226.8% and 96.4%, respectively, for the three and nine months ended February 28, 2018, respectively. </w:t>
      </w:r>
    </w:p>
    <w:p w14:paraId="54B5A30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net deferred tax assets were $2.0 billion and $1.3 billion as of February 28, 2019 and May 31, 2018, respectively. We believe that it is more likely than not that the net deferred tax assets will be realized in the foreseeable future. Realization of our net deferred tax assets is dependent upon our generation of sufficient taxable income in future years in appropriate tax jurisdictions to obtain benefit from the reversal of temporary differences, net operating loss carryforwards and tax credit carryforwards. The amount of net deferred tax assets considered realizable is subject to adjustment in future periods if estimates of future taxable income change.</w:t>
      </w:r>
    </w:p>
    <w:p w14:paraId="573BE01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Domestically, U.S. federal and state taxing authorities are currently examining income tax returns of Oracle and various acquired entities for years through fiscal 2017. Our U.S. federal income tax returns have been examined for all years prior to fiscal 2007, and we are no longer subject to audit for those periods. Our U.S. state income tax returns, with some exceptions, have been examined for all years prior to fiscal 2004, and we are no longer subject to audit for those periods.</w:t>
      </w:r>
    </w:p>
    <w:p w14:paraId="2F10B41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Internationally, tax authorities for numerous non-U.S. jurisdictions are also examining returns affecting our unrecognized tax benefits. With some exceptions, we are generally no longer subject to tax examinations in non-U.S. jurisdictions for years prior to fiscal 1997.</w:t>
      </w:r>
    </w:p>
    <w:p w14:paraId="2ED89E4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On July 27, 2015, in </w:t>
      </w:r>
      <w:r>
        <w:rPr>
          <w:rFonts w:ascii="Calibri" w:hAnsi="Calibri" w:cs="Calibri"/>
          <w:i/>
          <w:iCs/>
          <w:sz w:val="20"/>
          <w:szCs w:val="20"/>
        </w:rPr>
        <w:t>Altera Corp. v. Commissioner</w:t>
      </w:r>
      <w:r>
        <w:rPr>
          <w:rFonts w:ascii="Calibri" w:hAnsi="Calibri" w:cs="Calibri"/>
          <w:sz w:val="20"/>
          <w:szCs w:val="20"/>
        </w:rPr>
        <w:t>, the U.S. Tax Court issued an opinion related to the treatment of stock-based compensation expense in an intercompany cost-sharing arrangement. Currently the U.S. Court of Appeals for the Ninth Circuit is reviewing the case, and a final decision has yet to be issued. At this time, the U.S. Department of the Treasury has not withdrawn the requirement to include stock-based compensation from its regulations. We have reviewed this case and its impact on Oracle and concluded that no adjustment to the consolidated financial statements is appropriate at this time. We will continue to monitor ongoing developments and potential impacts to our consolidated financial statements.</w:t>
      </w:r>
    </w:p>
    <w:p w14:paraId="473C18A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are under audit by the IRS and various other domestic and foreign tax authorities with regards to income tax and indirect tax matters and are involved in various challenges and litigation in a number of countries, including, in particular, Australia, Brazil, India, Korea, Spain and the United Kingdom, where the amounts under controversy are significant. In some, although not all, cases, we have reserved for potential adjustments to our provision for income taxes and accrual of indirect taxes that may result from examinations by, or any negotiated agreements with, these tax authorities or final outcomes in judicial proceedings, and we believe that the final outcome of these examinations, agreements or judicial proceedings will not have a material effect on our results of operations. If events occur which indicate payment of these amounts is unnecessary, the reversal of the liabilities would result in the recognition of benefits in the period we determine the liabilities are no longer necessary. If our estimates of the federal, state, and foreign income tax liabilities and indirect tax liabilities are less than the ultimate assessment, it could result in a further charge to expense. </w:t>
      </w:r>
    </w:p>
    <w:p w14:paraId="678A8DD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believe that we have adequately provided under GAAP for outcomes related to our tax audits. However, there can be no assurances as to the possible outcomes or any related financial statement effect thereof.</w:t>
      </w:r>
    </w:p>
    <w:p w14:paraId="49715743" w14:textId="77777777" w:rsidR="00716E85" w:rsidRDefault="00716E85">
      <w:pPr>
        <w:pStyle w:val="a3"/>
        <w:spacing w:before="0" w:beforeAutospacing="0" w:after="0" w:afterAutospacing="0"/>
        <w:jc w:val="both"/>
        <w:rPr>
          <w:sz w:val="10"/>
          <w:szCs w:val="10"/>
        </w:rPr>
      </w:pPr>
      <w:r>
        <w:rPr>
          <w:sz w:val="10"/>
          <w:szCs w:val="10"/>
        </w:rPr>
        <w:t> </w:t>
      </w:r>
    </w:p>
    <w:p w14:paraId="1C2D8879" w14:textId="77777777" w:rsidR="00716E85" w:rsidRDefault="00716E85">
      <w:pPr>
        <w:pStyle w:val="a3"/>
        <w:spacing w:before="0" w:beforeAutospacing="0" w:after="0" w:afterAutospacing="0"/>
        <w:jc w:val="both"/>
        <w:rPr>
          <w:sz w:val="12"/>
          <w:szCs w:val="12"/>
        </w:rPr>
      </w:pPr>
      <w:r>
        <w:rPr>
          <w:sz w:val="12"/>
          <w:szCs w:val="12"/>
        </w:rPr>
        <w:t> </w:t>
      </w:r>
    </w:p>
    <w:p w14:paraId="19D94959"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26</w:t>
      </w:r>
    </w:p>
    <w:p w14:paraId="3FDFA86F" w14:textId="77777777" w:rsidR="00716E85" w:rsidRDefault="00716E85">
      <w:pPr>
        <w:rPr>
          <w:rFonts w:ascii="Times New Roman" w:eastAsia="Times New Roman" w:hAnsi="Times New Roman" w:cs="Times New Roman"/>
          <w:sz w:val="24"/>
          <w:szCs w:val="24"/>
        </w:rPr>
      </w:pPr>
      <w:r>
        <w:rPr>
          <w:rFonts w:eastAsia="Times New Roman"/>
        </w:rPr>
        <w:pict w14:anchorId="404C386F">
          <v:rect id="_x0000_i1052" style="width:415.3pt;height:1.5pt" o:hralign="center" o:hrstd="t" o:hr="t" fillcolor="#a0a0a0" stroked="f"/>
        </w:pict>
      </w:r>
    </w:p>
    <w:p w14:paraId="024D80A5"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24CF701" w14:textId="77777777" w:rsidR="00716E85" w:rsidRDefault="00716E85">
      <w:pPr>
        <w:pStyle w:val="a3"/>
      </w:pPr>
      <w:r>
        <w:t> </w:t>
      </w:r>
    </w:p>
    <w:p w14:paraId="0DACE2FF"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3C8CFDF8"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07F7E8D1"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4CAB459C"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619A478A"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7B5B7269" w14:textId="77777777">
        <w:tc>
          <w:tcPr>
            <w:tcW w:w="262" w:type="pct"/>
            <w:noWrap/>
            <w:hideMark/>
          </w:tcPr>
          <w:p w14:paraId="76B7591D" w14:textId="77777777" w:rsidR="00716E85" w:rsidRDefault="00716E85">
            <w:pPr>
              <w:pStyle w:val="a3"/>
              <w:spacing w:before="20" w:beforeAutospacing="0" w:after="0" w:afterAutospacing="0"/>
              <w:jc w:val="both"/>
              <w:rPr>
                <w:rFonts w:ascii="Calibri" w:hAnsi="Calibri" w:cs="Calibri"/>
                <w:b/>
                <w:bCs/>
                <w:sz w:val="20"/>
                <w:szCs w:val="20"/>
              </w:rPr>
            </w:pPr>
            <w:r>
              <w:rPr>
                <w:rFonts w:ascii="Calibri" w:hAnsi="Calibri" w:cs="Calibri"/>
                <w:b/>
                <w:bCs/>
                <w:sz w:val="20"/>
                <w:szCs w:val="20"/>
              </w:rPr>
              <w:t>10.</w:t>
            </w:r>
          </w:p>
        </w:tc>
        <w:tc>
          <w:tcPr>
            <w:tcW w:w="0" w:type="auto"/>
            <w:hideMark/>
          </w:tcPr>
          <w:p w14:paraId="72E2A185" w14:textId="77777777" w:rsidR="00716E85" w:rsidRDefault="00716E85">
            <w:pPr>
              <w:pStyle w:val="a3"/>
              <w:spacing w:before="20" w:beforeAutospacing="0" w:after="0" w:afterAutospacing="0"/>
              <w:jc w:val="both"/>
              <w:rPr>
                <w:rFonts w:ascii="Calibri" w:hAnsi="Calibri" w:cs="Calibri"/>
                <w:b/>
                <w:bCs/>
                <w:sz w:val="20"/>
                <w:szCs w:val="20"/>
              </w:rPr>
            </w:pPr>
            <w:bookmarkStart w:id="35" w:name="_AEIOULastRenderedPageBreakAEIOU27"/>
            <w:bookmarkEnd w:id="35"/>
            <w:r>
              <w:rPr>
                <w:rFonts w:ascii="Calibri" w:hAnsi="Calibri" w:cs="Calibri"/>
                <w:b/>
                <w:bCs/>
                <w:sz w:val="20"/>
                <w:szCs w:val="20"/>
              </w:rPr>
              <w:t>SEGMENT INFORMATION</w:t>
            </w:r>
          </w:p>
        </w:tc>
      </w:tr>
    </w:tbl>
    <w:p w14:paraId="7E411329"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establishes standards for reporting information about operating segments. Operating segments are defined as components of an enterprise about which separate financial information is available that is evaluated regularly by the chief operating decision maker, or decision-making group, in deciding how to allocate resources and in assessing performance. Our chief operating decision makers (CODMs) are our Chief Executive Officers and Chief Technology Officer. We are organized by line of business and geographically. While our CODMs evaluate results in a number of different ways, the line of business management structure is the primary basis for which the allocation of resources and financial results are assessed. The footnote information below presents the financial information provided to our CODMs for their review and assists our CODMs with evaluating the company’s performance and allocating company resources.</w:t>
      </w:r>
    </w:p>
    <w:p w14:paraId="2189173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is comprised of a single operating segment. All three of our businesses market and sell our offerings globally to businesses of many sizes, government agencies, educational institutions and resellers with a worldwide sales force positioned to offer the combinations that best meet customer needs.</w:t>
      </w:r>
    </w:p>
    <w:p w14:paraId="234B59B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cloud and license business engages in the sale, marketing and delivery of our applications and infrastructure technologies through cloud and on-premise deployment models including our cloud services and license support offerings; and our cloud license and on-premise license offerings. Cloud services and license support revenues are generated from offerings that are typically contracted with customers directly, billed to customers in advance, delivered to customers over time with our revenue recognition occurring over the contractual terms, and renewed by customers upon completion of the contractual terms. Cloud services and license support contracts provide customers with access to the latest updates to the applications and infrastructure technologies as they become available and for which the customer contracted and also includes related technical support services over the contractual term. Cloud license and on-premise license revenues represent fees earned from granting customers licenses, generally on a perpetual basis, to use our database and middleware and our applications software products within cloud and on-premise IT environments. We generally recognize revenues at the point in time the software is made available to the customer to download and use, which typically is immediate upon signature of the license contract. In each fiscal year, our cloud and license business’ contractual activities are typically highest in our fourth fiscal quarter and the related cash flows are typically highest in the following quarter (i.e., in the first fiscal quarter of the next fiscal year) as we receive payments from these contracts.</w:t>
      </w:r>
    </w:p>
    <w:p w14:paraId="1CBC993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hardware business provides Oracle Engineered Systems, servers, storage, industry-specific hardware, operating systems, virtualization, management and other hardware-related software to support diverse IT environments. Our hardware business also offers hardware support, which provides customers with software updates for the software components that are essential to the functionality of their hardware products, such as Oracle Solaris and certain other software, and can also include product repairs, maintenance services and technical support services.</w:t>
      </w:r>
      <w:r>
        <w:rPr>
          <w:rFonts w:ascii="Calibri" w:hAnsi="Calibri" w:cs="Calibri"/>
          <w:color w:val="000000"/>
          <w:sz w:val="20"/>
          <w:szCs w:val="20"/>
        </w:rPr>
        <w:t xml:space="preserve"> </w:t>
      </w:r>
    </w:p>
    <w:p w14:paraId="0A4DC7F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services business provides services to customers and partners to help maximize the performance of their investments in Oracle applications and infrastructure technologies.</w:t>
      </w:r>
    </w:p>
    <w:p w14:paraId="64FE10E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01DC09AD"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27</w:t>
      </w:r>
    </w:p>
    <w:p w14:paraId="716BE073" w14:textId="77777777" w:rsidR="00716E85" w:rsidRDefault="00716E85">
      <w:pPr>
        <w:rPr>
          <w:rFonts w:ascii="Times New Roman" w:eastAsia="Times New Roman" w:hAnsi="Times New Roman" w:cs="Times New Roman"/>
          <w:sz w:val="24"/>
          <w:szCs w:val="24"/>
        </w:rPr>
      </w:pPr>
      <w:r>
        <w:rPr>
          <w:rFonts w:eastAsia="Times New Roman"/>
        </w:rPr>
        <w:pict w14:anchorId="471DDC41">
          <v:rect id="_x0000_i1053" style="width:415.3pt;height:1.5pt" o:hralign="center" o:hrstd="t" o:hr="t" fillcolor="#a0a0a0" stroked="f"/>
        </w:pict>
      </w:r>
    </w:p>
    <w:p w14:paraId="528E9B3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3E61627" w14:textId="77777777" w:rsidR="00716E85" w:rsidRDefault="00716E85">
      <w:pPr>
        <w:pStyle w:val="a3"/>
      </w:pPr>
      <w:r>
        <w:t> </w:t>
      </w:r>
    </w:p>
    <w:p w14:paraId="6CECA95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4E2939E8"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1E9F6841"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646F397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19FC5862" w14:textId="77777777" w:rsidR="00716E85" w:rsidRDefault="00716E85">
      <w:pPr>
        <w:pStyle w:val="a3"/>
        <w:spacing w:before="0" w:beforeAutospacing="0" w:after="0" w:afterAutospacing="0"/>
        <w:rPr>
          <w:sz w:val="20"/>
          <w:szCs w:val="20"/>
        </w:rPr>
      </w:pPr>
      <w:r>
        <w:rPr>
          <w:sz w:val="20"/>
          <w:szCs w:val="20"/>
        </w:rPr>
        <w:t> </w:t>
      </w:r>
    </w:p>
    <w:p w14:paraId="00D76C64" w14:textId="77777777" w:rsidR="00716E85" w:rsidRDefault="00716E85">
      <w:pPr>
        <w:pStyle w:val="a3"/>
        <w:spacing w:before="120" w:beforeAutospacing="0" w:after="0" w:afterAutospacing="0"/>
        <w:jc w:val="both"/>
        <w:rPr>
          <w:rFonts w:ascii="Calibri" w:hAnsi="Calibri" w:cs="Calibri"/>
          <w:sz w:val="20"/>
          <w:szCs w:val="20"/>
        </w:rPr>
      </w:pPr>
      <w:bookmarkStart w:id="36" w:name="_AEIOULastRenderedPageBreakAEIOU28"/>
      <w:bookmarkEnd w:id="36"/>
      <w:r>
        <w:rPr>
          <w:rFonts w:ascii="Calibri" w:hAnsi="Calibri" w:cs="Calibri"/>
          <w:sz w:val="20"/>
          <w:szCs w:val="20"/>
        </w:rPr>
        <w:t>The following table presents summary results for each of our three businesses:</w:t>
      </w:r>
    </w:p>
    <w:p w14:paraId="6365E210"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871"/>
        <w:gridCol w:w="110"/>
        <w:gridCol w:w="107"/>
        <w:gridCol w:w="564"/>
        <w:gridCol w:w="76"/>
        <w:gridCol w:w="111"/>
        <w:gridCol w:w="107"/>
        <w:gridCol w:w="566"/>
        <w:gridCol w:w="76"/>
        <w:gridCol w:w="111"/>
        <w:gridCol w:w="107"/>
        <w:gridCol w:w="564"/>
        <w:gridCol w:w="76"/>
        <w:gridCol w:w="111"/>
        <w:gridCol w:w="107"/>
        <w:gridCol w:w="566"/>
        <w:gridCol w:w="76"/>
      </w:tblGrid>
      <w:tr w:rsidR="00716E85" w14:paraId="4C07BC19" w14:textId="77777777">
        <w:trPr>
          <w:divId w:val="549223550"/>
          <w:jc w:val="center"/>
        </w:trPr>
        <w:tc>
          <w:tcPr>
            <w:tcW w:w="2935" w:type="pct"/>
            <w:shd w:val="clear" w:color="auto" w:fill="FFFFFF"/>
            <w:tcMar>
              <w:top w:w="15" w:type="dxa"/>
              <w:left w:w="0" w:type="dxa"/>
              <w:bottom w:w="0" w:type="dxa"/>
              <w:right w:w="15" w:type="dxa"/>
            </w:tcMar>
            <w:vAlign w:val="bottom"/>
            <w:hideMark/>
          </w:tcPr>
          <w:p w14:paraId="569E6052"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71" w:type="pct"/>
            <w:shd w:val="clear" w:color="auto" w:fill="FFFFFF"/>
            <w:tcMar>
              <w:top w:w="15" w:type="dxa"/>
              <w:left w:w="0" w:type="dxa"/>
              <w:bottom w:w="0" w:type="dxa"/>
              <w:right w:w="15" w:type="dxa"/>
            </w:tcMar>
            <w:vAlign w:val="bottom"/>
            <w:hideMark/>
          </w:tcPr>
          <w:p w14:paraId="14E20D4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3F24D87A"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Three Months Ended</w:t>
            </w:r>
          </w:p>
          <w:p w14:paraId="03919F2F"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February 28,</w:t>
            </w:r>
          </w:p>
        </w:tc>
        <w:tc>
          <w:tcPr>
            <w:tcW w:w="50" w:type="pct"/>
            <w:shd w:val="clear" w:color="auto" w:fill="FFFFFF"/>
            <w:noWrap/>
            <w:tcMar>
              <w:top w:w="15" w:type="dxa"/>
              <w:left w:w="0" w:type="dxa"/>
              <w:bottom w:w="0" w:type="dxa"/>
              <w:right w:w="15" w:type="dxa"/>
            </w:tcMar>
            <w:vAlign w:val="bottom"/>
            <w:hideMark/>
          </w:tcPr>
          <w:p w14:paraId="04947FE8"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71" w:type="pct"/>
            <w:shd w:val="clear" w:color="auto" w:fill="FFFFFF"/>
            <w:tcMar>
              <w:top w:w="15" w:type="dxa"/>
              <w:left w:w="0" w:type="dxa"/>
              <w:bottom w:w="0" w:type="dxa"/>
              <w:right w:w="15" w:type="dxa"/>
            </w:tcMar>
            <w:vAlign w:val="bottom"/>
            <w:hideMark/>
          </w:tcPr>
          <w:p w14:paraId="4FFB92B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013943FE"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Nine Months Ended</w:t>
            </w:r>
          </w:p>
          <w:p w14:paraId="0CF206E6"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February 28,</w:t>
            </w:r>
          </w:p>
        </w:tc>
        <w:tc>
          <w:tcPr>
            <w:tcW w:w="50" w:type="pct"/>
            <w:shd w:val="clear" w:color="auto" w:fill="FFFFFF"/>
            <w:noWrap/>
            <w:tcMar>
              <w:top w:w="15" w:type="dxa"/>
              <w:left w:w="0" w:type="dxa"/>
              <w:bottom w:w="0" w:type="dxa"/>
              <w:right w:w="15" w:type="dxa"/>
            </w:tcMar>
            <w:vAlign w:val="bottom"/>
            <w:hideMark/>
          </w:tcPr>
          <w:p w14:paraId="3BFF4BB2"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r>
      <w:tr w:rsidR="00716E85" w14:paraId="7773D34A" w14:textId="77777777">
        <w:trPr>
          <w:divId w:val="549223550"/>
          <w:jc w:val="center"/>
        </w:trPr>
        <w:tc>
          <w:tcPr>
            <w:tcW w:w="2935" w:type="pct"/>
            <w:tcBorders>
              <w:bottom w:val="single" w:sz="6" w:space="0" w:color="000000"/>
            </w:tcBorders>
            <w:shd w:val="clear" w:color="auto" w:fill="FFFFFF"/>
            <w:tcMar>
              <w:top w:w="15" w:type="dxa"/>
              <w:left w:w="0" w:type="dxa"/>
              <w:bottom w:w="0" w:type="dxa"/>
              <w:right w:w="15" w:type="dxa"/>
            </w:tcMar>
            <w:vAlign w:val="bottom"/>
            <w:hideMark/>
          </w:tcPr>
          <w:p w14:paraId="5FC7F7BA"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(in millions)</w:t>
            </w:r>
          </w:p>
        </w:tc>
        <w:tc>
          <w:tcPr>
            <w:tcW w:w="71" w:type="pct"/>
            <w:shd w:val="clear" w:color="auto" w:fill="FFFFFF"/>
            <w:tcMar>
              <w:top w:w="15" w:type="dxa"/>
              <w:left w:w="0" w:type="dxa"/>
              <w:bottom w:w="0" w:type="dxa"/>
              <w:right w:w="15" w:type="dxa"/>
            </w:tcMar>
            <w:vAlign w:val="bottom"/>
            <w:hideMark/>
          </w:tcPr>
          <w:p w14:paraId="157782F3"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E758BB"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2019</w:t>
            </w:r>
          </w:p>
        </w:tc>
        <w:tc>
          <w:tcPr>
            <w:tcW w:w="50" w:type="pct"/>
            <w:shd w:val="clear" w:color="auto" w:fill="FFFFFF"/>
            <w:noWrap/>
            <w:tcMar>
              <w:top w:w="15" w:type="dxa"/>
              <w:left w:w="0" w:type="dxa"/>
              <w:bottom w:w="0" w:type="dxa"/>
              <w:right w:w="15" w:type="dxa"/>
            </w:tcMar>
            <w:vAlign w:val="bottom"/>
            <w:hideMark/>
          </w:tcPr>
          <w:p w14:paraId="5A43B71A"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72D450FC"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33CD01"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2018</w:t>
            </w:r>
          </w:p>
        </w:tc>
        <w:tc>
          <w:tcPr>
            <w:tcW w:w="50" w:type="pct"/>
            <w:shd w:val="clear" w:color="auto" w:fill="FFFFFF"/>
            <w:noWrap/>
            <w:tcMar>
              <w:top w:w="15" w:type="dxa"/>
              <w:left w:w="0" w:type="dxa"/>
              <w:bottom w:w="0" w:type="dxa"/>
              <w:right w:w="15" w:type="dxa"/>
            </w:tcMar>
            <w:vAlign w:val="bottom"/>
            <w:hideMark/>
          </w:tcPr>
          <w:p w14:paraId="1C4C8A23"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71" w:type="pct"/>
            <w:shd w:val="clear" w:color="auto" w:fill="FFFFFF"/>
            <w:tcMar>
              <w:top w:w="15" w:type="dxa"/>
              <w:left w:w="0" w:type="dxa"/>
              <w:bottom w:w="0" w:type="dxa"/>
              <w:right w:w="15" w:type="dxa"/>
            </w:tcMar>
            <w:vAlign w:val="bottom"/>
            <w:hideMark/>
          </w:tcPr>
          <w:p w14:paraId="3F5C3456"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5095FE"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2019</w:t>
            </w:r>
          </w:p>
        </w:tc>
        <w:tc>
          <w:tcPr>
            <w:tcW w:w="50" w:type="pct"/>
            <w:shd w:val="clear" w:color="auto" w:fill="FFFFFF"/>
            <w:noWrap/>
            <w:tcMar>
              <w:top w:w="15" w:type="dxa"/>
              <w:left w:w="0" w:type="dxa"/>
              <w:bottom w:w="0" w:type="dxa"/>
              <w:right w:w="15" w:type="dxa"/>
            </w:tcMar>
            <w:vAlign w:val="bottom"/>
            <w:hideMark/>
          </w:tcPr>
          <w:p w14:paraId="61970770"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7A054F8A"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C96B00" w14:textId="77777777" w:rsidR="00716E85" w:rsidRDefault="00716E85">
            <w:pPr>
              <w:pStyle w:val="a3"/>
              <w:spacing w:before="0" w:beforeAutospacing="0" w:after="0" w:afterAutospacing="0"/>
              <w:jc w:val="center"/>
              <w:rPr>
                <w:rFonts w:ascii="Calibri" w:hAnsi="Calibri" w:cs="Calibri"/>
                <w:b/>
                <w:bCs/>
                <w:color w:val="000000"/>
                <w:sz w:val="18"/>
                <w:szCs w:val="18"/>
              </w:rPr>
            </w:pPr>
            <w:r>
              <w:rPr>
                <w:rFonts w:ascii="Calibri" w:hAnsi="Calibri" w:cs="Calibri"/>
                <w:b/>
                <w:bCs/>
                <w:color w:val="000000"/>
                <w:sz w:val="18"/>
                <w:szCs w:val="18"/>
              </w:rPr>
              <w:t>2018</w:t>
            </w:r>
          </w:p>
        </w:tc>
        <w:tc>
          <w:tcPr>
            <w:tcW w:w="50" w:type="pct"/>
            <w:shd w:val="clear" w:color="auto" w:fill="FFFFFF"/>
            <w:noWrap/>
            <w:tcMar>
              <w:top w:w="15" w:type="dxa"/>
              <w:left w:w="0" w:type="dxa"/>
              <w:bottom w:w="0" w:type="dxa"/>
              <w:right w:w="15" w:type="dxa"/>
            </w:tcMar>
            <w:vAlign w:val="bottom"/>
            <w:hideMark/>
          </w:tcPr>
          <w:p w14:paraId="221AC13C"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r>
      <w:tr w:rsidR="00716E85" w14:paraId="64E11827" w14:textId="77777777">
        <w:trPr>
          <w:divId w:val="549223550"/>
          <w:jc w:val="center"/>
        </w:trPr>
        <w:tc>
          <w:tcPr>
            <w:tcW w:w="2935" w:type="pct"/>
            <w:tcBorders>
              <w:top w:val="single" w:sz="6" w:space="0" w:color="000000"/>
            </w:tcBorders>
            <w:shd w:val="clear" w:color="auto" w:fill="CFF0FC"/>
            <w:tcMar>
              <w:top w:w="15" w:type="dxa"/>
              <w:left w:w="0" w:type="dxa"/>
              <w:bottom w:w="0" w:type="dxa"/>
              <w:right w:w="15" w:type="dxa"/>
            </w:tcMar>
            <w:hideMark/>
          </w:tcPr>
          <w:p w14:paraId="317DBC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w:t>
            </w:r>
          </w:p>
        </w:tc>
        <w:tc>
          <w:tcPr>
            <w:tcW w:w="71" w:type="pct"/>
            <w:shd w:val="clear" w:color="auto" w:fill="CFF0FC"/>
            <w:tcMar>
              <w:top w:w="15" w:type="dxa"/>
              <w:left w:w="0" w:type="dxa"/>
              <w:bottom w:w="0" w:type="dxa"/>
              <w:right w:w="15" w:type="dxa"/>
            </w:tcMar>
            <w:vAlign w:val="bottom"/>
            <w:hideMark/>
          </w:tcPr>
          <w:p w14:paraId="3FB2E6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44D06C"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3FCA775" w14:textId="77777777" w:rsidR="00716E85" w:rsidRDefault="00716E85">
            <w:pPr>
              <w:pStyle w:val="a3"/>
              <w:spacing w:before="0" w:beforeAutospacing="0" w:after="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EB126BE"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71" w:type="pct"/>
            <w:shd w:val="clear" w:color="auto" w:fill="CFF0FC"/>
            <w:tcMar>
              <w:top w:w="15" w:type="dxa"/>
              <w:left w:w="0" w:type="dxa"/>
              <w:bottom w:w="0" w:type="dxa"/>
              <w:right w:w="15" w:type="dxa"/>
            </w:tcMar>
            <w:vAlign w:val="bottom"/>
            <w:hideMark/>
          </w:tcPr>
          <w:p w14:paraId="1D282ECD"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9837FB"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FA852ED" w14:textId="77777777" w:rsidR="00716E85" w:rsidRDefault="00716E85">
            <w:pPr>
              <w:pStyle w:val="a3"/>
              <w:spacing w:before="0" w:beforeAutospacing="0" w:after="0" w:afterAutospacing="0"/>
              <w:jc w:val="right"/>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7823787" w14:textId="77777777" w:rsidR="00716E85" w:rsidRDefault="00716E85">
            <w:pPr>
              <w:pStyle w:val="a3"/>
              <w:spacing w:before="0" w:beforeAutospacing="0" w:after="0" w:afterAutospacing="0"/>
              <w:rPr>
                <w:rFonts w:ascii="Calibri" w:hAnsi="Calibri" w:cs="Calibri"/>
                <w:b/>
                <w:bCs/>
                <w:color w:val="000000"/>
                <w:sz w:val="18"/>
                <w:szCs w:val="18"/>
              </w:rPr>
            </w:pPr>
            <w:r>
              <w:rPr>
                <w:rFonts w:ascii="Calibri" w:hAnsi="Calibri" w:cs="Calibri"/>
                <w:b/>
                <w:bCs/>
                <w:color w:val="000000"/>
                <w:sz w:val="18"/>
                <w:szCs w:val="18"/>
              </w:rPr>
              <w:t> </w:t>
            </w:r>
          </w:p>
        </w:tc>
        <w:tc>
          <w:tcPr>
            <w:tcW w:w="71" w:type="pct"/>
            <w:shd w:val="clear" w:color="auto" w:fill="CFF0FC"/>
            <w:tcMar>
              <w:top w:w="15" w:type="dxa"/>
              <w:left w:w="0" w:type="dxa"/>
              <w:bottom w:w="0" w:type="dxa"/>
              <w:right w:w="15" w:type="dxa"/>
            </w:tcMar>
            <w:vAlign w:val="bottom"/>
            <w:hideMark/>
          </w:tcPr>
          <w:p w14:paraId="2998D8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C821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03BCAD7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857766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E658A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880E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06B2C3D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30FEC1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3F8C832D" w14:textId="77777777">
        <w:trPr>
          <w:divId w:val="549223550"/>
          <w:jc w:val="center"/>
        </w:trPr>
        <w:tc>
          <w:tcPr>
            <w:tcW w:w="2935" w:type="pct"/>
            <w:shd w:val="clear" w:color="auto" w:fill="FFFFFF"/>
            <w:tcMar>
              <w:top w:w="15" w:type="dxa"/>
              <w:left w:w="0" w:type="dxa"/>
              <w:bottom w:w="0" w:type="dxa"/>
              <w:right w:w="15" w:type="dxa"/>
            </w:tcMar>
            <w:hideMark/>
          </w:tcPr>
          <w:p w14:paraId="2A687C4B"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vertAlign w:val="superscript"/>
              </w:rPr>
              <w:t>(1)</w:t>
            </w:r>
          </w:p>
        </w:tc>
        <w:tc>
          <w:tcPr>
            <w:tcW w:w="71" w:type="pct"/>
            <w:shd w:val="clear" w:color="auto" w:fill="FFFFFF"/>
            <w:tcMar>
              <w:top w:w="15" w:type="dxa"/>
              <w:left w:w="0" w:type="dxa"/>
              <w:bottom w:w="0" w:type="dxa"/>
              <w:right w:w="15" w:type="dxa"/>
            </w:tcMar>
            <w:vAlign w:val="bottom"/>
            <w:hideMark/>
          </w:tcPr>
          <w:p w14:paraId="057500D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4AE2FC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596B4F1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7,917</w:t>
            </w:r>
          </w:p>
        </w:tc>
        <w:tc>
          <w:tcPr>
            <w:tcW w:w="50" w:type="pct"/>
            <w:shd w:val="clear" w:color="auto" w:fill="FFFFFF"/>
            <w:noWrap/>
            <w:tcMar>
              <w:top w:w="15" w:type="dxa"/>
              <w:left w:w="0" w:type="dxa"/>
              <w:bottom w:w="0" w:type="dxa"/>
              <w:right w:w="15" w:type="dxa"/>
            </w:tcMar>
            <w:vAlign w:val="bottom"/>
            <w:hideMark/>
          </w:tcPr>
          <w:p w14:paraId="04C6EE5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EB356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F828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6B284EC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7,891</w:t>
            </w:r>
          </w:p>
        </w:tc>
        <w:tc>
          <w:tcPr>
            <w:tcW w:w="50" w:type="pct"/>
            <w:shd w:val="clear" w:color="auto" w:fill="FFFFFF"/>
            <w:noWrap/>
            <w:tcMar>
              <w:top w:w="15" w:type="dxa"/>
              <w:left w:w="0" w:type="dxa"/>
              <w:bottom w:w="0" w:type="dxa"/>
              <w:right w:w="15" w:type="dxa"/>
            </w:tcMar>
            <w:vAlign w:val="bottom"/>
            <w:hideMark/>
          </w:tcPr>
          <w:p w14:paraId="046426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11202BB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A3A61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4CA916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23,259</w:t>
            </w:r>
          </w:p>
        </w:tc>
        <w:tc>
          <w:tcPr>
            <w:tcW w:w="50" w:type="pct"/>
            <w:shd w:val="clear" w:color="auto" w:fill="FFFFFF"/>
            <w:noWrap/>
            <w:tcMar>
              <w:top w:w="15" w:type="dxa"/>
              <w:left w:w="0" w:type="dxa"/>
              <w:bottom w:w="0" w:type="dxa"/>
              <w:right w:w="15" w:type="dxa"/>
            </w:tcMar>
            <w:vAlign w:val="bottom"/>
            <w:hideMark/>
          </w:tcPr>
          <w:p w14:paraId="0DE20DB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343604F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697AD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449AF87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23,018</w:t>
            </w:r>
          </w:p>
        </w:tc>
        <w:tc>
          <w:tcPr>
            <w:tcW w:w="50" w:type="pct"/>
            <w:shd w:val="clear" w:color="auto" w:fill="FFFFFF"/>
            <w:noWrap/>
            <w:tcMar>
              <w:top w:w="15" w:type="dxa"/>
              <w:left w:w="0" w:type="dxa"/>
              <w:bottom w:w="0" w:type="dxa"/>
              <w:right w:w="15" w:type="dxa"/>
            </w:tcMar>
            <w:vAlign w:val="bottom"/>
            <w:hideMark/>
          </w:tcPr>
          <w:p w14:paraId="083A4C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3F2961E" w14:textId="77777777">
        <w:trPr>
          <w:divId w:val="549223550"/>
          <w:jc w:val="center"/>
        </w:trPr>
        <w:tc>
          <w:tcPr>
            <w:tcW w:w="2935" w:type="pct"/>
            <w:shd w:val="clear" w:color="auto" w:fill="CFF0FC"/>
            <w:tcMar>
              <w:top w:w="15" w:type="dxa"/>
              <w:left w:w="0" w:type="dxa"/>
              <w:bottom w:w="0" w:type="dxa"/>
              <w:right w:w="15" w:type="dxa"/>
            </w:tcMar>
            <w:hideMark/>
          </w:tcPr>
          <w:p w14:paraId="0C913137"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Cloud services and license support expenses</w:t>
            </w:r>
          </w:p>
        </w:tc>
        <w:tc>
          <w:tcPr>
            <w:tcW w:w="71" w:type="pct"/>
            <w:shd w:val="clear" w:color="auto" w:fill="CFF0FC"/>
            <w:tcMar>
              <w:top w:w="15" w:type="dxa"/>
              <w:left w:w="0" w:type="dxa"/>
              <w:bottom w:w="0" w:type="dxa"/>
              <w:right w:w="15" w:type="dxa"/>
            </w:tcMar>
            <w:vAlign w:val="bottom"/>
            <w:hideMark/>
          </w:tcPr>
          <w:p w14:paraId="3919B2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9E6349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7F7D1D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890</w:t>
            </w:r>
          </w:p>
        </w:tc>
        <w:tc>
          <w:tcPr>
            <w:tcW w:w="50" w:type="pct"/>
            <w:shd w:val="clear" w:color="auto" w:fill="CFF0FC"/>
            <w:noWrap/>
            <w:tcMar>
              <w:top w:w="15" w:type="dxa"/>
              <w:left w:w="0" w:type="dxa"/>
              <w:bottom w:w="0" w:type="dxa"/>
              <w:right w:w="15" w:type="dxa"/>
            </w:tcMar>
            <w:vAlign w:val="bottom"/>
            <w:hideMark/>
          </w:tcPr>
          <w:p w14:paraId="7DCEDB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3D4F3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B7DA7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3E9FCCE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854</w:t>
            </w:r>
          </w:p>
        </w:tc>
        <w:tc>
          <w:tcPr>
            <w:tcW w:w="50" w:type="pct"/>
            <w:shd w:val="clear" w:color="auto" w:fill="CFF0FC"/>
            <w:noWrap/>
            <w:tcMar>
              <w:top w:w="15" w:type="dxa"/>
              <w:left w:w="0" w:type="dxa"/>
              <w:bottom w:w="0" w:type="dxa"/>
              <w:right w:w="15" w:type="dxa"/>
            </w:tcMar>
            <w:vAlign w:val="bottom"/>
            <w:hideMark/>
          </w:tcPr>
          <w:p w14:paraId="138538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78D36E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251F5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7D524C2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2,668</w:t>
            </w:r>
          </w:p>
        </w:tc>
        <w:tc>
          <w:tcPr>
            <w:tcW w:w="50" w:type="pct"/>
            <w:shd w:val="clear" w:color="auto" w:fill="CFF0FC"/>
            <w:noWrap/>
            <w:tcMar>
              <w:top w:w="15" w:type="dxa"/>
              <w:left w:w="0" w:type="dxa"/>
              <w:bottom w:w="0" w:type="dxa"/>
              <w:right w:w="15" w:type="dxa"/>
            </w:tcMar>
            <w:vAlign w:val="bottom"/>
            <w:hideMark/>
          </w:tcPr>
          <w:p w14:paraId="594003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7C0160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F18F9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2C2D8A7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2,526</w:t>
            </w:r>
          </w:p>
        </w:tc>
        <w:tc>
          <w:tcPr>
            <w:tcW w:w="50" w:type="pct"/>
            <w:shd w:val="clear" w:color="auto" w:fill="CFF0FC"/>
            <w:noWrap/>
            <w:tcMar>
              <w:top w:w="15" w:type="dxa"/>
              <w:left w:w="0" w:type="dxa"/>
              <w:bottom w:w="0" w:type="dxa"/>
              <w:right w:w="15" w:type="dxa"/>
            </w:tcMar>
            <w:vAlign w:val="bottom"/>
            <w:hideMark/>
          </w:tcPr>
          <w:p w14:paraId="6A254C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CAA7C27" w14:textId="77777777">
        <w:trPr>
          <w:divId w:val="549223550"/>
          <w:jc w:val="center"/>
        </w:trPr>
        <w:tc>
          <w:tcPr>
            <w:tcW w:w="2935" w:type="pct"/>
            <w:shd w:val="clear" w:color="auto" w:fill="FFFFFF"/>
            <w:tcMar>
              <w:top w:w="15" w:type="dxa"/>
              <w:left w:w="0" w:type="dxa"/>
              <w:bottom w:w="0" w:type="dxa"/>
              <w:right w:w="15" w:type="dxa"/>
            </w:tcMar>
            <w:hideMark/>
          </w:tcPr>
          <w:p w14:paraId="7C75DB88"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1" w:type="pct"/>
            <w:shd w:val="clear" w:color="auto" w:fill="FFFFFF"/>
            <w:tcMar>
              <w:top w:w="15" w:type="dxa"/>
              <w:left w:w="0" w:type="dxa"/>
              <w:bottom w:w="0" w:type="dxa"/>
              <w:right w:w="15" w:type="dxa"/>
            </w:tcMar>
            <w:vAlign w:val="bottom"/>
            <w:hideMark/>
          </w:tcPr>
          <w:p w14:paraId="5073DA0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8129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011EE20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1,780</w:t>
            </w:r>
          </w:p>
        </w:tc>
        <w:tc>
          <w:tcPr>
            <w:tcW w:w="50" w:type="pct"/>
            <w:shd w:val="clear" w:color="auto" w:fill="FFFFFF"/>
            <w:noWrap/>
            <w:tcMar>
              <w:top w:w="15" w:type="dxa"/>
              <w:left w:w="0" w:type="dxa"/>
              <w:bottom w:w="0" w:type="dxa"/>
              <w:right w:w="15" w:type="dxa"/>
            </w:tcMar>
            <w:vAlign w:val="bottom"/>
            <w:hideMark/>
          </w:tcPr>
          <w:p w14:paraId="18D155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31C5E8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7154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66D01AF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1,743</w:t>
            </w:r>
          </w:p>
        </w:tc>
        <w:tc>
          <w:tcPr>
            <w:tcW w:w="50" w:type="pct"/>
            <w:shd w:val="clear" w:color="auto" w:fill="FFFFFF"/>
            <w:noWrap/>
            <w:tcMar>
              <w:top w:w="15" w:type="dxa"/>
              <w:left w:w="0" w:type="dxa"/>
              <w:bottom w:w="0" w:type="dxa"/>
              <w:right w:w="15" w:type="dxa"/>
            </w:tcMar>
            <w:vAlign w:val="bottom"/>
            <w:hideMark/>
          </w:tcPr>
          <w:p w14:paraId="58A6BAE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0F5BF6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0864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1B0154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5,357</w:t>
            </w:r>
          </w:p>
        </w:tc>
        <w:tc>
          <w:tcPr>
            <w:tcW w:w="50" w:type="pct"/>
            <w:shd w:val="clear" w:color="auto" w:fill="FFFFFF"/>
            <w:noWrap/>
            <w:tcMar>
              <w:top w:w="15" w:type="dxa"/>
              <w:left w:w="0" w:type="dxa"/>
              <w:bottom w:w="0" w:type="dxa"/>
              <w:right w:w="15" w:type="dxa"/>
            </w:tcMar>
            <w:vAlign w:val="bottom"/>
            <w:hideMark/>
          </w:tcPr>
          <w:p w14:paraId="1D00A3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3C829B0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981FC6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0ABE249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5,200</w:t>
            </w:r>
          </w:p>
        </w:tc>
        <w:tc>
          <w:tcPr>
            <w:tcW w:w="50" w:type="pct"/>
            <w:shd w:val="clear" w:color="auto" w:fill="FFFFFF"/>
            <w:noWrap/>
            <w:tcMar>
              <w:top w:w="15" w:type="dxa"/>
              <w:left w:w="0" w:type="dxa"/>
              <w:bottom w:w="0" w:type="dxa"/>
              <w:right w:w="15" w:type="dxa"/>
            </w:tcMar>
            <w:vAlign w:val="bottom"/>
            <w:hideMark/>
          </w:tcPr>
          <w:p w14:paraId="3B8D74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296D041" w14:textId="77777777">
        <w:trPr>
          <w:divId w:val="549223550"/>
          <w:jc w:val="center"/>
        </w:trPr>
        <w:tc>
          <w:tcPr>
            <w:tcW w:w="2935" w:type="pct"/>
            <w:shd w:val="clear" w:color="auto" w:fill="CFF0FC"/>
            <w:tcMar>
              <w:top w:w="15" w:type="dxa"/>
              <w:left w:w="0" w:type="dxa"/>
              <w:bottom w:w="0" w:type="dxa"/>
              <w:right w:w="15" w:type="dxa"/>
            </w:tcMar>
            <w:hideMark/>
          </w:tcPr>
          <w:p w14:paraId="7369C50C"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1" w:type="pct"/>
            <w:shd w:val="clear" w:color="auto" w:fill="CFF0FC"/>
            <w:tcMar>
              <w:top w:w="15" w:type="dxa"/>
              <w:left w:w="0" w:type="dxa"/>
              <w:bottom w:w="0" w:type="dxa"/>
              <w:right w:w="15" w:type="dxa"/>
            </w:tcMar>
            <w:vAlign w:val="bottom"/>
            <w:hideMark/>
          </w:tcPr>
          <w:p w14:paraId="3BB958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7B18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5AF4B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5,247</w:t>
            </w:r>
          </w:p>
        </w:tc>
        <w:tc>
          <w:tcPr>
            <w:tcW w:w="50" w:type="pct"/>
            <w:shd w:val="clear" w:color="auto" w:fill="CFF0FC"/>
            <w:noWrap/>
            <w:tcMar>
              <w:top w:w="15" w:type="dxa"/>
              <w:left w:w="0" w:type="dxa"/>
              <w:bottom w:w="0" w:type="dxa"/>
              <w:right w:w="15" w:type="dxa"/>
            </w:tcMar>
            <w:vAlign w:val="bottom"/>
            <w:hideMark/>
          </w:tcPr>
          <w:p w14:paraId="456A51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1AB2E6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30C4F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600E05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5,294</w:t>
            </w:r>
          </w:p>
        </w:tc>
        <w:tc>
          <w:tcPr>
            <w:tcW w:w="50" w:type="pct"/>
            <w:shd w:val="clear" w:color="auto" w:fill="CFF0FC"/>
            <w:noWrap/>
            <w:tcMar>
              <w:top w:w="15" w:type="dxa"/>
              <w:left w:w="0" w:type="dxa"/>
              <w:bottom w:w="0" w:type="dxa"/>
              <w:right w:w="15" w:type="dxa"/>
            </w:tcMar>
            <w:vAlign w:val="bottom"/>
            <w:hideMark/>
          </w:tcPr>
          <w:p w14:paraId="7AAB54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19DC60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668CE3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BCAB7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15,234</w:t>
            </w:r>
          </w:p>
        </w:tc>
        <w:tc>
          <w:tcPr>
            <w:tcW w:w="50" w:type="pct"/>
            <w:shd w:val="clear" w:color="auto" w:fill="CFF0FC"/>
            <w:noWrap/>
            <w:tcMar>
              <w:top w:w="15" w:type="dxa"/>
              <w:left w:w="0" w:type="dxa"/>
              <w:bottom w:w="0" w:type="dxa"/>
              <w:right w:w="15" w:type="dxa"/>
            </w:tcMar>
            <w:vAlign w:val="bottom"/>
            <w:hideMark/>
          </w:tcPr>
          <w:p w14:paraId="7A0ABBA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8CD3A1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43AC1D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2B89D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15,292</w:t>
            </w:r>
          </w:p>
        </w:tc>
        <w:tc>
          <w:tcPr>
            <w:tcW w:w="50" w:type="pct"/>
            <w:shd w:val="clear" w:color="auto" w:fill="CFF0FC"/>
            <w:noWrap/>
            <w:tcMar>
              <w:top w:w="15" w:type="dxa"/>
              <w:left w:w="0" w:type="dxa"/>
              <w:bottom w:w="0" w:type="dxa"/>
              <w:right w:w="15" w:type="dxa"/>
            </w:tcMar>
            <w:vAlign w:val="bottom"/>
            <w:hideMark/>
          </w:tcPr>
          <w:p w14:paraId="2A538E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713F522" w14:textId="77777777">
        <w:trPr>
          <w:divId w:val="549223550"/>
          <w:jc w:val="center"/>
        </w:trPr>
        <w:tc>
          <w:tcPr>
            <w:tcW w:w="2935" w:type="pct"/>
            <w:shd w:val="clear" w:color="auto" w:fill="FFFFFF"/>
            <w:tcMar>
              <w:top w:w="15" w:type="dxa"/>
              <w:left w:w="0" w:type="dxa"/>
              <w:bottom w:w="0" w:type="dxa"/>
              <w:right w:w="15" w:type="dxa"/>
            </w:tcMar>
            <w:hideMark/>
          </w:tcPr>
          <w:p w14:paraId="4EC03C4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Hardware:</w:t>
            </w:r>
          </w:p>
        </w:tc>
        <w:tc>
          <w:tcPr>
            <w:tcW w:w="71" w:type="pct"/>
            <w:shd w:val="clear" w:color="auto" w:fill="FFFFFF"/>
            <w:tcMar>
              <w:top w:w="15" w:type="dxa"/>
              <w:left w:w="0" w:type="dxa"/>
              <w:bottom w:w="0" w:type="dxa"/>
              <w:right w:w="15" w:type="dxa"/>
            </w:tcMar>
            <w:vAlign w:val="bottom"/>
            <w:hideMark/>
          </w:tcPr>
          <w:p w14:paraId="3FD57AD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BD728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083BB93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63E11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62413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FEA17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73845EB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3182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E756A8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9841F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3CC59B4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E29A0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273CEB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2F9D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FFFFFF"/>
            <w:noWrap/>
            <w:tcMar>
              <w:top w:w="15" w:type="dxa"/>
              <w:left w:w="0" w:type="dxa"/>
              <w:bottom w:w="0" w:type="dxa"/>
              <w:right w:w="15" w:type="dxa"/>
            </w:tcMar>
            <w:vAlign w:val="bottom"/>
            <w:hideMark/>
          </w:tcPr>
          <w:p w14:paraId="28C851E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FAAEE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6EB2922" w14:textId="77777777">
        <w:trPr>
          <w:divId w:val="549223550"/>
          <w:jc w:val="center"/>
        </w:trPr>
        <w:tc>
          <w:tcPr>
            <w:tcW w:w="2935" w:type="pct"/>
            <w:shd w:val="clear" w:color="auto" w:fill="CFF0FC"/>
            <w:tcMar>
              <w:top w:w="15" w:type="dxa"/>
              <w:left w:w="0" w:type="dxa"/>
              <w:bottom w:w="0" w:type="dxa"/>
              <w:right w:w="15" w:type="dxa"/>
            </w:tcMar>
            <w:hideMark/>
          </w:tcPr>
          <w:p w14:paraId="33AFFBCF"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1" w:type="pct"/>
            <w:shd w:val="clear" w:color="auto" w:fill="CFF0FC"/>
            <w:tcMar>
              <w:top w:w="15" w:type="dxa"/>
              <w:left w:w="0" w:type="dxa"/>
              <w:bottom w:w="0" w:type="dxa"/>
              <w:right w:w="15" w:type="dxa"/>
            </w:tcMar>
            <w:vAlign w:val="bottom"/>
            <w:hideMark/>
          </w:tcPr>
          <w:p w14:paraId="015C019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1B63CC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CFF0FC"/>
            <w:noWrap/>
            <w:tcMar>
              <w:top w:w="15" w:type="dxa"/>
              <w:left w:w="0" w:type="dxa"/>
              <w:bottom w:w="0" w:type="dxa"/>
              <w:right w:w="15" w:type="dxa"/>
            </w:tcMar>
            <w:vAlign w:val="bottom"/>
            <w:hideMark/>
          </w:tcPr>
          <w:p w14:paraId="07464AE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915</w:t>
            </w:r>
          </w:p>
        </w:tc>
        <w:tc>
          <w:tcPr>
            <w:tcW w:w="50" w:type="pct"/>
            <w:shd w:val="clear" w:color="auto" w:fill="CFF0FC"/>
            <w:noWrap/>
            <w:tcMar>
              <w:top w:w="15" w:type="dxa"/>
              <w:left w:w="0" w:type="dxa"/>
              <w:bottom w:w="0" w:type="dxa"/>
              <w:right w:w="15" w:type="dxa"/>
            </w:tcMar>
            <w:vAlign w:val="bottom"/>
            <w:hideMark/>
          </w:tcPr>
          <w:p w14:paraId="2EB35B9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31CDEFD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476331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CFF0FC"/>
            <w:noWrap/>
            <w:tcMar>
              <w:top w:w="15" w:type="dxa"/>
              <w:left w:w="0" w:type="dxa"/>
              <w:bottom w:w="0" w:type="dxa"/>
              <w:right w:w="15" w:type="dxa"/>
            </w:tcMar>
            <w:vAlign w:val="bottom"/>
            <w:hideMark/>
          </w:tcPr>
          <w:p w14:paraId="0591DC9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994</w:t>
            </w:r>
          </w:p>
        </w:tc>
        <w:tc>
          <w:tcPr>
            <w:tcW w:w="50" w:type="pct"/>
            <w:shd w:val="clear" w:color="auto" w:fill="CFF0FC"/>
            <w:noWrap/>
            <w:tcMar>
              <w:top w:w="15" w:type="dxa"/>
              <w:left w:w="0" w:type="dxa"/>
              <w:bottom w:w="0" w:type="dxa"/>
              <w:right w:w="15" w:type="dxa"/>
            </w:tcMar>
            <w:vAlign w:val="bottom"/>
            <w:hideMark/>
          </w:tcPr>
          <w:p w14:paraId="47C900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52302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B3560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CFF0FC"/>
            <w:noWrap/>
            <w:tcMar>
              <w:top w:w="15" w:type="dxa"/>
              <w:left w:w="0" w:type="dxa"/>
              <w:bottom w:w="0" w:type="dxa"/>
              <w:right w:w="15" w:type="dxa"/>
            </w:tcMar>
            <w:vAlign w:val="bottom"/>
            <w:hideMark/>
          </w:tcPr>
          <w:p w14:paraId="39BB2D2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2,711</w:t>
            </w:r>
          </w:p>
        </w:tc>
        <w:tc>
          <w:tcPr>
            <w:tcW w:w="50" w:type="pct"/>
            <w:shd w:val="clear" w:color="auto" w:fill="CFF0FC"/>
            <w:noWrap/>
            <w:tcMar>
              <w:top w:w="15" w:type="dxa"/>
              <w:left w:w="0" w:type="dxa"/>
              <w:bottom w:w="0" w:type="dxa"/>
              <w:right w:w="15" w:type="dxa"/>
            </w:tcMar>
            <w:vAlign w:val="bottom"/>
            <w:hideMark/>
          </w:tcPr>
          <w:p w14:paraId="5CC0153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FFA0BC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A3EC9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CFF0FC"/>
            <w:noWrap/>
            <w:tcMar>
              <w:top w:w="15" w:type="dxa"/>
              <w:left w:w="0" w:type="dxa"/>
              <w:bottom w:w="0" w:type="dxa"/>
              <w:right w:w="15" w:type="dxa"/>
            </w:tcMar>
            <w:vAlign w:val="bottom"/>
            <w:hideMark/>
          </w:tcPr>
          <w:p w14:paraId="19B79E3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2,878</w:t>
            </w:r>
          </w:p>
        </w:tc>
        <w:tc>
          <w:tcPr>
            <w:tcW w:w="50" w:type="pct"/>
            <w:shd w:val="clear" w:color="auto" w:fill="CFF0FC"/>
            <w:noWrap/>
            <w:tcMar>
              <w:top w:w="15" w:type="dxa"/>
              <w:left w:w="0" w:type="dxa"/>
              <w:bottom w:w="0" w:type="dxa"/>
              <w:right w:w="15" w:type="dxa"/>
            </w:tcMar>
            <w:vAlign w:val="bottom"/>
            <w:hideMark/>
          </w:tcPr>
          <w:p w14:paraId="343D838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A68B3E6" w14:textId="77777777">
        <w:trPr>
          <w:divId w:val="549223550"/>
          <w:jc w:val="center"/>
        </w:trPr>
        <w:tc>
          <w:tcPr>
            <w:tcW w:w="2935" w:type="pct"/>
            <w:shd w:val="clear" w:color="auto" w:fill="FFFFFF"/>
            <w:tcMar>
              <w:top w:w="15" w:type="dxa"/>
              <w:left w:w="0" w:type="dxa"/>
              <w:bottom w:w="0" w:type="dxa"/>
              <w:right w:w="15" w:type="dxa"/>
            </w:tcMar>
            <w:hideMark/>
          </w:tcPr>
          <w:p w14:paraId="7695D072"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Hardware products and support expenses</w:t>
            </w:r>
          </w:p>
        </w:tc>
        <w:tc>
          <w:tcPr>
            <w:tcW w:w="71" w:type="pct"/>
            <w:shd w:val="clear" w:color="auto" w:fill="FFFFFF"/>
            <w:tcMar>
              <w:top w:w="15" w:type="dxa"/>
              <w:left w:w="0" w:type="dxa"/>
              <w:bottom w:w="0" w:type="dxa"/>
              <w:right w:w="15" w:type="dxa"/>
            </w:tcMar>
            <w:vAlign w:val="bottom"/>
            <w:hideMark/>
          </w:tcPr>
          <w:p w14:paraId="6C6A901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27753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7C7856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331</w:t>
            </w:r>
          </w:p>
        </w:tc>
        <w:tc>
          <w:tcPr>
            <w:tcW w:w="50" w:type="pct"/>
            <w:shd w:val="clear" w:color="auto" w:fill="FFFFFF"/>
            <w:noWrap/>
            <w:tcMar>
              <w:top w:w="15" w:type="dxa"/>
              <w:left w:w="0" w:type="dxa"/>
              <w:bottom w:w="0" w:type="dxa"/>
              <w:right w:w="15" w:type="dxa"/>
            </w:tcMar>
            <w:vAlign w:val="bottom"/>
            <w:hideMark/>
          </w:tcPr>
          <w:p w14:paraId="7C54DD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EBD0D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5C29E6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643DF9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387</w:t>
            </w:r>
          </w:p>
        </w:tc>
        <w:tc>
          <w:tcPr>
            <w:tcW w:w="50" w:type="pct"/>
            <w:shd w:val="clear" w:color="auto" w:fill="FFFFFF"/>
            <w:noWrap/>
            <w:tcMar>
              <w:top w:w="15" w:type="dxa"/>
              <w:left w:w="0" w:type="dxa"/>
              <w:bottom w:w="0" w:type="dxa"/>
              <w:right w:w="15" w:type="dxa"/>
            </w:tcMar>
            <w:vAlign w:val="bottom"/>
            <w:hideMark/>
          </w:tcPr>
          <w:p w14:paraId="54E5553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7D03AD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1174A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59892A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973</w:t>
            </w:r>
          </w:p>
        </w:tc>
        <w:tc>
          <w:tcPr>
            <w:tcW w:w="50" w:type="pct"/>
            <w:shd w:val="clear" w:color="auto" w:fill="FFFFFF"/>
            <w:noWrap/>
            <w:tcMar>
              <w:top w:w="15" w:type="dxa"/>
              <w:left w:w="0" w:type="dxa"/>
              <w:bottom w:w="0" w:type="dxa"/>
              <w:right w:w="15" w:type="dxa"/>
            </w:tcMar>
            <w:vAlign w:val="bottom"/>
            <w:hideMark/>
          </w:tcPr>
          <w:p w14:paraId="093F1F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5AD53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55DEB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2F1D7FE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1,094</w:t>
            </w:r>
          </w:p>
        </w:tc>
        <w:tc>
          <w:tcPr>
            <w:tcW w:w="50" w:type="pct"/>
            <w:shd w:val="clear" w:color="auto" w:fill="FFFFFF"/>
            <w:noWrap/>
            <w:tcMar>
              <w:top w:w="15" w:type="dxa"/>
              <w:left w:w="0" w:type="dxa"/>
              <w:bottom w:w="0" w:type="dxa"/>
              <w:right w:w="15" w:type="dxa"/>
            </w:tcMar>
            <w:vAlign w:val="bottom"/>
            <w:hideMark/>
          </w:tcPr>
          <w:p w14:paraId="19C089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EE735E8" w14:textId="77777777">
        <w:trPr>
          <w:divId w:val="549223550"/>
          <w:jc w:val="center"/>
        </w:trPr>
        <w:tc>
          <w:tcPr>
            <w:tcW w:w="2935" w:type="pct"/>
            <w:shd w:val="clear" w:color="auto" w:fill="CFF0FC"/>
            <w:tcMar>
              <w:top w:w="15" w:type="dxa"/>
              <w:left w:w="0" w:type="dxa"/>
              <w:bottom w:w="0" w:type="dxa"/>
              <w:right w:w="15" w:type="dxa"/>
            </w:tcMar>
            <w:hideMark/>
          </w:tcPr>
          <w:p w14:paraId="6DCA2657"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Sales and marketing expenses</w:t>
            </w:r>
          </w:p>
        </w:tc>
        <w:tc>
          <w:tcPr>
            <w:tcW w:w="71" w:type="pct"/>
            <w:shd w:val="clear" w:color="auto" w:fill="CFF0FC"/>
            <w:tcMar>
              <w:top w:w="15" w:type="dxa"/>
              <w:left w:w="0" w:type="dxa"/>
              <w:bottom w:w="0" w:type="dxa"/>
              <w:right w:w="15" w:type="dxa"/>
            </w:tcMar>
            <w:vAlign w:val="bottom"/>
            <w:hideMark/>
          </w:tcPr>
          <w:p w14:paraId="7F2DC2C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9536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0C5355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123</w:t>
            </w:r>
          </w:p>
        </w:tc>
        <w:tc>
          <w:tcPr>
            <w:tcW w:w="50" w:type="pct"/>
            <w:shd w:val="clear" w:color="auto" w:fill="CFF0FC"/>
            <w:noWrap/>
            <w:tcMar>
              <w:top w:w="15" w:type="dxa"/>
              <w:left w:w="0" w:type="dxa"/>
              <w:bottom w:w="0" w:type="dxa"/>
              <w:right w:w="15" w:type="dxa"/>
            </w:tcMar>
            <w:vAlign w:val="bottom"/>
            <w:hideMark/>
          </w:tcPr>
          <w:p w14:paraId="7414D5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5E486B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4951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66D99D1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155</w:t>
            </w:r>
          </w:p>
        </w:tc>
        <w:tc>
          <w:tcPr>
            <w:tcW w:w="50" w:type="pct"/>
            <w:shd w:val="clear" w:color="auto" w:fill="CFF0FC"/>
            <w:noWrap/>
            <w:tcMar>
              <w:top w:w="15" w:type="dxa"/>
              <w:left w:w="0" w:type="dxa"/>
              <w:bottom w:w="0" w:type="dxa"/>
              <w:right w:w="15" w:type="dxa"/>
            </w:tcMar>
            <w:vAlign w:val="bottom"/>
            <w:hideMark/>
          </w:tcPr>
          <w:p w14:paraId="456D201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67552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EF7B0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47505AA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381</w:t>
            </w:r>
          </w:p>
        </w:tc>
        <w:tc>
          <w:tcPr>
            <w:tcW w:w="50" w:type="pct"/>
            <w:shd w:val="clear" w:color="auto" w:fill="CFF0FC"/>
            <w:noWrap/>
            <w:tcMar>
              <w:top w:w="15" w:type="dxa"/>
              <w:left w:w="0" w:type="dxa"/>
              <w:bottom w:w="0" w:type="dxa"/>
              <w:right w:w="15" w:type="dxa"/>
            </w:tcMar>
            <w:vAlign w:val="bottom"/>
            <w:hideMark/>
          </w:tcPr>
          <w:p w14:paraId="70B32D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4EF4A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1A9C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16F48C0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487</w:t>
            </w:r>
          </w:p>
        </w:tc>
        <w:tc>
          <w:tcPr>
            <w:tcW w:w="50" w:type="pct"/>
            <w:shd w:val="clear" w:color="auto" w:fill="CFF0FC"/>
            <w:noWrap/>
            <w:tcMar>
              <w:top w:w="15" w:type="dxa"/>
              <w:left w:w="0" w:type="dxa"/>
              <w:bottom w:w="0" w:type="dxa"/>
              <w:right w:w="15" w:type="dxa"/>
            </w:tcMar>
            <w:vAlign w:val="bottom"/>
            <w:hideMark/>
          </w:tcPr>
          <w:p w14:paraId="3EAC31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29B6F98" w14:textId="77777777">
        <w:trPr>
          <w:divId w:val="549223550"/>
          <w:jc w:val="center"/>
        </w:trPr>
        <w:tc>
          <w:tcPr>
            <w:tcW w:w="2935" w:type="pct"/>
            <w:shd w:val="clear" w:color="auto" w:fill="FFFFFF"/>
            <w:tcMar>
              <w:top w:w="15" w:type="dxa"/>
              <w:left w:w="0" w:type="dxa"/>
              <w:bottom w:w="0" w:type="dxa"/>
              <w:right w:w="15" w:type="dxa"/>
            </w:tcMar>
            <w:hideMark/>
          </w:tcPr>
          <w:p w14:paraId="370BE5B7"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1" w:type="pct"/>
            <w:shd w:val="clear" w:color="auto" w:fill="FFFFFF"/>
            <w:tcMar>
              <w:top w:w="15" w:type="dxa"/>
              <w:left w:w="0" w:type="dxa"/>
              <w:bottom w:w="0" w:type="dxa"/>
              <w:right w:w="15" w:type="dxa"/>
            </w:tcMar>
            <w:vAlign w:val="bottom"/>
            <w:hideMark/>
          </w:tcPr>
          <w:p w14:paraId="5E786E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38E57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AC7CAF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461</w:t>
            </w:r>
          </w:p>
        </w:tc>
        <w:tc>
          <w:tcPr>
            <w:tcW w:w="50" w:type="pct"/>
            <w:shd w:val="clear" w:color="auto" w:fill="FFFFFF"/>
            <w:noWrap/>
            <w:tcMar>
              <w:top w:w="15" w:type="dxa"/>
              <w:left w:w="0" w:type="dxa"/>
              <w:bottom w:w="0" w:type="dxa"/>
              <w:right w:w="15" w:type="dxa"/>
            </w:tcMar>
            <w:vAlign w:val="bottom"/>
            <w:hideMark/>
          </w:tcPr>
          <w:p w14:paraId="7DC148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7B0E1FD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E852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6BF1D4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452</w:t>
            </w:r>
          </w:p>
        </w:tc>
        <w:tc>
          <w:tcPr>
            <w:tcW w:w="50" w:type="pct"/>
            <w:shd w:val="clear" w:color="auto" w:fill="FFFFFF"/>
            <w:noWrap/>
            <w:tcMar>
              <w:top w:w="15" w:type="dxa"/>
              <w:left w:w="0" w:type="dxa"/>
              <w:bottom w:w="0" w:type="dxa"/>
              <w:right w:w="15" w:type="dxa"/>
            </w:tcMar>
            <w:vAlign w:val="bottom"/>
            <w:hideMark/>
          </w:tcPr>
          <w:p w14:paraId="7CD333C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D77988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23C8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C4B6E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1,357</w:t>
            </w:r>
          </w:p>
        </w:tc>
        <w:tc>
          <w:tcPr>
            <w:tcW w:w="50" w:type="pct"/>
            <w:shd w:val="clear" w:color="auto" w:fill="FFFFFF"/>
            <w:noWrap/>
            <w:tcMar>
              <w:top w:w="15" w:type="dxa"/>
              <w:left w:w="0" w:type="dxa"/>
              <w:bottom w:w="0" w:type="dxa"/>
              <w:right w:w="15" w:type="dxa"/>
            </w:tcMar>
            <w:vAlign w:val="bottom"/>
            <w:hideMark/>
          </w:tcPr>
          <w:p w14:paraId="50A99C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15E0083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EA889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B41F2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1,297</w:t>
            </w:r>
          </w:p>
        </w:tc>
        <w:tc>
          <w:tcPr>
            <w:tcW w:w="50" w:type="pct"/>
            <w:shd w:val="clear" w:color="auto" w:fill="FFFFFF"/>
            <w:noWrap/>
            <w:tcMar>
              <w:top w:w="15" w:type="dxa"/>
              <w:left w:w="0" w:type="dxa"/>
              <w:bottom w:w="0" w:type="dxa"/>
              <w:right w:w="15" w:type="dxa"/>
            </w:tcMar>
            <w:vAlign w:val="bottom"/>
            <w:hideMark/>
          </w:tcPr>
          <w:p w14:paraId="431B1F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E59DC6E" w14:textId="77777777">
        <w:trPr>
          <w:divId w:val="549223550"/>
          <w:jc w:val="center"/>
        </w:trPr>
        <w:tc>
          <w:tcPr>
            <w:tcW w:w="2935" w:type="pct"/>
            <w:shd w:val="clear" w:color="auto" w:fill="CFF0FC"/>
            <w:tcMar>
              <w:top w:w="15" w:type="dxa"/>
              <w:left w:w="0" w:type="dxa"/>
              <w:bottom w:w="0" w:type="dxa"/>
              <w:right w:w="15" w:type="dxa"/>
            </w:tcMar>
            <w:hideMark/>
          </w:tcPr>
          <w:p w14:paraId="2014C6B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Services:</w:t>
            </w:r>
          </w:p>
        </w:tc>
        <w:tc>
          <w:tcPr>
            <w:tcW w:w="71" w:type="pct"/>
            <w:shd w:val="clear" w:color="auto" w:fill="CFF0FC"/>
            <w:tcMar>
              <w:top w:w="15" w:type="dxa"/>
              <w:left w:w="0" w:type="dxa"/>
              <w:bottom w:w="0" w:type="dxa"/>
              <w:right w:w="15" w:type="dxa"/>
            </w:tcMar>
            <w:vAlign w:val="bottom"/>
            <w:hideMark/>
          </w:tcPr>
          <w:p w14:paraId="5818A3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4016C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9B7A58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5559A2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006FAC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CE368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00F657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B3533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6F8CB43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EB257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F08D43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0C327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19BF6BC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979E7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6A82DC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F000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5E58ACC" w14:textId="77777777">
        <w:trPr>
          <w:divId w:val="549223550"/>
          <w:jc w:val="center"/>
        </w:trPr>
        <w:tc>
          <w:tcPr>
            <w:tcW w:w="2935" w:type="pct"/>
            <w:shd w:val="clear" w:color="auto" w:fill="FFFFFF"/>
            <w:tcMar>
              <w:top w:w="15" w:type="dxa"/>
              <w:left w:w="0" w:type="dxa"/>
              <w:bottom w:w="0" w:type="dxa"/>
              <w:right w:w="15" w:type="dxa"/>
            </w:tcMar>
            <w:hideMark/>
          </w:tcPr>
          <w:p w14:paraId="086A4C85"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Revenues</w:t>
            </w:r>
          </w:p>
        </w:tc>
        <w:tc>
          <w:tcPr>
            <w:tcW w:w="71" w:type="pct"/>
            <w:shd w:val="clear" w:color="auto" w:fill="FFFFFF"/>
            <w:tcMar>
              <w:top w:w="15" w:type="dxa"/>
              <w:left w:w="0" w:type="dxa"/>
              <w:bottom w:w="0" w:type="dxa"/>
              <w:right w:w="15" w:type="dxa"/>
            </w:tcMar>
            <w:vAlign w:val="bottom"/>
            <w:hideMark/>
          </w:tcPr>
          <w:p w14:paraId="710634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62475F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0FCD4D8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786</w:t>
            </w:r>
          </w:p>
        </w:tc>
        <w:tc>
          <w:tcPr>
            <w:tcW w:w="50" w:type="pct"/>
            <w:shd w:val="clear" w:color="auto" w:fill="FFFFFF"/>
            <w:noWrap/>
            <w:tcMar>
              <w:top w:w="15" w:type="dxa"/>
              <w:left w:w="0" w:type="dxa"/>
              <w:bottom w:w="0" w:type="dxa"/>
              <w:right w:w="15" w:type="dxa"/>
            </w:tcMar>
            <w:vAlign w:val="bottom"/>
            <w:hideMark/>
          </w:tcPr>
          <w:p w14:paraId="52242FF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1514DE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72781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01A29D4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796</w:t>
            </w:r>
          </w:p>
        </w:tc>
        <w:tc>
          <w:tcPr>
            <w:tcW w:w="50" w:type="pct"/>
            <w:shd w:val="clear" w:color="auto" w:fill="FFFFFF"/>
            <w:noWrap/>
            <w:tcMar>
              <w:top w:w="15" w:type="dxa"/>
              <w:left w:w="0" w:type="dxa"/>
              <w:bottom w:w="0" w:type="dxa"/>
              <w:right w:w="15" w:type="dxa"/>
            </w:tcMar>
            <w:vAlign w:val="bottom"/>
            <w:hideMark/>
          </w:tcPr>
          <w:p w14:paraId="56785B1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624BB1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CEB951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44C2332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2,416</w:t>
            </w:r>
          </w:p>
        </w:tc>
        <w:tc>
          <w:tcPr>
            <w:tcW w:w="50" w:type="pct"/>
            <w:shd w:val="clear" w:color="auto" w:fill="FFFFFF"/>
            <w:noWrap/>
            <w:tcMar>
              <w:top w:w="15" w:type="dxa"/>
              <w:left w:w="0" w:type="dxa"/>
              <w:bottom w:w="0" w:type="dxa"/>
              <w:right w:w="15" w:type="dxa"/>
            </w:tcMar>
            <w:vAlign w:val="bottom"/>
            <w:hideMark/>
          </w:tcPr>
          <w:p w14:paraId="6931E6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3A71A7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2E6BC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50E9BF0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2,512</w:t>
            </w:r>
          </w:p>
        </w:tc>
        <w:tc>
          <w:tcPr>
            <w:tcW w:w="50" w:type="pct"/>
            <w:shd w:val="clear" w:color="auto" w:fill="FFFFFF"/>
            <w:noWrap/>
            <w:tcMar>
              <w:top w:w="15" w:type="dxa"/>
              <w:left w:w="0" w:type="dxa"/>
              <w:bottom w:w="0" w:type="dxa"/>
              <w:right w:w="15" w:type="dxa"/>
            </w:tcMar>
            <w:vAlign w:val="bottom"/>
            <w:hideMark/>
          </w:tcPr>
          <w:p w14:paraId="32536F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8C15C1F" w14:textId="77777777">
        <w:trPr>
          <w:divId w:val="549223550"/>
          <w:jc w:val="center"/>
        </w:trPr>
        <w:tc>
          <w:tcPr>
            <w:tcW w:w="2935" w:type="pct"/>
            <w:shd w:val="clear" w:color="auto" w:fill="CFF0FC"/>
            <w:tcMar>
              <w:top w:w="15" w:type="dxa"/>
              <w:left w:w="0" w:type="dxa"/>
              <w:bottom w:w="0" w:type="dxa"/>
              <w:right w:w="15" w:type="dxa"/>
            </w:tcMar>
            <w:hideMark/>
          </w:tcPr>
          <w:p w14:paraId="120A9FC9"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Services expenses</w:t>
            </w:r>
          </w:p>
        </w:tc>
        <w:tc>
          <w:tcPr>
            <w:tcW w:w="71" w:type="pct"/>
            <w:shd w:val="clear" w:color="auto" w:fill="CFF0FC"/>
            <w:tcMar>
              <w:top w:w="15" w:type="dxa"/>
              <w:left w:w="0" w:type="dxa"/>
              <w:bottom w:w="0" w:type="dxa"/>
              <w:right w:w="15" w:type="dxa"/>
            </w:tcMar>
            <w:vAlign w:val="bottom"/>
            <w:hideMark/>
          </w:tcPr>
          <w:p w14:paraId="3CA0962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ADD9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6383699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662</w:t>
            </w:r>
          </w:p>
        </w:tc>
        <w:tc>
          <w:tcPr>
            <w:tcW w:w="50" w:type="pct"/>
            <w:shd w:val="clear" w:color="auto" w:fill="CFF0FC"/>
            <w:noWrap/>
            <w:tcMar>
              <w:top w:w="15" w:type="dxa"/>
              <w:left w:w="0" w:type="dxa"/>
              <w:bottom w:w="0" w:type="dxa"/>
              <w:right w:w="15" w:type="dxa"/>
            </w:tcMar>
            <w:vAlign w:val="bottom"/>
            <w:hideMark/>
          </w:tcPr>
          <w:p w14:paraId="4377310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EA1C67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46CD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4A47337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673</w:t>
            </w:r>
          </w:p>
        </w:tc>
        <w:tc>
          <w:tcPr>
            <w:tcW w:w="50" w:type="pct"/>
            <w:shd w:val="clear" w:color="auto" w:fill="CFF0FC"/>
            <w:noWrap/>
            <w:tcMar>
              <w:top w:w="15" w:type="dxa"/>
              <w:left w:w="0" w:type="dxa"/>
              <w:bottom w:w="0" w:type="dxa"/>
              <w:right w:w="15" w:type="dxa"/>
            </w:tcMar>
            <w:vAlign w:val="bottom"/>
            <w:hideMark/>
          </w:tcPr>
          <w:p w14:paraId="288D64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53638B4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E36C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2BBDA3D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2,015</w:t>
            </w:r>
          </w:p>
        </w:tc>
        <w:tc>
          <w:tcPr>
            <w:tcW w:w="50" w:type="pct"/>
            <w:shd w:val="clear" w:color="auto" w:fill="CFF0FC"/>
            <w:noWrap/>
            <w:tcMar>
              <w:top w:w="15" w:type="dxa"/>
              <w:left w:w="0" w:type="dxa"/>
              <w:bottom w:w="0" w:type="dxa"/>
              <w:right w:w="15" w:type="dxa"/>
            </w:tcMar>
            <w:vAlign w:val="bottom"/>
            <w:hideMark/>
          </w:tcPr>
          <w:p w14:paraId="2542D3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FAB88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AF40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5854399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2,015</w:t>
            </w:r>
          </w:p>
        </w:tc>
        <w:tc>
          <w:tcPr>
            <w:tcW w:w="50" w:type="pct"/>
            <w:shd w:val="clear" w:color="auto" w:fill="CFF0FC"/>
            <w:noWrap/>
            <w:tcMar>
              <w:top w:w="15" w:type="dxa"/>
              <w:left w:w="0" w:type="dxa"/>
              <w:bottom w:w="0" w:type="dxa"/>
              <w:right w:w="15" w:type="dxa"/>
            </w:tcMar>
            <w:vAlign w:val="bottom"/>
            <w:hideMark/>
          </w:tcPr>
          <w:p w14:paraId="3231BA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432843E" w14:textId="77777777">
        <w:trPr>
          <w:divId w:val="549223550"/>
          <w:jc w:val="center"/>
        </w:trPr>
        <w:tc>
          <w:tcPr>
            <w:tcW w:w="2935" w:type="pct"/>
            <w:shd w:val="clear" w:color="auto" w:fill="FFFFFF"/>
            <w:tcMar>
              <w:top w:w="15" w:type="dxa"/>
              <w:left w:w="0" w:type="dxa"/>
              <w:bottom w:w="0" w:type="dxa"/>
              <w:right w:w="15" w:type="dxa"/>
            </w:tcMar>
            <w:hideMark/>
          </w:tcPr>
          <w:p w14:paraId="6CF7D512"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1" w:type="pct"/>
            <w:shd w:val="clear" w:color="auto" w:fill="FFFFFF"/>
            <w:tcMar>
              <w:top w:w="15" w:type="dxa"/>
              <w:left w:w="0" w:type="dxa"/>
              <w:bottom w:w="0" w:type="dxa"/>
              <w:right w:w="15" w:type="dxa"/>
            </w:tcMar>
            <w:vAlign w:val="bottom"/>
            <w:hideMark/>
          </w:tcPr>
          <w:p w14:paraId="7AB5FC2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96BA6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B7B079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124</w:t>
            </w:r>
          </w:p>
        </w:tc>
        <w:tc>
          <w:tcPr>
            <w:tcW w:w="50" w:type="pct"/>
            <w:shd w:val="clear" w:color="auto" w:fill="FFFFFF"/>
            <w:noWrap/>
            <w:tcMar>
              <w:top w:w="15" w:type="dxa"/>
              <w:left w:w="0" w:type="dxa"/>
              <w:bottom w:w="0" w:type="dxa"/>
              <w:right w:w="15" w:type="dxa"/>
            </w:tcMar>
            <w:vAlign w:val="bottom"/>
            <w:hideMark/>
          </w:tcPr>
          <w:p w14:paraId="19DE3E5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7E09477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07C09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573BC8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123</w:t>
            </w:r>
          </w:p>
        </w:tc>
        <w:tc>
          <w:tcPr>
            <w:tcW w:w="50" w:type="pct"/>
            <w:shd w:val="clear" w:color="auto" w:fill="FFFFFF"/>
            <w:noWrap/>
            <w:tcMar>
              <w:top w:w="15" w:type="dxa"/>
              <w:left w:w="0" w:type="dxa"/>
              <w:bottom w:w="0" w:type="dxa"/>
              <w:right w:w="15" w:type="dxa"/>
            </w:tcMar>
            <w:vAlign w:val="bottom"/>
            <w:hideMark/>
          </w:tcPr>
          <w:p w14:paraId="5413EA1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1B097C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603DB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0D1EA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401</w:t>
            </w:r>
          </w:p>
        </w:tc>
        <w:tc>
          <w:tcPr>
            <w:tcW w:w="50" w:type="pct"/>
            <w:shd w:val="clear" w:color="auto" w:fill="FFFFFF"/>
            <w:noWrap/>
            <w:tcMar>
              <w:top w:w="15" w:type="dxa"/>
              <w:left w:w="0" w:type="dxa"/>
              <w:bottom w:w="0" w:type="dxa"/>
              <w:right w:w="15" w:type="dxa"/>
            </w:tcMar>
            <w:vAlign w:val="bottom"/>
            <w:hideMark/>
          </w:tcPr>
          <w:p w14:paraId="2B5CE5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25D75F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27E29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010E9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497</w:t>
            </w:r>
          </w:p>
        </w:tc>
        <w:tc>
          <w:tcPr>
            <w:tcW w:w="50" w:type="pct"/>
            <w:shd w:val="clear" w:color="auto" w:fill="FFFFFF"/>
            <w:noWrap/>
            <w:tcMar>
              <w:top w:w="15" w:type="dxa"/>
              <w:left w:w="0" w:type="dxa"/>
              <w:bottom w:w="0" w:type="dxa"/>
              <w:right w:w="15" w:type="dxa"/>
            </w:tcMar>
            <w:vAlign w:val="bottom"/>
            <w:hideMark/>
          </w:tcPr>
          <w:p w14:paraId="3C9A3D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692417F" w14:textId="77777777">
        <w:trPr>
          <w:divId w:val="549223550"/>
          <w:jc w:val="center"/>
        </w:trPr>
        <w:tc>
          <w:tcPr>
            <w:tcW w:w="2935" w:type="pct"/>
            <w:shd w:val="clear" w:color="auto" w:fill="CFF0FC"/>
            <w:tcMar>
              <w:top w:w="15" w:type="dxa"/>
              <w:left w:w="0" w:type="dxa"/>
              <w:bottom w:w="0" w:type="dxa"/>
              <w:right w:w="15" w:type="dxa"/>
            </w:tcMar>
            <w:hideMark/>
          </w:tcPr>
          <w:p w14:paraId="2108009D" w14:textId="77777777" w:rsidR="00716E85" w:rsidRDefault="00716E85">
            <w:pPr>
              <w:pStyle w:val="a3"/>
              <w:spacing w:before="0" w:beforeAutospacing="0" w:after="0" w:afterAutospacing="0"/>
              <w:ind w:left="821"/>
              <w:rPr>
                <w:rFonts w:ascii="Calibri" w:hAnsi="Calibri" w:cs="Calibri"/>
                <w:color w:val="000000"/>
                <w:sz w:val="18"/>
                <w:szCs w:val="18"/>
              </w:rPr>
            </w:pPr>
            <w:r>
              <w:rPr>
                <w:rFonts w:ascii="Calibri" w:hAnsi="Calibri" w:cs="Calibri"/>
                <w:color w:val="000000"/>
                <w:sz w:val="18"/>
                <w:szCs w:val="18"/>
              </w:rPr>
              <w:t>Totals:</w:t>
            </w:r>
          </w:p>
        </w:tc>
        <w:tc>
          <w:tcPr>
            <w:tcW w:w="71" w:type="pct"/>
            <w:shd w:val="clear" w:color="auto" w:fill="CFF0FC"/>
            <w:tcMar>
              <w:top w:w="15" w:type="dxa"/>
              <w:left w:w="0" w:type="dxa"/>
              <w:bottom w:w="0" w:type="dxa"/>
              <w:right w:w="15" w:type="dxa"/>
            </w:tcMar>
            <w:vAlign w:val="bottom"/>
            <w:hideMark/>
          </w:tcPr>
          <w:p w14:paraId="4B0C42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5E37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29860D2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6B2EDA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6953F5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50808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035BF6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FD01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3D1C3F6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B859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E3C7E3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1C2FCF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0705D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B2D3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45FF50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048DE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6397AC9" w14:textId="77777777">
        <w:trPr>
          <w:divId w:val="549223550"/>
          <w:jc w:val="center"/>
        </w:trPr>
        <w:tc>
          <w:tcPr>
            <w:tcW w:w="2935" w:type="pct"/>
            <w:shd w:val="clear" w:color="auto" w:fill="FFFFFF"/>
            <w:tcMar>
              <w:top w:w="15" w:type="dxa"/>
              <w:left w:w="0" w:type="dxa"/>
              <w:bottom w:w="0" w:type="dxa"/>
              <w:right w:w="15" w:type="dxa"/>
            </w:tcMar>
            <w:hideMark/>
          </w:tcPr>
          <w:p w14:paraId="13E79203" w14:textId="77777777" w:rsidR="00716E85" w:rsidRDefault="00716E85">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Revenues</w:t>
            </w:r>
            <w:r>
              <w:rPr>
                <w:rFonts w:ascii="Calibri" w:hAnsi="Calibri" w:cs="Calibri"/>
                <w:color w:val="000000"/>
                <w:sz w:val="15"/>
                <w:szCs w:val="15"/>
                <w:vertAlign w:val="superscript"/>
              </w:rPr>
              <w:t>(1)</w:t>
            </w:r>
          </w:p>
        </w:tc>
        <w:tc>
          <w:tcPr>
            <w:tcW w:w="71" w:type="pct"/>
            <w:shd w:val="clear" w:color="auto" w:fill="FFFFFF"/>
            <w:tcMar>
              <w:top w:w="15" w:type="dxa"/>
              <w:left w:w="0" w:type="dxa"/>
              <w:bottom w:w="0" w:type="dxa"/>
              <w:right w:w="15" w:type="dxa"/>
            </w:tcMar>
            <w:vAlign w:val="bottom"/>
            <w:hideMark/>
          </w:tcPr>
          <w:p w14:paraId="35D92DA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7B8E16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3AAB99F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9,618</w:t>
            </w:r>
          </w:p>
        </w:tc>
        <w:tc>
          <w:tcPr>
            <w:tcW w:w="50" w:type="pct"/>
            <w:shd w:val="clear" w:color="auto" w:fill="FFFFFF"/>
            <w:noWrap/>
            <w:tcMar>
              <w:top w:w="15" w:type="dxa"/>
              <w:left w:w="0" w:type="dxa"/>
              <w:bottom w:w="0" w:type="dxa"/>
              <w:right w:w="15" w:type="dxa"/>
            </w:tcMar>
            <w:vAlign w:val="bottom"/>
            <w:hideMark/>
          </w:tcPr>
          <w:p w14:paraId="643F3E8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694E7C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31235E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6CAA506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9,681</w:t>
            </w:r>
          </w:p>
        </w:tc>
        <w:tc>
          <w:tcPr>
            <w:tcW w:w="50" w:type="pct"/>
            <w:shd w:val="clear" w:color="auto" w:fill="FFFFFF"/>
            <w:noWrap/>
            <w:tcMar>
              <w:top w:w="15" w:type="dxa"/>
              <w:left w:w="0" w:type="dxa"/>
              <w:bottom w:w="0" w:type="dxa"/>
              <w:right w:w="15" w:type="dxa"/>
            </w:tcMar>
            <w:vAlign w:val="bottom"/>
            <w:hideMark/>
          </w:tcPr>
          <w:p w14:paraId="5CDA904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7DEBC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6F2753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5E88468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28,386</w:t>
            </w:r>
          </w:p>
        </w:tc>
        <w:tc>
          <w:tcPr>
            <w:tcW w:w="50" w:type="pct"/>
            <w:shd w:val="clear" w:color="auto" w:fill="FFFFFF"/>
            <w:noWrap/>
            <w:tcMar>
              <w:top w:w="15" w:type="dxa"/>
              <w:left w:w="0" w:type="dxa"/>
              <w:bottom w:w="0" w:type="dxa"/>
              <w:right w:w="15" w:type="dxa"/>
            </w:tcMar>
            <w:vAlign w:val="bottom"/>
            <w:hideMark/>
          </w:tcPr>
          <w:p w14:paraId="2D0596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A5F625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84B7DB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1322A97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28,408</w:t>
            </w:r>
          </w:p>
        </w:tc>
        <w:tc>
          <w:tcPr>
            <w:tcW w:w="50" w:type="pct"/>
            <w:shd w:val="clear" w:color="auto" w:fill="FFFFFF"/>
            <w:noWrap/>
            <w:tcMar>
              <w:top w:w="15" w:type="dxa"/>
              <w:left w:w="0" w:type="dxa"/>
              <w:bottom w:w="0" w:type="dxa"/>
              <w:right w:w="15" w:type="dxa"/>
            </w:tcMar>
            <w:vAlign w:val="bottom"/>
            <w:hideMark/>
          </w:tcPr>
          <w:p w14:paraId="33CC78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569C509" w14:textId="77777777">
        <w:trPr>
          <w:divId w:val="549223550"/>
          <w:jc w:val="center"/>
        </w:trPr>
        <w:tc>
          <w:tcPr>
            <w:tcW w:w="2935" w:type="pct"/>
            <w:shd w:val="clear" w:color="auto" w:fill="CFF0FC"/>
            <w:tcMar>
              <w:top w:w="15" w:type="dxa"/>
              <w:left w:w="0" w:type="dxa"/>
              <w:bottom w:w="0" w:type="dxa"/>
              <w:right w:w="15" w:type="dxa"/>
            </w:tcMar>
            <w:hideMark/>
          </w:tcPr>
          <w:p w14:paraId="26284863" w14:textId="77777777" w:rsidR="00716E85" w:rsidRDefault="00716E85">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Expenses</w:t>
            </w:r>
          </w:p>
        </w:tc>
        <w:tc>
          <w:tcPr>
            <w:tcW w:w="71" w:type="pct"/>
            <w:shd w:val="clear" w:color="auto" w:fill="CFF0FC"/>
            <w:tcMar>
              <w:top w:w="15" w:type="dxa"/>
              <w:left w:w="0" w:type="dxa"/>
              <w:bottom w:w="0" w:type="dxa"/>
              <w:right w:w="15" w:type="dxa"/>
            </w:tcMar>
            <w:vAlign w:val="bottom"/>
            <w:hideMark/>
          </w:tcPr>
          <w:p w14:paraId="726DCFD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CC193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25F03B3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3,786</w:t>
            </w:r>
          </w:p>
        </w:tc>
        <w:tc>
          <w:tcPr>
            <w:tcW w:w="50" w:type="pct"/>
            <w:shd w:val="clear" w:color="auto" w:fill="CFF0FC"/>
            <w:noWrap/>
            <w:tcMar>
              <w:top w:w="15" w:type="dxa"/>
              <w:left w:w="0" w:type="dxa"/>
              <w:bottom w:w="0" w:type="dxa"/>
              <w:right w:w="15" w:type="dxa"/>
            </w:tcMar>
            <w:vAlign w:val="bottom"/>
            <w:hideMark/>
          </w:tcPr>
          <w:p w14:paraId="0C1C2D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FFF12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7ABC8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6A9F3B3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3,812</w:t>
            </w:r>
          </w:p>
        </w:tc>
        <w:tc>
          <w:tcPr>
            <w:tcW w:w="50" w:type="pct"/>
            <w:shd w:val="clear" w:color="auto" w:fill="CFF0FC"/>
            <w:noWrap/>
            <w:tcMar>
              <w:top w:w="15" w:type="dxa"/>
              <w:left w:w="0" w:type="dxa"/>
              <w:bottom w:w="0" w:type="dxa"/>
              <w:right w:w="15" w:type="dxa"/>
            </w:tcMar>
            <w:vAlign w:val="bottom"/>
            <w:hideMark/>
          </w:tcPr>
          <w:p w14:paraId="79AEB0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3DC2695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4F1A2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03ABEA5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11,394</w:t>
            </w:r>
          </w:p>
        </w:tc>
        <w:tc>
          <w:tcPr>
            <w:tcW w:w="50" w:type="pct"/>
            <w:shd w:val="clear" w:color="auto" w:fill="CFF0FC"/>
            <w:noWrap/>
            <w:tcMar>
              <w:top w:w="15" w:type="dxa"/>
              <w:left w:w="0" w:type="dxa"/>
              <w:bottom w:w="0" w:type="dxa"/>
              <w:right w:w="15" w:type="dxa"/>
            </w:tcMar>
            <w:vAlign w:val="bottom"/>
            <w:hideMark/>
          </w:tcPr>
          <w:p w14:paraId="7549FC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325831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5DC85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34DC641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11,322</w:t>
            </w:r>
          </w:p>
        </w:tc>
        <w:tc>
          <w:tcPr>
            <w:tcW w:w="50" w:type="pct"/>
            <w:shd w:val="clear" w:color="auto" w:fill="CFF0FC"/>
            <w:noWrap/>
            <w:tcMar>
              <w:top w:w="15" w:type="dxa"/>
              <w:left w:w="0" w:type="dxa"/>
              <w:bottom w:w="0" w:type="dxa"/>
              <w:right w:w="15" w:type="dxa"/>
            </w:tcMar>
            <w:vAlign w:val="bottom"/>
            <w:hideMark/>
          </w:tcPr>
          <w:p w14:paraId="05F790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7E66A52" w14:textId="77777777">
        <w:trPr>
          <w:divId w:val="549223550"/>
          <w:jc w:val="center"/>
        </w:trPr>
        <w:tc>
          <w:tcPr>
            <w:tcW w:w="2935" w:type="pct"/>
            <w:shd w:val="clear" w:color="auto" w:fill="FFFFFF"/>
            <w:tcMar>
              <w:top w:w="15" w:type="dxa"/>
              <w:left w:w="0" w:type="dxa"/>
              <w:bottom w:w="0" w:type="dxa"/>
              <w:right w:w="15" w:type="dxa"/>
            </w:tcMar>
            <w:hideMark/>
          </w:tcPr>
          <w:p w14:paraId="45B892CE" w14:textId="77777777" w:rsidR="00716E85" w:rsidRDefault="00716E85">
            <w:pPr>
              <w:pStyle w:val="a3"/>
              <w:spacing w:before="0" w:beforeAutospacing="0" w:after="0" w:afterAutospacing="0"/>
              <w:ind w:left="1231"/>
              <w:rPr>
                <w:rFonts w:ascii="Calibri" w:hAnsi="Calibri" w:cs="Calibri"/>
                <w:color w:val="000000"/>
                <w:sz w:val="18"/>
                <w:szCs w:val="18"/>
              </w:rPr>
            </w:pPr>
            <w:r>
              <w:rPr>
                <w:rFonts w:ascii="Calibri" w:hAnsi="Calibri" w:cs="Calibri"/>
                <w:color w:val="000000"/>
                <w:sz w:val="18"/>
                <w:szCs w:val="18"/>
              </w:rPr>
              <w:t>Margin</w:t>
            </w:r>
            <w:r>
              <w:rPr>
                <w:rFonts w:ascii="Calibri" w:hAnsi="Calibri" w:cs="Calibri"/>
                <w:color w:val="000000"/>
                <w:sz w:val="15"/>
                <w:szCs w:val="15"/>
                <w:vertAlign w:val="superscript"/>
              </w:rPr>
              <w:t>(2)</w:t>
            </w:r>
          </w:p>
        </w:tc>
        <w:tc>
          <w:tcPr>
            <w:tcW w:w="71" w:type="pct"/>
            <w:shd w:val="clear" w:color="auto" w:fill="FFFFFF"/>
            <w:tcMar>
              <w:top w:w="15" w:type="dxa"/>
              <w:left w:w="0" w:type="dxa"/>
              <w:bottom w:w="0" w:type="dxa"/>
              <w:right w:w="15" w:type="dxa"/>
            </w:tcMar>
            <w:vAlign w:val="bottom"/>
            <w:hideMark/>
          </w:tcPr>
          <w:p w14:paraId="54E4CC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9706C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ECCAB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5,832</w:t>
            </w:r>
          </w:p>
        </w:tc>
        <w:tc>
          <w:tcPr>
            <w:tcW w:w="50" w:type="pct"/>
            <w:shd w:val="clear" w:color="auto" w:fill="FFFFFF"/>
            <w:noWrap/>
            <w:tcMar>
              <w:top w:w="15" w:type="dxa"/>
              <w:left w:w="0" w:type="dxa"/>
              <w:bottom w:w="0" w:type="dxa"/>
              <w:right w:w="15" w:type="dxa"/>
            </w:tcMar>
            <w:vAlign w:val="bottom"/>
            <w:hideMark/>
          </w:tcPr>
          <w:p w14:paraId="0B2A1CC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699E1A7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6B09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52704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5,869</w:t>
            </w:r>
          </w:p>
        </w:tc>
        <w:tc>
          <w:tcPr>
            <w:tcW w:w="50" w:type="pct"/>
            <w:shd w:val="clear" w:color="auto" w:fill="FFFFFF"/>
            <w:noWrap/>
            <w:tcMar>
              <w:top w:w="15" w:type="dxa"/>
              <w:left w:w="0" w:type="dxa"/>
              <w:bottom w:w="0" w:type="dxa"/>
              <w:right w:w="15" w:type="dxa"/>
            </w:tcMar>
            <w:vAlign w:val="bottom"/>
            <w:hideMark/>
          </w:tcPr>
          <w:p w14:paraId="1FAB133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010CE5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C45C0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0C9D0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16,992</w:t>
            </w:r>
          </w:p>
        </w:tc>
        <w:tc>
          <w:tcPr>
            <w:tcW w:w="50" w:type="pct"/>
            <w:shd w:val="clear" w:color="auto" w:fill="FFFFFF"/>
            <w:noWrap/>
            <w:tcMar>
              <w:top w:w="15" w:type="dxa"/>
              <w:left w:w="0" w:type="dxa"/>
              <w:bottom w:w="0" w:type="dxa"/>
              <w:right w:w="15" w:type="dxa"/>
            </w:tcMar>
            <w:vAlign w:val="bottom"/>
            <w:hideMark/>
          </w:tcPr>
          <w:p w14:paraId="7CF17C0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72FC18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203FA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3764F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17,086</w:t>
            </w:r>
          </w:p>
        </w:tc>
        <w:tc>
          <w:tcPr>
            <w:tcW w:w="50" w:type="pct"/>
            <w:shd w:val="clear" w:color="auto" w:fill="FFFFFF"/>
            <w:noWrap/>
            <w:tcMar>
              <w:top w:w="15" w:type="dxa"/>
              <w:left w:w="0" w:type="dxa"/>
              <w:bottom w:w="0" w:type="dxa"/>
              <w:right w:w="15" w:type="dxa"/>
            </w:tcMar>
            <w:vAlign w:val="bottom"/>
            <w:hideMark/>
          </w:tcPr>
          <w:p w14:paraId="6629AD33"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D89C21B" w14:textId="77777777" w:rsidR="00716E85" w:rsidRDefault="00716E85">
      <w:pPr>
        <w:pStyle w:val="a3"/>
        <w:pBdr>
          <w:bottom w:val="single" w:sz="6" w:space="1" w:color="auto"/>
        </w:pBdr>
        <w:spacing w:before="0" w:beforeAutospacing="0" w:after="0" w:afterAutospacing="0"/>
        <w:ind w:right="10477"/>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183D4CE0" w14:textId="77777777">
        <w:tc>
          <w:tcPr>
            <w:tcW w:w="192" w:type="pct"/>
            <w:noWrap/>
            <w:hideMark/>
          </w:tcPr>
          <w:p w14:paraId="78E83203"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7ED3A3BC"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Cloud and license revenues presented for management reporting included revenues related to cloud and license obligations that would have otherwise been recorded by the acquired businesses as independent entities but were not recognized in our consolidated statements of operations for the periods presented due to business combination accounting requirements. See Note 6 for an explanation of these adjustments and the table below for a reconciliation of our total operating segment revenues to our total consolidated revenues as reported in our condensed consolidated statements of operations.</w:t>
            </w:r>
          </w:p>
        </w:tc>
      </w:tr>
    </w:tbl>
    <w:p w14:paraId="02BADE4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7F095FF7" w14:textId="77777777">
        <w:tc>
          <w:tcPr>
            <w:tcW w:w="192" w:type="pct"/>
            <w:noWrap/>
            <w:hideMark/>
          </w:tcPr>
          <w:p w14:paraId="55EF2143"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51DBF9C2"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5"/>
                <w:szCs w:val="15"/>
              </w:rPr>
              <w:t>The margins reported reflect only the direct controllable costs of each line of business and do not include allocations of research and development, general and administrative and certain other allocable expenses, net. Additionally, the margins reported above do not reflect amortization of intangible assets, acquisition related and other expenses, restructuring expenses, stock-based compensation, interest expense or certain other non-operating income, net.</w:t>
            </w:r>
          </w:p>
        </w:tc>
      </w:tr>
    </w:tbl>
    <w:p w14:paraId="25B3746D"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28</w:t>
      </w:r>
    </w:p>
    <w:p w14:paraId="70865070" w14:textId="77777777" w:rsidR="00716E85" w:rsidRDefault="00716E85">
      <w:pPr>
        <w:rPr>
          <w:rFonts w:ascii="Times New Roman" w:eastAsia="Times New Roman" w:hAnsi="Times New Roman" w:cs="Times New Roman"/>
          <w:sz w:val="24"/>
          <w:szCs w:val="24"/>
        </w:rPr>
      </w:pPr>
      <w:r>
        <w:rPr>
          <w:rFonts w:eastAsia="Times New Roman"/>
        </w:rPr>
        <w:pict w14:anchorId="5F9792F6">
          <v:rect id="_x0000_i1054" style="width:415.3pt;height:1.5pt" o:hralign="center" o:hrstd="t" o:hr="t" fillcolor="#a0a0a0" stroked="f"/>
        </w:pict>
      </w:r>
    </w:p>
    <w:p w14:paraId="6BC8C688"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10753457" w14:textId="77777777" w:rsidR="00716E85" w:rsidRDefault="00716E85">
      <w:pPr>
        <w:pStyle w:val="a3"/>
      </w:pPr>
      <w:r>
        <w:t> </w:t>
      </w:r>
    </w:p>
    <w:p w14:paraId="7B65947D"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02FE8A08"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7A0209E1"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3B41E6B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6A3BD8B5" w14:textId="77777777" w:rsidR="00716E85" w:rsidRDefault="00716E85">
      <w:pPr>
        <w:pStyle w:val="a3"/>
        <w:spacing w:before="0" w:beforeAutospacing="0" w:after="0" w:afterAutospacing="0"/>
        <w:rPr>
          <w:sz w:val="20"/>
          <w:szCs w:val="20"/>
        </w:rPr>
      </w:pPr>
      <w:r>
        <w:rPr>
          <w:sz w:val="20"/>
          <w:szCs w:val="20"/>
        </w:rPr>
        <w:t> </w:t>
      </w:r>
    </w:p>
    <w:p w14:paraId="14F591BD" w14:textId="77777777" w:rsidR="00716E85" w:rsidRDefault="00716E85">
      <w:pPr>
        <w:pStyle w:val="a3"/>
        <w:spacing w:before="240" w:beforeAutospacing="0" w:after="0" w:afterAutospacing="0"/>
        <w:jc w:val="both"/>
        <w:rPr>
          <w:rFonts w:ascii="Calibri" w:hAnsi="Calibri" w:cs="Calibri"/>
          <w:sz w:val="20"/>
          <w:szCs w:val="20"/>
        </w:rPr>
      </w:pPr>
      <w:bookmarkStart w:id="37" w:name="_AEIOULastRenderedPageBreakAEIOU29"/>
      <w:bookmarkEnd w:id="37"/>
      <w:r>
        <w:rPr>
          <w:rFonts w:ascii="Calibri" w:hAnsi="Calibri" w:cs="Calibri"/>
          <w:sz w:val="20"/>
          <w:szCs w:val="20"/>
        </w:rPr>
        <w:t>The following table reconciles total operating segment revenues to total revenues as well as total operating segment margin to income before provision for income taxes:</w:t>
      </w:r>
    </w:p>
    <w:p w14:paraId="2BE4CE69"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871"/>
        <w:gridCol w:w="110"/>
        <w:gridCol w:w="107"/>
        <w:gridCol w:w="564"/>
        <w:gridCol w:w="76"/>
        <w:gridCol w:w="111"/>
        <w:gridCol w:w="107"/>
        <w:gridCol w:w="566"/>
        <w:gridCol w:w="76"/>
        <w:gridCol w:w="111"/>
        <w:gridCol w:w="107"/>
        <w:gridCol w:w="564"/>
        <w:gridCol w:w="76"/>
        <w:gridCol w:w="111"/>
        <w:gridCol w:w="107"/>
        <w:gridCol w:w="566"/>
        <w:gridCol w:w="76"/>
      </w:tblGrid>
      <w:tr w:rsidR="00716E85" w14:paraId="12486B4D" w14:textId="77777777">
        <w:trPr>
          <w:divId w:val="1200943"/>
          <w:jc w:val="center"/>
        </w:trPr>
        <w:tc>
          <w:tcPr>
            <w:tcW w:w="2935" w:type="pct"/>
            <w:shd w:val="clear" w:color="auto" w:fill="FFFFFF"/>
            <w:tcMar>
              <w:top w:w="15" w:type="dxa"/>
              <w:left w:w="0" w:type="dxa"/>
              <w:bottom w:w="0" w:type="dxa"/>
              <w:right w:w="15" w:type="dxa"/>
            </w:tcMar>
            <w:vAlign w:val="bottom"/>
            <w:hideMark/>
          </w:tcPr>
          <w:p w14:paraId="03CF6851" w14:textId="77777777" w:rsidR="00716E85" w:rsidRDefault="00716E85">
            <w:pPr>
              <w:pStyle w:val="a3"/>
              <w:spacing w:before="0" w:beforeAutospacing="0" w:after="0" w:afterAutospacing="0"/>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46E19A8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57F31D1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4AFDD9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09D4A25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3D652EE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6DC48C4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846B3D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3B6E51E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67C14A6" w14:textId="77777777">
        <w:trPr>
          <w:divId w:val="1200943"/>
          <w:jc w:val="center"/>
        </w:trPr>
        <w:tc>
          <w:tcPr>
            <w:tcW w:w="2935" w:type="pct"/>
            <w:tcBorders>
              <w:bottom w:val="single" w:sz="6" w:space="0" w:color="000000"/>
            </w:tcBorders>
            <w:shd w:val="clear" w:color="auto" w:fill="FFFFFF"/>
            <w:tcMar>
              <w:top w:w="15" w:type="dxa"/>
              <w:left w:w="0" w:type="dxa"/>
              <w:bottom w:w="0" w:type="dxa"/>
              <w:right w:w="15" w:type="dxa"/>
            </w:tcMar>
            <w:vAlign w:val="bottom"/>
            <w:hideMark/>
          </w:tcPr>
          <w:p w14:paraId="7F4929C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left w:w="0" w:type="dxa"/>
              <w:bottom w:w="0" w:type="dxa"/>
              <w:right w:w="15" w:type="dxa"/>
            </w:tcMar>
            <w:vAlign w:val="bottom"/>
            <w:hideMark/>
          </w:tcPr>
          <w:p w14:paraId="34D4E26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FF6AB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2AD65F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212C8D4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3444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140DAF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301D3C2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9978C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6BAB8F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54563E4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A0419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E01649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6FBF1D7" w14:textId="77777777">
        <w:trPr>
          <w:divId w:val="1200943"/>
          <w:jc w:val="center"/>
        </w:trPr>
        <w:tc>
          <w:tcPr>
            <w:tcW w:w="2935" w:type="pct"/>
            <w:tcBorders>
              <w:top w:val="single" w:sz="6" w:space="0" w:color="000000"/>
            </w:tcBorders>
            <w:shd w:val="clear" w:color="auto" w:fill="CFF0FC"/>
            <w:tcMar>
              <w:top w:w="15" w:type="dxa"/>
              <w:left w:w="0" w:type="dxa"/>
              <w:bottom w:w="0" w:type="dxa"/>
              <w:right w:w="15" w:type="dxa"/>
            </w:tcMar>
            <w:vAlign w:val="bottom"/>
            <w:hideMark/>
          </w:tcPr>
          <w:p w14:paraId="5130F5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revenues for operating segments</w:t>
            </w:r>
          </w:p>
        </w:tc>
        <w:tc>
          <w:tcPr>
            <w:tcW w:w="71" w:type="pct"/>
            <w:shd w:val="clear" w:color="auto" w:fill="CFF0FC"/>
            <w:tcMar>
              <w:top w:w="15" w:type="dxa"/>
              <w:left w:w="0" w:type="dxa"/>
              <w:bottom w:w="0" w:type="dxa"/>
              <w:right w:w="15" w:type="dxa"/>
            </w:tcMar>
            <w:vAlign w:val="bottom"/>
            <w:hideMark/>
          </w:tcPr>
          <w:p w14:paraId="5E45321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FA06D9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6899C2C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9,618</w:t>
            </w:r>
          </w:p>
        </w:tc>
        <w:tc>
          <w:tcPr>
            <w:tcW w:w="50" w:type="pct"/>
            <w:shd w:val="clear" w:color="auto" w:fill="CFF0FC"/>
            <w:noWrap/>
            <w:tcMar>
              <w:top w:w="15" w:type="dxa"/>
              <w:left w:w="0" w:type="dxa"/>
              <w:bottom w:w="0" w:type="dxa"/>
              <w:right w:w="15" w:type="dxa"/>
            </w:tcMar>
            <w:vAlign w:val="bottom"/>
            <w:hideMark/>
          </w:tcPr>
          <w:p w14:paraId="6DD3171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562A181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7EBD81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1DCDD61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9,681</w:t>
            </w:r>
          </w:p>
        </w:tc>
        <w:tc>
          <w:tcPr>
            <w:tcW w:w="50" w:type="pct"/>
            <w:shd w:val="clear" w:color="auto" w:fill="CFF0FC"/>
            <w:noWrap/>
            <w:tcMar>
              <w:top w:w="15" w:type="dxa"/>
              <w:left w:w="0" w:type="dxa"/>
              <w:bottom w:w="0" w:type="dxa"/>
              <w:right w:w="15" w:type="dxa"/>
            </w:tcMar>
            <w:vAlign w:val="bottom"/>
            <w:hideMark/>
          </w:tcPr>
          <w:p w14:paraId="7C9B84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75475DF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EE010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EAAAAC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28,386</w:t>
            </w:r>
          </w:p>
        </w:tc>
        <w:tc>
          <w:tcPr>
            <w:tcW w:w="50" w:type="pct"/>
            <w:shd w:val="clear" w:color="auto" w:fill="CFF0FC"/>
            <w:noWrap/>
            <w:tcMar>
              <w:top w:w="15" w:type="dxa"/>
              <w:left w:w="0" w:type="dxa"/>
              <w:bottom w:w="0" w:type="dxa"/>
              <w:right w:w="15" w:type="dxa"/>
            </w:tcMar>
            <w:vAlign w:val="bottom"/>
            <w:hideMark/>
          </w:tcPr>
          <w:p w14:paraId="3466A5C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60F39F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4B74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2BAB8E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28,408</w:t>
            </w:r>
          </w:p>
        </w:tc>
        <w:tc>
          <w:tcPr>
            <w:tcW w:w="50" w:type="pct"/>
            <w:shd w:val="clear" w:color="auto" w:fill="CFF0FC"/>
            <w:noWrap/>
            <w:tcMar>
              <w:top w:w="15" w:type="dxa"/>
              <w:left w:w="0" w:type="dxa"/>
              <w:bottom w:w="0" w:type="dxa"/>
              <w:right w:w="15" w:type="dxa"/>
            </w:tcMar>
            <w:vAlign w:val="bottom"/>
            <w:hideMark/>
          </w:tcPr>
          <w:p w14:paraId="6054F9B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8BD68DA" w14:textId="77777777">
        <w:trPr>
          <w:divId w:val="1200943"/>
          <w:jc w:val="center"/>
        </w:trPr>
        <w:tc>
          <w:tcPr>
            <w:tcW w:w="2935" w:type="pct"/>
            <w:shd w:val="clear" w:color="auto" w:fill="FFFFFF"/>
            <w:tcMar>
              <w:top w:w="15" w:type="dxa"/>
              <w:left w:w="0" w:type="dxa"/>
              <w:bottom w:w="0" w:type="dxa"/>
              <w:right w:w="15" w:type="dxa"/>
            </w:tcMar>
            <w:vAlign w:val="bottom"/>
            <w:hideMark/>
          </w:tcPr>
          <w:p w14:paraId="7A79863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vertAlign w:val="superscript"/>
              </w:rPr>
              <w:t>(1)</w:t>
            </w:r>
          </w:p>
        </w:tc>
        <w:tc>
          <w:tcPr>
            <w:tcW w:w="71" w:type="pct"/>
            <w:shd w:val="clear" w:color="auto" w:fill="FFFFFF"/>
            <w:tcMar>
              <w:top w:w="15" w:type="dxa"/>
              <w:left w:w="0" w:type="dxa"/>
              <w:bottom w:w="0" w:type="dxa"/>
              <w:right w:w="15" w:type="dxa"/>
            </w:tcMar>
            <w:vAlign w:val="bottom"/>
            <w:hideMark/>
          </w:tcPr>
          <w:p w14:paraId="231EE6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37482F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57D1036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FFFFFF"/>
            <w:noWrap/>
            <w:tcMar>
              <w:top w:w="15" w:type="dxa"/>
              <w:left w:w="0" w:type="dxa"/>
              <w:bottom w:w="0" w:type="dxa"/>
              <w:right w:w="15" w:type="dxa"/>
            </w:tcMar>
            <w:vAlign w:val="bottom"/>
            <w:hideMark/>
          </w:tcPr>
          <w:p w14:paraId="087CD0A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375D53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25F4EB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D5A9D0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left w:w="0" w:type="dxa"/>
              <w:bottom w:w="0" w:type="dxa"/>
              <w:right w:w="15" w:type="dxa"/>
            </w:tcMar>
            <w:vAlign w:val="bottom"/>
            <w:hideMark/>
          </w:tcPr>
          <w:p w14:paraId="4847601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753D91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10D6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5EF8138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FFFFFF"/>
            <w:noWrap/>
            <w:tcMar>
              <w:top w:w="15" w:type="dxa"/>
              <w:left w:w="0" w:type="dxa"/>
              <w:bottom w:w="0" w:type="dxa"/>
              <w:right w:w="15" w:type="dxa"/>
            </w:tcMar>
            <w:vAlign w:val="bottom"/>
            <w:hideMark/>
          </w:tcPr>
          <w:p w14:paraId="6E1186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316649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11D48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312498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w:t>
            </w:r>
          </w:p>
        </w:tc>
        <w:tc>
          <w:tcPr>
            <w:tcW w:w="50" w:type="pct"/>
            <w:shd w:val="clear" w:color="auto" w:fill="FFFFFF"/>
            <w:noWrap/>
            <w:tcMar>
              <w:top w:w="15" w:type="dxa"/>
              <w:left w:w="0" w:type="dxa"/>
              <w:bottom w:w="0" w:type="dxa"/>
              <w:right w:w="15" w:type="dxa"/>
            </w:tcMar>
            <w:vAlign w:val="bottom"/>
            <w:hideMark/>
          </w:tcPr>
          <w:p w14:paraId="3F9CAD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3650036D" w14:textId="77777777">
        <w:trPr>
          <w:divId w:val="1200943"/>
          <w:jc w:val="center"/>
        </w:trPr>
        <w:tc>
          <w:tcPr>
            <w:tcW w:w="2935" w:type="pct"/>
            <w:shd w:val="clear" w:color="auto" w:fill="CFF0FC"/>
            <w:tcMar>
              <w:top w:w="15" w:type="dxa"/>
              <w:left w:w="0" w:type="dxa"/>
              <w:bottom w:w="0" w:type="dxa"/>
              <w:right w:w="15" w:type="dxa"/>
            </w:tcMar>
            <w:vAlign w:val="bottom"/>
            <w:hideMark/>
          </w:tcPr>
          <w:p w14:paraId="156C66F6"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71" w:type="pct"/>
            <w:shd w:val="clear" w:color="auto" w:fill="CFF0FC"/>
            <w:tcMar>
              <w:top w:w="15" w:type="dxa"/>
              <w:left w:w="0" w:type="dxa"/>
              <w:bottom w:w="0" w:type="dxa"/>
              <w:right w:w="15" w:type="dxa"/>
            </w:tcMar>
            <w:vAlign w:val="bottom"/>
            <w:hideMark/>
          </w:tcPr>
          <w:p w14:paraId="7AB6B7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A1ABF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4F94D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9,614</w:t>
            </w:r>
          </w:p>
        </w:tc>
        <w:tc>
          <w:tcPr>
            <w:tcW w:w="50" w:type="pct"/>
            <w:shd w:val="clear" w:color="auto" w:fill="CFF0FC"/>
            <w:noWrap/>
            <w:tcMar>
              <w:top w:w="15" w:type="dxa"/>
              <w:left w:w="0" w:type="dxa"/>
              <w:bottom w:w="0" w:type="dxa"/>
              <w:right w:w="15" w:type="dxa"/>
            </w:tcMar>
            <w:vAlign w:val="bottom"/>
            <w:hideMark/>
          </w:tcPr>
          <w:p w14:paraId="270D37E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127275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1CD67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5CBDB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9,676</w:t>
            </w:r>
          </w:p>
        </w:tc>
        <w:tc>
          <w:tcPr>
            <w:tcW w:w="50" w:type="pct"/>
            <w:shd w:val="clear" w:color="auto" w:fill="CFF0FC"/>
            <w:noWrap/>
            <w:tcMar>
              <w:top w:w="15" w:type="dxa"/>
              <w:left w:w="0" w:type="dxa"/>
              <w:bottom w:w="0" w:type="dxa"/>
              <w:right w:w="15" w:type="dxa"/>
            </w:tcMar>
            <w:vAlign w:val="bottom"/>
            <w:hideMark/>
          </w:tcPr>
          <w:p w14:paraId="5FE6120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184F8C8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CE46D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81A53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CFF0FC"/>
            <w:noWrap/>
            <w:tcMar>
              <w:top w:w="15" w:type="dxa"/>
              <w:left w:w="0" w:type="dxa"/>
              <w:bottom w:w="0" w:type="dxa"/>
              <w:right w:w="15" w:type="dxa"/>
            </w:tcMar>
            <w:vAlign w:val="bottom"/>
            <w:hideMark/>
          </w:tcPr>
          <w:p w14:paraId="2AABFE6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34BA3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DD04F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13EB8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CFF0FC"/>
            <w:noWrap/>
            <w:tcMar>
              <w:top w:w="15" w:type="dxa"/>
              <w:left w:w="0" w:type="dxa"/>
              <w:bottom w:w="0" w:type="dxa"/>
              <w:right w:w="15" w:type="dxa"/>
            </w:tcMar>
            <w:vAlign w:val="bottom"/>
            <w:hideMark/>
          </w:tcPr>
          <w:p w14:paraId="483F0FD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bl>
    <w:p w14:paraId="36A02F49" w14:textId="77777777" w:rsidR="00716E85" w:rsidRDefault="00716E85">
      <w:pPr>
        <w:pStyle w:val="a3"/>
        <w:spacing w:before="0" w:beforeAutospacing="0" w:after="0" w:afterAutospacing="0"/>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4874"/>
        <w:gridCol w:w="111"/>
        <w:gridCol w:w="107"/>
        <w:gridCol w:w="564"/>
        <w:gridCol w:w="76"/>
        <w:gridCol w:w="111"/>
        <w:gridCol w:w="107"/>
        <w:gridCol w:w="564"/>
        <w:gridCol w:w="76"/>
        <w:gridCol w:w="111"/>
        <w:gridCol w:w="107"/>
        <w:gridCol w:w="564"/>
        <w:gridCol w:w="76"/>
        <w:gridCol w:w="111"/>
        <w:gridCol w:w="107"/>
        <w:gridCol w:w="564"/>
        <w:gridCol w:w="76"/>
      </w:tblGrid>
      <w:tr w:rsidR="00716E85" w14:paraId="16F70F22" w14:textId="77777777">
        <w:trPr>
          <w:divId w:val="1926111523"/>
          <w:jc w:val="center"/>
        </w:trPr>
        <w:tc>
          <w:tcPr>
            <w:tcW w:w="2935" w:type="pct"/>
            <w:shd w:val="clear" w:color="auto" w:fill="FFFFFF"/>
            <w:tcMar>
              <w:top w:w="15" w:type="dxa"/>
              <w:left w:w="0" w:type="dxa"/>
              <w:bottom w:w="0" w:type="dxa"/>
              <w:right w:w="15" w:type="dxa"/>
            </w:tcMar>
            <w:vAlign w:val="bottom"/>
            <w:hideMark/>
          </w:tcPr>
          <w:p w14:paraId="3A42D0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Total margin for operating segments</w:t>
            </w:r>
          </w:p>
        </w:tc>
        <w:tc>
          <w:tcPr>
            <w:tcW w:w="71" w:type="pct"/>
            <w:shd w:val="clear" w:color="auto" w:fill="FFFFFF"/>
            <w:tcMar>
              <w:top w:w="15" w:type="dxa"/>
              <w:left w:w="0" w:type="dxa"/>
              <w:bottom w:w="0" w:type="dxa"/>
              <w:right w:w="15" w:type="dxa"/>
            </w:tcMar>
            <w:vAlign w:val="bottom"/>
            <w:hideMark/>
          </w:tcPr>
          <w:p w14:paraId="303EBA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1894D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3B60EB1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5,832</w:t>
            </w:r>
          </w:p>
        </w:tc>
        <w:tc>
          <w:tcPr>
            <w:tcW w:w="50" w:type="pct"/>
            <w:shd w:val="clear" w:color="auto" w:fill="FFFFFF"/>
            <w:noWrap/>
            <w:tcMar>
              <w:top w:w="15" w:type="dxa"/>
              <w:left w:w="0" w:type="dxa"/>
              <w:bottom w:w="0" w:type="dxa"/>
              <w:right w:w="15" w:type="dxa"/>
            </w:tcMar>
            <w:vAlign w:val="bottom"/>
            <w:hideMark/>
          </w:tcPr>
          <w:p w14:paraId="1028A8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02DEB93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5739F2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2FACD1B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5,869</w:t>
            </w:r>
          </w:p>
        </w:tc>
        <w:tc>
          <w:tcPr>
            <w:tcW w:w="50" w:type="pct"/>
            <w:shd w:val="clear" w:color="auto" w:fill="FFFFFF"/>
            <w:noWrap/>
            <w:tcMar>
              <w:top w:w="15" w:type="dxa"/>
              <w:left w:w="0" w:type="dxa"/>
              <w:bottom w:w="0" w:type="dxa"/>
              <w:right w:w="15" w:type="dxa"/>
            </w:tcMar>
            <w:vAlign w:val="bottom"/>
            <w:hideMark/>
          </w:tcPr>
          <w:p w14:paraId="13F730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0D010DF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C8267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31BFA88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16,992</w:t>
            </w:r>
          </w:p>
        </w:tc>
        <w:tc>
          <w:tcPr>
            <w:tcW w:w="50" w:type="pct"/>
            <w:shd w:val="clear" w:color="auto" w:fill="FFFFFF"/>
            <w:noWrap/>
            <w:tcMar>
              <w:top w:w="15" w:type="dxa"/>
              <w:left w:w="0" w:type="dxa"/>
              <w:bottom w:w="0" w:type="dxa"/>
              <w:right w:w="15" w:type="dxa"/>
            </w:tcMar>
            <w:vAlign w:val="bottom"/>
            <w:hideMark/>
          </w:tcPr>
          <w:p w14:paraId="20B1891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5E4A1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025E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shd w:val="clear" w:color="auto" w:fill="FFFFFF"/>
            <w:noWrap/>
            <w:tcMar>
              <w:top w:w="15" w:type="dxa"/>
              <w:left w:w="0" w:type="dxa"/>
              <w:bottom w:w="0" w:type="dxa"/>
              <w:right w:w="15" w:type="dxa"/>
            </w:tcMar>
            <w:vAlign w:val="bottom"/>
            <w:hideMark/>
          </w:tcPr>
          <w:p w14:paraId="58EDC0C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17,086</w:t>
            </w:r>
          </w:p>
        </w:tc>
        <w:tc>
          <w:tcPr>
            <w:tcW w:w="50" w:type="pct"/>
            <w:shd w:val="clear" w:color="auto" w:fill="FFFFFF"/>
            <w:noWrap/>
            <w:tcMar>
              <w:top w:w="15" w:type="dxa"/>
              <w:left w:w="0" w:type="dxa"/>
              <w:bottom w:w="0" w:type="dxa"/>
              <w:right w:w="15" w:type="dxa"/>
            </w:tcMar>
            <w:vAlign w:val="bottom"/>
            <w:hideMark/>
          </w:tcPr>
          <w:p w14:paraId="340AA20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23583437" w14:textId="77777777">
        <w:trPr>
          <w:divId w:val="1926111523"/>
          <w:jc w:val="center"/>
        </w:trPr>
        <w:tc>
          <w:tcPr>
            <w:tcW w:w="2935" w:type="pct"/>
            <w:shd w:val="clear" w:color="auto" w:fill="CFF0FC"/>
            <w:tcMar>
              <w:top w:w="15" w:type="dxa"/>
              <w:left w:w="0" w:type="dxa"/>
              <w:bottom w:w="0" w:type="dxa"/>
              <w:right w:w="15" w:type="dxa"/>
            </w:tcMar>
            <w:vAlign w:val="bottom"/>
            <w:hideMark/>
          </w:tcPr>
          <w:p w14:paraId="1F0C59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Cloud and license revenues</w:t>
            </w:r>
            <w:r>
              <w:rPr>
                <w:rFonts w:ascii="Calibri" w:hAnsi="Calibri" w:cs="Calibri"/>
                <w:color w:val="000000"/>
                <w:sz w:val="15"/>
                <w:szCs w:val="15"/>
                <w:vertAlign w:val="superscript"/>
              </w:rPr>
              <w:t>(1)</w:t>
            </w:r>
          </w:p>
        </w:tc>
        <w:tc>
          <w:tcPr>
            <w:tcW w:w="71" w:type="pct"/>
            <w:shd w:val="clear" w:color="auto" w:fill="CFF0FC"/>
            <w:tcMar>
              <w:top w:w="15" w:type="dxa"/>
              <w:left w:w="0" w:type="dxa"/>
              <w:bottom w:w="0" w:type="dxa"/>
              <w:right w:w="15" w:type="dxa"/>
            </w:tcMar>
            <w:vAlign w:val="bottom"/>
            <w:hideMark/>
          </w:tcPr>
          <w:p w14:paraId="37CCAE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5ED29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4AC2FD8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3584B6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3F56542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DE721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5701DF9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CFF0FC"/>
            <w:noWrap/>
            <w:tcMar>
              <w:top w:w="15" w:type="dxa"/>
              <w:left w:w="0" w:type="dxa"/>
              <w:bottom w:w="0" w:type="dxa"/>
              <w:right w:w="15" w:type="dxa"/>
            </w:tcMar>
            <w:vAlign w:val="bottom"/>
            <w:hideMark/>
          </w:tcPr>
          <w:p w14:paraId="7DEAEC5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3879623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3BA33E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3965B67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(17</w:t>
            </w:r>
          </w:p>
        </w:tc>
        <w:tc>
          <w:tcPr>
            <w:tcW w:w="50" w:type="pct"/>
            <w:shd w:val="clear" w:color="auto" w:fill="CFF0FC"/>
            <w:noWrap/>
            <w:tcMar>
              <w:top w:w="15" w:type="dxa"/>
              <w:left w:w="0" w:type="dxa"/>
              <w:bottom w:w="0" w:type="dxa"/>
              <w:right w:w="15" w:type="dxa"/>
            </w:tcMar>
            <w:vAlign w:val="bottom"/>
            <w:hideMark/>
          </w:tcPr>
          <w:p w14:paraId="0E1546F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614FA4B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6E71B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730D81F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w:t>
            </w:r>
          </w:p>
        </w:tc>
        <w:tc>
          <w:tcPr>
            <w:tcW w:w="50" w:type="pct"/>
            <w:shd w:val="clear" w:color="auto" w:fill="CFF0FC"/>
            <w:noWrap/>
            <w:tcMar>
              <w:top w:w="15" w:type="dxa"/>
              <w:left w:w="0" w:type="dxa"/>
              <w:bottom w:w="0" w:type="dxa"/>
              <w:right w:w="15" w:type="dxa"/>
            </w:tcMar>
            <w:vAlign w:val="bottom"/>
            <w:hideMark/>
          </w:tcPr>
          <w:p w14:paraId="684111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3E108E56" w14:textId="77777777">
        <w:trPr>
          <w:divId w:val="1926111523"/>
          <w:jc w:val="center"/>
        </w:trPr>
        <w:tc>
          <w:tcPr>
            <w:tcW w:w="2935" w:type="pct"/>
            <w:shd w:val="clear" w:color="auto" w:fill="FFFFFF"/>
            <w:tcMar>
              <w:top w:w="15" w:type="dxa"/>
              <w:left w:w="0" w:type="dxa"/>
              <w:bottom w:w="0" w:type="dxa"/>
              <w:right w:w="15" w:type="dxa"/>
            </w:tcMar>
            <w:vAlign w:val="bottom"/>
            <w:hideMark/>
          </w:tcPr>
          <w:p w14:paraId="09D7FA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Research and development</w:t>
            </w:r>
          </w:p>
        </w:tc>
        <w:tc>
          <w:tcPr>
            <w:tcW w:w="71" w:type="pct"/>
            <w:shd w:val="clear" w:color="auto" w:fill="FFFFFF"/>
            <w:tcMar>
              <w:top w:w="15" w:type="dxa"/>
              <w:left w:w="0" w:type="dxa"/>
              <w:bottom w:w="0" w:type="dxa"/>
              <w:right w:w="15" w:type="dxa"/>
            </w:tcMar>
            <w:vAlign w:val="bottom"/>
            <w:hideMark/>
          </w:tcPr>
          <w:p w14:paraId="3DADDB6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1C772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B8D42D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(1,426</w:t>
            </w:r>
          </w:p>
        </w:tc>
        <w:tc>
          <w:tcPr>
            <w:tcW w:w="50" w:type="pct"/>
            <w:shd w:val="clear" w:color="auto" w:fill="FFFFFF"/>
            <w:noWrap/>
            <w:tcMar>
              <w:top w:w="15" w:type="dxa"/>
              <w:left w:w="0" w:type="dxa"/>
              <w:bottom w:w="0" w:type="dxa"/>
              <w:right w:w="15" w:type="dxa"/>
            </w:tcMar>
            <w:vAlign w:val="bottom"/>
            <w:hideMark/>
          </w:tcPr>
          <w:p w14:paraId="254A672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3263573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14FC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833CE1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(1,496</w:t>
            </w:r>
          </w:p>
        </w:tc>
        <w:tc>
          <w:tcPr>
            <w:tcW w:w="50" w:type="pct"/>
            <w:shd w:val="clear" w:color="auto" w:fill="FFFFFF"/>
            <w:noWrap/>
            <w:tcMar>
              <w:top w:w="15" w:type="dxa"/>
              <w:left w:w="0" w:type="dxa"/>
              <w:bottom w:w="0" w:type="dxa"/>
              <w:right w:w="15" w:type="dxa"/>
            </w:tcMar>
            <w:vAlign w:val="bottom"/>
            <w:hideMark/>
          </w:tcPr>
          <w:p w14:paraId="0676455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024ECD3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4224ED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5337E5A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(4,464</w:t>
            </w:r>
          </w:p>
        </w:tc>
        <w:tc>
          <w:tcPr>
            <w:tcW w:w="50" w:type="pct"/>
            <w:shd w:val="clear" w:color="auto" w:fill="FFFFFF"/>
            <w:noWrap/>
            <w:tcMar>
              <w:top w:w="15" w:type="dxa"/>
              <w:left w:w="0" w:type="dxa"/>
              <w:bottom w:w="0" w:type="dxa"/>
              <w:right w:w="15" w:type="dxa"/>
            </w:tcMar>
            <w:vAlign w:val="bottom"/>
            <w:hideMark/>
          </w:tcPr>
          <w:p w14:paraId="2272FE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309D60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094040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96A64B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(4,541</w:t>
            </w:r>
          </w:p>
        </w:tc>
        <w:tc>
          <w:tcPr>
            <w:tcW w:w="50" w:type="pct"/>
            <w:shd w:val="clear" w:color="auto" w:fill="FFFFFF"/>
            <w:noWrap/>
            <w:tcMar>
              <w:top w:w="15" w:type="dxa"/>
              <w:left w:w="0" w:type="dxa"/>
              <w:bottom w:w="0" w:type="dxa"/>
              <w:right w:w="15" w:type="dxa"/>
            </w:tcMar>
            <w:vAlign w:val="bottom"/>
            <w:hideMark/>
          </w:tcPr>
          <w:p w14:paraId="31A5BB5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0E989378" w14:textId="77777777">
        <w:trPr>
          <w:divId w:val="1926111523"/>
          <w:jc w:val="center"/>
        </w:trPr>
        <w:tc>
          <w:tcPr>
            <w:tcW w:w="2935" w:type="pct"/>
            <w:shd w:val="clear" w:color="auto" w:fill="CFF0FC"/>
            <w:tcMar>
              <w:top w:w="15" w:type="dxa"/>
              <w:left w:w="0" w:type="dxa"/>
              <w:bottom w:w="0" w:type="dxa"/>
              <w:right w:w="15" w:type="dxa"/>
            </w:tcMar>
            <w:vAlign w:val="bottom"/>
            <w:hideMark/>
          </w:tcPr>
          <w:p w14:paraId="1C3146A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General and administrative</w:t>
            </w:r>
          </w:p>
        </w:tc>
        <w:tc>
          <w:tcPr>
            <w:tcW w:w="71" w:type="pct"/>
            <w:shd w:val="clear" w:color="auto" w:fill="CFF0FC"/>
            <w:tcMar>
              <w:top w:w="15" w:type="dxa"/>
              <w:left w:w="0" w:type="dxa"/>
              <w:bottom w:w="0" w:type="dxa"/>
              <w:right w:w="15" w:type="dxa"/>
            </w:tcMar>
            <w:vAlign w:val="bottom"/>
            <w:hideMark/>
          </w:tcPr>
          <w:p w14:paraId="296FF3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6E79F8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3EDF415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(316</w:t>
            </w:r>
          </w:p>
        </w:tc>
        <w:tc>
          <w:tcPr>
            <w:tcW w:w="50" w:type="pct"/>
            <w:shd w:val="clear" w:color="auto" w:fill="CFF0FC"/>
            <w:noWrap/>
            <w:tcMar>
              <w:top w:w="15" w:type="dxa"/>
              <w:left w:w="0" w:type="dxa"/>
              <w:bottom w:w="0" w:type="dxa"/>
              <w:right w:w="15" w:type="dxa"/>
            </w:tcMar>
            <w:vAlign w:val="bottom"/>
            <w:hideMark/>
          </w:tcPr>
          <w:p w14:paraId="15DAEE9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0AFFE8F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6999B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1DF557E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(339</w:t>
            </w:r>
          </w:p>
        </w:tc>
        <w:tc>
          <w:tcPr>
            <w:tcW w:w="50" w:type="pct"/>
            <w:shd w:val="clear" w:color="auto" w:fill="CFF0FC"/>
            <w:noWrap/>
            <w:tcMar>
              <w:top w:w="15" w:type="dxa"/>
              <w:left w:w="0" w:type="dxa"/>
              <w:bottom w:w="0" w:type="dxa"/>
              <w:right w:w="15" w:type="dxa"/>
            </w:tcMar>
            <w:vAlign w:val="bottom"/>
            <w:hideMark/>
          </w:tcPr>
          <w:p w14:paraId="6839BA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09A8C7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AE7966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1182D9B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(935</w:t>
            </w:r>
          </w:p>
        </w:tc>
        <w:tc>
          <w:tcPr>
            <w:tcW w:w="50" w:type="pct"/>
            <w:shd w:val="clear" w:color="auto" w:fill="CFF0FC"/>
            <w:noWrap/>
            <w:tcMar>
              <w:top w:w="15" w:type="dxa"/>
              <w:left w:w="0" w:type="dxa"/>
              <w:bottom w:w="0" w:type="dxa"/>
              <w:right w:w="15" w:type="dxa"/>
            </w:tcMar>
            <w:vAlign w:val="bottom"/>
            <w:hideMark/>
          </w:tcPr>
          <w:p w14:paraId="63E746E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3A98DF3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5B746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331D2A3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(977</w:t>
            </w:r>
          </w:p>
        </w:tc>
        <w:tc>
          <w:tcPr>
            <w:tcW w:w="50" w:type="pct"/>
            <w:shd w:val="clear" w:color="auto" w:fill="CFF0FC"/>
            <w:noWrap/>
            <w:tcMar>
              <w:top w:w="15" w:type="dxa"/>
              <w:left w:w="0" w:type="dxa"/>
              <w:bottom w:w="0" w:type="dxa"/>
              <w:right w:w="15" w:type="dxa"/>
            </w:tcMar>
            <w:vAlign w:val="bottom"/>
            <w:hideMark/>
          </w:tcPr>
          <w:p w14:paraId="00E93B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3603559F" w14:textId="77777777">
        <w:trPr>
          <w:divId w:val="1926111523"/>
          <w:jc w:val="center"/>
        </w:trPr>
        <w:tc>
          <w:tcPr>
            <w:tcW w:w="2935" w:type="pct"/>
            <w:shd w:val="clear" w:color="auto" w:fill="FFFFFF"/>
            <w:tcMar>
              <w:top w:w="15" w:type="dxa"/>
              <w:left w:w="0" w:type="dxa"/>
              <w:bottom w:w="0" w:type="dxa"/>
              <w:right w:w="15" w:type="dxa"/>
            </w:tcMar>
            <w:vAlign w:val="bottom"/>
            <w:hideMark/>
          </w:tcPr>
          <w:p w14:paraId="0E5E2D2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Amortization of intangible assets</w:t>
            </w:r>
          </w:p>
        </w:tc>
        <w:tc>
          <w:tcPr>
            <w:tcW w:w="71" w:type="pct"/>
            <w:shd w:val="clear" w:color="auto" w:fill="FFFFFF"/>
            <w:tcMar>
              <w:top w:w="15" w:type="dxa"/>
              <w:left w:w="0" w:type="dxa"/>
              <w:bottom w:w="0" w:type="dxa"/>
              <w:right w:w="15" w:type="dxa"/>
            </w:tcMar>
            <w:vAlign w:val="bottom"/>
            <w:hideMark/>
          </w:tcPr>
          <w:p w14:paraId="4DF6E5E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3DDCD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F20B6A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(407</w:t>
            </w:r>
          </w:p>
        </w:tc>
        <w:tc>
          <w:tcPr>
            <w:tcW w:w="50" w:type="pct"/>
            <w:shd w:val="clear" w:color="auto" w:fill="FFFFFF"/>
            <w:noWrap/>
            <w:tcMar>
              <w:top w:w="15" w:type="dxa"/>
              <w:left w:w="0" w:type="dxa"/>
              <w:bottom w:w="0" w:type="dxa"/>
              <w:right w:w="15" w:type="dxa"/>
            </w:tcMar>
            <w:vAlign w:val="bottom"/>
            <w:hideMark/>
          </w:tcPr>
          <w:p w14:paraId="650C361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208472F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43A45D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A953A9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(394</w:t>
            </w:r>
          </w:p>
        </w:tc>
        <w:tc>
          <w:tcPr>
            <w:tcW w:w="50" w:type="pct"/>
            <w:shd w:val="clear" w:color="auto" w:fill="FFFFFF"/>
            <w:noWrap/>
            <w:tcMar>
              <w:top w:w="15" w:type="dxa"/>
              <w:left w:w="0" w:type="dxa"/>
              <w:bottom w:w="0" w:type="dxa"/>
              <w:right w:w="15" w:type="dxa"/>
            </w:tcMar>
            <w:vAlign w:val="bottom"/>
            <w:hideMark/>
          </w:tcPr>
          <w:p w14:paraId="69F5A0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0F1FF7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77758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79E5610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(1,265</w:t>
            </w:r>
          </w:p>
        </w:tc>
        <w:tc>
          <w:tcPr>
            <w:tcW w:w="50" w:type="pct"/>
            <w:shd w:val="clear" w:color="auto" w:fill="FFFFFF"/>
            <w:noWrap/>
            <w:tcMar>
              <w:top w:w="15" w:type="dxa"/>
              <w:left w:w="0" w:type="dxa"/>
              <w:bottom w:w="0" w:type="dxa"/>
              <w:right w:w="15" w:type="dxa"/>
            </w:tcMar>
            <w:vAlign w:val="bottom"/>
            <w:hideMark/>
          </w:tcPr>
          <w:p w14:paraId="6FC792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563F72F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B2AEEA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9129D5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(1,205</w:t>
            </w:r>
          </w:p>
        </w:tc>
        <w:tc>
          <w:tcPr>
            <w:tcW w:w="50" w:type="pct"/>
            <w:shd w:val="clear" w:color="auto" w:fill="FFFFFF"/>
            <w:noWrap/>
            <w:tcMar>
              <w:top w:w="15" w:type="dxa"/>
              <w:left w:w="0" w:type="dxa"/>
              <w:bottom w:w="0" w:type="dxa"/>
              <w:right w:w="15" w:type="dxa"/>
            </w:tcMar>
            <w:vAlign w:val="bottom"/>
            <w:hideMark/>
          </w:tcPr>
          <w:p w14:paraId="7A29F0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620632DF" w14:textId="77777777">
        <w:trPr>
          <w:divId w:val="1926111523"/>
          <w:jc w:val="center"/>
        </w:trPr>
        <w:tc>
          <w:tcPr>
            <w:tcW w:w="2935" w:type="pct"/>
            <w:shd w:val="clear" w:color="auto" w:fill="CFF0FC"/>
            <w:tcMar>
              <w:top w:w="15" w:type="dxa"/>
              <w:left w:w="0" w:type="dxa"/>
              <w:bottom w:w="0" w:type="dxa"/>
              <w:right w:w="15" w:type="dxa"/>
            </w:tcMar>
            <w:vAlign w:val="bottom"/>
            <w:hideMark/>
          </w:tcPr>
          <w:p w14:paraId="38F88BE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Acquisition related and other</w:t>
            </w:r>
          </w:p>
        </w:tc>
        <w:tc>
          <w:tcPr>
            <w:tcW w:w="71" w:type="pct"/>
            <w:shd w:val="clear" w:color="auto" w:fill="CFF0FC"/>
            <w:tcMar>
              <w:top w:w="15" w:type="dxa"/>
              <w:left w:w="0" w:type="dxa"/>
              <w:bottom w:w="0" w:type="dxa"/>
              <w:right w:w="15" w:type="dxa"/>
            </w:tcMar>
            <w:vAlign w:val="bottom"/>
            <w:hideMark/>
          </w:tcPr>
          <w:p w14:paraId="321C004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74351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6CA30D4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w:t>
            </w:r>
          </w:p>
        </w:tc>
        <w:tc>
          <w:tcPr>
            <w:tcW w:w="50" w:type="pct"/>
            <w:shd w:val="clear" w:color="auto" w:fill="CFF0FC"/>
            <w:noWrap/>
            <w:tcMar>
              <w:top w:w="15" w:type="dxa"/>
              <w:left w:w="0" w:type="dxa"/>
              <w:bottom w:w="0" w:type="dxa"/>
              <w:right w:w="15" w:type="dxa"/>
            </w:tcMar>
            <w:vAlign w:val="bottom"/>
            <w:hideMark/>
          </w:tcPr>
          <w:p w14:paraId="4642672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7C7BA9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0FEF9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11677ED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left w:w="0" w:type="dxa"/>
              <w:bottom w:w="0" w:type="dxa"/>
              <w:right w:w="15" w:type="dxa"/>
            </w:tcMar>
            <w:vAlign w:val="bottom"/>
            <w:hideMark/>
          </w:tcPr>
          <w:p w14:paraId="4A7A227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4A8A4F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28551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21553D1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(29</w:t>
            </w:r>
          </w:p>
        </w:tc>
        <w:tc>
          <w:tcPr>
            <w:tcW w:w="50" w:type="pct"/>
            <w:shd w:val="clear" w:color="auto" w:fill="CFF0FC"/>
            <w:noWrap/>
            <w:tcMar>
              <w:top w:w="15" w:type="dxa"/>
              <w:left w:w="0" w:type="dxa"/>
              <w:bottom w:w="0" w:type="dxa"/>
              <w:right w:w="15" w:type="dxa"/>
            </w:tcMar>
            <w:vAlign w:val="bottom"/>
            <w:hideMark/>
          </w:tcPr>
          <w:p w14:paraId="5E150D6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68B0A3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8E989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087FACC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(32</w:t>
            </w:r>
          </w:p>
        </w:tc>
        <w:tc>
          <w:tcPr>
            <w:tcW w:w="50" w:type="pct"/>
            <w:shd w:val="clear" w:color="auto" w:fill="CFF0FC"/>
            <w:noWrap/>
            <w:tcMar>
              <w:top w:w="15" w:type="dxa"/>
              <w:left w:w="0" w:type="dxa"/>
              <w:bottom w:w="0" w:type="dxa"/>
              <w:right w:w="15" w:type="dxa"/>
            </w:tcMar>
            <w:vAlign w:val="bottom"/>
            <w:hideMark/>
          </w:tcPr>
          <w:p w14:paraId="2512EC7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41D334E8" w14:textId="77777777">
        <w:trPr>
          <w:divId w:val="1926111523"/>
          <w:jc w:val="center"/>
        </w:trPr>
        <w:tc>
          <w:tcPr>
            <w:tcW w:w="2935" w:type="pct"/>
            <w:shd w:val="clear" w:color="auto" w:fill="FFFFFF"/>
            <w:tcMar>
              <w:top w:w="15" w:type="dxa"/>
              <w:left w:w="0" w:type="dxa"/>
              <w:bottom w:w="0" w:type="dxa"/>
              <w:right w:w="15" w:type="dxa"/>
            </w:tcMar>
            <w:vAlign w:val="bottom"/>
            <w:hideMark/>
          </w:tcPr>
          <w:p w14:paraId="22DA84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Restructuring</w:t>
            </w:r>
          </w:p>
        </w:tc>
        <w:tc>
          <w:tcPr>
            <w:tcW w:w="71" w:type="pct"/>
            <w:shd w:val="clear" w:color="auto" w:fill="FFFFFF"/>
            <w:tcMar>
              <w:top w:w="15" w:type="dxa"/>
              <w:left w:w="0" w:type="dxa"/>
              <w:bottom w:w="0" w:type="dxa"/>
              <w:right w:w="15" w:type="dxa"/>
            </w:tcMar>
            <w:vAlign w:val="bottom"/>
            <w:hideMark/>
          </w:tcPr>
          <w:p w14:paraId="340EAE0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2366AE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CAEFFA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(43</w:t>
            </w:r>
          </w:p>
        </w:tc>
        <w:tc>
          <w:tcPr>
            <w:tcW w:w="50" w:type="pct"/>
            <w:shd w:val="clear" w:color="auto" w:fill="FFFFFF"/>
            <w:noWrap/>
            <w:tcMar>
              <w:top w:w="15" w:type="dxa"/>
              <w:left w:w="0" w:type="dxa"/>
              <w:bottom w:w="0" w:type="dxa"/>
              <w:right w:w="15" w:type="dxa"/>
            </w:tcMar>
            <w:vAlign w:val="bottom"/>
            <w:hideMark/>
          </w:tcPr>
          <w:p w14:paraId="109248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5701292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94E78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05840E6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(91</w:t>
            </w:r>
          </w:p>
        </w:tc>
        <w:tc>
          <w:tcPr>
            <w:tcW w:w="50" w:type="pct"/>
            <w:shd w:val="clear" w:color="auto" w:fill="FFFFFF"/>
            <w:noWrap/>
            <w:tcMar>
              <w:top w:w="15" w:type="dxa"/>
              <w:left w:w="0" w:type="dxa"/>
              <w:bottom w:w="0" w:type="dxa"/>
              <w:right w:w="15" w:type="dxa"/>
            </w:tcMar>
            <w:vAlign w:val="bottom"/>
            <w:hideMark/>
          </w:tcPr>
          <w:p w14:paraId="36283F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4128889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0DC70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A982E4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(275</w:t>
            </w:r>
          </w:p>
        </w:tc>
        <w:tc>
          <w:tcPr>
            <w:tcW w:w="50" w:type="pct"/>
            <w:shd w:val="clear" w:color="auto" w:fill="FFFFFF"/>
            <w:noWrap/>
            <w:tcMar>
              <w:top w:w="15" w:type="dxa"/>
              <w:left w:w="0" w:type="dxa"/>
              <w:bottom w:w="0" w:type="dxa"/>
              <w:right w:w="15" w:type="dxa"/>
            </w:tcMar>
            <w:vAlign w:val="bottom"/>
            <w:hideMark/>
          </w:tcPr>
          <w:p w14:paraId="6B344D7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508D52E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B2656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EE9C39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(506</w:t>
            </w:r>
          </w:p>
        </w:tc>
        <w:tc>
          <w:tcPr>
            <w:tcW w:w="50" w:type="pct"/>
            <w:shd w:val="clear" w:color="auto" w:fill="FFFFFF"/>
            <w:noWrap/>
            <w:tcMar>
              <w:top w:w="15" w:type="dxa"/>
              <w:left w:w="0" w:type="dxa"/>
              <w:bottom w:w="0" w:type="dxa"/>
              <w:right w:w="15" w:type="dxa"/>
            </w:tcMar>
            <w:vAlign w:val="bottom"/>
            <w:hideMark/>
          </w:tcPr>
          <w:p w14:paraId="79014C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515D8509" w14:textId="77777777">
        <w:trPr>
          <w:divId w:val="1926111523"/>
          <w:jc w:val="center"/>
        </w:trPr>
        <w:tc>
          <w:tcPr>
            <w:tcW w:w="2935" w:type="pct"/>
            <w:shd w:val="clear" w:color="auto" w:fill="CFF0FC"/>
            <w:tcMar>
              <w:top w:w="15" w:type="dxa"/>
              <w:left w:w="0" w:type="dxa"/>
              <w:bottom w:w="0" w:type="dxa"/>
              <w:right w:w="15" w:type="dxa"/>
            </w:tcMar>
            <w:vAlign w:val="bottom"/>
            <w:hideMark/>
          </w:tcPr>
          <w:p w14:paraId="5EA17FB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Stock-based compensation for operating segments</w:t>
            </w:r>
          </w:p>
        </w:tc>
        <w:tc>
          <w:tcPr>
            <w:tcW w:w="71" w:type="pct"/>
            <w:shd w:val="clear" w:color="auto" w:fill="CFF0FC"/>
            <w:tcMar>
              <w:top w:w="15" w:type="dxa"/>
              <w:left w:w="0" w:type="dxa"/>
              <w:bottom w:w="0" w:type="dxa"/>
              <w:right w:w="15" w:type="dxa"/>
            </w:tcMar>
            <w:vAlign w:val="bottom"/>
            <w:hideMark/>
          </w:tcPr>
          <w:p w14:paraId="74ADB5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7085D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26FFF7C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(129</w:t>
            </w:r>
          </w:p>
        </w:tc>
        <w:tc>
          <w:tcPr>
            <w:tcW w:w="50" w:type="pct"/>
            <w:shd w:val="clear" w:color="auto" w:fill="CFF0FC"/>
            <w:noWrap/>
            <w:tcMar>
              <w:top w:w="15" w:type="dxa"/>
              <w:left w:w="0" w:type="dxa"/>
              <w:bottom w:w="0" w:type="dxa"/>
              <w:right w:w="15" w:type="dxa"/>
            </w:tcMar>
            <w:vAlign w:val="bottom"/>
            <w:hideMark/>
          </w:tcPr>
          <w:p w14:paraId="44D1F7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46003C9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21388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1F82A4C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(123</w:t>
            </w:r>
          </w:p>
        </w:tc>
        <w:tc>
          <w:tcPr>
            <w:tcW w:w="50" w:type="pct"/>
            <w:shd w:val="clear" w:color="auto" w:fill="CFF0FC"/>
            <w:noWrap/>
            <w:tcMar>
              <w:top w:w="15" w:type="dxa"/>
              <w:left w:w="0" w:type="dxa"/>
              <w:bottom w:w="0" w:type="dxa"/>
              <w:right w:w="15" w:type="dxa"/>
            </w:tcMar>
            <w:vAlign w:val="bottom"/>
            <w:hideMark/>
          </w:tcPr>
          <w:p w14:paraId="71F84B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5D6D76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B71A3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61949A5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(396</w:t>
            </w:r>
          </w:p>
        </w:tc>
        <w:tc>
          <w:tcPr>
            <w:tcW w:w="50" w:type="pct"/>
            <w:shd w:val="clear" w:color="auto" w:fill="CFF0FC"/>
            <w:noWrap/>
            <w:tcMar>
              <w:top w:w="15" w:type="dxa"/>
              <w:left w:w="0" w:type="dxa"/>
              <w:bottom w:w="0" w:type="dxa"/>
              <w:right w:w="15" w:type="dxa"/>
            </w:tcMar>
            <w:vAlign w:val="bottom"/>
            <w:hideMark/>
          </w:tcPr>
          <w:p w14:paraId="1CF21C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0F358DB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48B99F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4A9DD6A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(382</w:t>
            </w:r>
          </w:p>
        </w:tc>
        <w:tc>
          <w:tcPr>
            <w:tcW w:w="50" w:type="pct"/>
            <w:shd w:val="clear" w:color="auto" w:fill="CFF0FC"/>
            <w:noWrap/>
            <w:tcMar>
              <w:top w:w="15" w:type="dxa"/>
              <w:left w:w="0" w:type="dxa"/>
              <w:bottom w:w="0" w:type="dxa"/>
              <w:right w:w="15" w:type="dxa"/>
            </w:tcMar>
            <w:vAlign w:val="bottom"/>
            <w:hideMark/>
          </w:tcPr>
          <w:p w14:paraId="244049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1D0EAFA5" w14:textId="77777777">
        <w:trPr>
          <w:divId w:val="1926111523"/>
          <w:jc w:val="center"/>
        </w:trPr>
        <w:tc>
          <w:tcPr>
            <w:tcW w:w="2935" w:type="pct"/>
            <w:shd w:val="clear" w:color="auto" w:fill="FFFFFF"/>
            <w:tcMar>
              <w:top w:w="15" w:type="dxa"/>
              <w:left w:w="0" w:type="dxa"/>
              <w:bottom w:w="0" w:type="dxa"/>
              <w:right w:w="15" w:type="dxa"/>
            </w:tcMar>
            <w:vAlign w:val="bottom"/>
            <w:hideMark/>
          </w:tcPr>
          <w:p w14:paraId="0BC5928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Expense allocations and other, net</w:t>
            </w:r>
          </w:p>
        </w:tc>
        <w:tc>
          <w:tcPr>
            <w:tcW w:w="71" w:type="pct"/>
            <w:shd w:val="clear" w:color="auto" w:fill="FFFFFF"/>
            <w:tcMar>
              <w:top w:w="15" w:type="dxa"/>
              <w:left w:w="0" w:type="dxa"/>
              <w:bottom w:w="0" w:type="dxa"/>
              <w:right w:w="15" w:type="dxa"/>
            </w:tcMar>
            <w:vAlign w:val="bottom"/>
            <w:hideMark/>
          </w:tcPr>
          <w:p w14:paraId="3591DF0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8255DD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0C8ED71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(112</w:t>
            </w:r>
          </w:p>
        </w:tc>
        <w:tc>
          <w:tcPr>
            <w:tcW w:w="50" w:type="pct"/>
            <w:shd w:val="clear" w:color="auto" w:fill="FFFFFF"/>
            <w:noWrap/>
            <w:tcMar>
              <w:top w:w="15" w:type="dxa"/>
              <w:left w:w="0" w:type="dxa"/>
              <w:bottom w:w="0" w:type="dxa"/>
              <w:right w:w="15" w:type="dxa"/>
            </w:tcMar>
            <w:vAlign w:val="bottom"/>
            <w:hideMark/>
          </w:tcPr>
          <w:p w14:paraId="5EDDF4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03F600F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F8FCC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AAA58F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(103</w:t>
            </w:r>
          </w:p>
        </w:tc>
        <w:tc>
          <w:tcPr>
            <w:tcW w:w="50" w:type="pct"/>
            <w:shd w:val="clear" w:color="auto" w:fill="FFFFFF"/>
            <w:noWrap/>
            <w:tcMar>
              <w:top w:w="15" w:type="dxa"/>
              <w:left w:w="0" w:type="dxa"/>
              <w:bottom w:w="0" w:type="dxa"/>
              <w:right w:w="15" w:type="dxa"/>
            </w:tcMar>
            <w:vAlign w:val="bottom"/>
            <w:hideMark/>
          </w:tcPr>
          <w:p w14:paraId="1422D3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170DD1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2FCF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2D383C5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(333</w:t>
            </w:r>
          </w:p>
        </w:tc>
        <w:tc>
          <w:tcPr>
            <w:tcW w:w="50" w:type="pct"/>
            <w:shd w:val="clear" w:color="auto" w:fill="FFFFFF"/>
            <w:noWrap/>
            <w:tcMar>
              <w:top w:w="15" w:type="dxa"/>
              <w:left w:w="0" w:type="dxa"/>
              <w:bottom w:w="0" w:type="dxa"/>
              <w:right w:w="15" w:type="dxa"/>
            </w:tcMar>
            <w:vAlign w:val="bottom"/>
            <w:hideMark/>
          </w:tcPr>
          <w:p w14:paraId="616EA89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FFFFFF"/>
            <w:tcMar>
              <w:top w:w="15" w:type="dxa"/>
              <w:left w:w="0" w:type="dxa"/>
              <w:bottom w:w="0" w:type="dxa"/>
              <w:right w:w="15" w:type="dxa"/>
            </w:tcMar>
            <w:vAlign w:val="bottom"/>
            <w:hideMark/>
          </w:tcPr>
          <w:p w14:paraId="6D46BFC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E376EE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3FA7B19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(301</w:t>
            </w:r>
          </w:p>
        </w:tc>
        <w:tc>
          <w:tcPr>
            <w:tcW w:w="50" w:type="pct"/>
            <w:shd w:val="clear" w:color="auto" w:fill="FFFFFF"/>
            <w:noWrap/>
            <w:tcMar>
              <w:top w:w="15" w:type="dxa"/>
              <w:left w:w="0" w:type="dxa"/>
              <w:bottom w:w="0" w:type="dxa"/>
              <w:right w:w="15" w:type="dxa"/>
            </w:tcMar>
            <w:vAlign w:val="bottom"/>
            <w:hideMark/>
          </w:tcPr>
          <w:p w14:paraId="1F550E3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231539C1" w14:textId="77777777">
        <w:trPr>
          <w:divId w:val="1926111523"/>
          <w:jc w:val="center"/>
        </w:trPr>
        <w:tc>
          <w:tcPr>
            <w:tcW w:w="2935" w:type="pct"/>
            <w:shd w:val="clear" w:color="auto" w:fill="CFF0FC"/>
            <w:tcMar>
              <w:top w:w="15" w:type="dxa"/>
              <w:left w:w="0" w:type="dxa"/>
              <w:bottom w:w="0" w:type="dxa"/>
              <w:right w:w="15" w:type="dxa"/>
            </w:tcMar>
            <w:vAlign w:val="bottom"/>
            <w:hideMark/>
          </w:tcPr>
          <w:p w14:paraId="5774FCB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Interest expense</w:t>
            </w:r>
          </w:p>
        </w:tc>
        <w:tc>
          <w:tcPr>
            <w:tcW w:w="71" w:type="pct"/>
            <w:shd w:val="clear" w:color="auto" w:fill="CFF0FC"/>
            <w:tcMar>
              <w:top w:w="15" w:type="dxa"/>
              <w:left w:w="0" w:type="dxa"/>
              <w:bottom w:w="0" w:type="dxa"/>
              <w:right w:w="15" w:type="dxa"/>
            </w:tcMar>
            <w:vAlign w:val="bottom"/>
            <w:hideMark/>
          </w:tcPr>
          <w:p w14:paraId="3E1100E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D5B9B3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2E5F7BC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(509</w:t>
            </w:r>
          </w:p>
        </w:tc>
        <w:tc>
          <w:tcPr>
            <w:tcW w:w="50" w:type="pct"/>
            <w:shd w:val="clear" w:color="auto" w:fill="CFF0FC"/>
            <w:noWrap/>
            <w:tcMar>
              <w:top w:w="15" w:type="dxa"/>
              <w:left w:w="0" w:type="dxa"/>
              <w:bottom w:w="0" w:type="dxa"/>
              <w:right w:w="15" w:type="dxa"/>
            </w:tcMar>
            <w:vAlign w:val="bottom"/>
            <w:hideMark/>
          </w:tcPr>
          <w:p w14:paraId="201B79F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59231DA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3353B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1C2A21F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(533</w:t>
            </w:r>
          </w:p>
        </w:tc>
        <w:tc>
          <w:tcPr>
            <w:tcW w:w="50" w:type="pct"/>
            <w:shd w:val="clear" w:color="auto" w:fill="CFF0FC"/>
            <w:noWrap/>
            <w:tcMar>
              <w:top w:w="15" w:type="dxa"/>
              <w:left w:w="0" w:type="dxa"/>
              <w:bottom w:w="0" w:type="dxa"/>
              <w:right w:w="15" w:type="dxa"/>
            </w:tcMar>
            <w:vAlign w:val="bottom"/>
            <w:hideMark/>
          </w:tcPr>
          <w:p w14:paraId="176553A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2545EDA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6B9FE6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2862534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(1,557</w:t>
            </w:r>
          </w:p>
        </w:tc>
        <w:tc>
          <w:tcPr>
            <w:tcW w:w="50" w:type="pct"/>
            <w:shd w:val="clear" w:color="auto" w:fill="CFF0FC"/>
            <w:noWrap/>
            <w:tcMar>
              <w:top w:w="15" w:type="dxa"/>
              <w:left w:w="0" w:type="dxa"/>
              <w:bottom w:w="0" w:type="dxa"/>
              <w:right w:w="15" w:type="dxa"/>
            </w:tcMar>
            <w:vAlign w:val="bottom"/>
            <w:hideMark/>
          </w:tcPr>
          <w:p w14:paraId="5F21565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71" w:type="pct"/>
            <w:shd w:val="clear" w:color="auto" w:fill="CFF0FC"/>
            <w:tcMar>
              <w:top w:w="15" w:type="dxa"/>
              <w:left w:w="0" w:type="dxa"/>
              <w:bottom w:w="0" w:type="dxa"/>
              <w:right w:w="15" w:type="dxa"/>
            </w:tcMar>
            <w:vAlign w:val="bottom"/>
            <w:hideMark/>
          </w:tcPr>
          <w:p w14:paraId="1CF9D3A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73A2A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CFF0FC"/>
            <w:noWrap/>
            <w:tcMar>
              <w:top w:w="15" w:type="dxa"/>
              <w:left w:w="0" w:type="dxa"/>
              <w:bottom w:w="0" w:type="dxa"/>
              <w:right w:w="15" w:type="dxa"/>
            </w:tcMar>
            <w:vAlign w:val="bottom"/>
            <w:hideMark/>
          </w:tcPr>
          <w:p w14:paraId="4D769ED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(1,477</w:t>
            </w:r>
          </w:p>
        </w:tc>
        <w:tc>
          <w:tcPr>
            <w:tcW w:w="50" w:type="pct"/>
            <w:shd w:val="clear" w:color="auto" w:fill="CFF0FC"/>
            <w:noWrap/>
            <w:tcMar>
              <w:top w:w="15" w:type="dxa"/>
              <w:left w:w="0" w:type="dxa"/>
              <w:bottom w:w="0" w:type="dxa"/>
              <w:right w:w="15" w:type="dxa"/>
            </w:tcMar>
            <w:vAlign w:val="bottom"/>
            <w:hideMark/>
          </w:tcPr>
          <w:p w14:paraId="5AB9C05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r>
      <w:tr w:rsidR="00716E85" w14:paraId="1B61EA40" w14:textId="77777777">
        <w:trPr>
          <w:divId w:val="1926111523"/>
          <w:jc w:val="center"/>
        </w:trPr>
        <w:tc>
          <w:tcPr>
            <w:tcW w:w="2935" w:type="pct"/>
            <w:shd w:val="clear" w:color="auto" w:fill="FFFFFF"/>
            <w:tcMar>
              <w:top w:w="15" w:type="dxa"/>
              <w:left w:w="0" w:type="dxa"/>
              <w:bottom w:w="0" w:type="dxa"/>
              <w:right w:w="15" w:type="dxa"/>
            </w:tcMar>
            <w:vAlign w:val="bottom"/>
            <w:hideMark/>
          </w:tcPr>
          <w:p w14:paraId="00555AA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Non-operating income, net</w:t>
            </w:r>
          </w:p>
        </w:tc>
        <w:tc>
          <w:tcPr>
            <w:tcW w:w="71" w:type="pct"/>
            <w:shd w:val="clear" w:color="auto" w:fill="FFFFFF"/>
            <w:tcMar>
              <w:top w:w="15" w:type="dxa"/>
              <w:left w:w="0" w:type="dxa"/>
              <w:bottom w:w="0" w:type="dxa"/>
              <w:right w:w="15" w:type="dxa"/>
            </w:tcMar>
            <w:vAlign w:val="bottom"/>
            <w:hideMark/>
          </w:tcPr>
          <w:p w14:paraId="6583CC0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C37F3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5988495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198</w:t>
            </w:r>
          </w:p>
        </w:tc>
        <w:tc>
          <w:tcPr>
            <w:tcW w:w="50" w:type="pct"/>
            <w:shd w:val="clear" w:color="auto" w:fill="FFFFFF"/>
            <w:noWrap/>
            <w:tcMar>
              <w:top w:w="15" w:type="dxa"/>
              <w:left w:w="0" w:type="dxa"/>
              <w:bottom w:w="0" w:type="dxa"/>
              <w:right w:w="15" w:type="dxa"/>
            </w:tcMar>
            <w:vAlign w:val="bottom"/>
            <w:hideMark/>
          </w:tcPr>
          <w:p w14:paraId="5C732B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946BF3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22EE6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6921F46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409</w:t>
            </w:r>
          </w:p>
        </w:tc>
        <w:tc>
          <w:tcPr>
            <w:tcW w:w="50" w:type="pct"/>
            <w:shd w:val="clear" w:color="auto" w:fill="FFFFFF"/>
            <w:noWrap/>
            <w:tcMar>
              <w:top w:w="15" w:type="dxa"/>
              <w:left w:w="0" w:type="dxa"/>
              <w:bottom w:w="0" w:type="dxa"/>
              <w:right w:w="15" w:type="dxa"/>
            </w:tcMar>
            <w:vAlign w:val="bottom"/>
            <w:hideMark/>
          </w:tcPr>
          <w:p w14:paraId="56AA430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5CDB1A9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C972C8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2E93260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681</w:t>
            </w:r>
          </w:p>
        </w:tc>
        <w:tc>
          <w:tcPr>
            <w:tcW w:w="50" w:type="pct"/>
            <w:shd w:val="clear" w:color="auto" w:fill="FFFFFF"/>
            <w:noWrap/>
            <w:tcMar>
              <w:top w:w="15" w:type="dxa"/>
              <w:left w:w="0" w:type="dxa"/>
              <w:bottom w:w="0" w:type="dxa"/>
              <w:right w:w="15" w:type="dxa"/>
            </w:tcMar>
            <w:vAlign w:val="bottom"/>
            <w:hideMark/>
          </w:tcPr>
          <w:p w14:paraId="5E27D51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392652F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4A448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52346EC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891</w:t>
            </w:r>
          </w:p>
        </w:tc>
        <w:tc>
          <w:tcPr>
            <w:tcW w:w="50" w:type="pct"/>
            <w:shd w:val="clear" w:color="auto" w:fill="FFFFFF"/>
            <w:noWrap/>
            <w:tcMar>
              <w:top w:w="15" w:type="dxa"/>
              <w:left w:w="0" w:type="dxa"/>
              <w:bottom w:w="0" w:type="dxa"/>
              <w:right w:w="15" w:type="dxa"/>
            </w:tcMar>
            <w:vAlign w:val="bottom"/>
            <w:hideMark/>
          </w:tcPr>
          <w:p w14:paraId="408A79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A0D2CAD" w14:textId="77777777">
        <w:trPr>
          <w:divId w:val="1926111523"/>
          <w:jc w:val="center"/>
        </w:trPr>
        <w:tc>
          <w:tcPr>
            <w:tcW w:w="2935" w:type="pct"/>
            <w:shd w:val="clear" w:color="auto" w:fill="CFF0FC"/>
            <w:tcMar>
              <w:top w:w="15" w:type="dxa"/>
              <w:left w:w="0" w:type="dxa"/>
              <w:bottom w:w="0" w:type="dxa"/>
              <w:right w:w="15" w:type="dxa"/>
            </w:tcMar>
            <w:vAlign w:val="bottom"/>
            <w:hideMark/>
          </w:tcPr>
          <w:p w14:paraId="166458F1"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71" w:type="pct"/>
            <w:shd w:val="clear" w:color="auto" w:fill="CFF0FC"/>
            <w:tcMar>
              <w:top w:w="15" w:type="dxa"/>
              <w:left w:w="0" w:type="dxa"/>
              <w:bottom w:w="0" w:type="dxa"/>
              <w:right w:w="15" w:type="dxa"/>
            </w:tcMar>
            <w:vAlign w:val="bottom"/>
            <w:hideMark/>
          </w:tcPr>
          <w:p w14:paraId="22B4D8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D5891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F91C4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3,088</w:t>
            </w:r>
          </w:p>
        </w:tc>
        <w:tc>
          <w:tcPr>
            <w:tcW w:w="50" w:type="pct"/>
            <w:shd w:val="clear" w:color="auto" w:fill="CFF0FC"/>
            <w:noWrap/>
            <w:tcMar>
              <w:top w:w="15" w:type="dxa"/>
              <w:left w:w="0" w:type="dxa"/>
              <w:bottom w:w="0" w:type="dxa"/>
              <w:right w:w="15" w:type="dxa"/>
            </w:tcMar>
            <w:vAlign w:val="bottom"/>
            <w:hideMark/>
          </w:tcPr>
          <w:p w14:paraId="5FBEE9B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3A182E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CDFF9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D2F92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3,191</w:t>
            </w:r>
          </w:p>
        </w:tc>
        <w:tc>
          <w:tcPr>
            <w:tcW w:w="50" w:type="pct"/>
            <w:shd w:val="clear" w:color="auto" w:fill="CFF0FC"/>
            <w:noWrap/>
            <w:tcMar>
              <w:top w:w="15" w:type="dxa"/>
              <w:left w:w="0" w:type="dxa"/>
              <w:bottom w:w="0" w:type="dxa"/>
              <w:right w:w="15" w:type="dxa"/>
            </w:tcMar>
            <w:vAlign w:val="bottom"/>
            <w:hideMark/>
          </w:tcPr>
          <w:p w14:paraId="59AC46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1176CF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BCFD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479EF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8,402</w:t>
            </w:r>
          </w:p>
        </w:tc>
        <w:tc>
          <w:tcPr>
            <w:tcW w:w="50" w:type="pct"/>
            <w:shd w:val="clear" w:color="auto" w:fill="CFF0FC"/>
            <w:noWrap/>
            <w:tcMar>
              <w:top w:w="15" w:type="dxa"/>
              <w:left w:w="0" w:type="dxa"/>
              <w:bottom w:w="0" w:type="dxa"/>
              <w:right w:w="15" w:type="dxa"/>
            </w:tcMar>
            <w:vAlign w:val="bottom"/>
            <w:hideMark/>
          </w:tcPr>
          <w:p w14:paraId="79A9A0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7B7D43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8FA8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3A47C2"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8,517</w:t>
            </w:r>
          </w:p>
        </w:tc>
        <w:tc>
          <w:tcPr>
            <w:tcW w:w="50" w:type="pct"/>
            <w:shd w:val="clear" w:color="auto" w:fill="CFF0FC"/>
            <w:noWrap/>
            <w:tcMar>
              <w:top w:w="15" w:type="dxa"/>
              <w:left w:w="0" w:type="dxa"/>
              <w:bottom w:w="0" w:type="dxa"/>
              <w:right w:w="15" w:type="dxa"/>
            </w:tcMar>
            <w:vAlign w:val="bottom"/>
            <w:hideMark/>
          </w:tcPr>
          <w:p w14:paraId="77DFA6C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bl>
    <w:p w14:paraId="4677DEB6" w14:textId="77777777" w:rsidR="00716E85" w:rsidRDefault="00716E85">
      <w:pPr>
        <w:pStyle w:val="a3"/>
        <w:pBdr>
          <w:bottom w:val="single" w:sz="6" w:space="1" w:color="auto"/>
        </w:pBdr>
        <w:spacing w:before="0" w:beforeAutospacing="0" w:after="0" w:afterAutospacing="0"/>
        <w:ind w:right="10477"/>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4F2AB4F2" w14:textId="77777777">
        <w:tc>
          <w:tcPr>
            <w:tcW w:w="192" w:type="pct"/>
            <w:noWrap/>
            <w:hideMark/>
          </w:tcPr>
          <w:p w14:paraId="7FA7BB3D"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60C70C2B"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 xml:space="preserve">Cloud and </w:t>
            </w:r>
            <w:r>
              <w:rPr>
                <w:rFonts w:ascii="Calibri" w:hAnsi="Calibri" w:cs="Calibri"/>
                <w:color w:val="000000"/>
                <w:sz w:val="15"/>
                <w:szCs w:val="15"/>
              </w:rPr>
              <w:t xml:space="preserve">license revenues presented </w:t>
            </w:r>
            <w:r>
              <w:rPr>
                <w:rFonts w:ascii="Calibri" w:hAnsi="Calibri" w:cs="Calibri"/>
                <w:sz w:val="15"/>
                <w:szCs w:val="15"/>
              </w:rPr>
              <w:t>for management reporting included revenues related to cloud and license obligations that would have otherwise been recorded by the acquired businesses as independent entities but were not recognized in our condensed consolidated statements of operations for the periods presented due to business combination accounting requirements. See Note 6 for an explanation of these adjustments and this table for a reconciliation of our total operating segment revenues to our total consolidated revenues as reported in our condensed consolidated statements of operations.</w:t>
            </w:r>
          </w:p>
        </w:tc>
      </w:tr>
    </w:tbl>
    <w:p w14:paraId="346C9443"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Disaggregation of Revenues</w:t>
      </w:r>
    </w:p>
    <w:p w14:paraId="44809AD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to depict how the nature, amount, timing and uncertainty of revenues and cash flows are effected by economic factors. The principal category we use to disaggregate revenues is the nature of our products and services as presented in our condensed consolidated statements of operations.  </w:t>
      </w:r>
    </w:p>
    <w:p w14:paraId="14C1156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following table is a summary of our total revenues by geographic region. The relative proportion of our total revenues between each geographic region as presented in the table below was materially consistent across each of our operating segments’ revenues for the periods presented.</w:t>
      </w:r>
    </w:p>
    <w:p w14:paraId="4E5EEE74"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871"/>
        <w:gridCol w:w="110"/>
        <w:gridCol w:w="107"/>
        <w:gridCol w:w="564"/>
        <w:gridCol w:w="76"/>
        <w:gridCol w:w="111"/>
        <w:gridCol w:w="107"/>
        <w:gridCol w:w="566"/>
        <w:gridCol w:w="76"/>
        <w:gridCol w:w="111"/>
        <w:gridCol w:w="107"/>
        <w:gridCol w:w="564"/>
        <w:gridCol w:w="76"/>
        <w:gridCol w:w="111"/>
        <w:gridCol w:w="107"/>
        <w:gridCol w:w="566"/>
        <w:gridCol w:w="76"/>
      </w:tblGrid>
      <w:tr w:rsidR="00716E85" w14:paraId="75A5CE73" w14:textId="77777777">
        <w:trPr>
          <w:divId w:val="1548830366"/>
          <w:jc w:val="center"/>
        </w:trPr>
        <w:tc>
          <w:tcPr>
            <w:tcW w:w="2935" w:type="pct"/>
            <w:shd w:val="clear" w:color="auto" w:fill="FFFFFF"/>
            <w:tcMar>
              <w:top w:w="15" w:type="dxa"/>
              <w:left w:w="0" w:type="dxa"/>
              <w:bottom w:w="0" w:type="dxa"/>
              <w:right w:w="15" w:type="dxa"/>
            </w:tcMar>
            <w:vAlign w:val="bottom"/>
            <w:hideMark/>
          </w:tcPr>
          <w:p w14:paraId="2AEEB068" w14:textId="77777777" w:rsidR="00716E85" w:rsidRDefault="00716E85">
            <w:pPr>
              <w:pStyle w:val="a3"/>
              <w:spacing w:before="0" w:beforeAutospacing="0" w:after="0" w:afterAutospacing="0"/>
              <w:jc w:val="center"/>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21F25E9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6A22EA3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881393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707DEED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2A419158"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3071969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10AAEC7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083F0B6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0CB610C" w14:textId="77777777">
        <w:trPr>
          <w:divId w:val="1548830366"/>
          <w:jc w:val="center"/>
        </w:trPr>
        <w:tc>
          <w:tcPr>
            <w:tcW w:w="2935" w:type="pct"/>
            <w:tcBorders>
              <w:bottom w:val="single" w:sz="6" w:space="0" w:color="000000"/>
            </w:tcBorders>
            <w:shd w:val="clear" w:color="auto" w:fill="FFFFFF"/>
            <w:tcMar>
              <w:top w:w="15" w:type="dxa"/>
              <w:left w:w="0" w:type="dxa"/>
              <w:bottom w:w="0" w:type="dxa"/>
              <w:right w:w="15" w:type="dxa"/>
            </w:tcMar>
            <w:vAlign w:val="bottom"/>
            <w:hideMark/>
          </w:tcPr>
          <w:p w14:paraId="74EE160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left w:w="0" w:type="dxa"/>
              <w:bottom w:w="0" w:type="dxa"/>
              <w:right w:w="15" w:type="dxa"/>
            </w:tcMar>
            <w:vAlign w:val="bottom"/>
            <w:hideMark/>
          </w:tcPr>
          <w:p w14:paraId="6CCFD4F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292FF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322E24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7C50019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597CA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810167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3C3AC07A"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F6DBB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D57DBA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2E93D17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D7BD0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A7BF74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D872166" w14:textId="77777777">
        <w:trPr>
          <w:divId w:val="1548830366"/>
          <w:trHeight w:val="216"/>
          <w:jc w:val="center"/>
        </w:trPr>
        <w:tc>
          <w:tcPr>
            <w:tcW w:w="2935" w:type="pct"/>
            <w:tcBorders>
              <w:top w:val="single" w:sz="6" w:space="0" w:color="000000"/>
            </w:tcBorders>
            <w:shd w:val="clear" w:color="auto" w:fill="CFF0FC"/>
            <w:tcMar>
              <w:top w:w="15" w:type="dxa"/>
              <w:left w:w="0" w:type="dxa"/>
              <w:bottom w:w="0" w:type="dxa"/>
              <w:right w:w="15" w:type="dxa"/>
            </w:tcMar>
            <w:hideMark/>
          </w:tcPr>
          <w:p w14:paraId="4556F0E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Americas</w:t>
            </w:r>
          </w:p>
        </w:tc>
        <w:tc>
          <w:tcPr>
            <w:tcW w:w="71" w:type="pct"/>
            <w:shd w:val="clear" w:color="auto" w:fill="CFF0FC"/>
            <w:tcMar>
              <w:top w:w="15" w:type="dxa"/>
              <w:left w:w="0" w:type="dxa"/>
              <w:bottom w:w="0" w:type="dxa"/>
              <w:right w:w="15" w:type="dxa"/>
            </w:tcMar>
            <w:vAlign w:val="bottom"/>
            <w:hideMark/>
          </w:tcPr>
          <w:p w14:paraId="3364F5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3208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182AC7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5,266</w:t>
            </w:r>
          </w:p>
        </w:tc>
        <w:tc>
          <w:tcPr>
            <w:tcW w:w="50" w:type="pct"/>
            <w:shd w:val="clear" w:color="auto" w:fill="CFF0FC"/>
            <w:noWrap/>
            <w:tcMar>
              <w:top w:w="15" w:type="dxa"/>
              <w:left w:w="0" w:type="dxa"/>
              <w:bottom w:w="0" w:type="dxa"/>
              <w:right w:w="15" w:type="dxa"/>
            </w:tcMar>
            <w:vAlign w:val="bottom"/>
            <w:hideMark/>
          </w:tcPr>
          <w:p w14:paraId="3D1FE5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0BAB41D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098A4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3D0BAAD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5,253</w:t>
            </w:r>
          </w:p>
        </w:tc>
        <w:tc>
          <w:tcPr>
            <w:tcW w:w="50" w:type="pct"/>
            <w:shd w:val="clear" w:color="auto" w:fill="CFF0FC"/>
            <w:noWrap/>
            <w:tcMar>
              <w:top w:w="15" w:type="dxa"/>
              <w:left w:w="0" w:type="dxa"/>
              <w:bottom w:w="0" w:type="dxa"/>
              <w:right w:w="15" w:type="dxa"/>
            </w:tcMar>
            <w:vAlign w:val="bottom"/>
            <w:hideMark/>
          </w:tcPr>
          <w:p w14:paraId="03A54E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77BB832C"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A41CD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05F2D5F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15,671</w:t>
            </w:r>
          </w:p>
        </w:tc>
        <w:tc>
          <w:tcPr>
            <w:tcW w:w="50" w:type="pct"/>
            <w:shd w:val="clear" w:color="auto" w:fill="CFF0FC"/>
            <w:noWrap/>
            <w:tcMar>
              <w:top w:w="15" w:type="dxa"/>
              <w:left w:w="0" w:type="dxa"/>
              <w:bottom w:w="0" w:type="dxa"/>
              <w:right w:w="15" w:type="dxa"/>
            </w:tcMar>
            <w:vAlign w:val="bottom"/>
            <w:hideMark/>
          </w:tcPr>
          <w:p w14:paraId="500672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256998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4C11C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452DB4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15,632</w:t>
            </w:r>
          </w:p>
        </w:tc>
        <w:tc>
          <w:tcPr>
            <w:tcW w:w="50" w:type="pct"/>
            <w:shd w:val="clear" w:color="auto" w:fill="CFF0FC"/>
            <w:noWrap/>
            <w:tcMar>
              <w:top w:w="15" w:type="dxa"/>
              <w:left w:w="0" w:type="dxa"/>
              <w:bottom w:w="0" w:type="dxa"/>
              <w:right w:w="15" w:type="dxa"/>
            </w:tcMar>
            <w:vAlign w:val="bottom"/>
            <w:hideMark/>
          </w:tcPr>
          <w:p w14:paraId="09B41B4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5AC7C8E6" w14:textId="77777777">
        <w:trPr>
          <w:divId w:val="1548830366"/>
          <w:trHeight w:val="216"/>
          <w:jc w:val="center"/>
        </w:trPr>
        <w:tc>
          <w:tcPr>
            <w:tcW w:w="2935" w:type="pct"/>
            <w:shd w:val="clear" w:color="auto" w:fill="FFFFFF"/>
            <w:tcMar>
              <w:top w:w="15" w:type="dxa"/>
              <w:left w:w="0" w:type="dxa"/>
              <w:bottom w:w="0" w:type="dxa"/>
              <w:right w:w="15" w:type="dxa"/>
            </w:tcMar>
            <w:hideMark/>
          </w:tcPr>
          <w:p w14:paraId="24191F2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EMEA</w:t>
            </w:r>
            <w:r>
              <w:rPr>
                <w:rFonts w:ascii="Calibri" w:hAnsi="Calibri" w:cs="Calibri"/>
                <w:color w:val="000000"/>
                <w:sz w:val="15"/>
                <w:szCs w:val="15"/>
                <w:vertAlign w:val="superscript"/>
              </w:rPr>
              <w:t>(1)</w:t>
            </w:r>
          </w:p>
        </w:tc>
        <w:tc>
          <w:tcPr>
            <w:tcW w:w="71" w:type="pct"/>
            <w:shd w:val="clear" w:color="auto" w:fill="FFFFFF"/>
            <w:tcMar>
              <w:top w:w="15" w:type="dxa"/>
              <w:left w:w="0" w:type="dxa"/>
              <w:bottom w:w="0" w:type="dxa"/>
              <w:right w:w="15" w:type="dxa"/>
            </w:tcMar>
            <w:vAlign w:val="bottom"/>
            <w:hideMark/>
          </w:tcPr>
          <w:p w14:paraId="72CCA72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3585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1059A120"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2,781</w:t>
            </w:r>
          </w:p>
        </w:tc>
        <w:tc>
          <w:tcPr>
            <w:tcW w:w="50" w:type="pct"/>
            <w:shd w:val="clear" w:color="auto" w:fill="FFFFFF"/>
            <w:noWrap/>
            <w:tcMar>
              <w:top w:w="15" w:type="dxa"/>
              <w:left w:w="0" w:type="dxa"/>
              <w:bottom w:w="0" w:type="dxa"/>
              <w:right w:w="15" w:type="dxa"/>
            </w:tcMar>
            <w:vAlign w:val="bottom"/>
            <w:hideMark/>
          </w:tcPr>
          <w:p w14:paraId="5986F1D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28F874D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EA7044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85B8C5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2,881</w:t>
            </w:r>
          </w:p>
        </w:tc>
        <w:tc>
          <w:tcPr>
            <w:tcW w:w="50" w:type="pct"/>
            <w:shd w:val="clear" w:color="auto" w:fill="FFFFFF"/>
            <w:noWrap/>
            <w:tcMar>
              <w:top w:w="15" w:type="dxa"/>
              <w:left w:w="0" w:type="dxa"/>
              <w:bottom w:w="0" w:type="dxa"/>
              <w:right w:w="15" w:type="dxa"/>
            </w:tcMar>
            <w:vAlign w:val="bottom"/>
            <w:hideMark/>
          </w:tcPr>
          <w:p w14:paraId="7B23545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1568A2E5"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A3DF1B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656E36F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8,139</w:t>
            </w:r>
          </w:p>
        </w:tc>
        <w:tc>
          <w:tcPr>
            <w:tcW w:w="50" w:type="pct"/>
            <w:shd w:val="clear" w:color="auto" w:fill="FFFFFF"/>
            <w:noWrap/>
            <w:tcMar>
              <w:top w:w="15" w:type="dxa"/>
              <w:left w:w="0" w:type="dxa"/>
              <w:bottom w:w="0" w:type="dxa"/>
              <w:right w:w="15" w:type="dxa"/>
            </w:tcMar>
            <w:vAlign w:val="bottom"/>
            <w:hideMark/>
          </w:tcPr>
          <w:p w14:paraId="503EB05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1000C07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7E3950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shd w:val="clear" w:color="auto" w:fill="FFFFFF"/>
            <w:noWrap/>
            <w:tcMar>
              <w:top w:w="15" w:type="dxa"/>
              <w:left w:w="0" w:type="dxa"/>
              <w:bottom w:w="0" w:type="dxa"/>
              <w:right w:w="15" w:type="dxa"/>
            </w:tcMar>
            <w:vAlign w:val="bottom"/>
            <w:hideMark/>
          </w:tcPr>
          <w:p w14:paraId="40D90F8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8,213</w:t>
            </w:r>
          </w:p>
        </w:tc>
        <w:tc>
          <w:tcPr>
            <w:tcW w:w="50" w:type="pct"/>
            <w:shd w:val="clear" w:color="auto" w:fill="FFFFFF"/>
            <w:noWrap/>
            <w:tcMar>
              <w:top w:w="15" w:type="dxa"/>
              <w:left w:w="0" w:type="dxa"/>
              <w:bottom w:w="0" w:type="dxa"/>
              <w:right w:w="15" w:type="dxa"/>
            </w:tcMar>
            <w:vAlign w:val="bottom"/>
            <w:hideMark/>
          </w:tcPr>
          <w:p w14:paraId="62365E2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BB5EF00" w14:textId="77777777">
        <w:trPr>
          <w:divId w:val="1548830366"/>
          <w:trHeight w:val="216"/>
          <w:jc w:val="center"/>
        </w:trPr>
        <w:tc>
          <w:tcPr>
            <w:tcW w:w="2935" w:type="pct"/>
            <w:shd w:val="clear" w:color="auto" w:fill="CFF0FC"/>
            <w:tcMar>
              <w:top w:w="15" w:type="dxa"/>
              <w:left w:w="0" w:type="dxa"/>
              <w:bottom w:w="0" w:type="dxa"/>
              <w:right w:w="15" w:type="dxa"/>
            </w:tcMar>
            <w:hideMark/>
          </w:tcPr>
          <w:p w14:paraId="3D7316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Asia Pacific</w:t>
            </w:r>
            <w:r>
              <w:rPr>
                <w:rFonts w:ascii="Calibri" w:hAnsi="Calibri" w:cs="Calibri"/>
                <w:color w:val="000000"/>
                <w:sz w:val="15"/>
                <w:szCs w:val="15"/>
                <w:vertAlign w:val="superscript"/>
              </w:rPr>
              <w:t>(2)</w:t>
            </w:r>
          </w:p>
        </w:tc>
        <w:tc>
          <w:tcPr>
            <w:tcW w:w="71" w:type="pct"/>
            <w:shd w:val="clear" w:color="auto" w:fill="CFF0FC"/>
            <w:tcMar>
              <w:top w:w="15" w:type="dxa"/>
              <w:left w:w="0" w:type="dxa"/>
              <w:bottom w:w="0" w:type="dxa"/>
              <w:right w:w="15" w:type="dxa"/>
            </w:tcMar>
            <w:vAlign w:val="bottom"/>
            <w:hideMark/>
          </w:tcPr>
          <w:p w14:paraId="033776E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DA3F8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2CC431A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1,567</w:t>
            </w:r>
          </w:p>
        </w:tc>
        <w:tc>
          <w:tcPr>
            <w:tcW w:w="50" w:type="pct"/>
            <w:shd w:val="clear" w:color="auto" w:fill="CFF0FC"/>
            <w:noWrap/>
            <w:tcMar>
              <w:top w:w="15" w:type="dxa"/>
              <w:left w:w="0" w:type="dxa"/>
              <w:bottom w:w="0" w:type="dxa"/>
              <w:right w:w="15" w:type="dxa"/>
            </w:tcMar>
            <w:vAlign w:val="bottom"/>
            <w:hideMark/>
          </w:tcPr>
          <w:p w14:paraId="7DB1BE0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6D53B5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D513B4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105B52F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1,542</w:t>
            </w:r>
          </w:p>
        </w:tc>
        <w:tc>
          <w:tcPr>
            <w:tcW w:w="50" w:type="pct"/>
            <w:shd w:val="clear" w:color="auto" w:fill="CFF0FC"/>
            <w:noWrap/>
            <w:tcMar>
              <w:top w:w="15" w:type="dxa"/>
              <w:left w:w="0" w:type="dxa"/>
              <w:bottom w:w="0" w:type="dxa"/>
              <w:right w:w="15" w:type="dxa"/>
            </w:tcMar>
            <w:vAlign w:val="bottom"/>
            <w:hideMark/>
          </w:tcPr>
          <w:p w14:paraId="1A8A3DC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44709452"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DF6DAE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7238332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4,559</w:t>
            </w:r>
          </w:p>
        </w:tc>
        <w:tc>
          <w:tcPr>
            <w:tcW w:w="50" w:type="pct"/>
            <w:shd w:val="clear" w:color="auto" w:fill="CFF0FC"/>
            <w:noWrap/>
            <w:tcMar>
              <w:top w:w="15" w:type="dxa"/>
              <w:left w:w="0" w:type="dxa"/>
              <w:bottom w:w="0" w:type="dxa"/>
              <w:right w:w="15" w:type="dxa"/>
            </w:tcMar>
            <w:vAlign w:val="bottom"/>
            <w:hideMark/>
          </w:tcPr>
          <w:p w14:paraId="710EF5D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65FB47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ED0B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67D97CB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4,524</w:t>
            </w:r>
          </w:p>
        </w:tc>
        <w:tc>
          <w:tcPr>
            <w:tcW w:w="50" w:type="pct"/>
            <w:shd w:val="clear" w:color="auto" w:fill="CFF0FC"/>
            <w:noWrap/>
            <w:tcMar>
              <w:top w:w="15" w:type="dxa"/>
              <w:left w:w="0" w:type="dxa"/>
              <w:bottom w:w="0" w:type="dxa"/>
              <w:right w:w="15" w:type="dxa"/>
            </w:tcMar>
            <w:vAlign w:val="bottom"/>
            <w:hideMark/>
          </w:tcPr>
          <w:p w14:paraId="1D9296F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728490EA" w14:textId="77777777">
        <w:trPr>
          <w:divId w:val="1548830366"/>
          <w:trHeight w:val="216"/>
          <w:jc w:val="center"/>
        </w:trPr>
        <w:tc>
          <w:tcPr>
            <w:tcW w:w="2935" w:type="pct"/>
            <w:shd w:val="clear" w:color="auto" w:fill="FFFFFF"/>
            <w:tcMar>
              <w:top w:w="15" w:type="dxa"/>
              <w:left w:w="0" w:type="dxa"/>
              <w:bottom w:w="0" w:type="dxa"/>
              <w:right w:w="15" w:type="dxa"/>
            </w:tcMar>
            <w:hideMark/>
          </w:tcPr>
          <w:p w14:paraId="2D9E9D1B"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revenues</w:t>
            </w:r>
          </w:p>
        </w:tc>
        <w:tc>
          <w:tcPr>
            <w:tcW w:w="71" w:type="pct"/>
            <w:shd w:val="clear" w:color="auto" w:fill="FFFFFF"/>
            <w:tcMar>
              <w:top w:w="15" w:type="dxa"/>
              <w:left w:w="0" w:type="dxa"/>
              <w:bottom w:w="0" w:type="dxa"/>
              <w:right w:w="15" w:type="dxa"/>
            </w:tcMar>
            <w:vAlign w:val="bottom"/>
            <w:hideMark/>
          </w:tcPr>
          <w:p w14:paraId="38FDE0F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AB1FA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E9C93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9,614</w:t>
            </w:r>
          </w:p>
        </w:tc>
        <w:tc>
          <w:tcPr>
            <w:tcW w:w="50" w:type="pct"/>
            <w:shd w:val="clear" w:color="auto" w:fill="FFFFFF"/>
            <w:noWrap/>
            <w:tcMar>
              <w:top w:w="15" w:type="dxa"/>
              <w:left w:w="0" w:type="dxa"/>
              <w:bottom w:w="0" w:type="dxa"/>
              <w:right w:w="15" w:type="dxa"/>
            </w:tcMar>
            <w:vAlign w:val="bottom"/>
            <w:hideMark/>
          </w:tcPr>
          <w:p w14:paraId="74D93FE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D74B9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FACCB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8D3A5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9,676</w:t>
            </w:r>
          </w:p>
        </w:tc>
        <w:tc>
          <w:tcPr>
            <w:tcW w:w="50" w:type="pct"/>
            <w:shd w:val="clear" w:color="auto" w:fill="FFFFFF"/>
            <w:noWrap/>
            <w:tcMar>
              <w:top w:w="15" w:type="dxa"/>
              <w:left w:w="0" w:type="dxa"/>
              <w:bottom w:w="0" w:type="dxa"/>
              <w:right w:w="15" w:type="dxa"/>
            </w:tcMar>
            <w:vAlign w:val="bottom"/>
            <w:hideMark/>
          </w:tcPr>
          <w:p w14:paraId="0E03E09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45CCCC0A"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BC6FC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18FE75"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FFFFFF"/>
            <w:noWrap/>
            <w:tcMar>
              <w:top w:w="15" w:type="dxa"/>
              <w:left w:w="0" w:type="dxa"/>
              <w:bottom w:w="0" w:type="dxa"/>
              <w:right w:w="15" w:type="dxa"/>
            </w:tcMar>
            <w:vAlign w:val="bottom"/>
            <w:hideMark/>
          </w:tcPr>
          <w:p w14:paraId="0DE6AE3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65B53F8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53F5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FBB52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28,369</w:t>
            </w:r>
          </w:p>
        </w:tc>
        <w:tc>
          <w:tcPr>
            <w:tcW w:w="50" w:type="pct"/>
            <w:shd w:val="clear" w:color="auto" w:fill="FFFFFF"/>
            <w:noWrap/>
            <w:tcMar>
              <w:top w:w="15" w:type="dxa"/>
              <w:left w:w="0" w:type="dxa"/>
              <w:bottom w:w="0" w:type="dxa"/>
              <w:right w:w="15" w:type="dxa"/>
            </w:tcMar>
            <w:vAlign w:val="bottom"/>
            <w:hideMark/>
          </w:tcPr>
          <w:p w14:paraId="4360C57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bl>
    <w:p w14:paraId="62B858AB" w14:textId="77777777" w:rsidR="00716E85" w:rsidRDefault="00716E85">
      <w:pPr>
        <w:pStyle w:val="a3"/>
        <w:pBdr>
          <w:bottom w:val="single" w:sz="6" w:space="1" w:color="auto"/>
        </w:pBdr>
        <w:spacing w:before="0" w:beforeAutospacing="0" w:after="0" w:afterAutospacing="0"/>
        <w:ind w:right="10477"/>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6D86046D" w14:textId="77777777">
        <w:tc>
          <w:tcPr>
            <w:tcW w:w="192" w:type="pct"/>
            <w:noWrap/>
            <w:hideMark/>
          </w:tcPr>
          <w:p w14:paraId="552E751B"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724F769B"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4964CDF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19BC49DA" w14:textId="77777777">
        <w:tc>
          <w:tcPr>
            <w:tcW w:w="192" w:type="pct"/>
            <w:noWrap/>
            <w:hideMark/>
          </w:tcPr>
          <w:p w14:paraId="3B3F87FA"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0F506195"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The Asia Pacific region includes Japan</w:t>
            </w:r>
          </w:p>
        </w:tc>
      </w:tr>
    </w:tbl>
    <w:p w14:paraId="6769F6ED"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29</w:t>
      </w:r>
    </w:p>
    <w:p w14:paraId="6732CDEB" w14:textId="77777777" w:rsidR="00716E85" w:rsidRDefault="00716E85">
      <w:pPr>
        <w:rPr>
          <w:rFonts w:ascii="Times New Roman" w:eastAsia="Times New Roman" w:hAnsi="Times New Roman" w:cs="Times New Roman"/>
          <w:sz w:val="24"/>
          <w:szCs w:val="24"/>
        </w:rPr>
      </w:pPr>
      <w:r>
        <w:rPr>
          <w:rFonts w:eastAsia="Times New Roman"/>
        </w:rPr>
        <w:pict w14:anchorId="54EDD00B">
          <v:rect id="_x0000_i1055" style="width:415.3pt;height:1.5pt" o:hralign="center" o:hrstd="t" o:hr="t" fillcolor="#a0a0a0" stroked="f"/>
        </w:pict>
      </w:r>
    </w:p>
    <w:p w14:paraId="231298D3"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1B7D9213" w14:textId="77777777" w:rsidR="00716E85" w:rsidRDefault="00716E85">
      <w:pPr>
        <w:pStyle w:val="a3"/>
      </w:pPr>
      <w:r>
        <w:t> </w:t>
      </w:r>
    </w:p>
    <w:p w14:paraId="3B5997F4"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7727363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3656EBBD"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3F9E87E7"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3FD08561" w14:textId="77777777" w:rsidR="00716E85" w:rsidRDefault="00716E85">
      <w:pPr>
        <w:pStyle w:val="a3"/>
        <w:spacing w:before="0" w:beforeAutospacing="0" w:after="0" w:afterAutospacing="0"/>
        <w:rPr>
          <w:sz w:val="20"/>
          <w:szCs w:val="20"/>
        </w:rPr>
      </w:pPr>
      <w:r>
        <w:rPr>
          <w:sz w:val="20"/>
          <w:szCs w:val="20"/>
        </w:rPr>
        <w:t> </w:t>
      </w:r>
    </w:p>
    <w:p w14:paraId="3D99B99F" w14:textId="77777777" w:rsidR="00716E85" w:rsidRDefault="00716E85">
      <w:pPr>
        <w:pStyle w:val="a3"/>
        <w:spacing w:before="240" w:beforeAutospacing="0" w:after="0" w:afterAutospacing="0"/>
        <w:jc w:val="both"/>
        <w:rPr>
          <w:rFonts w:ascii="Calibri" w:hAnsi="Calibri" w:cs="Calibri"/>
          <w:sz w:val="20"/>
          <w:szCs w:val="20"/>
        </w:rPr>
      </w:pPr>
      <w:bookmarkStart w:id="38" w:name="_AEIOULastRenderedPageBreakAEIOU30"/>
      <w:bookmarkEnd w:id="38"/>
      <w:r>
        <w:rPr>
          <w:rFonts w:ascii="Calibri" w:hAnsi="Calibri" w:cs="Calibri"/>
          <w:sz w:val="20"/>
          <w:szCs w:val="20"/>
        </w:rPr>
        <w:t>The following table presents a summary of our cloud and license business revenues by ecosystem.</w:t>
      </w:r>
      <w:r>
        <w:rPr>
          <w:sz w:val="20"/>
          <w:szCs w:val="20"/>
        </w:rPr>
        <w:t xml:space="preserve"> </w:t>
      </w:r>
      <w:r>
        <w:rPr>
          <w:rFonts w:ascii="Calibri" w:hAnsi="Calibri" w:cs="Calibri"/>
          <w:sz w:val="20"/>
          <w:szCs w:val="20"/>
        </w:rPr>
        <w:t>Applications ecosystem revenues represent the sum of applications related cloud services and license support revenues; and applications related license revenues. Infrastructure ecosystem revenues represent the sum of infrastructure related cloud services and license support revenues; and infrastructure related license revenues.</w:t>
      </w:r>
    </w:p>
    <w:p w14:paraId="4D72EB5E"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871"/>
        <w:gridCol w:w="110"/>
        <w:gridCol w:w="107"/>
        <w:gridCol w:w="564"/>
        <w:gridCol w:w="76"/>
        <w:gridCol w:w="111"/>
        <w:gridCol w:w="107"/>
        <w:gridCol w:w="566"/>
        <w:gridCol w:w="76"/>
        <w:gridCol w:w="111"/>
        <w:gridCol w:w="107"/>
        <w:gridCol w:w="564"/>
        <w:gridCol w:w="76"/>
        <w:gridCol w:w="111"/>
        <w:gridCol w:w="107"/>
        <w:gridCol w:w="566"/>
        <w:gridCol w:w="76"/>
      </w:tblGrid>
      <w:tr w:rsidR="00716E85" w14:paraId="34D9B7BF" w14:textId="77777777">
        <w:trPr>
          <w:divId w:val="347871659"/>
          <w:jc w:val="center"/>
        </w:trPr>
        <w:tc>
          <w:tcPr>
            <w:tcW w:w="2935" w:type="pct"/>
            <w:shd w:val="clear" w:color="auto" w:fill="FFFFFF"/>
            <w:tcMar>
              <w:top w:w="15" w:type="dxa"/>
              <w:left w:w="0" w:type="dxa"/>
              <w:bottom w:w="0" w:type="dxa"/>
              <w:right w:w="15" w:type="dxa"/>
            </w:tcMar>
            <w:vAlign w:val="bottom"/>
            <w:hideMark/>
          </w:tcPr>
          <w:p w14:paraId="4CBC507C" w14:textId="77777777" w:rsidR="00716E85" w:rsidRDefault="00716E85">
            <w:pPr>
              <w:pStyle w:val="a3"/>
              <w:spacing w:before="0" w:beforeAutospacing="0" w:after="0" w:afterAutospacing="0"/>
              <w:jc w:val="center"/>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6F688EF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1942A05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C0DB2A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248C498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34EC853F"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910" w:type="pct"/>
            <w:gridSpan w:val="6"/>
            <w:tcBorders>
              <w:bottom w:val="single" w:sz="6" w:space="0" w:color="000000"/>
            </w:tcBorders>
            <w:shd w:val="clear" w:color="auto" w:fill="FFFFFF"/>
            <w:tcMar>
              <w:top w:w="15" w:type="dxa"/>
              <w:left w:w="0" w:type="dxa"/>
              <w:bottom w:w="0" w:type="dxa"/>
              <w:right w:w="15" w:type="dxa"/>
            </w:tcMar>
            <w:vAlign w:val="bottom"/>
            <w:hideMark/>
          </w:tcPr>
          <w:p w14:paraId="70C0A23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91D14F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5BBB207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B837850" w14:textId="77777777">
        <w:trPr>
          <w:divId w:val="347871659"/>
          <w:jc w:val="center"/>
        </w:trPr>
        <w:tc>
          <w:tcPr>
            <w:tcW w:w="2935" w:type="pct"/>
            <w:tcBorders>
              <w:bottom w:val="single" w:sz="6" w:space="0" w:color="000000"/>
            </w:tcBorders>
            <w:shd w:val="clear" w:color="auto" w:fill="FFFFFF"/>
            <w:tcMar>
              <w:top w:w="15" w:type="dxa"/>
              <w:left w:w="0" w:type="dxa"/>
              <w:bottom w:w="0" w:type="dxa"/>
              <w:right w:w="15" w:type="dxa"/>
            </w:tcMar>
            <w:vAlign w:val="bottom"/>
            <w:hideMark/>
          </w:tcPr>
          <w:p w14:paraId="1F6AE28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1" w:type="pct"/>
            <w:shd w:val="clear" w:color="auto" w:fill="FFFFFF"/>
            <w:tcMar>
              <w:top w:w="15" w:type="dxa"/>
              <w:left w:w="0" w:type="dxa"/>
              <w:bottom w:w="0" w:type="dxa"/>
              <w:right w:w="15" w:type="dxa"/>
            </w:tcMar>
            <w:vAlign w:val="bottom"/>
            <w:hideMark/>
          </w:tcPr>
          <w:p w14:paraId="6281C54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79823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B8560E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46E27CF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E0F8D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6B7BD5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shd w:val="clear" w:color="auto" w:fill="FFFFFF"/>
            <w:tcMar>
              <w:top w:w="15" w:type="dxa"/>
              <w:left w:w="0" w:type="dxa"/>
              <w:bottom w:w="0" w:type="dxa"/>
              <w:right w:w="15" w:type="dxa"/>
            </w:tcMar>
            <w:vAlign w:val="bottom"/>
            <w:hideMark/>
          </w:tcPr>
          <w:p w14:paraId="11E71C5B"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37848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EE52FF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14:paraId="696D5A7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33545C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DC1B68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A3CA406" w14:textId="77777777">
        <w:trPr>
          <w:divId w:val="347871659"/>
          <w:trHeight w:val="216"/>
          <w:jc w:val="center"/>
        </w:trPr>
        <w:tc>
          <w:tcPr>
            <w:tcW w:w="2935" w:type="pct"/>
            <w:tcBorders>
              <w:top w:val="single" w:sz="6" w:space="0" w:color="000000"/>
            </w:tcBorders>
            <w:shd w:val="clear" w:color="auto" w:fill="CFF0FC"/>
            <w:tcMar>
              <w:top w:w="15" w:type="dxa"/>
              <w:left w:w="0" w:type="dxa"/>
              <w:bottom w:w="0" w:type="dxa"/>
              <w:right w:w="15" w:type="dxa"/>
            </w:tcMar>
            <w:hideMark/>
          </w:tcPr>
          <w:p w14:paraId="1DAB5BC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Applications revenues</w:t>
            </w:r>
          </w:p>
        </w:tc>
        <w:tc>
          <w:tcPr>
            <w:tcW w:w="71" w:type="pct"/>
            <w:shd w:val="clear" w:color="auto" w:fill="CFF0FC"/>
            <w:tcMar>
              <w:top w:w="15" w:type="dxa"/>
              <w:left w:w="0" w:type="dxa"/>
              <w:bottom w:w="0" w:type="dxa"/>
              <w:right w:w="15" w:type="dxa"/>
            </w:tcMar>
            <w:vAlign w:val="bottom"/>
            <w:hideMark/>
          </w:tcPr>
          <w:p w14:paraId="51ED66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84B1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4C8BFA6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2,841</w:t>
            </w:r>
          </w:p>
        </w:tc>
        <w:tc>
          <w:tcPr>
            <w:tcW w:w="50" w:type="pct"/>
            <w:shd w:val="clear" w:color="auto" w:fill="CFF0FC"/>
            <w:noWrap/>
            <w:tcMar>
              <w:top w:w="15" w:type="dxa"/>
              <w:left w:w="0" w:type="dxa"/>
              <w:bottom w:w="0" w:type="dxa"/>
              <w:right w:w="15" w:type="dxa"/>
            </w:tcMar>
            <w:vAlign w:val="bottom"/>
            <w:hideMark/>
          </w:tcPr>
          <w:p w14:paraId="3112433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4A89FB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04256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5E1C4FF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2,717</w:t>
            </w:r>
          </w:p>
        </w:tc>
        <w:tc>
          <w:tcPr>
            <w:tcW w:w="50" w:type="pct"/>
            <w:shd w:val="clear" w:color="auto" w:fill="CFF0FC"/>
            <w:noWrap/>
            <w:tcMar>
              <w:top w:w="15" w:type="dxa"/>
              <w:left w:w="0" w:type="dxa"/>
              <w:bottom w:w="0" w:type="dxa"/>
              <w:right w:w="15" w:type="dxa"/>
            </w:tcMar>
            <w:vAlign w:val="bottom"/>
            <w:hideMark/>
          </w:tcPr>
          <w:p w14:paraId="7F34855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1CEBD61D"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81CDE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74C5200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8,410</w:t>
            </w:r>
          </w:p>
        </w:tc>
        <w:tc>
          <w:tcPr>
            <w:tcW w:w="50" w:type="pct"/>
            <w:shd w:val="clear" w:color="auto" w:fill="CFF0FC"/>
            <w:noWrap/>
            <w:tcMar>
              <w:top w:w="15" w:type="dxa"/>
              <w:left w:w="0" w:type="dxa"/>
              <w:bottom w:w="0" w:type="dxa"/>
              <w:right w:w="15" w:type="dxa"/>
            </w:tcMar>
            <w:vAlign w:val="bottom"/>
            <w:hideMark/>
          </w:tcPr>
          <w:p w14:paraId="496AE2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2481D048"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3200F3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tcBorders>
            <w:shd w:val="clear" w:color="auto" w:fill="CFF0FC"/>
            <w:noWrap/>
            <w:tcMar>
              <w:top w:w="15" w:type="dxa"/>
              <w:left w:w="0" w:type="dxa"/>
              <w:bottom w:w="0" w:type="dxa"/>
              <w:right w:w="15" w:type="dxa"/>
            </w:tcMar>
            <w:vAlign w:val="bottom"/>
            <w:hideMark/>
          </w:tcPr>
          <w:p w14:paraId="1FF42ECF"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8,001</w:t>
            </w:r>
          </w:p>
        </w:tc>
        <w:tc>
          <w:tcPr>
            <w:tcW w:w="50" w:type="pct"/>
            <w:shd w:val="clear" w:color="auto" w:fill="CFF0FC"/>
            <w:noWrap/>
            <w:tcMar>
              <w:top w:w="15" w:type="dxa"/>
              <w:left w:w="0" w:type="dxa"/>
              <w:bottom w:w="0" w:type="dxa"/>
              <w:right w:w="15" w:type="dxa"/>
            </w:tcMar>
            <w:vAlign w:val="bottom"/>
            <w:hideMark/>
          </w:tcPr>
          <w:p w14:paraId="75B48AC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0ECD2321" w14:textId="77777777">
        <w:trPr>
          <w:divId w:val="347871659"/>
          <w:trHeight w:val="216"/>
          <w:jc w:val="center"/>
        </w:trPr>
        <w:tc>
          <w:tcPr>
            <w:tcW w:w="2935" w:type="pct"/>
            <w:shd w:val="clear" w:color="auto" w:fill="FFFFFF"/>
            <w:tcMar>
              <w:top w:w="15" w:type="dxa"/>
              <w:left w:w="0" w:type="dxa"/>
              <w:bottom w:w="0" w:type="dxa"/>
              <w:right w:w="15" w:type="dxa"/>
            </w:tcMar>
            <w:hideMark/>
          </w:tcPr>
          <w:p w14:paraId="736D48C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Infrastructure revenues</w:t>
            </w:r>
          </w:p>
        </w:tc>
        <w:tc>
          <w:tcPr>
            <w:tcW w:w="71" w:type="pct"/>
            <w:shd w:val="clear" w:color="auto" w:fill="FFFFFF"/>
            <w:tcMar>
              <w:top w:w="15" w:type="dxa"/>
              <w:left w:w="0" w:type="dxa"/>
              <w:bottom w:w="0" w:type="dxa"/>
              <w:right w:w="15" w:type="dxa"/>
            </w:tcMar>
            <w:vAlign w:val="bottom"/>
            <w:hideMark/>
          </w:tcPr>
          <w:p w14:paraId="428DE8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2C2A3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0E5BC94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5,072</w:t>
            </w:r>
          </w:p>
        </w:tc>
        <w:tc>
          <w:tcPr>
            <w:tcW w:w="50" w:type="pct"/>
            <w:shd w:val="clear" w:color="auto" w:fill="FFFFFF"/>
            <w:noWrap/>
            <w:tcMar>
              <w:top w:w="15" w:type="dxa"/>
              <w:left w:w="0" w:type="dxa"/>
              <w:bottom w:w="0" w:type="dxa"/>
              <w:right w:w="15" w:type="dxa"/>
            </w:tcMar>
            <w:vAlign w:val="bottom"/>
            <w:hideMark/>
          </w:tcPr>
          <w:p w14:paraId="7245B86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77C135A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34B59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63264A6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5,169</w:t>
            </w:r>
          </w:p>
        </w:tc>
        <w:tc>
          <w:tcPr>
            <w:tcW w:w="50" w:type="pct"/>
            <w:shd w:val="clear" w:color="auto" w:fill="FFFFFF"/>
            <w:noWrap/>
            <w:tcMar>
              <w:top w:w="15" w:type="dxa"/>
              <w:left w:w="0" w:type="dxa"/>
              <w:bottom w:w="0" w:type="dxa"/>
              <w:right w:w="15" w:type="dxa"/>
            </w:tcMar>
            <w:vAlign w:val="bottom"/>
            <w:hideMark/>
          </w:tcPr>
          <w:p w14:paraId="4F020DC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1CD6EDB3"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C69A92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7C8BB8D9"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14,832</w:t>
            </w:r>
          </w:p>
        </w:tc>
        <w:tc>
          <w:tcPr>
            <w:tcW w:w="50" w:type="pct"/>
            <w:shd w:val="clear" w:color="auto" w:fill="FFFFFF"/>
            <w:noWrap/>
            <w:tcMar>
              <w:top w:w="15" w:type="dxa"/>
              <w:left w:w="0" w:type="dxa"/>
              <w:bottom w:w="0" w:type="dxa"/>
              <w:right w:w="15" w:type="dxa"/>
            </w:tcMar>
            <w:vAlign w:val="bottom"/>
            <w:hideMark/>
          </w:tcPr>
          <w:p w14:paraId="173F622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FFFFFF"/>
            <w:tcMar>
              <w:top w:w="15" w:type="dxa"/>
              <w:left w:w="0" w:type="dxa"/>
              <w:bottom w:w="0" w:type="dxa"/>
              <w:right w:w="15" w:type="dxa"/>
            </w:tcMar>
            <w:vAlign w:val="bottom"/>
            <w:hideMark/>
          </w:tcPr>
          <w:p w14:paraId="75A46B38"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B23E6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344" w:type="pct"/>
            <w:tcBorders>
              <w:bottom w:val="single" w:sz="6" w:space="0" w:color="000000"/>
            </w:tcBorders>
            <w:shd w:val="clear" w:color="auto" w:fill="FFFFFF"/>
            <w:noWrap/>
            <w:tcMar>
              <w:top w:w="15" w:type="dxa"/>
              <w:left w:w="0" w:type="dxa"/>
              <w:bottom w:w="0" w:type="dxa"/>
              <w:right w:w="15" w:type="dxa"/>
            </w:tcMar>
            <w:vAlign w:val="bottom"/>
            <w:hideMark/>
          </w:tcPr>
          <w:p w14:paraId="340FCC9B"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14,978</w:t>
            </w:r>
          </w:p>
        </w:tc>
        <w:tc>
          <w:tcPr>
            <w:tcW w:w="50" w:type="pct"/>
            <w:shd w:val="clear" w:color="auto" w:fill="FFFFFF"/>
            <w:noWrap/>
            <w:tcMar>
              <w:top w:w="15" w:type="dxa"/>
              <w:left w:w="0" w:type="dxa"/>
              <w:bottom w:w="0" w:type="dxa"/>
              <w:right w:w="15" w:type="dxa"/>
            </w:tcMar>
            <w:vAlign w:val="bottom"/>
            <w:hideMark/>
          </w:tcPr>
          <w:p w14:paraId="5D29271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r w:rsidR="00716E85" w14:paraId="1640E1D1" w14:textId="77777777">
        <w:trPr>
          <w:divId w:val="347871659"/>
          <w:trHeight w:val="216"/>
          <w:jc w:val="center"/>
        </w:trPr>
        <w:tc>
          <w:tcPr>
            <w:tcW w:w="2935" w:type="pct"/>
            <w:shd w:val="clear" w:color="auto" w:fill="CFF0FC"/>
            <w:tcMar>
              <w:top w:w="15" w:type="dxa"/>
              <w:left w:w="0" w:type="dxa"/>
              <w:bottom w:w="0" w:type="dxa"/>
              <w:right w:w="15" w:type="dxa"/>
            </w:tcMar>
            <w:hideMark/>
          </w:tcPr>
          <w:p w14:paraId="6EC95BF0"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 cloud and license revenues</w:t>
            </w:r>
          </w:p>
        </w:tc>
        <w:tc>
          <w:tcPr>
            <w:tcW w:w="71" w:type="pct"/>
            <w:shd w:val="clear" w:color="auto" w:fill="CFF0FC"/>
            <w:tcMar>
              <w:top w:w="15" w:type="dxa"/>
              <w:left w:w="0" w:type="dxa"/>
              <w:bottom w:w="0" w:type="dxa"/>
              <w:right w:w="15" w:type="dxa"/>
            </w:tcMar>
            <w:vAlign w:val="bottom"/>
            <w:hideMark/>
          </w:tcPr>
          <w:p w14:paraId="3DD8F3C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0E1C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5AB06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7,913</w:t>
            </w:r>
          </w:p>
        </w:tc>
        <w:tc>
          <w:tcPr>
            <w:tcW w:w="50" w:type="pct"/>
            <w:shd w:val="clear" w:color="auto" w:fill="CFF0FC"/>
            <w:noWrap/>
            <w:tcMar>
              <w:top w:w="15" w:type="dxa"/>
              <w:left w:w="0" w:type="dxa"/>
              <w:bottom w:w="0" w:type="dxa"/>
              <w:right w:w="15" w:type="dxa"/>
            </w:tcMar>
            <w:vAlign w:val="bottom"/>
            <w:hideMark/>
          </w:tcPr>
          <w:p w14:paraId="492D33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66106F0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80562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76049D"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7,886</w:t>
            </w:r>
          </w:p>
        </w:tc>
        <w:tc>
          <w:tcPr>
            <w:tcW w:w="50" w:type="pct"/>
            <w:shd w:val="clear" w:color="auto" w:fill="CFF0FC"/>
            <w:noWrap/>
            <w:tcMar>
              <w:top w:w="15" w:type="dxa"/>
              <w:left w:w="0" w:type="dxa"/>
              <w:bottom w:w="0" w:type="dxa"/>
              <w:right w:w="15" w:type="dxa"/>
            </w:tcMar>
            <w:vAlign w:val="bottom"/>
            <w:hideMark/>
          </w:tcPr>
          <w:p w14:paraId="5F9BCAD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76C13860"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9CA3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D3568E1"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23,242</w:t>
            </w:r>
          </w:p>
        </w:tc>
        <w:tc>
          <w:tcPr>
            <w:tcW w:w="50" w:type="pct"/>
            <w:shd w:val="clear" w:color="auto" w:fill="CFF0FC"/>
            <w:noWrap/>
            <w:tcMar>
              <w:top w:w="15" w:type="dxa"/>
              <w:left w:w="0" w:type="dxa"/>
              <w:bottom w:w="0" w:type="dxa"/>
              <w:right w:w="15" w:type="dxa"/>
            </w:tcMar>
            <w:vAlign w:val="bottom"/>
            <w:hideMark/>
          </w:tcPr>
          <w:p w14:paraId="75055E1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1" w:type="pct"/>
            <w:shd w:val="clear" w:color="auto" w:fill="CFF0FC"/>
            <w:tcMar>
              <w:top w:w="15" w:type="dxa"/>
              <w:left w:w="0" w:type="dxa"/>
              <w:bottom w:w="0" w:type="dxa"/>
              <w:right w:w="15" w:type="dxa"/>
            </w:tcMar>
            <w:vAlign w:val="bottom"/>
            <w:hideMark/>
          </w:tcPr>
          <w:p w14:paraId="69F6CCAD" w14:textId="77777777" w:rsidR="00716E85" w:rsidRDefault="00716E85">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16F7A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28276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22,979</w:t>
            </w:r>
          </w:p>
        </w:tc>
        <w:tc>
          <w:tcPr>
            <w:tcW w:w="50" w:type="pct"/>
            <w:shd w:val="clear" w:color="auto" w:fill="CFF0FC"/>
            <w:noWrap/>
            <w:tcMar>
              <w:top w:w="15" w:type="dxa"/>
              <w:left w:w="0" w:type="dxa"/>
              <w:bottom w:w="0" w:type="dxa"/>
              <w:right w:w="15" w:type="dxa"/>
            </w:tcMar>
            <w:vAlign w:val="bottom"/>
            <w:hideMark/>
          </w:tcPr>
          <w:p w14:paraId="177C4A7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r>
    </w:tbl>
    <w:p w14:paraId="5223BFB4" w14:textId="77777777" w:rsidR="00716E85" w:rsidRDefault="00716E85">
      <w:pPr>
        <w:pStyle w:val="a3"/>
        <w:spacing w:before="0" w:beforeAutospacing="0" w:after="0" w:afterAutospacing="0"/>
        <w:ind w:left="357" w:hanging="471"/>
        <w:jc w:val="both"/>
        <w:rPr>
          <w:sz w:val="12"/>
          <w:szCs w:val="12"/>
        </w:rPr>
      </w:pPr>
      <w:r>
        <w:rPr>
          <w:sz w:val="12"/>
          <w:szCs w:val="12"/>
        </w:rPr>
        <w:t> </w:t>
      </w:r>
    </w:p>
    <w:p w14:paraId="407E3FBF" w14:textId="77777777" w:rsidR="00716E85" w:rsidRDefault="00716E85">
      <w:pPr>
        <w:pStyle w:val="a3"/>
        <w:spacing w:before="0" w:beforeAutospacing="0" w:after="0" w:afterAutospacing="0"/>
        <w:ind w:left="357" w:hanging="471"/>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4C7F2C81" w14:textId="77777777">
        <w:tc>
          <w:tcPr>
            <w:tcW w:w="262" w:type="pct"/>
            <w:noWrap/>
            <w:hideMark/>
          </w:tcPr>
          <w:p w14:paraId="466056AE"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11.</w:t>
            </w:r>
          </w:p>
        </w:tc>
        <w:tc>
          <w:tcPr>
            <w:tcW w:w="0" w:type="auto"/>
            <w:hideMark/>
          </w:tcPr>
          <w:p w14:paraId="78EA384F"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EARNINGS (LOSS) PER SHARE</w:t>
            </w:r>
          </w:p>
        </w:tc>
      </w:tr>
    </w:tbl>
    <w:p w14:paraId="45DB29C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Basic earnings (loss) per share is computed by dividing net income (loss) for the period by the weighted-average number of common shares outstanding during the period. Diluted earnings (loss) per share is computed by dividing net income (loss) for the period by the weighted-average number of common shares outstanding during the period, plus the dilutive effect of outstanding restricted stock-based awards, stock options, and shares issuable under the employee stock purchase plan as applicable pursuant to the treasury stock method. The following table sets forth the computation of basic and diluted earnings (loss) per share: </w:t>
      </w:r>
    </w:p>
    <w:p w14:paraId="03DF8E9E" w14:textId="77777777" w:rsidR="00716E85" w:rsidRDefault="00716E85">
      <w:pPr>
        <w:pStyle w:val="a3"/>
        <w:spacing w:before="0" w:beforeAutospacing="0" w:after="0" w:afterAutospacing="0"/>
        <w:jc w:val="both"/>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4881"/>
        <w:gridCol w:w="104"/>
        <w:gridCol w:w="117"/>
        <w:gridCol w:w="560"/>
        <w:gridCol w:w="72"/>
        <w:gridCol w:w="105"/>
        <w:gridCol w:w="117"/>
        <w:gridCol w:w="563"/>
        <w:gridCol w:w="76"/>
        <w:gridCol w:w="102"/>
        <w:gridCol w:w="117"/>
        <w:gridCol w:w="561"/>
        <w:gridCol w:w="73"/>
        <w:gridCol w:w="105"/>
        <w:gridCol w:w="117"/>
        <w:gridCol w:w="563"/>
        <w:gridCol w:w="73"/>
      </w:tblGrid>
      <w:tr w:rsidR="00716E85" w14:paraId="386D4B8F" w14:textId="77777777">
        <w:trPr>
          <w:divId w:val="450442986"/>
          <w:jc w:val="center"/>
        </w:trPr>
        <w:tc>
          <w:tcPr>
            <w:tcW w:w="2944" w:type="pct"/>
            <w:shd w:val="clear" w:color="auto" w:fill="FFFFFF"/>
            <w:tcMar>
              <w:top w:w="15" w:type="dxa"/>
              <w:left w:w="0" w:type="dxa"/>
              <w:bottom w:w="0" w:type="dxa"/>
              <w:right w:w="15" w:type="dxa"/>
            </w:tcMar>
            <w:vAlign w:val="bottom"/>
            <w:hideMark/>
          </w:tcPr>
          <w:p w14:paraId="326F0184" w14:textId="77777777" w:rsidR="00716E85" w:rsidRDefault="00716E85">
            <w:pPr>
              <w:pStyle w:val="a3"/>
              <w:spacing w:before="0" w:beforeAutospacing="0" w:after="0" w:afterAutospacing="0"/>
              <w:jc w:val="center"/>
              <w:rPr>
                <w:sz w:val="20"/>
                <w:szCs w:val="20"/>
              </w:rPr>
            </w:pPr>
            <w:r>
              <w:rPr>
                <w:sz w:val="20"/>
                <w:szCs w:val="20"/>
              </w:rPr>
              <w:t> </w:t>
            </w:r>
          </w:p>
        </w:tc>
        <w:tc>
          <w:tcPr>
            <w:tcW w:w="69" w:type="pct"/>
            <w:shd w:val="clear" w:color="auto" w:fill="FFFFFF"/>
            <w:tcMar>
              <w:top w:w="15" w:type="dxa"/>
              <w:left w:w="0" w:type="dxa"/>
              <w:bottom w:w="0" w:type="dxa"/>
              <w:right w:w="15" w:type="dxa"/>
            </w:tcMar>
            <w:vAlign w:val="bottom"/>
            <w:hideMark/>
          </w:tcPr>
          <w:p w14:paraId="6799EEA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08" w:type="pct"/>
            <w:gridSpan w:val="6"/>
            <w:tcBorders>
              <w:bottom w:val="single" w:sz="6" w:space="0" w:color="000000"/>
            </w:tcBorders>
            <w:shd w:val="clear" w:color="auto" w:fill="FFFFFF"/>
            <w:tcMar>
              <w:top w:w="15" w:type="dxa"/>
              <w:left w:w="0" w:type="dxa"/>
              <w:bottom w:w="0" w:type="dxa"/>
              <w:right w:w="15" w:type="dxa"/>
            </w:tcMar>
            <w:vAlign w:val="bottom"/>
            <w:hideMark/>
          </w:tcPr>
          <w:p w14:paraId="17667F3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522B8AC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6B7771F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left w:w="0" w:type="dxa"/>
              <w:bottom w:w="0" w:type="dxa"/>
              <w:right w:w="15" w:type="dxa"/>
            </w:tcMar>
            <w:vAlign w:val="bottom"/>
            <w:hideMark/>
          </w:tcPr>
          <w:p w14:paraId="605C1F18"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908" w:type="pct"/>
            <w:gridSpan w:val="6"/>
            <w:tcBorders>
              <w:bottom w:val="single" w:sz="6" w:space="0" w:color="000000"/>
            </w:tcBorders>
            <w:shd w:val="clear" w:color="auto" w:fill="FFFFFF"/>
            <w:tcMar>
              <w:top w:w="15" w:type="dxa"/>
              <w:left w:w="0" w:type="dxa"/>
              <w:bottom w:w="0" w:type="dxa"/>
              <w:right w:w="15" w:type="dxa"/>
            </w:tcMar>
            <w:vAlign w:val="bottom"/>
            <w:hideMark/>
          </w:tcPr>
          <w:p w14:paraId="4921BA0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2DEB78D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3D887E9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FAAA6D3" w14:textId="77777777">
        <w:trPr>
          <w:divId w:val="450442986"/>
          <w:jc w:val="center"/>
        </w:trPr>
        <w:tc>
          <w:tcPr>
            <w:tcW w:w="2944" w:type="pct"/>
            <w:tcBorders>
              <w:bottom w:val="single" w:sz="6" w:space="0" w:color="000000"/>
            </w:tcBorders>
            <w:shd w:val="clear" w:color="auto" w:fill="FFFFFF"/>
            <w:tcMar>
              <w:top w:w="15" w:type="dxa"/>
              <w:left w:w="0" w:type="dxa"/>
              <w:bottom w:w="0" w:type="dxa"/>
              <w:right w:w="15" w:type="dxa"/>
            </w:tcMar>
            <w:vAlign w:val="bottom"/>
            <w:hideMark/>
          </w:tcPr>
          <w:p w14:paraId="53F88B9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69" w:type="pct"/>
            <w:shd w:val="clear" w:color="auto" w:fill="FFFFFF"/>
            <w:tcMar>
              <w:top w:w="15" w:type="dxa"/>
              <w:left w:w="0" w:type="dxa"/>
              <w:bottom w:w="0" w:type="dxa"/>
              <w:right w:w="15" w:type="dxa"/>
            </w:tcMar>
            <w:vAlign w:val="bottom"/>
            <w:hideMark/>
          </w:tcPr>
          <w:p w14:paraId="010FBCC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C9FC7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6E7BA8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02EB82B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0019C3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8D3A52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shd w:val="clear" w:color="auto" w:fill="FFFFFF"/>
            <w:tcMar>
              <w:top w:w="15" w:type="dxa"/>
              <w:left w:w="0" w:type="dxa"/>
              <w:bottom w:w="0" w:type="dxa"/>
              <w:right w:w="15" w:type="dxa"/>
            </w:tcMar>
            <w:vAlign w:val="bottom"/>
            <w:hideMark/>
          </w:tcPr>
          <w:p w14:paraId="6A72D314" w14:textId="77777777" w:rsidR="00716E85" w:rsidRDefault="00716E85">
            <w:pPr>
              <w:pStyle w:val="a3"/>
              <w:spacing w:before="0" w:beforeAutospacing="0" w:after="0" w:afterAutospacing="0"/>
              <w:rPr>
                <w:b/>
                <w:bCs/>
                <w:color w:val="000000"/>
                <w:sz w:val="15"/>
                <w:szCs w:val="15"/>
              </w:rPr>
            </w:pPr>
            <w:r>
              <w:rPr>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189C4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5302CD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14:paraId="743597F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13A05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6FC147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D0DF3B1" w14:textId="77777777">
        <w:trPr>
          <w:divId w:val="450442986"/>
          <w:jc w:val="center"/>
        </w:trPr>
        <w:tc>
          <w:tcPr>
            <w:tcW w:w="2944" w:type="pct"/>
            <w:tcBorders>
              <w:top w:val="single" w:sz="6" w:space="0" w:color="000000"/>
            </w:tcBorders>
            <w:shd w:val="clear" w:color="auto" w:fill="CFF0FC"/>
            <w:tcMar>
              <w:top w:w="15" w:type="dxa"/>
              <w:left w:w="0" w:type="dxa"/>
              <w:bottom w:w="0" w:type="dxa"/>
              <w:right w:w="15" w:type="dxa"/>
            </w:tcMar>
            <w:hideMark/>
          </w:tcPr>
          <w:p w14:paraId="70CEB4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 (loss)</w:t>
            </w:r>
          </w:p>
        </w:tc>
        <w:tc>
          <w:tcPr>
            <w:tcW w:w="69" w:type="pct"/>
            <w:shd w:val="clear" w:color="auto" w:fill="CFF0FC"/>
            <w:tcMar>
              <w:top w:w="15" w:type="dxa"/>
              <w:left w:w="0" w:type="dxa"/>
              <w:bottom w:w="0" w:type="dxa"/>
              <w:right w:w="15" w:type="dxa"/>
            </w:tcMar>
            <w:vAlign w:val="bottom"/>
            <w:hideMark/>
          </w:tcPr>
          <w:p w14:paraId="4500FFB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5EA16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623C9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2,745</w:t>
            </w:r>
          </w:p>
        </w:tc>
        <w:tc>
          <w:tcPr>
            <w:tcW w:w="50" w:type="pct"/>
            <w:shd w:val="clear" w:color="auto" w:fill="CFF0FC"/>
            <w:noWrap/>
            <w:tcMar>
              <w:top w:w="15" w:type="dxa"/>
              <w:left w:w="0" w:type="dxa"/>
              <w:bottom w:w="0" w:type="dxa"/>
              <w:right w:w="15" w:type="dxa"/>
            </w:tcMar>
            <w:vAlign w:val="bottom"/>
            <w:hideMark/>
          </w:tcPr>
          <w:p w14:paraId="3ABC31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60B917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C926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D347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(4,047</w:t>
            </w:r>
          </w:p>
        </w:tc>
        <w:tc>
          <w:tcPr>
            <w:tcW w:w="50" w:type="pct"/>
            <w:shd w:val="clear" w:color="auto" w:fill="CFF0FC"/>
            <w:noWrap/>
            <w:tcMar>
              <w:top w:w="15" w:type="dxa"/>
              <w:left w:w="0" w:type="dxa"/>
              <w:bottom w:w="0" w:type="dxa"/>
              <w:right w:w="15" w:type="dxa"/>
            </w:tcMar>
            <w:vAlign w:val="bottom"/>
            <w:hideMark/>
          </w:tcPr>
          <w:p w14:paraId="5673DC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35F128F4"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BCF3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C6295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7,343</w:t>
            </w:r>
          </w:p>
        </w:tc>
        <w:tc>
          <w:tcPr>
            <w:tcW w:w="50" w:type="pct"/>
            <w:shd w:val="clear" w:color="auto" w:fill="CFF0FC"/>
            <w:noWrap/>
            <w:tcMar>
              <w:top w:w="15" w:type="dxa"/>
              <w:left w:w="0" w:type="dxa"/>
              <w:bottom w:w="0" w:type="dxa"/>
              <w:right w:w="15" w:type="dxa"/>
            </w:tcMar>
            <w:vAlign w:val="bottom"/>
            <w:hideMark/>
          </w:tcPr>
          <w:p w14:paraId="632C0D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C1751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9950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BF7C8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311</w:t>
            </w:r>
          </w:p>
        </w:tc>
        <w:tc>
          <w:tcPr>
            <w:tcW w:w="50" w:type="pct"/>
            <w:shd w:val="clear" w:color="auto" w:fill="CFF0FC"/>
            <w:noWrap/>
            <w:tcMar>
              <w:top w:w="15" w:type="dxa"/>
              <w:left w:w="0" w:type="dxa"/>
              <w:bottom w:w="0" w:type="dxa"/>
              <w:right w:w="15" w:type="dxa"/>
            </w:tcMar>
            <w:vAlign w:val="bottom"/>
            <w:hideMark/>
          </w:tcPr>
          <w:p w14:paraId="0E1956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2BD5707" w14:textId="77777777">
        <w:trPr>
          <w:divId w:val="450442986"/>
          <w:jc w:val="center"/>
        </w:trPr>
        <w:tc>
          <w:tcPr>
            <w:tcW w:w="2944" w:type="pct"/>
            <w:shd w:val="clear" w:color="auto" w:fill="FFFFFF"/>
            <w:tcMar>
              <w:top w:w="15" w:type="dxa"/>
              <w:left w:w="0" w:type="dxa"/>
              <w:bottom w:w="0" w:type="dxa"/>
              <w:right w:w="15" w:type="dxa"/>
            </w:tcMar>
            <w:hideMark/>
          </w:tcPr>
          <w:p w14:paraId="1B4ABA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Weighted average common shares outstanding</w:t>
            </w:r>
          </w:p>
        </w:tc>
        <w:tc>
          <w:tcPr>
            <w:tcW w:w="69" w:type="pct"/>
            <w:shd w:val="clear" w:color="auto" w:fill="FFFFFF"/>
            <w:tcMar>
              <w:top w:w="15" w:type="dxa"/>
              <w:left w:w="0" w:type="dxa"/>
              <w:bottom w:w="0" w:type="dxa"/>
              <w:right w:w="15" w:type="dxa"/>
            </w:tcMar>
            <w:vAlign w:val="bottom"/>
            <w:hideMark/>
          </w:tcPr>
          <w:p w14:paraId="1CE080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BACF3C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6511DD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3,526</w:t>
            </w:r>
          </w:p>
        </w:tc>
        <w:tc>
          <w:tcPr>
            <w:tcW w:w="50" w:type="pct"/>
            <w:shd w:val="clear" w:color="auto" w:fill="FFFFFF"/>
            <w:noWrap/>
            <w:tcMar>
              <w:top w:w="15" w:type="dxa"/>
              <w:left w:w="0" w:type="dxa"/>
              <w:bottom w:w="0" w:type="dxa"/>
              <w:right w:w="15" w:type="dxa"/>
            </w:tcMar>
            <w:vAlign w:val="bottom"/>
            <w:hideMark/>
          </w:tcPr>
          <w:p w14:paraId="796B9C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06246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534EF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1AD7159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4,122</w:t>
            </w:r>
          </w:p>
        </w:tc>
        <w:tc>
          <w:tcPr>
            <w:tcW w:w="50" w:type="pct"/>
            <w:shd w:val="clear" w:color="auto" w:fill="FFFFFF"/>
            <w:noWrap/>
            <w:tcMar>
              <w:top w:w="15" w:type="dxa"/>
              <w:left w:w="0" w:type="dxa"/>
              <w:bottom w:w="0" w:type="dxa"/>
              <w:right w:w="15" w:type="dxa"/>
            </w:tcMar>
            <w:vAlign w:val="bottom"/>
            <w:hideMark/>
          </w:tcPr>
          <w:p w14:paraId="486531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6D3B2D04"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23AF3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7A9E673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3,716</w:t>
            </w:r>
          </w:p>
        </w:tc>
        <w:tc>
          <w:tcPr>
            <w:tcW w:w="50" w:type="pct"/>
            <w:shd w:val="clear" w:color="auto" w:fill="FFFFFF"/>
            <w:noWrap/>
            <w:tcMar>
              <w:top w:w="15" w:type="dxa"/>
              <w:left w:w="0" w:type="dxa"/>
              <w:bottom w:w="0" w:type="dxa"/>
              <w:right w:w="15" w:type="dxa"/>
            </w:tcMar>
            <w:vAlign w:val="bottom"/>
            <w:hideMark/>
          </w:tcPr>
          <w:p w14:paraId="29EAF1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53965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5F22A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double" w:sz="6" w:space="0" w:color="000000"/>
            </w:tcBorders>
            <w:shd w:val="clear" w:color="auto" w:fill="FFFFFF"/>
            <w:noWrap/>
            <w:tcMar>
              <w:top w:w="15" w:type="dxa"/>
              <w:left w:w="0" w:type="dxa"/>
              <w:bottom w:w="0" w:type="dxa"/>
              <w:right w:w="15" w:type="dxa"/>
            </w:tcMar>
            <w:vAlign w:val="bottom"/>
            <w:hideMark/>
          </w:tcPr>
          <w:p w14:paraId="664AC8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4,146</w:t>
            </w:r>
          </w:p>
        </w:tc>
        <w:tc>
          <w:tcPr>
            <w:tcW w:w="50" w:type="pct"/>
            <w:shd w:val="clear" w:color="auto" w:fill="FFFFFF"/>
            <w:noWrap/>
            <w:tcMar>
              <w:top w:w="15" w:type="dxa"/>
              <w:left w:w="0" w:type="dxa"/>
              <w:bottom w:w="0" w:type="dxa"/>
              <w:right w:w="15" w:type="dxa"/>
            </w:tcMar>
            <w:vAlign w:val="bottom"/>
            <w:hideMark/>
          </w:tcPr>
          <w:p w14:paraId="5DFD1F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6F695BD" w14:textId="77777777">
        <w:trPr>
          <w:divId w:val="450442986"/>
          <w:jc w:val="center"/>
        </w:trPr>
        <w:tc>
          <w:tcPr>
            <w:tcW w:w="2944" w:type="pct"/>
            <w:shd w:val="clear" w:color="auto" w:fill="CFF0FC"/>
            <w:tcMar>
              <w:top w:w="15" w:type="dxa"/>
              <w:left w:w="0" w:type="dxa"/>
              <w:bottom w:w="0" w:type="dxa"/>
              <w:right w:w="15" w:type="dxa"/>
            </w:tcMar>
            <w:hideMark/>
          </w:tcPr>
          <w:p w14:paraId="44C082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69" w:type="pct"/>
            <w:shd w:val="clear" w:color="auto" w:fill="CFF0FC"/>
            <w:tcMar>
              <w:top w:w="15" w:type="dxa"/>
              <w:left w:w="0" w:type="dxa"/>
              <w:bottom w:w="0" w:type="dxa"/>
              <w:right w:w="15" w:type="dxa"/>
            </w:tcMar>
            <w:vAlign w:val="bottom"/>
            <w:hideMark/>
          </w:tcPr>
          <w:p w14:paraId="2852DC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EA73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765E14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left w:w="0" w:type="dxa"/>
              <w:bottom w:w="0" w:type="dxa"/>
              <w:right w:w="15" w:type="dxa"/>
            </w:tcMar>
            <w:vAlign w:val="bottom"/>
            <w:hideMark/>
          </w:tcPr>
          <w:p w14:paraId="125676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19FED7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A52C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3BAA8D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8FFE8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C941E9A"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66D1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086D3C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CFF0FC"/>
            <w:noWrap/>
            <w:tcMar>
              <w:top w:w="15" w:type="dxa"/>
              <w:left w:w="0" w:type="dxa"/>
              <w:bottom w:w="0" w:type="dxa"/>
              <w:right w:w="15" w:type="dxa"/>
            </w:tcMar>
            <w:vAlign w:val="bottom"/>
            <w:hideMark/>
          </w:tcPr>
          <w:p w14:paraId="61B5EC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1B47CF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DDF4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bottom w:val="single" w:sz="6" w:space="0" w:color="000000"/>
            </w:tcBorders>
            <w:shd w:val="clear" w:color="auto" w:fill="CFF0FC"/>
            <w:noWrap/>
            <w:tcMar>
              <w:top w:w="15" w:type="dxa"/>
              <w:left w:w="0" w:type="dxa"/>
              <w:bottom w:w="0" w:type="dxa"/>
              <w:right w:w="15" w:type="dxa"/>
            </w:tcMar>
            <w:vAlign w:val="bottom"/>
            <w:hideMark/>
          </w:tcPr>
          <w:p w14:paraId="59EBF6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122</w:t>
            </w:r>
          </w:p>
        </w:tc>
        <w:tc>
          <w:tcPr>
            <w:tcW w:w="50" w:type="pct"/>
            <w:shd w:val="clear" w:color="auto" w:fill="CFF0FC"/>
            <w:noWrap/>
            <w:tcMar>
              <w:top w:w="15" w:type="dxa"/>
              <w:left w:w="0" w:type="dxa"/>
              <w:bottom w:w="0" w:type="dxa"/>
              <w:right w:w="15" w:type="dxa"/>
            </w:tcMar>
            <w:vAlign w:val="bottom"/>
            <w:hideMark/>
          </w:tcPr>
          <w:p w14:paraId="4C5E41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BBC3D94" w14:textId="77777777">
        <w:trPr>
          <w:divId w:val="450442986"/>
          <w:jc w:val="center"/>
        </w:trPr>
        <w:tc>
          <w:tcPr>
            <w:tcW w:w="2944" w:type="pct"/>
            <w:shd w:val="clear" w:color="auto" w:fill="FFFFFF"/>
            <w:tcMar>
              <w:top w:w="15" w:type="dxa"/>
              <w:left w:w="0" w:type="dxa"/>
              <w:bottom w:w="0" w:type="dxa"/>
              <w:right w:w="15" w:type="dxa"/>
            </w:tcMar>
            <w:hideMark/>
          </w:tcPr>
          <w:p w14:paraId="4CDB57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69" w:type="pct"/>
            <w:shd w:val="clear" w:color="auto" w:fill="FFFFFF"/>
            <w:tcMar>
              <w:top w:w="15" w:type="dxa"/>
              <w:left w:w="0" w:type="dxa"/>
              <w:bottom w:w="0" w:type="dxa"/>
              <w:right w:w="15" w:type="dxa"/>
            </w:tcMar>
            <w:vAlign w:val="bottom"/>
            <w:hideMark/>
          </w:tcPr>
          <w:p w14:paraId="15B188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C416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8EC9A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3,617</w:t>
            </w:r>
          </w:p>
        </w:tc>
        <w:tc>
          <w:tcPr>
            <w:tcW w:w="50" w:type="pct"/>
            <w:shd w:val="clear" w:color="auto" w:fill="FFFFFF"/>
            <w:noWrap/>
            <w:tcMar>
              <w:top w:w="15" w:type="dxa"/>
              <w:left w:w="0" w:type="dxa"/>
              <w:bottom w:w="0" w:type="dxa"/>
              <w:right w:w="15" w:type="dxa"/>
            </w:tcMar>
            <w:vAlign w:val="bottom"/>
            <w:hideMark/>
          </w:tcPr>
          <w:p w14:paraId="6FDB49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4AA0F1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53EE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E065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4,122</w:t>
            </w:r>
          </w:p>
        </w:tc>
        <w:tc>
          <w:tcPr>
            <w:tcW w:w="50" w:type="pct"/>
            <w:shd w:val="clear" w:color="auto" w:fill="FFFFFF"/>
            <w:noWrap/>
            <w:tcMar>
              <w:top w:w="15" w:type="dxa"/>
              <w:left w:w="0" w:type="dxa"/>
              <w:bottom w:w="0" w:type="dxa"/>
              <w:right w:w="15" w:type="dxa"/>
            </w:tcMar>
            <w:vAlign w:val="bottom"/>
            <w:hideMark/>
          </w:tcPr>
          <w:p w14:paraId="24AA83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3C7D1EBC"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10D7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2390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3,811</w:t>
            </w:r>
          </w:p>
        </w:tc>
        <w:tc>
          <w:tcPr>
            <w:tcW w:w="50" w:type="pct"/>
            <w:shd w:val="clear" w:color="auto" w:fill="FFFFFF"/>
            <w:noWrap/>
            <w:tcMar>
              <w:top w:w="15" w:type="dxa"/>
              <w:left w:w="0" w:type="dxa"/>
              <w:bottom w:w="0" w:type="dxa"/>
              <w:right w:w="15" w:type="dxa"/>
            </w:tcMar>
            <w:vAlign w:val="bottom"/>
            <w:hideMark/>
          </w:tcPr>
          <w:p w14:paraId="0B6037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054368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FE23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93E0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4,268</w:t>
            </w:r>
          </w:p>
        </w:tc>
        <w:tc>
          <w:tcPr>
            <w:tcW w:w="50" w:type="pct"/>
            <w:shd w:val="clear" w:color="auto" w:fill="FFFFFF"/>
            <w:noWrap/>
            <w:tcMar>
              <w:top w:w="15" w:type="dxa"/>
              <w:left w:w="0" w:type="dxa"/>
              <w:bottom w:w="0" w:type="dxa"/>
              <w:right w:w="15" w:type="dxa"/>
            </w:tcMar>
            <w:vAlign w:val="bottom"/>
            <w:hideMark/>
          </w:tcPr>
          <w:p w14:paraId="21119C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8F5ED99" w14:textId="77777777">
        <w:trPr>
          <w:divId w:val="450442986"/>
          <w:jc w:val="center"/>
        </w:trPr>
        <w:tc>
          <w:tcPr>
            <w:tcW w:w="2944" w:type="pct"/>
            <w:shd w:val="clear" w:color="auto" w:fill="CFF0FC"/>
            <w:tcMar>
              <w:top w:w="15" w:type="dxa"/>
              <w:left w:w="0" w:type="dxa"/>
              <w:bottom w:w="0" w:type="dxa"/>
              <w:right w:w="15" w:type="dxa"/>
            </w:tcMar>
            <w:hideMark/>
          </w:tcPr>
          <w:p w14:paraId="3F9333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Basic earnings (loss) per share</w:t>
            </w:r>
          </w:p>
        </w:tc>
        <w:tc>
          <w:tcPr>
            <w:tcW w:w="69" w:type="pct"/>
            <w:shd w:val="clear" w:color="auto" w:fill="CFF0FC"/>
            <w:tcMar>
              <w:top w:w="15" w:type="dxa"/>
              <w:left w:w="0" w:type="dxa"/>
              <w:bottom w:w="0" w:type="dxa"/>
              <w:right w:w="15" w:type="dxa"/>
            </w:tcMar>
            <w:vAlign w:val="bottom"/>
            <w:hideMark/>
          </w:tcPr>
          <w:p w14:paraId="0D3C66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1291D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left w:w="0" w:type="dxa"/>
              <w:bottom w:w="0" w:type="dxa"/>
              <w:right w:w="15" w:type="dxa"/>
            </w:tcMar>
            <w:vAlign w:val="bottom"/>
            <w:hideMark/>
          </w:tcPr>
          <w:p w14:paraId="016802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0.78</w:t>
            </w:r>
          </w:p>
        </w:tc>
        <w:tc>
          <w:tcPr>
            <w:tcW w:w="50" w:type="pct"/>
            <w:shd w:val="clear" w:color="auto" w:fill="CFF0FC"/>
            <w:noWrap/>
            <w:tcMar>
              <w:top w:w="15" w:type="dxa"/>
              <w:left w:w="0" w:type="dxa"/>
              <w:bottom w:w="0" w:type="dxa"/>
              <w:right w:w="15" w:type="dxa"/>
            </w:tcMar>
            <w:vAlign w:val="bottom"/>
            <w:hideMark/>
          </w:tcPr>
          <w:p w14:paraId="0E3CA2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4721FE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7E2008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left w:w="0" w:type="dxa"/>
              <w:bottom w:w="0" w:type="dxa"/>
              <w:right w:w="15" w:type="dxa"/>
            </w:tcMar>
            <w:vAlign w:val="bottom"/>
            <w:hideMark/>
          </w:tcPr>
          <w:p w14:paraId="2DEB6A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(0.98</w:t>
            </w:r>
          </w:p>
        </w:tc>
        <w:tc>
          <w:tcPr>
            <w:tcW w:w="50" w:type="pct"/>
            <w:shd w:val="clear" w:color="auto" w:fill="CFF0FC"/>
            <w:noWrap/>
            <w:tcMar>
              <w:top w:w="15" w:type="dxa"/>
              <w:left w:w="0" w:type="dxa"/>
              <w:bottom w:w="0" w:type="dxa"/>
              <w:right w:w="15" w:type="dxa"/>
            </w:tcMar>
            <w:vAlign w:val="bottom"/>
            <w:hideMark/>
          </w:tcPr>
          <w:p w14:paraId="3B5A27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CFF0FC"/>
            <w:tcMar>
              <w:top w:w="15" w:type="dxa"/>
              <w:left w:w="0" w:type="dxa"/>
              <w:bottom w:w="0" w:type="dxa"/>
              <w:right w:w="15" w:type="dxa"/>
            </w:tcMar>
            <w:vAlign w:val="bottom"/>
            <w:hideMark/>
          </w:tcPr>
          <w:p w14:paraId="0CB3BC6E"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6508C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left w:w="0" w:type="dxa"/>
              <w:bottom w:w="0" w:type="dxa"/>
              <w:right w:w="15" w:type="dxa"/>
            </w:tcMar>
            <w:vAlign w:val="bottom"/>
            <w:hideMark/>
          </w:tcPr>
          <w:p w14:paraId="3B3CEB1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CFF0FC"/>
            <w:noWrap/>
            <w:tcMar>
              <w:top w:w="15" w:type="dxa"/>
              <w:left w:w="0" w:type="dxa"/>
              <w:bottom w:w="0" w:type="dxa"/>
              <w:right w:w="15" w:type="dxa"/>
            </w:tcMar>
            <w:vAlign w:val="bottom"/>
            <w:hideMark/>
          </w:tcPr>
          <w:p w14:paraId="2B13F2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374074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EB801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tcBorders>
              <w:top w:val="double" w:sz="6" w:space="0" w:color="000000"/>
            </w:tcBorders>
            <w:shd w:val="clear" w:color="auto" w:fill="CFF0FC"/>
            <w:noWrap/>
            <w:tcMar>
              <w:top w:w="15" w:type="dxa"/>
              <w:left w:w="0" w:type="dxa"/>
              <w:bottom w:w="0" w:type="dxa"/>
              <w:right w:w="15" w:type="dxa"/>
            </w:tcMar>
            <w:vAlign w:val="bottom"/>
            <w:hideMark/>
          </w:tcPr>
          <w:p w14:paraId="341DA3C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0.07</w:t>
            </w:r>
          </w:p>
        </w:tc>
        <w:tc>
          <w:tcPr>
            <w:tcW w:w="50" w:type="pct"/>
            <w:shd w:val="clear" w:color="auto" w:fill="CFF0FC"/>
            <w:noWrap/>
            <w:tcMar>
              <w:top w:w="15" w:type="dxa"/>
              <w:left w:w="0" w:type="dxa"/>
              <w:bottom w:w="0" w:type="dxa"/>
              <w:right w:w="15" w:type="dxa"/>
            </w:tcMar>
            <w:vAlign w:val="bottom"/>
            <w:hideMark/>
          </w:tcPr>
          <w:p w14:paraId="7021BA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3882A37" w14:textId="77777777">
        <w:trPr>
          <w:divId w:val="450442986"/>
          <w:jc w:val="center"/>
        </w:trPr>
        <w:tc>
          <w:tcPr>
            <w:tcW w:w="2944" w:type="pct"/>
            <w:shd w:val="clear" w:color="auto" w:fill="FFFFFF"/>
            <w:tcMar>
              <w:top w:w="15" w:type="dxa"/>
              <w:left w:w="0" w:type="dxa"/>
              <w:bottom w:w="0" w:type="dxa"/>
              <w:right w:w="15" w:type="dxa"/>
            </w:tcMar>
            <w:hideMark/>
          </w:tcPr>
          <w:p w14:paraId="6DA8F2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Diluted earnings (loss) per share</w:t>
            </w:r>
          </w:p>
        </w:tc>
        <w:tc>
          <w:tcPr>
            <w:tcW w:w="69" w:type="pct"/>
            <w:shd w:val="clear" w:color="auto" w:fill="FFFFFF"/>
            <w:tcMar>
              <w:top w:w="15" w:type="dxa"/>
              <w:left w:w="0" w:type="dxa"/>
              <w:bottom w:w="0" w:type="dxa"/>
              <w:right w:w="15" w:type="dxa"/>
            </w:tcMar>
            <w:vAlign w:val="bottom"/>
            <w:hideMark/>
          </w:tcPr>
          <w:p w14:paraId="0573C1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CD6B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left w:w="0" w:type="dxa"/>
              <w:bottom w:w="0" w:type="dxa"/>
              <w:right w:w="15" w:type="dxa"/>
            </w:tcMar>
            <w:vAlign w:val="bottom"/>
            <w:hideMark/>
          </w:tcPr>
          <w:p w14:paraId="17942E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0.76</w:t>
            </w:r>
          </w:p>
        </w:tc>
        <w:tc>
          <w:tcPr>
            <w:tcW w:w="50" w:type="pct"/>
            <w:shd w:val="clear" w:color="auto" w:fill="FFFFFF"/>
            <w:noWrap/>
            <w:tcMar>
              <w:top w:w="15" w:type="dxa"/>
              <w:left w:w="0" w:type="dxa"/>
              <w:bottom w:w="0" w:type="dxa"/>
              <w:right w:w="15" w:type="dxa"/>
            </w:tcMar>
            <w:vAlign w:val="bottom"/>
            <w:hideMark/>
          </w:tcPr>
          <w:p w14:paraId="2AD914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64FB6E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CD87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left w:w="0" w:type="dxa"/>
              <w:bottom w:w="0" w:type="dxa"/>
              <w:right w:w="15" w:type="dxa"/>
            </w:tcMar>
            <w:vAlign w:val="bottom"/>
            <w:hideMark/>
          </w:tcPr>
          <w:p w14:paraId="13C9415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(0.98</w:t>
            </w:r>
          </w:p>
        </w:tc>
        <w:tc>
          <w:tcPr>
            <w:tcW w:w="50" w:type="pct"/>
            <w:shd w:val="clear" w:color="auto" w:fill="FFFFFF"/>
            <w:noWrap/>
            <w:tcMar>
              <w:top w:w="15" w:type="dxa"/>
              <w:left w:w="0" w:type="dxa"/>
              <w:bottom w:w="0" w:type="dxa"/>
              <w:right w:w="15" w:type="dxa"/>
            </w:tcMar>
            <w:vAlign w:val="bottom"/>
            <w:hideMark/>
          </w:tcPr>
          <w:p w14:paraId="2ADB8F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9" w:type="pct"/>
            <w:shd w:val="clear" w:color="auto" w:fill="FFFFFF"/>
            <w:tcMar>
              <w:top w:w="15" w:type="dxa"/>
              <w:left w:w="0" w:type="dxa"/>
              <w:bottom w:w="0" w:type="dxa"/>
              <w:right w:w="15" w:type="dxa"/>
            </w:tcMar>
            <w:vAlign w:val="bottom"/>
            <w:hideMark/>
          </w:tcPr>
          <w:p w14:paraId="44164742"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B87C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left w:w="0" w:type="dxa"/>
              <w:bottom w:w="0" w:type="dxa"/>
              <w:right w:w="15" w:type="dxa"/>
            </w:tcMar>
            <w:vAlign w:val="bottom"/>
            <w:hideMark/>
          </w:tcPr>
          <w:p w14:paraId="3182A15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1.93</w:t>
            </w:r>
          </w:p>
        </w:tc>
        <w:tc>
          <w:tcPr>
            <w:tcW w:w="50" w:type="pct"/>
            <w:shd w:val="clear" w:color="auto" w:fill="FFFFFF"/>
            <w:noWrap/>
            <w:tcMar>
              <w:top w:w="15" w:type="dxa"/>
              <w:left w:w="0" w:type="dxa"/>
              <w:bottom w:w="0" w:type="dxa"/>
              <w:right w:w="15" w:type="dxa"/>
            </w:tcMar>
            <w:vAlign w:val="bottom"/>
            <w:hideMark/>
          </w:tcPr>
          <w:p w14:paraId="7B73C8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FFFFFF"/>
            <w:tcMar>
              <w:top w:w="15" w:type="dxa"/>
              <w:left w:w="0" w:type="dxa"/>
              <w:bottom w:w="0" w:type="dxa"/>
              <w:right w:w="15" w:type="dxa"/>
            </w:tcMar>
            <w:vAlign w:val="bottom"/>
            <w:hideMark/>
          </w:tcPr>
          <w:p w14:paraId="23D98D9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1AC2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4" w:type="pct"/>
            <w:shd w:val="clear" w:color="auto" w:fill="FFFFFF"/>
            <w:noWrap/>
            <w:tcMar>
              <w:top w:w="15" w:type="dxa"/>
              <w:left w:w="0" w:type="dxa"/>
              <w:bottom w:w="0" w:type="dxa"/>
              <w:right w:w="15" w:type="dxa"/>
            </w:tcMar>
            <w:vAlign w:val="bottom"/>
            <w:hideMark/>
          </w:tcPr>
          <w:p w14:paraId="599E32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0.07</w:t>
            </w:r>
          </w:p>
        </w:tc>
        <w:tc>
          <w:tcPr>
            <w:tcW w:w="50" w:type="pct"/>
            <w:shd w:val="clear" w:color="auto" w:fill="FFFFFF"/>
            <w:noWrap/>
            <w:tcMar>
              <w:top w:w="15" w:type="dxa"/>
              <w:left w:w="0" w:type="dxa"/>
              <w:bottom w:w="0" w:type="dxa"/>
              <w:right w:w="15" w:type="dxa"/>
            </w:tcMar>
            <w:vAlign w:val="bottom"/>
            <w:hideMark/>
          </w:tcPr>
          <w:p w14:paraId="24F91A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76D005A" w14:textId="77777777">
        <w:trPr>
          <w:divId w:val="450442986"/>
          <w:jc w:val="center"/>
        </w:trPr>
        <w:tc>
          <w:tcPr>
            <w:tcW w:w="2944" w:type="pct"/>
            <w:shd w:val="clear" w:color="auto" w:fill="CFF0FC"/>
            <w:tcMar>
              <w:top w:w="15" w:type="dxa"/>
              <w:left w:w="0" w:type="dxa"/>
              <w:bottom w:w="0" w:type="dxa"/>
              <w:right w:w="15" w:type="dxa"/>
            </w:tcMar>
            <w:hideMark/>
          </w:tcPr>
          <w:p w14:paraId="19C82D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Shares subject to anti-dilutive restricted stock-based awards and</w:t>
            </w:r>
          </w:p>
          <w:p w14:paraId="2F8AAB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stock options excluded from calculation</w:t>
            </w:r>
            <w:r>
              <w:rPr>
                <w:rFonts w:ascii="Calibri" w:hAnsi="Calibri" w:cs="Calibri"/>
                <w:color w:val="000000"/>
                <w:sz w:val="17"/>
                <w:szCs w:val="17"/>
                <w:vertAlign w:val="superscript"/>
              </w:rPr>
              <w:t>(1)</w:t>
            </w:r>
          </w:p>
        </w:tc>
        <w:tc>
          <w:tcPr>
            <w:tcW w:w="69" w:type="pct"/>
            <w:shd w:val="clear" w:color="auto" w:fill="CFF0FC"/>
            <w:tcMar>
              <w:top w:w="15" w:type="dxa"/>
              <w:left w:w="0" w:type="dxa"/>
              <w:bottom w:w="0" w:type="dxa"/>
              <w:right w:w="15" w:type="dxa"/>
            </w:tcMar>
            <w:vAlign w:val="bottom"/>
            <w:hideMark/>
          </w:tcPr>
          <w:p w14:paraId="75D911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7835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5598C59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CFF0FC"/>
            <w:noWrap/>
            <w:tcMar>
              <w:top w:w="15" w:type="dxa"/>
              <w:left w:w="0" w:type="dxa"/>
              <w:bottom w:w="0" w:type="dxa"/>
              <w:right w:w="15" w:type="dxa"/>
            </w:tcMar>
            <w:vAlign w:val="bottom"/>
            <w:hideMark/>
          </w:tcPr>
          <w:p w14:paraId="60E0E1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E3266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8F71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3FFE838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190</w:t>
            </w:r>
          </w:p>
        </w:tc>
        <w:tc>
          <w:tcPr>
            <w:tcW w:w="50" w:type="pct"/>
            <w:shd w:val="clear" w:color="auto" w:fill="CFF0FC"/>
            <w:noWrap/>
            <w:tcMar>
              <w:top w:w="15" w:type="dxa"/>
              <w:left w:w="0" w:type="dxa"/>
              <w:bottom w:w="0" w:type="dxa"/>
              <w:right w:w="15" w:type="dxa"/>
            </w:tcMar>
            <w:vAlign w:val="bottom"/>
            <w:hideMark/>
          </w:tcPr>
          <w:p w14:paraId="220825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2D94D6A8" w14:textId="77777777" w:rsidR="00716E85" w:rsidRDefault="00716E8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FBB5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70696B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left w:w="0" w:type="dxa"/>
              <w:bottom w:w="0" w:type="dxa"/>
              <w:right w:w="15" w:type="dxa"/>
            </w:tcMar>
            <w:vAlign w:val="bottom"/>
            <w:hideMark/>
          </w:tcPr>
          <w:p w14:paraId="174C23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 w:type="pct"/>
            <w:shd w:val="clear" w:color="auto" w:fill="CFF0FC"/>
            <w:tcMar>
              <w:top w:w="15" w:type="dxa"/>
              <w:left w:w="0" w:type="dxa"/>
              <w:bottom w:w="0" w:type="dxa"/>
              <w:right w:w="15" w:type="dxa"/>
            </w:tcMar>
            <w:vAlign w:val="bottom"/>
            <w:hideMark/>
          </w:tcPr>
          <w:p w14:paraId="5EFE722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6D5C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4" w:type="pct"/>
            <w:shd w:val="clear" w:color="auto" w:fill="CFF0FC"/>
            <w:noWrap/>
            <w:tcMar>
              <w:top w:w="15" w:type="dxa"/>
              <w:left w:w="0" w:type="dxa"/>
              <w:bottom w:w="0" w:type="dxa"/>
              <w:right w:w="15" w:type="dxa"/>
            </w:tcMar>
            <w:vAlign w:val="bottom"/>
            <w:hideMark/>
          </w:tcPr>
          <w:p w14:paraId="1873B59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60</w:t>
            </w:r>
          </w:p>
        </w:tc>
        <w:tc>
          <w:tcPr>
            <w:tcW w:w="50" w:type="pct"/>
            <w:shd w:val="clear" w:color="auto" w:fill="CFF0FC"/>
            <w:noWrap/>
            <w:tcMar>
              <w:top w:w="15" w:type="dxa"/>
              <w:left w:w="0" w:type="dxa"/>
              <w:bottom w:w="0" w:type="dxa"/>
              <w:right w:w="15" w:type="dxa"/>
            </w:tcMar>
            <w:vAlign w:val="bottom"/>
            <w:hideMark/>
          </w:tcPr>
          <w:p w14:paraId="2A0AB275"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BB37256" w14:textId="77777777" w:rsidR="00716E85" w:rsidRDefault="00716E85">
      <w:pPr>
        <w:pStyle w:val="a3"/>
        <w:pBdr>
          <w:bottom w:val="single" w:sz="6" w:space="1" w:color="auto"/>
        </w:pBdr>
        <w:spacing w:before="0" w:beforeAutospacing="0" w:after="0" w:afterAutospacing="0"/>
        <w:ind w:right="10477"/>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2F590349" w14:textId="77777777">
        <w:tc>
          <w:tcPr>
            <w:tcW w:w="192" w:type="pct"/>
            <w:noWrap/>
            <w:hideMark/>
          </w:tcPr>
          <w:p w14:paraId="1E36079D"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19CED89F"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These weighted shares relate to anti-dilutive restricted service based stock-based awards and stock options (as calculated using the treasury stock method) and contingently issuable shares under PSO and PSU arrangements. Such shares could be dilutive in the future.</w:t>
            </w:r>
          </w:p>
        </w:tc>
      </w:tr>
    </w:tbl>
    <w:p w14:paraId="04DFD1DA" w14:textId="77777777" w:rsidR="00716E85" w:rsidRDefault="00716E85">
      <w:pPr>
        <w:pStyle w:val="a3"/>
        <w:spacing w:before="0" w:beforeAutospacing="0" w:after="0" w:afterAutospacing="0"/>
        <w:jc w:val="both"/>
        <w:rPr>
          <w:sz w:val="12"/>
          <w:szCs w:val="12"/>
        </w:rPr>
      </w:pPr>
      <w:r>
        <w:rPr>
          <w:sz w:val="12"/>
          <w:szCs w:val="12"/>
        </w:rPr>
        <w:t> </w:t>
      </w:r>
    </w:p>
    <w:p w14:paraId="198252D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30</w:t>
      </w:r>
    </w:p>
    <w:p w14:paraId="37B1CABE" w14:textId="77777777" w:rsidR="00716E85" w:rsidRDefault="00716E85">
      <w:pPr>
        <w:rPr>
          <w:rFonts w:ascii="Times New Roman" w:eastAsia="Times New Roman" w:hAnsi="Times New Roman" w:cs="Times New Roman"/>
          <w:sz w:val="24"/>
          <w:szCs w:val="24"/>
        </w:rPr>
      </w:pPr>
      <w:r>
        <w:rPr>
          <w:rFonts w:eastAsia="Times New Roman"/>
        </w:rPr>
        <w:pict w14:anchorId="42530652">
          <v:rect id="_x0000_i1056" style="width:415.3pt;height:1.5pt" o:hralign="center" o:hrstd="t" o:hr="t" fillcolor="#a0a0a0" stroked="f"/>
        </w:pict>
      </w:r>
    </w:p>
    <w:p w14:paraId="3ABBA86D"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C39296D" w14:textId="77777777" w:rsidR="00716E85" w:rsidRDefault="00716E85">
      <w:pPr>
        <w:pStyle w:val="a3"/>
      </w:pPr>
      <w:r>
        <w:t> </w:t>
      </w:r>
    </w:p>
    <w:p w14:paraId="47F70D8B"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6BCF6A41"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0F2C3AE0"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2EDB4F36"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2E7A880F"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716E85" w14:paraId="35821D0A" w14:textId="77777777">
        <w:tc>
          <w:tcPr>
            <w:tcW w:w="262" w:type="pct"/>
            <w:noWrap/>
            <w:hideMark/>
          </w:tcPr>
          <w:p w14:paraId="2DC27F31"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12.</w:t>
            </w:r>
          </w:p>
        </w:tc>
        <w:tc>
          <w:tcPr>
            <w:tcW w:w="0" w:type="auto"/>
            <w:hideMark/>
          </w:tcPr>
          <w:p w14:paraId="1996492E" w14:textId="77777777" w:rsidR="00716E85" w:rsidRDefault="00716E85">
            <w:pPr>
              <w:pStyle w:val="a3"/>
              <w:spacing w:before="120" w:beforeAutospacing="0" w:after="0" w:afterAutospacing="0"/>
              <w:jc w:val="both"/>
              <w:rPr>
                <w:rFonts w:ascii="Calibri" w:hAnsi="Calibri" w:cs="Calibri"/>
                <w:b/>
                <w:bCs/>
                <w:sz w:val="20"/>
                <w:szCs w:val="20"/>
              </w:rPr>
            </w:pPr>
            <w:bookmarkStart w:id="39" w:name="_AEIOULastRenderedPageBreakAEIOU31"/>
            <w:bookmarkEnd w:id="39"/>
            <w:r>
              <w:rPr>
                <w:rFonts w:ascii="Calibri" w:hAnsi="Calibri" w:cs="Calibri"/>
                <w:b/>
                <w:bCs/>
                <w:sz w:val="20"/>
                <w:szCs w:val="20"/>
              </w:rPr>
              <w:t>LEGAL PROCEEDINGS</w:t>
            </w:r>
          </w:p>
        </w:tc>
      </w:tr>
    </w:tbl>
    <w:p w14:paraId="5BA0CC5E"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42CD13C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June 15, 2011, Hewlett-Packard Company, now Hewlett Packard Enterprise Company (HP), filed a complaint in the California Superior Court, County of Santa Clara against Oracle Corporation alleging numerous causes of action including breach of contract, breach of the covenant of good faith and fair dealing, defamation, intentional interference with prospective economic advantage, and violation of the California Unfair Business Practices Act. The complaint alleged that when Oracle announced on March 22 and 23, 2011 that it would no longer develop future versions of its software to run on HP’s Itanium-based servers, it breached a settlement agreement signed on September 20, 2010 between HP and Mark Hurd (the Hurd Settlement Agreement), who is our Chief Executive Officer and was both HP’s former chief executive officer and chairman of HP’s board of directors. HP sought a judicial declaration of the parties’ rights and obligations under the Hurd Settlement Agreement and other equitable and monetary relief. Oracle answered the complaint and filed cross-claims.</w:t>
      </w:r>
    </w:p>
    <w:p w14:paraId="507CAD2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After a bench trial on the meaning of the Hurd Settlement Agreement, the court found that the Hurd Settlement Agreement required Oracle to continue to develop certain of its software products for use on HP’s Itanium-based servers at no cost to HP.  The case proceeded to a jury trial in May 2016. On June 30, 2016, the jury returned a verdict in favor of HP on its claims for breach of contract and breach of the implied covenant of good faith and fair dealing and against Oracle on its cross-claims.  The jury awarded HP $3.0 billion in damages. Under the court’s rulings, HP is entitled to post-judgment interest, but not pre-judgment interest, on this award.</w:t>
      </w:r>
    </w:p>
    <w:p w14:paraId="5A0AC42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After the trial court denied Oracle’s motion for a new trial, Oracle filed a notice of appeal on January 17, 2017. On February 2, 2017, HP filed a notice of appeal of the trial court’s denial of pre-judgment interest. </w:t>
      </w:r>
    </w:p>
    <w:p w14:paraId="6A13B4A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Oracle has posted a bond for the amounts owing. No amounts have been paid or recorded to our results of operations. We continue to believe that we have meritorious defenses against HP’s claims, and we intend to present these defenses to the appellate court. Oracle filed its opening brief on March 7, 2019. Briefing on the appeal is scheduled to be completed by September 2019, and the appellate court has not scheduled a date for oral argument. We cannot currently estimate a reasonably possible range of loss for this action due to the complexities and uncertainty surrounding the appeal process and the nature of the claims. Litigation is inherently unpredictable, and the outcome of the appeal process related to this action is uncertain. It is possible that the resolution of this action could have a material impact on our future cash flows and results of operations.</w:t>
      </w:r>
    </w:p>
    <w:p w14:paraId="110561A1"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167F088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May 3, 2017, a stockholder derivative lawsuit was filed in the Court of Chancery of the State of Delaware, and on July 18, 2017, a second stockholder derivative lawsuit was filed in the same court.  The second case was brought by an alleged stockholder of Oracle, purportedly on Oracle’s behalf. The suit was brought against all the then-current members and one former member of our Board of Directors, and Oracle as a nominal defendant. Plaintiff alleges that the defendants breached their fiduciary duties by causing Oracle to agree to purchase NetSuite Inc. at an excessive price. Plaintiff seeks declaratory relief, unspecified monetary damages (including interest), and attorneys’ fees and costs.</w:t>
      </w:r>
    </w:p>
    <w:p w14:paraId="2275D40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August 9, 2017, the court consolidated the two derivative cases. In a September 7, 2017 order, the court appointed plaintiff’s counsel in the second case as lead plaintiffs’ counsel and designated the July 18, 2017 complaint as the operative complaint. The defendants filed a motion to dismiss on October 27, 2017, and after briefing and argument, the court denied this motion on March 19, 2018. The parties stipulated that all of the individual defendants, except for our Chief Technology Officer and one of our Chief Executive Officers, should be dismissed from this case without prejudice, and on March 28, 2018, the court approved this stipulation. On May 4, 2018, the remaining defendants answered plaintiff’s complaint.</w:t>
      </w:r>
    </w:p>
    <w:p w14:paraId="1D537C2A"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31</w:t>
      </w:r>
    </w:p>
    <w:p w14:paraId="26CF2183" w14:textId="77777777" w:rsidR="00716E85" w:rsidRDefault="00716E85">
      <w:pPr>
        <w:rPr>
          <w:rFonts w:ascii="Times New Roman" w:eastAsia="Times New Roman" w:hAnsi="Times New Roman" w:cs="Times New Roman"/>
          <w:sz w:val="24"/>
          <w:szCs w:val="24"/>
        </w:rPr>
      </w:pPr>
      <w:r>
        <w:rPr>
          <w:rFonts w:eastAsia="Times New Roman"/>
        </w:rPr>
        <w:pict w14:anchorId="062646D8">
          <v:rect id="_x0000_i1057" style="width:415.3pt;height:1.5pt" o:hralign="center" o:hrstd="t" o:hr="t" fillcolor="#a0a0a0" stroked="f"/>
        </w:pict>
      </w:r>
    </w:p>
    <w:p w14:paraId="734578A7"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B32853F" w14:textId="77777777" w:rsidR="00716E85" w:rsidRDefault="00716E85">
      <w:pPr>
        <w:pStyle w:val="a3"/>
      </w:pPr>
      <w:r>
        <w:t> </w:t>
      </w:r>
    </w:p>
    <w:p w14:paraId="6C2E8EFC"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ORACLE CORPORATION</w:t>
      </w:r>
    </w:p>
    <w:p w14:paraId="5130563A"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NOTES TO CONDENSED CONSOLIDATED FINANCIAL STATEMENTS</w:t>
      </w:r>
      <w:r>
        <w:rPr>
          <w:rFonts w:ascii="Calibri" w:hAnsi="Calibri" w:cs="Calibri"/>
          <w:b/>
          <w:bCs/>
          <w:color w:val="000000"/>
          <w:sz w:val="20"/>
          <w:szCs w:val="20"/>
          <w:shd w:val="clear" w:color="auto" w:fill="FFFFFF"/>
        </w:rPr>
        <w:t>—(Continued)</w:t>
      </w:r>
    </w:p>
    <w:p w14:paraId="4668D280" w14:textId="77777777" w:rsidR="00716E85" w:rsidRDefault="00716E85">
      <w:pPr>
        <w:pStyle w:val="a3"/>
        <w:shd w:val="clear" w:color="auto" w:fill="FFFFFF"/>
        <w:spacing w:before="0" w:beforeAutospacing="0" w:after="0" w:afterAutospacing="0"/>
        <w:jc w:val="center"/>
        <w:rPr>
          <w:rFonts w:ascii="Calibri" w:hAnsi="Calibri" w:cs="Calibri"/>
          <w:b/>
          <w:bCs/>
          <w:sz w:val="20"/>
          <w:szCs w:val="20"/>
        </w:rPr>
      </w:pPr>
      <w:r>
        <w:rPr>
          <w:rFonts w:ascii="Calibri" w:hAnsi="Calibri" w:cs="Calibri"/>
          <w:b/>
          <w:bCs/>
          <w:sz w:val="20"/>
          <w:szCs w:val="20"/>
        </w:rPr>
        <w:t>February 28,</w:t>
      </w:r>
      <w:r>
        <w:rPr>
          <w:rFonts w:ascii="Calibri" w:hAnsi="Calibri" w:cs="Calibri"/>
          <w:b/>
          <w:bCs/>
          <w:color w:val="000000"/>
          <w:sz w:val="20"/>
          <w:szCs w:val="20"/>
        </w:rPr>
        <w:t xml:space="preserve"> 2019</w:t>
      </w:r>
    </w:p>
    <w:p w14:paraId="3E6053C3" w14:textId="77777777" w:rsidR="00716E85" w:rsidRDefault="00716E85">
      <w:pPr>
        <w:pStyle w:val="a3"/>
        <w:shd w:val="clear" w:color="auto" w:fill="FFFFFF"/>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(Unaudited)</w:t>
      </w:r>
    </w:p>
    <w:p w14:paraId="107A42D3" w14:textId="77777777" w:rsidR="00716E85" w:rsidRDefault="00716E85">
      <w:pPr>
        <w:pStyle w:val="a3"/>
        <w:spacing w:before="0" w:beforeAutospacing="0" w:after="0" w:afterAutospacing="0"/>
        <w:rPr>
          <w:sz w:val="20"/>
          <w:szCs w:val="20"/>
        </w:rPr>
      </w:pPr>
      <w:r>
        <w:rPr>
          <w:sz w:val="20"/>
          <w:szCs w:val="20"/>
        </w:rPr>
        <w:t> </w:t>
      </w:r>
    </w:p>
    <w:p w14:paraId="3D624A1B" w14:textId="77777777" w:rsidR="00716E85" w:rsidRDefault="00716E85">
      <w:pPr>
        <w:pStyle w:val="a3"/>
        <w:spacing w:before="120" w:beforeAutospacing="0" w:after="0" w:afterAutospacing="0"/>
        <w:jc w:val="both"/>
        <w:rPr>
          <w:rFonts w:ascii="Calibri" w:hAnsi="Calibri" w:cs="Calibri"/>
          <w:sz w:val="20"/>
          <w:szCs w:val="20"/>
        </w:rPr>
      </w:pPr>
      <w:bookmarkStart w:id="40" w:name="_AEIOULastRenderedPageBreakAEIOU32"/>
      <w:bookmarkEnd w:id="40"/>
      <w:r>
        <w:rPr>
          <w:rFonts w:ascii="Calibri" w:hAnsi="Calibri" w:cs="Calibri"/>
          <w:sz w:val="20"/>
          <w:szCs w:val="20"/>
        </w:rPr>
        <w:t>On May 4, 2018, the Board of Directors established a Special Litigation Committee (the SLC) to investigate the allegations in this derivative action. Three outside directors serve on the SLC.  On July 24, 2018, the court entered an order granting the SLC’s motion to stay this case for six months, and ordering the SLC to provide a status report by November 30, 2018. The SLC provided a status report to the court on November 29, 2018. On December 28, 2018, the court extended the stay of the case through May 15, 2019.</w:t>
      </w:r>
    </w:p>
    <w:p w14:paraId="7EC1C326"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While Oracle continues to evaluate these claims, we do not believe this litigation will have a material impact on our financial position or results of operations. </w:t>
      </w:r>
    </w:p>
    <w:p w14:paraId="6A6884BC"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46B90AEB"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August 10, 2018, a putative class action, brought by an alleged stockholder of Oracle, was filed in the United States District Court for the Northern District of California against us, our Chief Technology Officer, our two Chief Executive Officers, two other Oracle executives, and one former Oracle executive. On December 21, 2018, the court granted plaintiff’s motion that it be appointed lead plaintiff and approving its selection of lead plaintiff’s counsel. On March 8, 2019, plaintiff filed an amended complaint. Plaintiff alleges that the defendants made or are responsible for false and misleading statements regarding Oracle’s cloud business. Plaintiff further alleges that the former Oracle executive engaged in insider trading. Plaintiff seeks a ruling that this case may proceed as a class action, and seeks damages, attorneys’ fees and costs, and unspecified declaratory/injunctive relief. Defendants’ response to the amended complaint is due by April 19, 2019. We believe that we have meritorious defenses against this action, and we will continue to vigorously defend it.</w:t>
      </w:r>
    </w:p>
    <w:p w14:paraId="43E4C56B"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February 12, 2019, a stockholder derivative lawsuit was filed in the United States District Court for the Northern District of California. The derivative suit is brought by two alleged stockholders of Oracle, purportedly on Oracle’s behalf, against all members of our Board of Directors, and Oracle as a nominal defendant. Plaintiffs claim that the alleged actions described in the August 10, 2018 class action discussed above caused harm to Oracle, and that Oracle’s Board members violated their fiduciary duties of care, loyalty, reasonable inquiry, and good faith by failing to prevent this alleged harm. Plaintiffs also allege that defendants’ actions constitute gross mismanagement, waste, and securities fraud. Plaintiffs seek a ruling that this case may proceed as a derivative action, a finding that defendants are liable for breaching their fiduciary duties, an order directing defendants to enact corporate reforms, attorneys’ fees and costs, and unspecified equitable relief. While Oracle continues to evaluate these claims, we do not believe this litigation will have a material impact on our financial position or results of operations.</w:t>
      </w:r>
    </w:p>
    <w:p w14:paraId="3A7670DD"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Other Litigation</w:t>
      </w:r>
    </w:p>
    <w:p w14:paraId="6CD4A3B3"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are party to various other legal proceedings and claims, either asserted or unasserted, which arise in the ordinary course of business, including proceedings and claims that relate to acquisitions we have completed or to companies we have acquired or are attempting to acquire. While the outcome of these matters cannot be predicted with certainty, we do not believe that the outcome of any of these matters, individually or in the aggregate, will result in losses that are materially in excess of amounts already recognized, if any.</w:t>
      </w:r>
    </w:p>
    <w:p w14:paraId="34990CEE" w14:textId="77777777" w:rsidR="00716E85" w:rsidRDefault="00716E85">
      <w:pPr>
        <w:pStyle w:val="a3"/>
        <w:spacing w:before="0" w:beforeAutospacing="0" w:after="0" w:afterAutospacing="0"/>
        <w:jc w:val="both"/>
        <w:rPr>
          <w:sz w:val="12"/>
          <w:szCs w:val="12"/>
        </w:rPr>
      </w:pPr>
      <w:r>
        <w:rPr>
          <w:sz w:val="12"/>
          <w:szCs w:val="12"/>
        </w:rPr>
        <w:t> </w:t>
      </w:r>
    </w:p>
    <w:p w14:paraId="6E91C686"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32</w:t>
      </w:r>
    </w:p>
    <w:p w14:paraId="6979E821" w14:textId="77777777" w:rsidR="00716E85" w:rsidRDefault="00716E85">
      <w:pPr>
        <w:rPr>
          <w:rFonts w:ascii="Times New Roman" w:eastAsia="Times New Roman" w:hAnsi="Times New Roman" w:cs="Times New Roman"/>
          <w:sz w:val="24"/>
          <w:szCs w:val="24"/>
        </w:rPr>
      </w:pPr>
      <w:r>
        <w:rPr>
          <w:rFonts w:eastAsia="Times New Roman"/>
        </w:rPr>
        <w:pict w14:anchorId="057871C9">
          <v:rect id="_x0000_i1058" style="width:415.3pt;height:1.5pt" o:hralign="center" o:hrstd="t" o:hr="t" fillcolor="#a0a0a0" stroked="f"/>
        </w:pict>
      </w:r>
    </w:p>
    <w:p w14:paraId="04CB3819"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333BF19"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716E85" w14:paraId="0BB11074" w14:textId="77777777">
        <w:tc>
          <w:tcPr>
            <w:tcW w:w="262" w:type="pct"/>
            <w:noWrap/>
            <w:hideMark/>
          </w:tcPr>
          <w:p w14:paraId="7336D568"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Item 2.</w:t>
            </w:r>
          </w:p>
        </w:tc>
        <w:tc>
          <w:tcPr>
            <w:tcW w:w="0" w:type="auto"/>
            <w:hideMark/>
          </w:tcPr>
          <w:p w14:paraId="19A5E0E2" w14:textId="77777777" w:rsidR="00716E85" w:rsidRDefault="00716E85">
            <w:pPr>
              <w:pStyle w:val="a3"/>
              <w:spacing w:before="0" w:beforeAutospacing="0" w:after="0" w:afterAutospacing="0"/>
              <w:jc w:val="both"/>
              <w:rPr>
                <w:rFonts w:ascii="Calibri" w:hAnsi="Calibri" w:cs="Calibri"/>
                <w:b/>
                <w:bCs/>
                <w:sz w:val="20"/>
                <w:szCs w:val="20"/>
              </w:rPr>
            </w:pPr>
            <w:bookmarkStart w:id="41" w:name="ITEM_2_MANAGEMENTS_DISCUSSION_ANALYSIS_F"/>
            <w:bookmarkStart w:id="42" w:name="_AEIOULastRenderedPageBreakAEIOU33"/>
            <w:bookmarkEnd w:id="41"/>
            <w:bookmarkEnd w:id="42"/>
            <w:r>
              <w:rPr>
                <w:rFonts w:ascii="Calibri" w:hAnsi="Calibri" w:cs="Calibri"/>
                <w:b/>
                <w:bCs/>
                <w:sz w:val="20"/>
                <w:szCs w:val="20"/>
              </w:rPr>
              <w:t>Management’s Discussion and Analysis of Financial Condition and Results of Operations</w:t>
            </w:r>
          </w:p>
        </w:tc>
      </w:tr>
    </w:tbl>
    <w:p w14:paraId="22D0D72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begin Management’s Discussion and Analysis of Financial Condition and Results of Operations with an overview of our businesses and significant trends. This overview is followed by a summary of our critical accounting policies and estimates that we believe are important to understanding the assumptions and judgments incorporated in our reported financial results. We then provide a more detailed analysis of our results of operations and financial condition.</w:t>
      </w:r>
    </w:p>
    <w:p w14:paraId="40DAE908"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Business Overview</w:t>
      </w:r>
    </w:p>
    <w:p w14:paraId="292AA70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Oracle Corporation provides products and services for enterprise information technology (IT) environments including applications and infrastructure technologies that are delivered to customers worldwide through a variety of flexible and interoperable IT deployment models, including cloud-based, on-premise, or hybrid IT models, which enable customer choice and flexibility. We market and sell our offerings globally to businesses of many sizes, government agencies, educational institutions and resellers with a worldwide sales force positioned to offer the combinations that best meet customer needs. </w:t>
      </w:r>
    </w:p>
    <w:p w14:paraId="6456B08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Management’s Discussion and Analysis of Financial Condition and Results of Operations and the information contained within Note 10 of Notes to Condensed Consolidated Financial Statements included elsewhere in this Quarterly Report provide additional information related to our businesses and operating segments and align to how our chief operating decision makers (CODMs), which include our Chief Executive Officers and Chief Technology Officer, view our operating results and allocate resources.</w:t>
      </w:r>
    </w:p>
    <w:p w14:paraId="6CBFF879" w14:textId="77777777" w:rsidR="00716E85" w:rsidRDefault="00716E85">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 xml:space="preserve">Cloud and License Business </w:t>
      </w:r>
    </w:p>
    <w:p w14:paraId="1BAC1F56"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cloud and license line of business, which represented 82% of our total revenues on a trailing 4-quarter basis, markets, sells and delivers a broad spectrum of applications and infrastructure technologies through our cloud and license offerings. </w:t>
      </w:r>
    </w:p>
    <w:p w14:paraId="353AF6F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Cloud services and license support revenues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F012FD4" w14:textId="77777777">
        <w:tc>
          <w:tcPr>
            <w:tcW w:w="262" w:type="pct"/>
            <w:noWrap/>
            <w:hideMark/>
          </w:tcPr>
          <w:p w14:paraId="32204714"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B53A7B4"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73556B45"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license support revenues, which are earned by providing license support services to customers that have elected to purchase support services in connection with the purchase of Oracle applications and infrastructure software licenses for use in cloud, on-premise and other IT environments. Substantially all license support customers renew their support contracts with us upon expiration in order to continue to benefit from technical support services and the periodic issuance of unspecified updates and enhancements for which current license support customers are entitled to receive. License support contracts are generally priced as a percentage of the net fees paid by the customer to purchase a cloud license and/or on-premise license; are generally billed in advance of the support services being performed; are generally renewed; and are generally recognized as revenues ratably over the contractual period that the support services are provided, which is generally one year; and </w:t>
            </w:r>
          </w:p>
        </w:tc>
      </w:tr>
    </w:tbl>
    <w:p w14:paraId="5B9491E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1851C3E" w14:textId="77777777">
        <w:tc>
          <w:tcPr>
            <w:tcW w:w="262" w:type="pct"/>
            <w:noWrap/>
            <w:hideMark/>
          </w:tcPr>
          <w:p w14:paraId="6DAF6752"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D1BAB66"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98B5693"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cloud services revenues, which includes revenues from Oracle Cloud Software-as-a-Service (SaaS) and Infrastructure-as-a-Service (IaaS) offerings (collectively, Oracle Cloud Services), which provide customers access to applications and infrastructure technologies via cloud-based deployment models that Oracle develops, provides unspecified updates and enhancements for, hosts, manages and supports and that customers access by entering into a subscription agreement with us for a stated period. The majority of our Oracle Cloud Services arrangements are billed in advance of the cloud services being performed; have durations of one to three years; are generally renewed; and are generally recognized as revenues ratably over the contractual period of the cloud contract or, in the case of usage model contracts, as the cloud services are consumed.</w:t>
            </w:r>
          </w:p>
        </w:tc>
      </w:tr>
    </w:tbl>
    <w:p w14:paraId="4A99645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33</w:t>
      </w:r>
    </w:p>
    <w:p w14:paraId="79AC4EEC" w14:textId="77777777" w:rsidR="00716E85" w:rsidRDefault="00716E85">
      <w:pPr>
        <w:rPr>
          <w:rFonts w:ascii="Times New Roman" w:eastAsia="Times New Roman" w:hAnsi="Times New Roman" w:cs="Times New Roman"/>
          <w:sz w:val="24"/>
          <w:szCs w:val="24"/>
        </w:rPr>
      </w:pPr>
      <w:r>
        <w:rPr>
          <w:rFonts w:eastAsia="Times New Roman"/>
        </w:rPr>
        <w:pict w14:anchorId="78B1F106">
          <v:rect id="_x0000_i1059" style="width:415.3pt;height:1.5pt" o:hralign="center" o:hrstd="t" o:hr="t" fillcolor="#a0a0a0" stroked="f"/>
        </w:pict>
      </w:r>
    </w:p>
    <w:p w14:paraId="625CBFB3"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1B331B8F" w14:textId="77777777" w:rsidR="00716E85" w:rsidRDefault="00716E85">
      <w:pPr>
        <w:pStyle w:val="a3"/>
        <w:spacing w:before="0" w:beforeAutospacing="0" w:after="0" w:afterAutospacing="0"/>
        <w:rPr>
          <w:sz w:val="20"/>
          <w:szCs w:val="20"/>
        </w:rPr>
      </w:pPr>
      <w:r>
        <w:rPr>
          <w:sz w:val="20"/>
          <w:szCs w:val="20"/>
        </w:rPr>
        <w:t> </w:t>
      </w:r>
    </w:p>
    <w:p w14:paraId="12B4F526" w14:textId="77777777" w:rsidR="00716E85" w:rsidRDefault="00716E85">
      <w:pPr>
        <w:pStyle w:val="a3"/>
        <w:spacing w:before="120" w:beforeAutospacing="0" w:after="0" w:afterAutospacing="0"/>
        <w:jc w:val="both"/>
        <w:rPr>
          <w:rFonts w:ascii="Calibri" w:hAnsi="Calibri" w:cs="Calibri"/>
          <w:sz w:val="20"/>
          <w:szCs w:val="20"/>
        </w:rPr>
      </w:pPr>
      <w:bookmarkStart w:id="43" w:name="_AEIOULastRenderedPageBreakAEIOU34"/>
      <w:bookmarkEnd w:id="43"/>
      <w:r>
        <w:rPr>
          <w:rFonts w:ascii="Calibri" w:hAnsi="Calibri" w:cs="Calibri"/>
          <w:sz w:val="20"/>
          <w:szCs w:val="20"/>
        </w:rPr>
        <w:t>Cloud license and on-premise license revenues include revenues from the licensing of our software products including Oracle Applications, Oracle Database, Oracle Middleware and Java, among others, which our customers deploy within cloud-based, on-premise and other IT environments. Our cloud license and on-premise license transactions are generally perpetual in nature and are generally recognized upfront at the point in time when the software is made available to the customer to download and use. Revenues from usage-based royalty arrangements for distinct cloud licenses and on-premise licenses are recognized at the point in time when the software end user usage occurs. The timing of a few large license transactions can substantially affect our quarterly license revenues due to the point in time revenue recognition of license transactions, which is different than the typical revenue recognition pattern for our cloud services and license support revenues in which revenues are generally recognized ratably over the contractual terms. Cloud license and on-premise license customers have the option to purchase license support contracts, as described above.</w:t>
      </w:r>
    </w:p>
    <w:p w14:paraId="432D6F1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Providing choice and flexibility to our customers as to when and how they deploy our applications and infrastructure technologies are important elements of our corporate strategy. In recent periods, customer demand has increased for our Oracle Cloud Services. To address customer demand and enable customer choice, we have introduced certain programs for customers to pivot their applications and infrastructure licenses and the related license support to the Oracle Cloud for new deployments and to migrate to and expand with the Oracle Cloud for their existing workloads. We expect these trends to continue.</w:t>
      </w:r>
    </w:p>
    <w:p w14:paraId="410CDA9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cloud and license business’ revenues growth is affected by the strength of general economic and business conditions; governmental budgetary constraints; the strategy for and competitive position of our offerings; our acquisitions; the continued renewal of our cloud services and license support customer contracts by the customer contract base; substantially all customers continuing to purchase license support contracts in connection with their license purchases; the pricing of license support contracts sold in connection with the sales of licenses; the pricing, amount and volume of licenses and cloud services sold; and foreign currency rate fluctuations.</w:t>
      </w:r>
    </w:p>
    <w:p w14:paraId="2529D28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5D551780" w14:textId="77777777">
        <w:tc>
          <w:tcPr>
            <w:tcW w:w="262" w:type="pct"/>
            <w:noWrap/>
            <w:hideMark/>
          </w:tcPr>
          <w:p w14:paraId="507D72EF"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77AF0D04"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11935CA0"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expected growth in our cloud services and license support offerings;</w:t>
            </w:r>
          </w:p>
        </w:tc>
      </w:tr>
    </w:tbl>
    <w:p w14:paraId="24737E3E"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596E6F32" w14:textId="77777777">
        <w:tc>
          <w:tcPr>
            <w:tcW w:w="262" w:type="pct"/>
            <w:noWrap/>
            <w:hideMark/>
          </w:tcPr>
          <w:p w14:paraId="7DBEC3D9"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A6C45EF"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46C39D18"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continued demand for our cloud license and on-premise license offerings; and</w:t>
            </w:r>
          </w:p>
        </w:tc>
      </w:tr>
    </w:tbl>
    <w:p w14:paraId="7CACA3F5"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BAA3CD4" w14:textId="77777777">
        <w:tc>
          <w:tcPr>
            <w:tcW w:w="262" w:type="pct"/>
            <w:noWrap/>
            <w:hideMark/>
          </w:tcPr>
          <w:p w14:paraId="061AE332"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508AABF0"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72F2E78F"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contributions from our acquisitions.</w:t>
            </w:r>
          </w:p>
        </w:tc>
      </w:tr>
    </w:tbl>
    <w:p w14:paraId="7CEC6FC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believe all of these factors should contribute to future growth in our cloud and license revenues, which should enable us to continue to make investments in research and development to develop and improve our cloud and license products and services.</w:t>
      </w:r>
    </w:p>
    <w:p w14:paraId="1589DCC6"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cloud and license business’ margin has historically trended upward over the course of the four quarters within a particular fiscal year due to the historical upward trend of our cloud license and on-premise license revenues over those quarterly periods and because the majority of our costs for this business are generally fixed in the short term. The historical upward trend of our cloud license and on-premise license revenues over the course of the four quarters within a particular fiscal year is primarily due to the addition of new cloud services and license support contracts to the customer contract base that we generally recognize ratably; the renewal of existing customers’ cloud services and license support contracts over the course of each fiscal year that we generally recognize ratably; and the historical upward trend of our cloud license and on-premise license revenues, which we generally recognize at a point in time upon delivery, over those four quarterly periods. </w:t>
      </w:r>
    </w:p>
    <w:p w14:paraId="64E74E8D" w14:textId="77777777" w:rsidR="00716E85" w:rsidRDefault="00716E85">
      <w:pPr>
        <w:pStyle w:val="a3"/>
        <w:spacing w:before="240" w:beforeAutospacing="0" w:after="0" w:afterAutospacing="0"/>
        <w:rPr>
          <w:rFonts w:ascii="Calibri" w:hAnsi="Calibri" w:cs="Calibri"/>
          <w:b/>
          <w:bCs/>
          <w:i/>
          <w:iCs/>
          <w:sz w:val="20"/>
          <w:szCs w:val="20"/>
        </w:rPr>
      </w:pPr>
      <w:r>
        <w:rPr>
          <w:rFonts w:ascii="Calibri" w:hAnsi="Calibri" w:cs="Calibri"/>
          <w:b/>
          <w:bCs/>
          <w:i/>
          <w:iCs/>
          <w:sz w:val="20"/>
          <w:szCs w:val="20"/>
          <w:u w:val="single"/>
        </w:rPr>
        <w:t xml:space="preserve">Hardware Business </w:t>
      </w:r>
    </w:p>
    <w:p w14:paraId="18BD6106" w14:textId="77777777" w:rsidR="00716E85" w:rsidRDefault="00716E85">
      <w:pPr>
        <w:pStyle w:val="a3"/>
        <w:spacing w:before="120" w:beforeAutospacing="0" w:after="0" w:afterAutospacing="0"/>
        <w:jc w:val="both"/>
        <w:rPr>
          <w:rFonts w:ascii="Calibri" w:hAnsi="Calibri" w:cs="Calibri"/>
          <w:sz w:val="20"/>
          <w:szCs w:val="20"/>
        </w:rPr>
      </w:pPr>
      <w:bookmarkStart w:id="44" w:name="_AEIOULastRenderedPageBreakAEIOU35"/>
      <w:bookmarkEnd w:id="44"/>
      <w:r>
        <w:rPr>
          <w:rFonts w:ascii="Calibri" w:hAnsi="Calibri" w:cs="Calibri"/>
          <w:sz w:val="20"/>
          <w:szCs w:val="20"/>
        </w:rPr>
        <w:t xml:space="preserve">Our hardware business, which represented 10% of our total revenues on a trailing 4-quarter basis, provides a broad selection of hardware products and hardware-related software products including Oracle Engineered Systems, servers, storage, industry-specific hardware, operating systems, virtualization, management and other hardware related software, and related hardware support. The hardware product and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is delivered to the customer and ownership is transferred to the </w:t>
      </w:r>
    </w:p>
    <w:p w14:paraId="343FE8F0"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34</w:t>
      </w:r>
    </w:p>
    <w:p w14:paraId="12D81D27" w14:textId="77777777" w:rsidR="00716E85" w:rsidRDefault="00716E85">
      <w:pPr>
        <w:rPr>
          <w:rFonts w:ascii="Times New Roman" w:eastAsia="Times New Roman" w:hAnsi="Times New Roman" w:cs="Times New Roman"/>
          <w:sz w:val="24"/>
          <w:szCs w:val="24"/>
        </w:rPr>
      </w:pPr>
      <w:r>
        <w:rPr>
          <w:rFonts w:eastAsia="Times New Roman"/>
        </w:rPr>
        <w:pict w14:anchorId="5D787E8B">
          <v:rect id="_x0000_i1060" style="width:415.3pt;height:1.5pt" o:hralign="center" o:hrstd="t" o:hr="t" fillcolor="#a0a0a0" stroked="f"/>
        </w:pict>
      </w:r>
    </w:p>
    <w:p w14:paraId="07E30C1B"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C541E5C" w14:textId="77777777" w:rsidR="00716E85" w:rsidRDefault="00716E85">
      <w:pPr>
        <w:pStyle w:val="a3"/>
        <w:spacing w:before="0" w:beforeAutospacing="0" w:after="0" w:afterAutospacing="0"/>
        <w:rPr>
          <w:sz w:val="20"/>
          <w:szCs w:val="20"/>
        </w:rPr>
      </w:pPr>
      <w:r>
        <w:rPr>
          <w:sz w:val="20"/>
          <w:szCs w:val="20"/>
        </w:rPr>
        <w:t> </w:t>
      </w:r>
    </w:p>
    <w:p w14:paraId="321D6BE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customer. We expect to make investments in research and development to improve existing hardware products and services and to develop new hardware products and services. The majority of our hardware products are sold through indirect channels, including independent distributors and value-added resellers. Our hardware support offerings provide customers with unspecified software updates for software components that are essential to the functionality of our hardware products and associated software products such as Oracle Solaris. Our hardware support offerings can also include product repairs, maintenance services and technical support services. Hardware support contracts are entered into at the option of the customer, are generally priced as a percentage of the net hardware products fees and are generally recognized as revenues ratably as the hardware support services are delivered over the contractual terms.</w:t>
      </w:r>
    </w:p>
    <w:p w14:paraId="2DC0D3B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generally expect our hardware business to have lower operating margins as a percentage of revenues than our cloud and license business due to the incremental costs we incur to produce and distribute these products and to provide support services, including direct materials and labor costs. </w:t>
      </w:r>
    </w:p>
    <w:p w14:paraId="5986A45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hardware operating margins that we report are affected by, among others: our ability to timely manufacture or deliver a few large hardware transactions; our strategy for and the position of our hardware products relative to competitor offerings; customer demand for competing offerings including IaaS; the strength of general economic and business conditions; governmental budgetary constraints; whether customers decide to purchase hardware support contracts at or in close proximity to the time of hardware product sale; the percentage of our hardware support contract customer base that renews its support contracts and the close association between hardware products, which have a finite life, and customer demand for related hardware support as hardware products age; customer decisions to either maintain or upgrade their existing hardware infrastructure to newly developed technologies that are available; certain of our acquisitions; and foreign currency rate fluctuations</w:t>
      </w:r>
      <w:r>
        <w:rPr>
          <w:rFonts w:ascii="Calibri" w:hAnsi="Calibri" w:cs="Calibri"/>
          <w:color w:val="000000"/>
          <w:sz w:val="20"/>
          <w:szCs w:val="20"/>
        </w:rPr>
        <w:t>.</w:t>
      </w:r>
    </w:p>
    <w:p w14:paraId="1D5B726D" w14:textId="77777777" w:rsidR="00716E85" w:rsidRDefault="00716E85">
      <w:pPr>
        <w:pStyle w:val="a3"/>
        <w:spacing w:before="240" w:beforeAutospacing="0" w:after="0" w:afterAutospacing="0"/>
        <w:rPr>
          <w:rFonts w:ascii="Calibri" w:hAnsi="Calibri" w:cs="Calibri"/>
          <w:b/>
          <w:bCs/>
          <w:i/>
          <w:iCs/>
          <w:sz w:val="20"/>
          <w:szCs w:val="20"/>
        </w:rPr>
      </w:pPr>
      <w:r>
        <w:rPr>
          <w:rFonts w:ascii="Calibri" w:hAnsi="Calibri" w:cs="Calibri"/>
          <w:b/>
          <w:bCs/>
          <w:i/>
          <w:iCs/>
          <w:sz w:val="20"/>
          <w:szCs w:val="20"/>
          <w:u w:val="single"/>
        </w:rPr>
        <w:t xml:space="preserve">Services Business </w:t>
      </w:r>
    </w:p>
    <w:p w14:paraId="58418AC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services business, which represented 8% of our total revenues on a trailing 4-quarter basis, helps customers and partners maximize the performance of their investments in Oracle applications and infrastructure technologies. We believe that our services are differentiated based on our focus on Oracle technologies, extensive experience and broad sets of intellectual property and best practices. Our services offerings include consulting services, advanced customer support services and education services. Our services business has lower margins than our cloud and license and hardware businesses. Our services revenues are impacted by, among others: our strategy for, and the competitive position of, our services; customer demand for our cloud and license and hardware offerings and the associated services for these offerings; certain of our acquisitions; general economic conditions; governmental budgetary constraints; personnel reductions in our customers’ IT departments; and tighter controls over customer discretionary spending. </w:t>
      </w:r>
    </w:p>
    <w:p w14:paraId="6574C8B5" w14:textId="77777777" w:rsidR="00716E85" w:rsidRDefault="00716E85">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u w:val="single"/>
        </w:rPr>
        <w:t>Acquisitions</w:t>
      </w:r>
    </w:p>
    <w:p w14:paraId="4C44A33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Our selective and active acquisition program is another important element of our corporate strategy. In recent years, we have invested billions of dollars to acquire a number of complementary companies, products, services and technologies. </w:t>
      </w:r>
    </w:p>
    <w:p w14:paraId="0037530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expect to continue to acquire companies, products, services and technologies in furtherance of our corporate strategy. Note 2 of Notes to Condensed Consolidated Financial Statements included elsewhere in this Quarterly Report provides additional information related to our recent acquisitions.</w:t>
      </w:r>
    </w:p>
    <w:p w14:paraId="6579BEC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believe that we can fund our future acquisitions with our internally available cash, cash equivalents and marketable securities, cash generated from operations, additional borrowings or from the issuance of additional securities. We estimate the financial impact of any potential acquisition with regard to earnings, operating margin, cash flow and return on invested capital targets before deciding to move forward with an acquisition. </w:t>
      </w:r>
    </w:p>
    <w:p w14:paraId="0A9A0809"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35</w:t>
      </w:r>
    </w:p>
    <w:p w14:paraId="5232F44B" w14:textId="77777777" w:rsidR="00716E85" w:rsidRDefault="00716E85">
      <w:pPr>
        <w:rPr>
          <w:rFonts w:ascii="Times New Roman" w:eastAsia="Times New Roman" w:hAnsi="Times New Roman" w:cs="Times New Roman"/>
          <w:sz w:val="24"/>
          <w:szCs w:val="24"/>
        </w:rPr>
      </w:pPr>
      <w:r>
        <w:rPr>
          <w:rFonts w:eastAsia="Times New Roman"/>
        </w:rPr>
        <w:pict w14:anchorId="729B9500">
          <v:rect id="_x0000_i1061" style="width:415.3pt;height:1.5pt" o:hralign="center" o:hrstd="t" o:hr="t" fillcolor="#a0a0a0" stroked="f"/>
        </w:pict>
      </w:r>
    </w:p>
    <w:p w14:paraId="07D2D5D7"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E623E7F" w14:textId="77777777" w:rsidR="00716E85" w:rsidRDefault="00716E85">
      <w:pPr>
        <w:pStyle w:val="a3"/>
        <w:spacing w:before="0" w:beforeAutospacing="0" w:after="0" w:afterAutospacing="0"/>
        <w:rPr>
          <w:sz w:val="20"/>
          <w:szCs w:val="20"/>
        </w:rPr>
      </w:pPr>
      <w:r>
        <w:rPr>
          <w:sz w:val="20"/>
          <w:szCs w:val="20"/>
        </w:rPr>
        <w:t> </w:t>
      </w:r>
    </w:p>
    <w:p w14:paraId="5A045A1D" w14:textId="77777777" w:rsidR="00716E85" w:rsidRDefault="00716E85">
      <w:pPr>
        <w:pStyle w:val="a3"/>
        <w:spacing w:before="240" w:beforeAutospacing="0" w:after="0" w:afterAutospacing="0"/>
        <w:jc w:val="both"/>
        <w:rPr>
          <w:rFonts w:ascii="Calibri" w:hAnsi="Calibri" w:cs="Calibri"/>
          <w:b/>
          <w:bCs/>
          <w:sz w:val="20"/>
          <w:szCs w:val="20"/>
        </w:rPr>
      </w:pPr>
      <w:bookmarkStart w:id="45" w:name="_AEIOULastRenderedPageBreakAEIOU36"/>
      <w:bookmarkEnd w:id="45"/>
      <w:r>
        <w:rPr>
          <w:rFonts w:ascii="Calibri" w:hAnsi="Calibri" w:cs="Calibri"/>
          <w:b/>
          <w:bCs/>
          <w:sz w:val="20"/>
          <w:szCs w:val="20"/>
        </w:rPr>
        <w:t xml:space="preserve">Critical Accounting Policies and Estimates </w:t>
      </w:r>
    </w:p>
    <w:p w14:paraId="7401EB6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consolidated financial statements are prepared in accordance with U.S. generally accepted accounting principles (GAAP) as set forth in the Financial Accounting Standards Board’s (FASB) Accounting Standards Codification (ASC), and we consider the various staff accounting bulletins and other applicable guidance issued by the U.S. Securities and Exchange Commission (SEC). GAAP, as set forth within the ASC, requires us to make certain estimates, judgments and assumptions. We believe that the estimates, judgments and assumptions upon which we rely are reasonable based upon information available to us at the time that these estimates, judgments and assumptions are made. These estimates, judgments and assumptions can affect the reported amounts of assets and liabilities as of the date of the financial statements as well as the reported amounts of revenues and expenses during the periods presented. To the extent that there are differences between these estimates, judgments or assumptions and actual results, our financial statements will be affected. The accounting policies that reflect our more significant estimates, judgments and assumptions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3D175C2" w14:textId="77777777">
        <w:tc>
          <w:tcPr>
            <w:tcW w:w="262" w:type="pct"/>
            <w:noWrap/>
            <w:hideMark/>
          </w:tcPr>
          <w:p w14:paraId="08B13C65"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2669DF9"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05C7248A"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Revenue Recognition; </w:t>
            </w:r>
          </w:p>
        </w:tc>
      </w:tr>
    </w:tbl>
    <w:p w14:paraId="559F7316"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1578EC3E" w14:textId="77777777">
        <w:tc>
          <w:tcPr>
            <w:tcW w:w="262" w:type="pct"/>
            <w:noWrap/>
            <w:hideMark/>
          </w:tcPr>
          <w:p w14:paraId="610EE423"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1353080E"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7368C5CB"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Business Combinations; </w:t>
            </w:r>
          </w:p>
        </w:tc>
      </w:tr>
    </w:tbl>
    <w:p w14:paraId="5B0BC4CA"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27392DB5" w14:textId="77777777">
        <w:tc>
          <w:tcPr>
            <w:tcW w:w="262" w:type="pct"/>
            <w:noWrap/>
            <w:hideMark/>
          </w:tcPr>
          <w:p w14:paraId="6D89510C"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7F72721"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FA4FADF"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Goodwill and Intangible Assets—Impairment Assessments;</w:t>
            </w:r>
          </w:p>
        </w:tc>
      </w:tr>
    </w:tbl>
    <w:p w14:paraId="579B336C"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E02CB29" w14:textId="77777777">
        <w:tc>
          <w:tcPr>
            <w:tcW w:w="262" w:type="pct"/>
            <w:noWrap/>
            <w:hideMark/>
          </w:tcPr>
          <w:p w14:paraId="781098B0"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2FBE8BB4"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3C02444B"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Accounting for Income Taxes; and</w:t>
            </w:r>
          </w:p>
        </w:tc>
      </w:tr>
    </w:tbl>
    <w:p w14:paraId="0C38BC8A"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3A734326" w14:textId="77777777">
        <w:tc>
          <w:tcPr>
            <w:tcW w:w="262" w:type="pct"/>
            <w:noWrap/>
            <w:hideMark/>
          </w:tcPr>
          <w:p w14:paraId="77A5A909"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2952B33C"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4B2CD1A"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 xml:space="preserve">Legal and Other Contingencies. </w:t>
            </w:r>
          </w:p>
        </w:tc>
      </w:tr>
    </w:tbl>
    <w:p w14:paraId="72E3E77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many cases, the accounting treatment of a particular transaction is specifically dictated by GAAP and does not require management’s judgment in its application. There are also areas in which management’s judgment in selecting among available alternatives would not produce a materially different result. Our senior management has reviewed our critical accounting policies and related disclosures with the Finance and Audit Committee of the Board of Directors.</w:t>
      </w:r>
    </w:p>
    <w:p w14:paraId="2C329D5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Effective on June 1, 2018, we adopted Accounting Standards Update (ASU) 2014-09, Revenue from Contracts with Customers: Topic 606 and subsequent amendments to the initial guidance: ASU 2015-14, ASU 2016-08, ASU 2016-10, ASU 2016-12, ASU 2016-20, ASU 2017-10, ASU 2017-13 and ASU 2017-14, (collectively, Topic 606), utilizing the full retrospective method of transition whereby the results for the comparative fiscal 2018 periods presented throughout this Form 10-Q were recast to be presented as if Topic 606 had been in effect during such fiscal 2018 periods, the impacts of which were not material relative to the historical amounts previously reported.  See Note 1 of Notes to Condensed Consolidated Financial Statements in Part I, Item 1 of this Quarterly Report on Form 10-Q for more information about our adoption of Topic 606 and its impacts on our consolidated financial statements.  Except for the adoption of Topic 606, there have been no changes to our critical accounting policies and estimates described in our Annual Report on Form 10-K for the year ended May 31, 2018.</w:t>
      </w:r>
    </w:p>
    <w:p w14:paraId="2CCACA94"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Results of Operations</w:t>
      </w:r>
    </w:p>
    <w:p w14:paraId="7ACA5D8A"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Impacts of the U.S. Tax Cuts and Jobs Act of 2017</w:t>
      </w:r>
    </w:p>
    <w:p w14:paraId="407365C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The comparability of our operating results in the third quarter and first nine months of fiscal 2019 compared to the corresponding prior year periods was impacted by the U.S. Tax Cuts and Jobs Act of 2017 (the Tax Act), which was effective for us January 1, 2018. Information regarding our adoption and the prospective impacts of the Tax Act on our tax and liquidity profile is included in Note 1 of Notes to Condensed Consolidated Financial Statements included elsewhere in this Quarterly Report, and also in our Annual Report on Form 10-K for our fiscal year ended May 31, 2018. </w:t>
      </w:r>
    </w:p>
    <w:p w14:paraId="26154E41" w14:textId="77777777" w:rsidR="00716E85" w:rsidRDefault="00716E85">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Impacts of Acquisitions</w:t>
      </w:r>
    </w:p>
    <w:p w14:paraId="1A67D2DB" w14:textId="77777777" w:rsidR="00716E85" w:rsidRDefault="00716E85">
      <w:pPr>
        <w:pStyle w:val="a3"/>
        <w:spacing w:before="120" w:beforeAutospacing="0" w:after="0" w:afterAutospacing="0"/>
        <w:jc w:val="both"/>
        <w:rPr>
          <w:rFonts w:ascii="Calibri" w:hAnsi="Calibri" w:cs="Calibri"/>
          <w:sz w:val="20"/>
          <w:szCs w:val="20"/>
        </w:rPr>
      </w:pPr>
      <w:bookmarkStart w:id="46" w:name="_AEIOULastRenderedPageBreakAEIOU37"/>
      <w:bookmarkEnd w:id="46"/>
      <w:r>
        <w:rPr>
          <w:rFonts w:ascii="Calibri" w:hAnsi="Calibri" w:cs="Calibri"/>
          <w:sz w:val="20"/>
          <w:szCs w:val="20"/>
        </w:rPr>
        <w:t xml:space="preserve">The comparability of our operating results in the third quarter and first nine months of fiscal 2019 compared to the same periods of fiscal 2018 was impacted by our recent acquisitions. In our discussion of changes in our results of operations from the third quarter and first nine months of fiscal 2019 compared to the same periods of fiscal 2018, we may qualitatively disclose the impact of our acquired products and services (for the one-year period </w:t>
      </w:r>
    </w:p>
    <w:p w14:paraId="1C10DABA"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36</w:t>
      </w:r>
    </w:p>
    <w:p w14:paraId="4DA3C9C4" w14:textId="77777777" w:rsidR="00716E85" w:rsidRDefault="00716E85">
      <w:pPr>
        <w:rPr>
          <w:rFonts w:ascii="Times New Roman" w:eastAsia="Times New Roman" w:hAnsi="Times New Roman" w:cs="Times New Roman"/>
          <w:sz w:val="24"/>
          <w:szCs w:val="24"/>
        </w:rPr>
      </w:pPr>
      <w:r>
        <w:rPr>
          <w:rFonts w:eastAsia="Times New Roman"/>
        </w:rPr>
        <w:pict w14:anchorId="55B02087">
          <v:rect id="_x0000_i1062" style="width:415.3pt;height:1.5pt" o:hralign="center" o:hrstd="t" o:hr="t" fillcolor="#a0a0a0" stroked="f"/>
        </w:pict>
      </w:r>
    </w:p>
    <w:p w14:paraId="1F8046E3"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172C2E69" w14:textId="77777777" w:rsidR="00716E85" w:rsidRDefault="00716E85">
      <w:pPr>
        <w:pStyle w:val="a3"/>
        <w:spacing w:before="0" w:beforeAutospacing="0" w:after="0" w:afterAutospacing="0"/>
        <w:rPr>
          <w:sz w:val="20"/>
          <w:szCs w:val="20"/>
        </w:rPr>
      </w:pPr>
      <w:r>
        <w:rPr>
          <w:sz w:val="20"/>
          <w:szCs w:val="20"/>
        </w:rPr>
        <w:t> </w:t>
      </w:r>
    </w:p>
    <w:p w14:paraId="14FD319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subsequent to the acquisition date) to the growth in certain of our businesses’ revenues where such qualitative discussions would be meaningful for an understanding of the factors that influenced the changes in our results of operations. When material, we may also provide quantitative disclosures related to such acquired products and services. Expense contributions from our recent acquisitions for each of the respective period comparisons may not be separately identifiable due to the integration of these businesses into our existing operations, and/or were insignificant to our results of operations during the periods presented.</w:t>
      </w:r>
    </w:p>
    <w:p w14:paraId="506501B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caution readers that, while pre- and post-acquisition comparisons, as well as any quantified amounts themselves, may provide indications of general trends, any acquisition information that we provide has inherent limitations for the following reasons:</w:t>
      </w: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64545E3C" w14:textId="77777777">
        <w:tc>
          <w:tcPr>
            <w:tcW w:w="262" w:type="pct"/>
            <w:noWrap/>
            <w:hideMark/>
          </w:tcPr>
          <w:p w14:paraId="4E00A838"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0A425027"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2D09998C"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any qualitative and quantitative disclosures cannot specifically address or quantify the substantial effects attributable to changes in business strategies, including our sales force integration efforts. We believe that if our acquired companies had operated independently and sales forces had not been integrated, the relative mix of products and services sold would have been different; and</w:t>
            </w:r>
          </w:p>
        </w:tc>
      </w:tr>
    </w:tbl>
    <w:p w14:paraId="13AFFD7D"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716E85" w14:paraId="42AD4709" w14:textId="77777777">
        <w:tc>
          <w:tcPr>
            <w:tcW w:w="262" w:type="pct"/>
            <w:noWrap/>
            <w:hideMark/>
          </w:tcPr>
          <w:p w14:paraId="619C6825" w14:textId="77777777" w:rsidR="00716E85" w:rsidRDefault="00716E85">
            <w:pPr>
              <w:pStyle w:val="a3"/>
              <w:spacing w:before="120" w:beforeAutospacing="0" w:after="0" w:afterAutospacing="0"/>
              <w:jc w:val="both"/>
              <w:rPr>
                <w:sz w:val="20"/>
                <w:szCs w:val="20"/>
              </w:rPr>
            </w:pPr>
            <w:r>
              <w:rPr>
                <w:sz w:val="20"/>
                <w:szCs w:val="20"/>
              </w:rPr>
              <w:t> </w:t>
            </w:r>
          </w:p>
        </w:tc>
        <w:tc>
          <w:tcPr>
            <w:tcW w:w="131" w:type="pct"/>
            <w:noWrap/>
            <w:hideMark/>
          </w:tcPr>
          <w:p w14:paraId="48543513" w14:textId="77777777" w:rsidR="00716E85" w:rsidRDefault="00716E85">
            <w:pPr>
              <w:pStyle w:val="a3"/>
              <w:spacing w:before="120" w:beforeAutospacing="0" w:after="0" w:afterAutospacing="0"/>
              <w:jc w:val="both"/>
              <w:rPr>
                <w:sz w:val="20"/>
                <w:szCs w:val="20"/>
              </w:rPr>
            </w:pPr>
            <w:r>
              <w:rPr>
                <w:sz w:val="20"/>
                <w:szCs w:val="20"/>
              </w:rPr>
              <w:t>•</w:t>
            </w:r>
          </w:p>
        </w:tc>
        <w:tc>
          <w:tcPr>
            <w:tcW w:w="0" w:type="auto"/>
            <w:hideMark/>
          </w:tcPr>
          <w:p w14:paraId="6184E760" w14:textId="77777777" w:rsidR="00716E85" w:rsidRDefault="00716E85">
            <w:pPr>
              <w:pStyle w:val="a3"/>
              <w:spacing w:before="120" w:beforeAutospacing="0" w:after="0" w:afterAutospacing="0"/>
              <w:jc w:val="both"/>
              <w:rPr>
                <w:sz w:val="20"/>
                <w:szCs w:val="20"/>
              </w:rPr>
            </w:pPr>
            <w:r>
              <w:rPr>
                <w:rFonts w:ascii="Calibri" w:hAnsi="Calibri" w:cs="Calibri"/>
                <w:sz w:val="20"/>
                <w:szCs w:val="20"/>
              </w:rPr>
              <w:t>the amounts shown as cloud services and license support deferred revenues in our “Supplemental Disclosure Related to Certain Charges” (presented below) are not necessarily indicative of revenue improvements we will achieve upon contract renewals to the extent customers do not renew.</w:t>
            </w:r>
          </w:p>
        </w:tc>
      </w:tr>
    </w:tbl>
    <w:p w14:paraId="0C8AF319" w14:textId="77777777" w:rsidR="00716E85" w:rsidRDefault="00716E85">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Presentation of Operating Segment Results and Other Financial Information </w:t>
      </w:r>
    </w:p>
    <w:p w14:paraId="499CBCDB"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our results of operations discussion below, we provide an overview of our total consolidated revenues, total consolidated expenses and total consolidated operating margin, all of which are presented on a GAAP basis. We also present a GAAP-based discussion below for substantially all of the other expense items as presented in our condensed consolidated statement of operations that are not directly attributable to our three businesses.</w:t>
      </w:r>
    </w:p>
    <w:p w14:paraId="1D05EEE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 addition, we discuss below the results of each our three businesses—cloud and license, hardware and services—which are our operating segments as defined pursuant to ASC 280, </w:t>
      </w:r>
      <w:r>
        <w:rPr>
          <w:rFonts w:ascii="Calibri" w:hAnsi="Calibri" w:cs="Calibri"/>
          <w:i/>
          <w:iCs/>
          <w:sz w:val="20"/>
          <w:szCs w:val="20"/>
        </w:rPr>
        <w:t>Segment Reporting</w:t>
      </w:r>
      <w:r>
        <w:rPr>
          <w:rFonts w:ascii="Calibri" w:hAnsi="Calibri" w:cs="Calibri"/>
          <w:sz w:val="20"/>
          <w:szCs w:val="20"/>
        </w:rPr>
        <w:t>. The financial reporting for our three businesses that is presented below is presented in a manner that is consistent with that used by our CODMs. Our operating segment presentation below reflects revenues, direct costs and sales and marketing expenses that correspond to and are directly attributable to each of our three businesses. We also utilize these inputs to calculate and present a segment margin for each business in the discussion below.</w:t>
      </w:r>
    </w:p>
    <w:p w14:paraId="07AC045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Consistent with our internal management reporting processes, the below operating segment presentation includes revenues adjustments related to cloud services and license support contracts that would have otherwise been recorded by the acquired businesses as independent entities but were not recognized in our condensed consolidated statements of operations for the periods presented due to business combination accounting requirements. Refer to “Supplemental Disclosure Related to Certain Charges” below for additional discussion of these items and Note 10 of Notes to Condensed Consolidated Financial Statements included elsewhere in this Quarterly Report for a reconciliation of the summations of our total operating segment revenues as presented in the discussion below to total revenues as presented per our condensed consolidated statements of operations for all periods presented.</w:t>
      </w:r>
    </w:p>
    <w:p w14:paraId="6D2F5C5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research and development expenses, general and administrative expenses, stock-based compensation expenses, amortization of intangible assets, certain other expense allocations, acquisition related and other expenses, restructuring expenses, interest expense, non-operating income, net and provision for income taxes are not attributed to our three operating segments because our management does not view the performance of our three businesses including such items and/or it is impractical to do so. Refer to “Supplemental Disclosure Related to Certain Charges” below for additional discussion of certain of these items and Note 10 of Notes to Condensed Consolidated Financial Statements included elsewhere in this Quarterly Report for a reconciliation of the summations of total segment margin as presented in the discussion below to total income before provision of income taxes as presented per our condensed consolidated statements of operations for all periods presented.</w:t>
      </w:r>
    </w:p>
    <w:p w14:paraId="4CF559A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37</w:t>
      </w:r>
    </w:p>
    <w:p w14:paraId="7B7E4259" w14:textId="77777777" w:rsidR="00716E85" w:rsidRDefault="00716E85">
      <w:pPr>
        <w:rPr>
          <w:rFonts w:ascii="Times New Roman" w:eastAsia="Times New Roman" w:hAnsi="Times New Roman" w:cs="Times New Roman"/>
          <w:sz w:val="24"/>
          <w:szCs w:val="24"/>
        </w:rPr>
      </w:pPr>
      <w:r>
        <w:rPr>
          <w:rFonts w:eastAsia="Times New Roman"/>
        </w:rPr>
        <w:pict w14:anchorId="60DCBAE0">
          <v:rect id="_x0000_i1063" style="width:415.3pt;height:1.5pt" o:hralign="center" o:hrstd="t" o:hr="t" fillcolor="#a0a0a0" stroked="f"/>
        </w:pict>
      </w:r>
    </w:p>
    <w:p w14:paraId="35C43DE1"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486A9CB" w14:textId="77777777" w:rsidR="00716E85" w:rsidRDefault="00716E85">
      <w:pPr>
        <w:pStyle w:val="a3"/>
        <w:spacing w:before="0" w:beforeAutospacing="0" w:after="0" w:afterAutospacing="0"/>
        <w:rPr>
          <w:sz w:val="20"/>
          <w:szCs w:val="20"/>
        </w:rPr>
      </w:pPr>
      <w:r>
        <w:rPr>
          <w:sz w:val="20"/>
          <w:szCs w:val="20"/>
        </w:rPr>
        <w:t> </w:t>
      </w:r>
    </w:p>
    <w:p w14:paraId="7D2CAE67" w14:textId="77777777" w:rsidR="00716E85" w:rsidRDefault="00716E85">
      <w:pPr>
        <w:pStyle w:val="a3"/>
        <w:spacing w:before="240" w:beforeAutospacing="0" w:after="0" w:afterAutospacing="0"/>
        <w:jc w:val="both"/>
        <w:rPr>
          <w:rFonts w:ascii="Calibri" w:hAnsi="Calibri" w:cs="Calibri"/>
          <w:b/>
          <w:bCs/>
          <w:i/>
          <w:iCs/>
          <w:sz w:val="20"/>
          <w:szCs w:val="20"/>
        </w:rPr>
      </w:pPr>
      <w:bookmarkStart w:id="47" w:name="_AEIOULastRenderedPageBreakAEIOU38"/>
      <w:bookmarkEnd w:id="47"/>
      <w:r>
        <w:rPr>
          <w:rFonts w:ascii="Calibri" w:hAnsi="Calibri" w:cs="Calibri"/>
          <w:b/>
          <w:bCs/>
          <w:i/>
          <w:iCs/>
          <w:sz w:val="20"/>
          <w:szCs w:val="20"/>
        </w:rPr>
        <w:t>Constant Currency Presentation</w:t>
      </w:r>
    </w:p>
    <w:p w14:paraId="362BA79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international operations have provided and are expected to continue to provide a significant portion of each of our businesses’ revenues and expenses. As a result, each businesses’ revenues and expenses and our total revenues and expenses will continue to be affected by changes in the U.S. Dollar against major international currencies. In order to provide a framework for assessing how our underlying businesses performed excluding the effects of foreign currency rate fluctuations, we compare the percent change in the results from one period to another period in this Quarterly Report using constant currency disclosure. To present this information, current and comparative prior period results for entities reporting in currencies other than U.S. Dollars are converted into U.S. Dollars at constant exchange rates (i.e., the rates in effect on May 31, 2018, which was the last day of our prior fiscal year) rather than the actual exchange rates in effect during the respective periods. For example, if an entity reporting in Euros had revenues of 1.0 million Euros from products sold on February 28, 2019 and 2018, our financial statements would reflect reported revenues of $1.14 million in the first nine months of fiscal 2019 (using 1.14 as the month-end average exchange rate for the period) and $1.23 million in the first nine months of fiscal 2018 (using 1.23 as the month-end average exchange rate for the period). The constant currency presentation, however, would translate the results for the first nine months of fiscal 2019 and first nine months of fiscal 2018 using the May 31, 2018 exchange rate and indicate, in this example, no change in revenues during the period. In each of the tables below, we present the percent change based on actual, unrounded results in reported currency and in constant currency.</w:t>
      </w:r>
    </w:p>
    <w:p w14:paraId="43C85325" w14:textId="77777777" w:rsidR="00716E85" w:rsidRDefault="00716E85">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Total Revenues and Operating Expenses</w:t>
      </w:r>
    </w:p>
    <w:p w14:paraId="772A9ABD" w14:textId="77777777" w:rsidR="00716E85" w:rsidRDefault="00716E85">
      <w:pPr>
        <w:pStyle w:val="a3"/>
        <w:spacing w:before="0" w:beforeAutospacing="0" w:after="0" w:afterAutospacing="0"/>
        <w:rPr>
          <w:rFonts w:ascii="Calibri" w:hAnsi="Calibri" w:cs="Calibri"/>
          <w:sz w:val="16"/>
          <w:szCs w:val="16"/>
        </w:rPr>
      </w:pPr>
      <w:r>
        <w:rPr>
          <w:rFonts w:ascii="Calibri" w:hAnsi="Calibri" w:cs="Calibri"/>
          <w:sz w:val="16"/>
          <w:szCs w:val="16"/>
        </w:rPr>
        <w:t> </w:t>
      </w:r>
    </w:p>
    <w:tbl>
      <w:tblPr>
        <w:tblW w:w="5000" w:type="pct"/>
        <w:jc w:val="center"/>
        <w:tblCellMar>
          <w:left w:w="0" w:type="dxa"/>
          <w:right w:w="0" w:type="dxa"/>
        </w:tblCellMar>
        <w:tblLook w:val="04A0" w:firstRow="1" w:lastRow="0" w:firstColumn="1" w:lastColumn="0" w:noHBand="0" w:noVBand="1"/>
      </w:tblPr>
      <w:tblGrid>
        <w:gridCol w:w="2772"/>
        <w:gridCol w:w="61"/>
        <w:gridCol w:w="117"/>
        <w:gridCol w:w="471"/>
        <w:gridCol w:w="61"/>
        <w:gridCol w:w="61"/>
        <w:gridCol w:w="552"/>
        <w:gridCol w:w="63"/>
        <w:gridCol w:w="574"/>
        <w:gridCol w:w="61"/>
        <w:gridCol w:w="117"/>
        <w:gridCol w:w="471"/>
        <w:gridCol w:w="61"/>
        <w:gridCol w:w="54"/>
        <w:gridCol w:w="117"/>
        <w:gridCol w:w="572"/>
        <w:gridCol w:w="61"/>
        <w:gridCol w:w="61"/>
        <w:gridCol w:w="551"/>
        <w:gridCol w:w="63"/>
        <w:gridCol w:w="574"/>
        <w:gridCol w:w="61"/>
        <w:gridCol w:w="117"/>
        <w:gridCol w:w="572"/>
        <w:gridCol w:w="61"/>
      </w:tblGrid>
      <w:tr w:rsidR="00716E85" w14:paraId="1C4FBCFE" w14:textId="77777777">
        <w:trPr>
          <w:divId w:val="968584018"/>
          <w:jc w:val="center"/>
        </w:trPr>
        <w:tc>
          <w:tcPr>
            <w:tcW w:w="1688" w:type="pct"/>
            <w:shd w:val="clear" w:color="auto" w:fill="FFFFFF"/>
            <w:tcMar>
              <w:top w:w="15" w:type="dxa"/>
              <w:left w:w="0" w:type="dxa"/>
              <w:bottom w:w="0" w:type="dxa"/>
              <w:right w:w="15" w:type="dxa"/>
            </w:tcMar>
            <w:vAlign w:val="bottom"/>
            <w:hideMark/>
          </w:tcPr>
          <w:p w14:paraId="387F3EDE" w14:textId="77777777" w:rsidR="00716E85" w:rsidRDefault="00716E85">
            <w:pPr>
              <w:pStyle w:val="a3"/>
              <w:spacing w:before="0" w:beforeAutospacing="0" w:after="0" w:afterAutospacing="0"/>
              <w:jc w:val="center"/>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049BAE6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637D900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630A959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81974C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73A2F07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4CEF886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0C5BBAD" w14:textId="77777777">
        <w:trPr>
          <w:divId w:val="968584018"/>
          <w:jc w:val="center"/>
        </w:trPr>
        <w:tc>
          <w:tcPr>
            <w:tcW w:w="1688" w:type="pct"/>
            <w:shd w:val="clear" w:color="auto" w:fill="FFFFFF"/>
            <w:tcMar>
              <w:top w:w="15" w:type="dxa"/>
              <w:left w:w="0" w:type="dxa"/>
              <w:bottom w:w="0" w:type="dxa"/>
              <w:right w:w="15" w:type="dxa"/>
            </w:tcMar>
            <w:vAlign w:val="bottom"/>
            <w:hideMark/>
          </w:tcPr>
          <w:p w14:paraId="3A12284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59F002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D4ECD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468FFCA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CDC841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52C5002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A4048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14D9A0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91A341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4D4C34E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F95B19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CCAF8D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1B9749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42B9F9C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3B020F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46EE3E4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D84F2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5161AD2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3CF2D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5C3DAA2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4B577E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41A1CD7" w14:textId="77777777">
        <w:trPr>
          <w:divId w:val="968584018"/>
          <w:jc w:val="center"/>
        </w:trPr>
        <w:tc>
          <w:tcPr>
            <w:tcW w:w="1688" w:type="pct"/>
            <w:tcBorders>
              <w:bottom w:val="single" w:sz="6" w:space="0" w:color="000000"/>
            </w:tcBorders>
            <w:shd w:val="clear" w:color="auto" w:fill="FFFFFF"/>
            <w:tcMar>
              <w:top w:w="15" w:type="dxa"/>
              <w:left w:w="0" w:type="dxa"/>
              <w:bottom w:w="0" w:type="dxa"/>
              <w:right w:w="15" w:type="dxa"/>
            </w:tcMar>
            <w:vAlign w:val="bottom"/>
            <w:hideMark/>
          </w:tcPr>
          <w:p w14:paraId="3CBD9EC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51805A2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44109CF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C63363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5234DB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6A5E9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9BBCEA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F2AF0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1D32B19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3CD47B8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E9392F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E797B3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57918B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1B60A9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FC1CC4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C59B5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FE4A47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85E62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48DB7B9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2720979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8641F8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3F3A854" w14:textId="77777777">
        <w:trPr>
          <w:divId w:val="968584018"/>
          <w:jc w:val="center"/>
        </w:trPr>
        <w:tc>
          <w:tcPr>
            <w:tcW w:w="1688" w:type="pct"/>
            <w:tcBorders>
              <w:top w:val="single" w:sz="6" w:space="0" w:color="000000"/>
            </w:tcBorders>
            <w:shd w:val="clear" w:color="auto" w:fill="CFF0FC"/>
            <w:tcMar>
              <w:top w:w="15" w:type="dxa"/>
              <w:left w:w="0" w:type="dxa"/>
              <w:bottom w:w="0" w:type="dxa"/>
              <w:right w:w="15" w:type="dxa"/>
            </w:tcMar>
            <w:hideMark/>
          </w:tcPr>
          <w:p w14:paraId="18D130AF"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Revenues by Geography:</w:t>
            </w:r>
          </w:p>
        </w:tc>
        <w:tc>
          <w:tcPr>
            <w:tcW w:w="57" w:type="pct"/>
            <w:shd w:val="clear" w:color="auto" w:fill="CFF0FC"/>
            <w:tcMar>
              <w:top w:w="15" w:type="dxa"/>
              <w:left w:w="0" w:type="dxa"/>
              <w:bottom w:w="0" w:type="dxa"/>
              <w:right w:w="15" w:type="dxa"/>
            </w:tcMar>
            <w:vAlign w:val="bottom"/>
            <w:hideMark/>
          </w:tcPr>
          <w:p w14:paraId="2C4575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B8A33B"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695B0D6F"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1F5707"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7" w:type="pct"/>
            <w:shd w:val="clear" w:color="auto" w:fill="CFF0FC"/>
            <w:tcMar>
              <w:top w:w="15" w:type="dxa"/>
              <w:left w:w="0" w:type="dxa"/>
              <w:bottom w:w="0" w:type="dxa"/>
              <w:right w:w="15" w:type="dxa"/>
            </w:tcMar>
            <w:vAlign w:val="bottom"/>
            <w:hideMark/>
          </w:tcPr>
          <w:p w14:paraId="7E5AA3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63E436D"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7" w:type="pct"/>
            <w:shd w:val="clear" w:color="auto" w:fill="CFF0FC"/>
            <w:tcMar>
              <w:top w:w="15" w:type="dxa"/>
              <w:left w:w="0" w:type="dxa"/>
              <w:bottom w:w="0" w:type="dxa"/>
              <w:right w:w="15" w:type="dxa"/>
            </w:tcMar>
            <w:vAlign w:val="bottom"/>
            <w:hideMark/>
          </w:tcPr>
          <w:p w14:paraId="4DADB1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B71BEB9"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7" w:type="pct"/>
            <w:shd w:val="clear" w:color="auto" w:fill="CFF0FC"/>
            <w:tcMar>
              <w:top w:w="15" w:type="dxa"/>
              <w:left w:w="0" w:type="dxa"/>
              <w:bottom w:w="0" w:type="dxa"/>
              <w:right w:w="15" w:type="dxa"/>
            </w:tcMar>
            <w:vAlign w:val="bottom"/>
            <w:hideMark/>
          </w:tcPr>
          <w:p w14:paraId="75AE70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195941"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781F8BE" w14:textId="77777777" w:rsidR="00716E85" w:rsidRDefault="00716E85">
            <w:pPr>
              <w:pStyle w:val="a3"/>
              <w:spacing w:before="0" w:beforeAutospacing="0" w:after="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305A9A"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7" w:type="pct"/>
            <w:shd w:val="clear" w:color="auto" w:fill="CFF0FC"/>
            <w:tcMar>
              <w:top w:w="15" w:type="dxa"/>
              <w:left w:w="0" w:type="dxa"/>
              <w:bottom w:w="0" w:type="dxa"/>
              <w:right w:w="15" w:type="dxa"/>
            </w:tcMar>
            <w:vAlign w:val="bottom"/>
            <w:hideMark/>
          </w:tcPr>
          <w:p w14:paraId="1A10AE06"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F0DB1F"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F12FDEB" w14:textId="77777777" w:rsidR="00716E85" w:rsidRDefault="00716E85">
            <w:pPr>
              <w:pStyle w:val="a3"/>
              <w:spacing w:before="0" w:beforeAutospacing="0" w:after="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66A3E90D"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c>
          <w:tcPr>
            <w:tcW w:w="57" w:type="pct"/>
            <w:shd w:val="clear" w:color="auto" w:fill="CFF0FC"/>
            <w:tcMar>
              <w:top w:w="15" w:type="dxa"/>
              <w:left w:w="0" w:type="dxa"/>
              <w:bottom w:w="0" w:type="dxa"/>
              <w:right w:w="15" w:type="dxa"/>
            </w:tcMar>
            <w:vAlign w:val="bottom"/>
            <w:hideMark/>
          </w:tcPr>
          <w:p w14:paraId="393078E8"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39B2650" w14:textId="77777777" w:rsidR="00716E85" w:rsidRDefault="00716E85">
            <w:pPr>
              <w:pStyle w:val="a3"/>
              <w:spacing w:before="0" w:beforeAutospacing="0" w:after="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7" w:type="pct"/>
            <w:shd w:val="clear" w:color="auto" w:fill="CFF0FC"/>
            <w:tcMar>
              <w:top w:w="15" w:type="dxa"/>
              <w:left w:w="0" w:type="dxa"/>
              <w:bottom w:w="0" w:type="dxa"/>
              <w:right w:w="15" w:type="dxa"/>
            </w:tcMar>
            <w:vAlign w:val="bottom"/>
            <w:hideMark/>
          </w:tcPr>
          <w:p w14:paraId="4219903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9BEA748" w14:textId="77777777" w:rsidR="00716E85" w:rsidRDefault="00716E85">
            <w:pPr>
              <w:pStyle w:val="a3"/>
              <w:spacing w:before="0" w:beforeAutospacing="0" w:after="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7" w:type="pct"/>
            <w:shd w:val="clear" w:color="auto" w:fill="CFF0FC"/>
            <w:tcMar>
              <w:top w:w="15" w:type="dxa"/>
              <w:left w:w="0" w:type="dxa"/>
              <w:bottom w:w="0" w:type="dxa"/>
              <w:right w:w="15" w:type="dxa"/>
            </w:tcMar>
            <w:vAlign w:val="bottom"/>
            <w:hideMark/>
          </w:tcPr>
          <w:p w14:paraId="5224676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A07426"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B94AE71" w14:textId="77777777" w:rsidR="00716E85" w:rsidRDefault="00716E85">
            <w:pPr>
              <w:pStyle w:val="a3"/>
              <w:spacing w:before="0" w:beforeAutospacing="0" w:after="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11F520B0" w14:textId="77777777" w:rsidR="00716E85" w:rsidRDefault="00716E85">
            <w:pPr>
              <w:pStyle w:val="a3"/>
              <w:spacing w:before="0" w:beforeAutospacing="0" w:after="0" w:afterAutospacing="0"/>
              <w:rPr>
                <w:rFonts w:ascii="Calibri" w:hAnsi="Calibri" w:cs="Calibri"/>
                <w:b/>
                <w:bCs/>
                <w:color w:val="000000"/>
                <w:sz w:val="17"/>
                <w:szCs w:val="17"/>
              </w:rPr>
            </w:pPr>
            <w:r>
              <w:rPr>
                <w:rFonts w:ascii="Calibri" w:hAnsi="Calibri" w:cs="Calibri"/>
                <w:b/>
                <w:bCs/>
                <w:color w:val="000000"/>
                <w:sz w:val="17"/>
                <w:szCs w:val="17"/>
              </w:rPr>
              <w:t> </w:t>
            </w:r>
          </w:p>
        </w:tc>
      </w:tr>
      <w:tr w:rsidR="00716E85" w14:paraId="2BAB8CE4" w14:textId="77777777">
        <w:trPr>
          <w:divId w:val="968584018"/>
          <w:jc w:val="center"/>
        </w:trPr>
        <w:tc>
          <w:tcPr>
            <w:tcW w:w="1688" w:type="pct"/>
            <w:shd w:val="clear" w:color="auto" w:fill="FFFFFF"/>
            <w:tcMar>
              <w:top w:w="15" w:type="dxa"/>
              <w:left w:w="0" w:type="dxa"/>
              <w:bottom w:w="0" w:type="dxa"/>
              <w:right w:w="15" w:type="dxa"/>
            </w:tcMar>
            <w:hideMark/>
          </w:tcPr>
          <w:p w14:paraId="358D4E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FFFFFF"/>
            <w:tcMar>
              <w:top w:w="15" w:type="dxa"/>
              <w:left w:w="0" w:type="dxa"/>
              <w:bottom w:w="0" w:type="dxa"/>
              <w:right w:w="15" w:type="dxa"/>
            </w:tcMar>
            <w:vAlign w:val="bottom"/>
            <w:hideMark/>
          </w:tcPr>
          <w:p w14:paraId="090275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5A2E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24BCEB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5,266</w:t>
            </w:r>
          </w:p>
        </w:tc>
        <w:tc>
          <w:tcPr>
            <w:tcW w:w="50" w:type="pct"/>
            <w:shd w:val="clear" w:color="auto" w:fill="FFFFFF"/>
            <w:noWrap/>
            <w:tcMar>
              <w:top w:w="15" w:type="dxa"/>
              <w:left w:w="0" w:type="dxa"/>
              <w:bottom w:w="0" w:type="dxa"/>
              <w:right w:w="15" w:type="dxa"/>
            </w:tcMar>
            <w:vAlign w:val="bottom"/>
            <w:hideMark/>
          </w:tcPr>
          <w:p w14:paraId="7EA837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67896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B3BA28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29D80F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0E612F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75725A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0AD4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1D77198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5,253</w:t>
            </w:r>
          </w:p>
        </w:tc>
        <w:tc>
          <w:tcPr>
            <w:tcW w:w="50" w:type="pct"/>
            <w:shd w:val="clear" w:color="auto" w:fill="FFFFFF"/>
            <w:noWrap/>
            <w:tcMar>
              <w:top w:w="15" w:type="dxa"/>
              <w:left w:w="0" w:type="dxa"/>
              <w:bottom w:w="0" w:type="dxa"/>
              <w:right w:w="15" w:type="dxa"/>
            </w:tcMar>
            <w:vAlign w:val="bottom"/>
            <w:hideMark/>
          </w:tcPr>
          <w:p w14:paraId="7D19FE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93B79F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29C228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189DA20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15,671</w:t>
            </w:r>
          </w:p>
        </w:tc>
        <w:tc>
          <w:tcPr>
            <w:tcW w:w="50" w:type="pct"/>
            <w:shd w:val="clear" w:color="auto" w:fill="FFFFFF"/>
            <w:noWrap/>
            <w:tcMar>
              <w:top w:w="15" w:type="dxa"/>
              <w:left w:w="0" w:type="dxa"/>
              <w:bottom w:w="0" w:type="dxa"/>
              <w:right w:w="15" w:type="dxa"/>
            </w:tcMar>
            <w:vAlign w:val="bottom"/>
            <w:hideMark/>
          </w:tcPr>
          <w:p w14:paraId="725D8B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9BCDC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D66ED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609F5E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CF3DA3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120683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FA84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0BC44FB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15,632</w:t>
            </w:r>
          </w:p>
        </w:tc>
        <w:tc>
          <w:tcPr>
            <w:tcW w:w="50" w:type="pct"/>
            <w:shd w:val="clear" w:color="auto" w:fill="FFFFFF"/>
            <w:noWrap/>
            <w:tcMar>
              <w:top w:w="15" w:type="dxa"/>
              <w:left w:w="0" w:type="dxa"/>
              <w:bottom w:w="0" w:type="dxa"/>
              <w:right w:w="15" w:type="dxa"/>
            </w:tcMar>
            <w:vAlign w:val="bottom"/>
            <w:hideMark/>
          </w:tcPr>
          <w:p w14:paraId="0533B4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5BA4857" w14:textId="77777777">
        <w:trPr>
          <w:divId w:val="968584018"/>
          <w:jc w:val="center"/>
        </w:trPr>
        <w:tc>
          <w:tcPr>
            <w:tcW w:w="1688" w:type="pct"/>
            <w:shd w:val="clear" w:color="auto" w:fill="CFF0FC"/>
            <w:tcMar>
              <w:top w:w="15" w:type="dxa"/>
              <w:left w:w="0" w:type="dxa"/>
              <w:bottom w:w="0" w:type="dxa"/>
              <w:right w:w="15" w:type="dxa"/>
            </w:tcMar>
            <w:hideMark/>
          </w:tcPr>
          <w:p w14:paraId="6F48C2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556205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7ABE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BD8A59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2,781</w:t>
            </w:r>
          </w:p>
        </w:tc>
        <w:tc>
          <w:tcPr>
            <w:tcW w:w="50" w:type="pct"/>
            <w:shd w:val="clear" w:color="auto" w:fill="CFF0FC"/>
            <w:noWrap/>
            <w:tcMar>
              <w:top w:w="15" w:type="dxa"/>
              <w:left w:w="0" w:type="dxa"/>
              <w:bottom w:w="0" w:type="dxa"/>
              <w:right w:w="15" w:type="dxa"/>
            </w:tcMar>
            <w:vAlign w:val="bottom"/>
            <w:hideMark/>
          </w:tcPr>
          <w:p w14:paraId="4154D7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EDB9D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A2B39C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67541E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132196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1A0623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7D27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470E77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2,881</w:t>
            </w:r>
          </w:p>
        </w:tc>
        <w:tc>
          <w:tcPr>
            <w:tcW w:w="50" w:type="pct"/>
            <w:shd w:val="clear" w:color="auto" w:fill="CFF0FC"/>
            <w:noWrap/>
            <w:tcMar>
              <w:top w:w="15" w:type="dxa"/>
              <w:left w:w="0" w:type="dxa"/>
              <w:bottom w:w="0" w:type="dxa"/>
              <w:right w:w="15" w:type="dxa"/>
            </w:tcMar>
            <w:vAlign w:val="bottom"/>
            <w:hideMark/>
          </w:tcPr>
          <w:p w14:paraId="2A6CA7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564DF0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9CC23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176F1C5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8,139</w:t>
            </w:r>
          </w:p>
        </w:tc>
        <w:tc>
          <w:tcPr>
            <w:tcW w:w="50" w:type="pct"/>
            <w:shd w:val="clear" w:color="auto" w:fill="CFF0FC"/>
            <w:noWrap/>
            <w:tcMar>
              <w:top w:w="15" w:type="dxa"/>
              <w:left w:w="0" w:type="dxa"/>
              <w:bottom w:w="0" w:type="dxa"/>
              <w:right w:w="15" w:type="dxa"/>
            </w:tcMar>
            <w:vAlign w:val="bottom"/>
            <w:hideMark/>
          </w:tcPr>
          <w:p w14:paraId="1C9F14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DCFB2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3F412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057EB5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8FA1A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5DCEEA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13F3C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67CD41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8,213</w:t>
            </w:r>
          </w:p>
        </w:tc>
        <w:tc>
          <w:tcPr>
            <w:tcW w:w="50" w:type="pct"/>
            <w:shd w:val="clear" w:color="auto" w:fill="CFF0FC"/>
            <w:noWrap/>
            <w:tcMar>
              <w:top w:w="15" w:type="dxa"/>
              <w:left w:w="0" w:type="dxa"/>
              <w:bottom w:w="0" w:type="dxa"/>
              <w:right w:w="15" w:type="dxa"/>
            </w:tcMar>
            <w:vAlign w:val="bottom"/>
            <w:hideMark/>
          </w:tcPr>
          <w:p w14:paraId="1DE06C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13C369D" w14:textId="77777777">
        <w:trPr>
          <w:divId w:val="968584018"/>
          <w:jc w:val="center"/>
        </w:trPr>
        <w:tc>
          <w:tcPr>
            <w:tcW w:w="1688" w:type="pct"/>
            <w:shd w:val="clear" w:color="auto" w:fill="FFFFFF"/>
            <w:tcMar>
              <w:top w:w="15" w:type="dxa"/>
              <w:left w:w="0" w:type="dxa"/>
              <w:bottom w:w="0" w:type="dxa"/>
              <w:right w:w="15" w:type="dxa"/>
            </w:tcMar>
            <w:hideMark/>
          </w:tcPr>
          <w:p w14:paraId="16760B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r>
              <w:rPr>
                <w:rFonts w:ascii="Calibri" w:hAnsi="Calibri" w:cs="Calibri"/>
                <w:color w:val="000000"/>
                <w:sz w:val="17"/>
                <w:szCs w:val="17"/>
                <w:vertAlign w:val="superscript"/>
              </w:rPr>
              <w:t>(2)</w:t>
            </w:r>
          </w:p>
        </w:tc>
        <w:tc>
          <w:tcPr>
            <w:tcW w:w="57" w:type="pct"/>
            <w:shd w:val="clear" w:color="auto" w:fill="FFFFFF"/>
            <w:tcMar>
              <w:top w:w="15" w:type="dxa"/>
              <w:left w:w="0" w:type="dxa"/>
              <w:bottom w:w="0" w:type="dxa"/>
              <w:right w:w="15" w:type="dxa"/>
            </w:tcMar>
            <w:vAlign w:val="bottom"/>
            <w:hideMark/>
          </w:tcPr>
          <w:p w14:paraId="49B605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F198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5D78B63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1,567</w:t>
            </w:r>
          </w:p>
        </w:tc>
        <w:tc>
          <w:tcPr>
            <w:tcW w:w="50" w:type="pct"/>
            <w:shd w:val="clear" w:color="auto" w:fill="FFFFFF"/>
            <w:noWrap/>
            <w:tcMar>
              <w:top w:w="15" w:type="dxa"/>
              <w:left w:w="0" w:type="dxa"/>
              <w:bottom w:w="0" w:type="dxa"/>
              <w:right w:w="15" w:type="dxa"/>
            </w:tcMar>
            <w:vAlign w:val="bottom"/>
            <w:hideMark/>
          </w:tcPr>
          <w:p w14:paraId="7AF4685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D5419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E72078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2797E6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962D99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vAlign w:val="bottom"/>
            <w:hideMark/>
          </w:tcPr>
          <w:p w14:paraId="304282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A379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54660C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1,542</w:t>
            </w:r>
          </w:p>
        </w:tc>
        <w:tc>
          <w:tcPr>
            <w:tcW w:w="50" w:type="pct"/>
            <w:shd w:val="clear" w:color="auto" w:fill="FFFFFF"/>
            <w:noWrap/>
            <w:tcMar>
              <w:top w:w="15" w:type="dxa"/>
              <w:left w:w="0" w:type="dxa"/>
              <w:bottom w:w="0" w:type="dxa"/>
              <w:right w:w="15" w:type="dxa"/>
            </w:tcMar>
            <w:vAlign w:val="bottom"/>
            <w:hideMark/>
          </w:tcPr>
          <w:p w14:paraId="6A0BD4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2E6AD0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6896E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155168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4,559</w:t>
            </w:r>
          </w:p>
        </w:tc>
        <w:tc>
          <w:tcPr>
            <w:tcW w:w="50" w:type="pct"/>
            <w:shd w:val="clear" w:color="auto" w:fill="FFFFFF"/>
            <w:noWrap/>
            <w:tcMar>
              <w:top w:w="15" w:type="dxa"/>
              <w:left w:w="0" w:type="dxa"/>
              <w:bottom w:w="0" w:type="dxa"/>
              <w:right w:w="15" w:type="dxa"/>
            </w:tcMar>
            <w:vAlign w:val="bottom"/>
            <w:hideMark/>
          </w:tcPr>
          <w:p w14:paraId="584F2D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09A71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003B39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590CD7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CB2813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vAlign w:val="bottom"/>
            <w:hideMark/>
          </w:tcPr>
          <w:p w14:paraId="4714E3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7871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329EB8D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4,524</w:t>
            </w:r>
          </w:p>
        </w:tc>
        <w:tc>
          <w:tcPr>
            <w:tcW w:w="50" w:type="pct"/>
            <w:shd w:val="clear" w:color="auto" w:fill="FFFFFF"/>
            <w:noWrap/>
            <w:tcMar>
              <w:top w:w="15" w:type="dxa"/>
              <w:left w:w="0" w:type="dxa"/>
              <w:bottom w:w="0" w:type="dxa"/>
              <w:right w:w="15" w:type="dxa"/>
            </w:tcMar>
            <w:vAlign w:val="bottom"/>
            <w:hideMark/>
          </w:tcPr>
          <w:p w14:paraId="0E26CA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0355CB0" w14:textId="77777777">
        <w:trPr>
          <w:divId w:val="968584018"/>
          <w:jc w:val="center"/>
        </w:trPr>
        <w:tc>
          <w:tcPr>
            <w:tcW w:w="1688" w:type="pct"/>
            <w:shd w:val="clear" w:color="auto" w:fill="CFF0FC"/>
            <w:tcMar>
              <w:top w:w="15" w:type="dxa"/>
              <w:left w:w="0" w:type="dxa"/>
              <w:bottom w:w="0" w:type="dxa"/>
              <w:right w:w="15" w:type="dxa"/>
            </w:tcMar>
            <w:hideMark/>
          </w:tcPr>
          <w:p w14:paraId="7E07CDDE"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7" w:type="pct"/>
            <w:shd w:val="clear" w:color="auto" w:fill="CFF0FC"/>
            <w:tcMar>
              <w:top w:w="15" w:type="dxa"/>
              <w:left w:w="0" w:type="dxa"/>
              <w:bottom w:w="0" w:type="dxa"/>
              <w:right w:w="15" w:type="dxa"/>
            </w:tcMar>
            <w:vAlign w:val="bottom"/>
            <w:hideMark/>
          </w:tcPr>
          <w:p w14:paraId="0C71BD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8491C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32D9FD7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left w:w="0" w:type="dxa"/>
              <w:bottom w:w="0" w:type="dxa"/>
              <w:right w:w="15" w:type="dxa"/>
            </w:tcMar>
            <w:vAlign w:val="bottom"/>
            <w:hideMark/>
          </w:tcPr>
          <w:p w14:paraId="6FDD03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CD8D3C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5420E4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022B8D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BF22F7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751305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D17A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04A381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9,676</w:t>
            </w:r>
          </w:p>
        </w:tc>
        <w:tc>
          <w:tcPr>
            <w:tcW w:w="50" w:type="pct"/>
            <w:shd w:val="clear" w:color="auto" w:fill="CFF0FC"/>
            <w:noWrap/>
            <w:tcMar>
              <w:top w:w="15" w:type="dxa"/>
              <w:left w:w="0" w:type="dxa"/>
              <w:bottom w:w="0" w:type="dxa"/>
              <w:right w:w="15" w:type="dxa"/>
            </w:tcMar>
            <w:vAlign w:val="bottom"/>
            <w:hideMark/>
          </w:tcPr>
          <w:p w14:paraId="3A55C4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76FE53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B9CE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52DCB8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28,369</w:t>
            </w:r>
          </w:p>
        </w:tc>
        <w:tc>
          <w:tcPr>
            <w:tcW w:w="50" w:type="pct"/>
            <w:shd w:val="clear" w:color="auto" w:fill="CFF0FC"/>
            <w:noWrap/>
            <w:tcMar>
              <w:top w:w="15" w:type="dxa"/>
              <w:left w:w="0" w:type="dxa"/>
              <w:bottom w:w="0" w:type="dxa"/>
              <w:right w:w="15" w:type="dxa"/>
            </w:tcMar>
            <w:vAlign w:val="bottom"/>
            <w:hideMark/>
          </w:tcPr>
          <w:p w14:paraId="78E4DC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EFC01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4C34BA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73399C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436F1F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4AED3B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0586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10398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28,369</w:t>
            </w:r>
          </w:p>
        </w:tc>
        <w:tc>
          <w:tcPr>
            <w:tcW w:w="50" w:type="pct"/>
            <w:shd w:val="clear" w:color="auto" w:fill="CFF0FC"/>
            <w:noWrap/>
            <w:tcMar>
              <w:top w:w="15" w:type="dxa"/>
              <w:left w:w="0" w:type="dxa"/>
              <w:bottom w:w="0" w:type="dxa"/>
              <w:right w:w="15" w:type="dxa"/>
            </w:tcMar>
            <w:vAlign w:val="bottom"/>
            <w:hideMark/>
          </w:tcPr>
          <w:p w14:paraId="520260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DBA0238" w14:textId="77777777">
        <w:trPr>
          <w:divId w:val="968584018"/>
          <w:jc w:val="center"/>
        </w:trPr>
        <w:tc>
          <w:tcPr>
            <w:tcW w:w="1688" w:type="pct"/>
            <w:shd w:val="clear" w:color="auto" w:fill="FFFFFF"/>
            <w:tcMar>
              <w:top w:w="15" w:type="dxa"/>
              <w:left w:w="0" w:type="dxa"/>
              <w:bottom w:w="0" w:type="dxa"/>
              <w:right w:w="15" w:type="dxa"/>
            </w:tcMar>
            <w:hideMark/>
          </w:tcPr>
          <w:p w14:paraId="5A31A94C"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Operating Expenses</w:t>
            </w:r>
          </w:p>
        </w:tc>
        <w:tc>
          <w:tcPr>
            <w:tcW w:w="57" w:type="pct"/>
            <w:shd w:val="clear" w:color="auto" w:fill="FFFFFF"/>
            <w:tcMar>
              <w:top w:w="15" w:type="dxa"/>
              <w:left w:w="0" w:type="dxa"/>
              <w:bottom w:w="0" w:type="dxa"/>
              <w:right w:w="15" w:type="dxa"/>
            </w:tcMar>
            <w:vAlign w:val="bottom"/>
            <w:hideMark/>
          </w:tcPr>
          <w:p w14:paraId="3E38AEE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9A11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4B0AA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6,215</w:t>
            </w:r>
          </w:p>
        </w:tc>
        <w:tc>
          <w:tcPr>
            <w:tcW w:w="50" w:type="pct"/>
            <w:shd w:val="clear" w:color="auto" w:fill="FFFFFF"/>
            <w:noWrap/>
            <w:tcMar>
              <w:top w:w="15" w:type="dxa"/>
              <w:left w:w="0" w:type="dxa"/>
              <w:bottom w:w="0" w:type="dxa"/>
              <w:right w:w="15" w:type="dxa"/>
            </w:tcMar>
            <w:vAlign w:val="bottom"/>
            <w:hideMark/>
          </w:tcPr>
          <w:p w14:paraId="387741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218DA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E95EFA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7918C2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5F9BF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1933A7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DBE0B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ECE4C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6,361</w:t>
            </w:r>
          </w:p>
        </w:tc>
        <w:tc>
          <w:tcPr>
            <w:tcW w:w="50" w:type="pct"/>
            <w:shd w:val="clear" w:color="auto" w:fill="FFFFFF"/>
            <w:noWrap/>
            <w:tcMar>
              <w:top w:w="15" w:type="dxa"/>
              <w:left w:w="0" w:type="dxa"/>
              <w:bottom w:w="0" w:type="dxa"/>
              <w:right w:w="15" w:type="dxa"/>
            </w:tcMar>
            <w:vAlign w:val="bottom"/>
            <w:hideMark/>
          </w:tcPr>
          <w:p w14:paraId="3B533B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320BF4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5606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141F1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19,091</w:t>
            </w:r>
          </w:p>
        </w:tc>
        <w:tc>
          <w:tcPr>
            <w:tcW w:w="50" w:type="pct"/>
            <w:shd w:val="clear" w:color="auto" w:fill="FFFFFF"/>
            <w:noWrap/>
            <w:tcMar>
              <w:top w:w="15" w:type="dxa"/>
              <w:left w:w="0" w:type="dxa"/>
              <w:bottom w:w="0" w:type="dxa"/>
              <w:right w:w="15" w:type="dxa"/>
            </w:tcMar>
            <w:vAlign w:val="bottom"/>
            <w:hideMark/>
          </w:tcPr>
          <w:p w14:paraId="09CC1B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64658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3C20AE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462801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7DADC5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7242A8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24DD6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F38598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19,266</w:t>
            </w:r>
          </w:p>
        </w:tc>
        <w:tc>
          <w:tcPr>
            <w:tcW w:w="50" w:type="pct"/>
            <w:shd w:val="clear" w:color="auto" w:fill="FFFFFF"/>
            <w:noWrap/>
            <w:tcMar>
              <w:top w:w="15" w:type="dxa"/>
              <w:left w:w="0" w:type="dxa"/>
              <w:bottom w:w="0" w:type="dxa"/>
              <w:right w:w="15" w:type="dxa"/>
            </w:tcMar>
            <w:vAlign w:val="bottom"/>
            <w:hideMark/>
          </w:tcPr>
          <w:p w14:paraId="2FCEDB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A542227" w14:textId="77777777">
        <w:trPr>
          <w:divId w:val="968584018"/>
          <w:jc w:val="center"/>
        </w:trPr>
        <w:tc>
          <w:tcPr>
            <w:tcW w:w="1688" w:type="pct"/>
            <w:shd w:val="clear" w:color="auto" w:fill="CFF0FC"/>
            <w:tcMar>
              <w:top w:w="15" w:type="dxa"/>
              <w:left w:w="0" w:type="dxa"/>
              <w:bottom w:w="0" w:type="dxa"/>
              <w:right w:w="15" w:type="dxa"/>
            </w:tcMar>
            <w:hideMark/>
          </w:tcPr>
          <w:p w14:paraId="53F3E7C6"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Operating Margin</w:t>
            </w:r>
          </w:p>
        </w:tc>
        <w:tc>
          <w:tcPr>
            <w:tcW w:w="57" w:type="pct"/>
            <w:shd w:val="clear" w:color="auto" w:fill="CFF0FC"/>
            <w:tcMar>
              <w:top w:w="15" w:type="dxa"/>
              <w:left w:w="0" w:type="dxa"/>
              <w:bottom w:w="0" w:type="dxa"/>
              <w:right w:w="15" w:type="dxa"/>
            </w:tcMar>
            <w:vAlign w:val="bottom"/>
            <w:hideMark/>
          </w:tcPr>
          <w:p w14:paraId="4F0F71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7186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4A301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3,399</w:t>
            </w:r>
          </w:p>
        </w:tc>
        <w:tc>
          <w:tcPr>
            <w:tcW w:w="50" w:type="pct"/>
            <w:shd w:val="clear" w:color="auto" w:fill="CFF0FC"/>
            <w:noWrap/>
            <w:tcMar>
              <w:top w:w="15" w:type="dxa"/>
              <w:left w:w="0" w:type="dxa"/>
              <w:bottom w:w="0" w:type="dxa"/>
              <w:right w:w="15" w:type="dxa"/>
            </w:tcMar>
            <w:vAlign w:val="bottom"/>
            <w:hideMark/>
          </w:tcPr>
          <w:p w14:paraId="2D2498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FF200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1F713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6EA11C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5C5AC0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CFF0FC"/>
            <w:tcMar>
              <w:top w:w="15" w:type="dxa"/>
              <w:left w:w="0" w:type="dxa"/>
              <w:bottom w:w="0" w:type="dxa"/>
              <w:right w:w="15" w:type="dxa"/>
            </w:tcMar>
            <w:vAlign w:val="bottom"/>
            <w:hideMark/>
          </w:tcPr>
          <w:p w14:paraId="7B6453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E1EE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97715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3,315</w:t>
            </w:r>
          </w:p>
        </w:tc>
        <w:tc>
          <w:tcPr>
            <w:tcW w:w="50" w:type="pct"/>
            <w:shd w:val="clear" w:color="auto" w:fill="CFF0FC"/>
            <w:noWrap/>
            <w:tcMar>
              <w:top w:w="15" w:type="dxa"/>
              <w:left w:w="0" w:type="dxa"/>
              <w:bottom w:w="0" w:type="dxa"/>
              <w:right w:w="15" w:type="dxa"/>
            </w:tcMar>
            <w:vAlign w:val="bottom"/>
            <w:hideMark/>
          </w:tcPr>
          <w:p w14:paraId="0CE39A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299CC3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3B94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BAC4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9,278</w:t>
            </w:r>
          </w:p>
        </w:tc>
        <w:tc>
          <w:tcPr>
            <w:tcW w:w="50" w:type="pct"/>
            <w:shd w:val="clear" w:color="auto" w:fill="CFF0FC"/>
            <w:noWrap/>
            <w:tcMar>
              <w:top w:w="15" w:type="dxa"/>
              <w:left w:w="0" w:type="dxa"/>
              <w:bottom w:w="0" w:type="dxa"/>
              <w:right w:w="15" w:type="dxa"/>
            </w:tcMar>
            <w:vAlign w:val="bottom"/>
            <w:hideMark/>
          </w:tcPr>
          <w:p w14:paraId="78FF79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BDDEF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C36B15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293F20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5C978F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4D3336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B667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A065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9,103</w:t>
            </w:r>
          </w:p>
        </w:tc>
        <w:tc>
          <w:tcPr>
            <w:tcW w:w="50" w:type="pct"/>
            <w:shd w:val="clear" w:color="auto" w:fill="CFF0FC"/>
            <w:noWrap/>
            <w:tcMar>
              <w:top w:w="15" w:type="dxa"/>
              <w:left w:w="0" w:type="dxa"/>
              <w:bottom w:w="0" w:type="dxa"/>
              <w:right w:w="15" w:type="dxa"/>
            </w:tcMar>
            <w:vAlign w:val="bottom"/>
            <w:hideMark/>
          </w:tcPr>
          <w:p w14:paraId="1455CA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6C0D659" w14:textId="77777777">
        <w:trPr>
          <w:divId w:val="968584018"/>
          <w:jc w:val="center"/>
        </w:trPr>
        <w:tc>
          <w:tcPr>
            <w:tcW w:w="1688" w:type="pct"/>
            <w:shd w:val="clear" w:color="auto" w:fill="FFFFFF"/>
            <w:tcMar>
              <w:top w:w="15" w:type="dxa"/>
              <w:left w:w="0" w:type="dxa"/>
              <w:bottom w:w="0" w:type="dxa"/>
              <w:right w:w="15" w:type="dxa"/>
            </w:tcMar>
            <w:hideMark/>
          </w:tcPr>
          <w:p w14:paraId="48AF0FE7"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Operating Margin %</w:t>
            </w:r>
          </w:p>
        </w:tc>
        <w:tc>
          <w:tcPr>
            <w:tcW w:w="57" w:type="pct"/>
            <w:shd w:val="clear" w:color="auto" w:fill="FFFFFF"/>
            <w:tcMar>
              <w:top w:w="15" w:type="dxa"/>
              <w:left w:w="0" w:type="dxa"/>
              <w:bottom w:w="0" w:type="dxa"/>
              <w:right w:w="15" w:type="dxa"/>
            </w:tcMar>
            <w:vAlign w:val="bottom"/>
            <w:hideMark/>
          </w:tcPr>
          <w:p w14:paraId="7F01F3A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08EDF6C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2C2052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F00896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2A38BE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73A2C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DD39E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A8072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5CC7730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w:t>
            </w:r>
          </w:p>
        </w:tc>
        <w:tc>
          <w:tcPr>
            <w:tcW w:w="50" w:type="pct"/>
            <w:shd w:val="clear" w:color="auto" w:fill="FFFFFF"/>
            <w:noWrap/>
            <w:tcMar>
              <w:top w:w="15" w:type="dxa"/>
              <w:left w:w="0" w:type="dxa"/>
              <w:bottom w:w="0" w:type="dxa"/>
              <w:right w:w="15" w:type="dxa"/>
            </w:tcMar>
            <w:vAlign w:val="bottom"/>
            <w:hideMark/>
          </w:tcPr>
          <w:p w14:paraId="6A94B2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598711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2437670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7C796C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95404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74CFF3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FE8A1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A896D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544DB1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4D96920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246CA3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5A6D72D" w14:textId="77777777">
        <w:trPr>
          <w:divId w:val="968584018"/>
          <w:jc w:val="center"/>
        </w:trPr>
        <w:tc>
          <w:tcPr>
            <w:tcW w:w="1688" w:type="pct"/>
            <w:shd w:val="clear" w:color="auto" w:fill="CFF0FC"/>
            <w:tcMar>
              <w:top w:w="15" w:type="dxa"/>
              <w:left w:w="0" w:type="dxa"/>
              <w:bottom w:w="0" w:type="dxa"/>
              <w:right w:w="15" w:type="dxa"/>
            </w:tcMar>
            <w:hideMark/>
          </w:tcPr>
          <w:p w14:paraId="5EEC0253"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57" w:type="pct"/>
            <w:shd w:val="clear" w:color="auto" w:fill="CFF0FC"/>
            <w:tcMar>
              <w:top w:w="15" w:type="dxa"/>
              <w:left w:w="0" w:type="dxa"/>
              <w:bottom w:w="0" w:type="dxa"/>
              <w:right w:w="15" w:type="dxa"/>
            </w:tcMar>
            <w:vAlign w:val="bottom"/>
            <w:hideMark/>
          </w:tcPr>
          <w:p w14:paraId="1F221C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BA4E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584F89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47C2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20EF1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2515DF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68F4F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2EAFD1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BFBDF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A7E5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C216CB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5576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EA7B074"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22915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3D1C554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013B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14CA1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3E29C1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78A60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2B4CC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D2734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249B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B627F9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C5A7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C081115" w14:textId="77777777">
        <w:trPr>
          <w:divId w:val="968584018"/>
          <w:jc w:val="center"/>
        </w:trPr>
        <w:tc>
          <w:tcPr>
            <w:tcW w:w="1688" w:type="pct"/>
            <w:shd w:val="clear" w:color="auto" w:fill="FFFFFF"/>
            <w:tcMar>
              <w:top w:w="15" w:type="dxa"/>
              <w:left w:w="0" w:type="dxa"/>
              <w:bottom w:w="0" w:type="dxa"/>
              <w:right w:w="15" w:type="dxa"/>
            </w:tcMar>
            <w:hideMark/>
          </w:tcPr>
          <w:p w14:paraId="6C997BF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FFFFFF"/>
            <w:tcMar>
              <w:top w:w="15" w:type="dxa"/>
              <w:left w:w="0" w:type="dxa"/>
              <w:bottom w:w="0" w:type="dxa"/>
              <w:right w:w="15" w:type="dxa"/>
            </w:tcMar>
            <w:vAlign w:val="bottom"/>
            <w:hideMark/>
          </w:tcPr>
          <w:p w14:paraId="573589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BE5D4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left w:w="0" w:type="dxa"/>
              <w:bottom w:w="0" w:type="dxa"/>
              <w:right w:w="15" w:type="dxa"/>
            </w:tcMar>
            <w:vAlign w:val="bottom"/>
            <w:hideMark/>
          </w:tcPr>
          <w:p w14:paraId="7B0B35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8224B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6C3CAA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0430D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76668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ECADE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57D47D3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FFFFFF"/>
            <w:noWrap/>
            <w:tcMar>
              <w:top w:w="15" w:type="dxa"/>
              <w:left w:w="0" w:type="dxa"/>
              <w:bottom w:w="0" w:type="dxa"/>
              <w:right w:w="15" w:type="dxa"/>
            </w:tcMar>
            <w:vAlign w:val="bottom"/>
            <w:hideMark/>
          </w:tcPr>
          <w:p w14:paraId="0DD51C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3A2BDF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shd w:val="clear" w:color="auto" w:fill="FFFFFF"/>
            <w:tcMar>
              <w:top w:w="15" w:type="dxa"/>
              <w:left w:w="0" w:type="dxa"/>
              <w:bottom w:w="0" w:type="dxa"/>
              <w:right w:w="15" w:type="dxa"/>
            </w:tcMar>
            <w:vAlign w:val="bottom"/>
            <w:hideMark/>
          </w:tcPr>
          <w:p w14:paraId="555FC9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left w:w="0" w:type="dxa"/>
              <w:bottom w:w="0" w:type="dxa"/>
              <w:right w:w="15" w:type="dxa"/>
            </w:tcMar>
            <w:vAlign w:val="bottom"/>
            <w:hideMark/>
          </w:tcPr>
          <w:p w14:paraId="56B6F3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3B51C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61AF59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34B7C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1FF254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446E5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EE2E44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left w:w="0" w:type="dxa"/>
              <w:bottom w:w="0" w:type="dxa"/>
              <w:right w:w="15" w:type="dxa"/>
            </w:tcMar>
            <w:vAlign w:val="bottom"/>
            <w:hideMark/>
          </w:tcPr>
          <w:p w14:paraId="215BDB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5BDB9B9" w14:textId="77777777">
        <w:trPr>
          <w:divId w:val="968584018"/>
          <w:jc w:val="center"/>
        </w:trPr>
        <w:tc>
          <w:tcPr>
            <w:tcW w:w="1688" w:type="pct"/>
            <w:shd w:val="clear" w:color="auto" w:fill="CFF0FC"/>
            <w:tcMar>
              <w:top w:w="15" w:type="dxa"/>
              <w:left w:w="0" w:type="dxa"/>
              <w:bottom w:w="0" w:type="dxa"/>
              <w:right w:w="15" w:type="dxa"/>
            </w:tcMar>
            <w:hideMark/>
          </w:tcPr>
          <w:p w14:paraId="3C842F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57" w:type="pct"/>
            <w:shd w:val="clear" w:color="auto" w:fill="CFF0FC"/>
            <w:tcMar>
              <w:top w:w="15" w:type="dxa"/>
              <w:left w:w="0" w:type="dxa"/>
              <w:bottom w:w="0" w:type="dxa"/>
              <w:right w:w="15" w:type="dxa"/>
            </w:tcMar>
            <w:vAlign w:val="bottom"/>
            <w:hideMark/>
          </w:tcPr>
          <w:p w14:paraId="361244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75DEF32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052321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FBF2DF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452A8B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21FE5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CB52C7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D784C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B2023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5AFA6C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426F46B"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shd w:val="clear" w:color="auto" w:fill="CFF0FC"/>
            <w:tcMar>
              <w:top w:w="15" w:type="dxa"/>
              <w:left w:w="0" w:type="dxa"/>
              <w:bottom w:w="0" w:type="dxa"/>
              <w:right w:w="15" w:type="dxa"/>
            </w:tcMar>
            <w:vAlign w:val="bottom"/>
            <w:hideMark/>
          </w:tcPr>
          <w:p w14:paraId="757B9E1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226C9D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BE0BD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7DE8C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FB3D2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0937E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570EE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288BAA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110B9E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754AE44" w14:textId="77777777">
        <w:trPr>
          <w:divId w:val="968584018"/>
          <w:jc w:val="center"/>
        </w:trPr>
        <w:tc>
          <w:tcPr>
            <w:tcW w:w="1688" w:type="pct"/>
            <w:shd w:val="clear" w:color="auto" w:fill="FFFFFF"/>
            <w:tcMar>
              <w:top w:w="15" w:type="dxa"/>
              <w:left w:w="0" w:type="dxa"/>
              <w:bottom w:w="0" w:type="dxa"/>
              <w:right w:w="15" w:type="dxa"/>
            </w:tcMar>
            <w:hideMark/>
          </w:tcPr>
          <w:p w14:paraId="5A8A92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57" w:type="pct"/>
            <w:shd w:val="clear" w:color="auto" w:fill="FFFFFF"/>
            <w:tcMar>
              <w:top w:w="15" w:type="dxa"/>
              <w:left w:w="0" w:type="dxa"/>
              <w:bottom w:w="0" w:type="dxa"/>
              <w:right w:w="15" w:type="dxa"/>
            </w:tcMar>
            <w:vAlign w:val="bottom"/>
            <w:hideMark/>
          </w:tcPr>
          <w:p w14:paraId="113621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64B39F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5A02B4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4CAD3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416EE5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EC2E4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5B40CD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75D2B1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6C4BA2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2C9373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FBA6680"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shd w:val="clear" w:color="auto" w:fill="FFFFFF"/>
            <w:tcMar>
              <w:top w:w="15" w:type="dxa"/>
              <w:left w:w="0" w:type="dxa"/>
              <w:bottom w:w="0" w:type="dxa"/>
              <w:right w:w="15" w:type="dxa"/>
            </w:tcMar>
            <w:vAlign w:val="bottom"/>
            <w:hideMark/>
          </w:tcPr>
          <w:p w14:paraId="1CFB121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66F100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6B2BE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23FC7B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3DE98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D94A1E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A131E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1A733AC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51A378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B8E639D" w14:textId="77777777">
        <w:trPr>
          <w:divId w:val="968584018"/>
          <w:jc w:val="center"/>
        </w:trPr>
        <w:tc>
          <w:tcPr>
            <w:tcW w:w="1688" w:type="pct"/>
            <w:shd w:val="clear" w:color="auto" w:fill="CFF0FC"/>
            <w:tcMar>
              <w:top w:w="15" w:type="dxa"/>
              <w:left w:w="0" w:type="dxa"/>
              <w:bottom w:w="0" w:type="dxa"/>
              <w:right w:w="15" w:type="dxa"/>
            </w:tcMar>
            <w:hideMark/>
          </w:tcPr>
          <w:p w14:paraId="56AE0F8A"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Revenues by Business:</w:t>
            </w:r>
          </w:p>
        </w:tc>
        <w:tc>
          <w:tcPr>
            <w:tcW w:w="57" w:type="pct"/>
            <w:shd w:val="clear" w:color="auto" w:fill="CFF0FC"/>
            <w:tcMar>
              <w:top w:w="15" w:type="dxa"/>
              <w:left w:w="0" w:type="dxa"/>
              <w:bottom w:w="0" w:type="dxa"/>
              <w:right w:w="15" w:type="dxa"/>
            </w:tcMar>
            <w:vAlign w:val="bottom"/>
            <w:hideMark/>
          </w:tcPr>
          <w:p w14:paraId="6E96FAB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1E54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39D31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8B99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69546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7CE70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5CB251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D5BE14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8DDC0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375C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CF533F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D736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C6095AC"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205ADC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58B990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EF49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3D0B2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860DF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75F30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9D2507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466CBC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A3D7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68D27E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417E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CA60994" w14:textId="77777777">
        <w:trPr>
          <w:divId w:val="968584018"/>
          <w:jc w:val="center"/>
        </w:trPr>
        <w:tc>
          <w:tcPr>
            <w:tcW w:w="1688" w:type="pct"/>
            <w:shd w:val="clear" w:color="auto" w:fill="FFFFFF"/>
            <w:tcMar>
              <w:top w:w="15" w:type="dxa"/>
              <w:left w:w="0" w:type="dxa"/>
              <w:bottom w:w="0" w:type="dxa"/>
              <w:right w:w="15" w:type="dxa"/>
            </w:tcMar>
            <w:hideMark/>
          </w:tcPr>
          <w:p w14:paraId="609047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and license</w:t>
            </w:r>
          </w:p>
        </w:tc>
        <w:tc>
          <w:tcPr>
            <w:tcW w:w="57" w:type="pct"/>
            <w:shd w:val="clear" w:color="auto" w:fill="FFFFFF"/>
            <w:tcMar>
              <w:top w:w="15" w:type="dxa"/>
              <w:left w:w="0" w:type="dxa"/>
              <w:bottom w:w="0" w:type="dxa"/>
              <w:right w:w="15" w:type="dxa"/>
            </w:tcMar>
            <w:vAlign w:val="bottom"/>
            <w:hideMark/>
          </w:tcPr>
          <w:p w14:paraId="1A06FA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D3AE2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0BCC15C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7,913</w:t>
            </w:r>
          </w:p>
        </w:tc>
        <w:tc>
          <w:tcPr>
            <w:tcW w:w="50" w:type="pct"/>
            <w:shd w:val="clear" w:color="auto" w:fill="FFFFFF"/>
            <w:noWrap/>
            <w:tcMar>
              <w:top w:w="15" w:type="dxa"/>
              <w:left w:w="0" w:type="dxa"/>
              <w:bottom w:w="0" w:type="dxa"/>
              <w:right w:w="15" w:type="dxa"/>
            </w:tcMar>
            <w:vAlign w:val="bottom"/>
            <w:hideMark/>
          </w:tcPr>
          <w:p w14:paraId="2F6B91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CB187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19E3AA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3E3DE0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6EADB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5AEF1F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866D5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1A1D90F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7,886</w:t>
            </w:r>
          </w:p>
        </w:tc>
        <w:tc>
          <w:tcPr>
            <w:tcW w:w="50" w:type="pct"/>
            <w:shd w:val="clear" w:color="auto" w:fill="FFFFFF"/>
            <w:noWrap/>
            <w:tcMar>
              <w:top w:w="15" w:type="dxa"/>
              <w:left w:w="0" w:type="dxa"/>
              <w:bottom w:w="0" w:type="dxa"/>
              <w:right w:w="15" w:type="dxa"/>
            </w:tcMar>
            <w:vAlign w:val="bottom"/>
            <w:hideMark/>
          </w:tcPr>
          <w:p w14:paraId="7B4F8F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646C26D"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left w:w="0" w:type="dxa"/>
              <w:bottom w:w="0" w:type="dxa"/>
              <w:right w:w="15" w:type="dxa"/>
            </w:tcMar>
            <w:vAlign w:val="bottom"/>
            <w:hideMark/>
          </w:tcPr>
          <w:p w14:paraId="539D91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5EE228B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23,242</w:t>
            </w:r>
          </w:p>
        </w:tc>
        <w:tc>
          <w:tcPr>
            <w:tcW w:w="50" w:type="pct"/>
            <w:shd w:val="clear" w:color="auto" w:fill="FFFFFF"/>
            <w:noWrap/>
            <w:tcMar>
              <w:top w:w="15" w:type="dxa"/>
              <w:left w:w="0" w:type="dxa"/>
              <w:bottom w:w="0" w:type="dxa"/>
              <w:right w:w="15" w:type="dxa"/>
            </w:tcMar>
            <w:vAlign w:val="bottom"/>
            <w:hideMark/>
          </w:tcPr>
          <w:p w14:paraId="2541E8C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C8CC9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02A7D0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290C6FB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D2642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1FD9C5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8C4EA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21B21F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22,979</w:t>
            </w:r>
          </w:p>
        </w:tc>
        <w:tc>
          <w:tcPr>
            <w:tcW w:w="50" w:type="pct"/>
            <w:shd w:val="clear" w:color="auto" w:fill="FFFFFF"/>
            <w:noWrap/>
            <w:tcMar>
              <w:top w:w="15" w:type="dxa"/>
              <w:left w:w="0" w:type="dxa"/>
              <w:bottom w:w="0" w:type="dxa"/>
              <w:right w:w="15" w:type="dxa"/>
            </w:tcMar>
            <w:vAlign w:val="bottom"/>
            <w:hideMark/>
          </w:tcPr>
          <w:p w14:paraId="497AF2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CE90752" w14:textId="77777777">
        <w:trPr>
          <w:divId w:val="968584018"/>
          <w:jc w:val="center"/>
        </w:trPr>
        <w:tc>
          <w:tcPr>
            <w:tcW w:w="1688" w:type="pct"/>
            <w:shd w:val="clear" w:color="auto" w:fill="CFF0FC"/>
            <w:tcMar>
              <w:top w:w="15" w:type="dxa"/>
              <w:left w:w="0" w:type="dxa"/>
              <w:bottom w:w="0" w:type="dxa"/>
              <w:right w:w="15" w:type="dxa"/>
            </w:tcMar>
            <w:hideMark/>
          </w:tcPr>
          <w:p w14:paraId="58CA2A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57" w:type="pct"/>
            <w:shd w:val="clear" w:color="auto" w:fill="CFF0FC"/>
            <w:tcMar>
              <w:top w:w="15" w:type="dxa"/>
              <w:left w:w="0" w:type="dxa"/>
              <w:bottom w:w="0" w:type="dxa"/>
              <w:right w:w="15" w:type="dxa"/>
            </w:tcMar>
            <w:vAlign w:val="bottom"/>
            <w:hideMark/>
          </w:tcPr>
          <w:p w14:paraId="5ED942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D194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3649872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915</w:t>
            </w:r>
          </w:p>
        </w:tc>
        <w:tc>
          <w:tcPr>
            <w:tcW w:w="50" w:type="pct"/>
            <w:shd w:val="clear" w:color="auto" w:fill="CFF0FC"/>
            <w:noWrap/>
            <w:tcMar>
              <w:top w:w="15" w:type="dxa"/>
              <w:left w:w="0" w:type="dxa"/>
              <w:bottom w:w="0" w:type="dxa"/>
              <w:right w:w="15" w:type="dxa"/>
            </w:tcMar>
            <w:vAlign w:val="bottom"/>
            <w:hideMark/>
          </w:tcPr>
          <w:p w14:paraId="3DD3CA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118D5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0CAED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vAlign w:val="bottom"/>
            <w:hideMark/>
          </w:tcPr>
          <w:p w14:paraId="740EA6C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121EE9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3DCAC6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1FF7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1074E0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994</w:t>
            </w:r>
          </w:p>
        </w:tc>
        <w:tc>
          <w:tcPr>
            <w:tcW w:w="50" w:type="pct"/>
            <w:shd w:val="clear" w:color="auto" w:fill="CFF0FC"/>
            <w:noWrap/>
            <w:tcMar>
              <w:top w:w="15" w:type="dxa"/>
              <w:left w:w="0" w:type="dxa"/>
              <w:bottom w:w="0" w:type="dxa"/>
              <w:right w:w="15" w:type="dxa"/>
            </w:tcMar>
            <w:vAlign w:val="bottom"/>
            <w:hideMark/>
          </w:tcPr>
          <w:p w14:paraId="6ED975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788E4A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left w:w="0" w:type="dxa"/>
              <w:bottom w:w="0" w:type="dxa"/>
              <w:right w:w="15" w:type="dxa"/>
            </w:tcMar>
            <w:vAlign w:val="bottom"/>
            <w:hideMark/>
          </w:tcPr>
          <w:p w14:paraId="49B7E6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F0B14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2,711</w:t>
            </w:r>
          </w:p>
        </w:tc>
        <w:tc>
          <w:tcPr>
            <w:tcW w:w="50" w:type="pct"/>
            <w:shd w:val="clear" w:color="auto" w:fill="CFF0FC"/>
            <w:noWrap/>
            <w:tcMar>
              <w:top w:w="15" w:type="dxa"/>
              <w:left w:w="0" w:type="dxa"/>
              <w:bottom w:w="0" w:type="dxa"/>
              <w:right w:w="15" w:type="dxa"/>
            </w:tcMar>
            <w:vAlign w:val="bottom"/>
            <w:hideMark/>
          </w:tcPr>
          <w:p w14:paraId="5729EDD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E9624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0F4C35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vAlign w:val="bottom"/>
            <w:hideMark/>
          </w:tcPr>
          <w:p w14:paraId="28F74A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2017FB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7E8E97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59F6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95C63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2,878</w:t>
            </w:r>
          </w:p>
        </w:tc>
        <w:tc>
          <w:tcPr>
            <w:tcW w:w="50" w:type="pct"/>
            <w:shd w:val="clear" w:color="auto" w:fill="CFF0FC"/>
            <w:noWrap/>
            <w:tcMar>
              <w:top w:w="15" w:type="dxa"/>
              <w:left w:w="0" w:type="dxa"/>
              <w:bottom w:w="0" w:type="dxa"/>
              <w:right w:w="15" w:type="dxa"/>
            </w:tcMar>
            <w:vAlign w:val="bottom"/>
            <w:hideMark/>
          </w:tcPr>
          <w:p w14:paraId="68562C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5E9023B" w14:textId="77777777">
        <w:trPr>
          <w:divId w:val="968584018"/>
          <w:jc w:val="center"/>
        </w:trPr>
        <w:tc>
          <w:tcPr>
            <w:tcW w:w="1688" w:type="pct"/>
            <w:shd w:val="clear" w:color="auto" w:fill="FFFFFF"/>
            <w:tcMar>
              <w:top w:w="15" w:type="dxa"/>
              <w:left w:w="0" w:type="dxa"/>
              <w:bottom w:w="0" w:type="dxa"/>
              <w:right w:w="15" w:type="dxa"/>
            </w:tcMar>
            <w:hideMark/>
          </w:tcPr>
          <w:p w14:paraId="22CABA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57" w:type="pct"/>
            <w:shd w:val="clear" w:color="auto" w:fill="FFFFFF"/>
            <w:tcMar>
              <w:top w:w="15" w:type="dxa"/>
              <w:left w:w="0" w:type="dxa"/>
              <w:bottom w:w="0" w:type="dxa"/>
              <w:right w:w="15" w:type="dxa"/>
            </w:tcMar>
            <w:vAlign w:val="bottom"/>
            <w:hideMark/>
          </w:tcPr>
          <w:p w14:paraId="5657B4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DA5A3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5677FC2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786</w:t>
            </w:r>
          </w:p>
        </w:tc>
        <w:tc>
          <w:tcPr>
            <w:tcW w:w="50" w:type="pct"/>
            <w:shd w:val="clear" w:color="auto" w:fill="FFFFFF"/>
            <w:noWrap/>
            <w:tcMar>
              <w:top w:w="15" w:type="dxa"/>
              <w:left w:w="0" w:type="dxa"/>
              <w:bottom w:w="0" w:type="dxa"/>
              <w:right w:w="15" w:type="dxa"/>
            </w:tcMar>
            <w:vAlign w:val="bottom"/>
            <w:hideMark/>
          </w:tcPr>
          <w:p w14:paraId="54120D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3993E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8FCA7C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4FBE32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EB369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53EB41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4B61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DFA9CB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796</w:t>
            </w:r>
          </w:p>
        </w:tc>
        <w:tc>
          <w:tcPr>
            <w:tcW w:w="50" w:type="pct"/>
            <w:shd w:val="clear" w:color="auto" w:fill="FFFFFF"/>
            <w:noWrap/>
            <w:tcMar>
              <w:top w:w="15" w:type="dxa"/>
              <w:left w:w="0" w:type="dxa"/>
              <w:bottom w:w="0" w:type="dxa"/>
              <w:right w:w="15" w:type="dxa"/>
            </w:tcMar>
            <w:vAlign w:val="bottom"/>
            <w:hideMark/>
          </w:tcPr>
          <w:p w14:paraId="125B24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D83C69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6678F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D3B0A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2,416</w:t>
            </w:r>
          </w:p>
        </w:tc>
        <w:tc>
          <w:tcPr>
            <w:tcW w:w="50" w:type="pct"/>
            <w:shd w:val="clear" w:color="auto" w:fill="FFFFFF"/>
            <w:noWrap/>
            <w:tcMar>
              <w:top w:w="15" w:type="dxa"/>
              <w:left w:w="0" w:type="dxa"/>
              <w:bottom w:w="0" w:type="dxa"/>
              <w:right w:w="15" w:type="dxa"/>
            </w:tcMar>
            <w:vAlign w:val="bottom"/>
            <w:hideMark/>
          </w:tcPr>
          <w:p w14:paraId="7D05EC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75E53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8A5F5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vAlign w:val="bottom"/>
            <w:hideMark/>
          </w:tcPr>
          <w:p w14:paraId="01BB30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53B2D0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4A3B96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B0A84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D97D5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2,512</w:t>
            </w:r>
          </w:p>
        </w:tc>
        <w:tc>
          <w:tcPr>
            <w:tcW w:w="50" w:type="pct"/>
            <w:shd w:val="clear" w:color="auto" w:fill="FFFFFF"/>
            <w:noWrap/>
            <w:tcMar>
              <w:top w:w="15" w:type="dxa"/>
              <w:left w:w="0" w:type="dxa"/>
              <w:bottom w:w="0" w:type="dxa"/>
              <w:right w:w="15" w:type="dxa"/>
            </w:tcMar>
            <w:vAlign w:val="bottom"/>
            <w:hideMark/>
          </w:tcPr>
          <w:p w14:paraId="14F77F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01D5173" w14:textId="77777777">
        <w:trPr>
          <w:divId w:val="968584018"/>
          <w:jc w:val="center"/>
        </w:trPr>
        <w:tc>
          <w:tcPr>
            <w:tcW w:w="1688" w:type="pct"/>
            <w:shd w:val="clear" w:color="auto" w:fill="CFF0FC"/>
            <w:tcMar>
              <w:top w:w="15" w:type="dxa"/>
              <w:left w:w="0" w:type="dxa"/>
              <w:bottom w:w="0" w:type="dxa"/>
              <w:right w:w="15" w:type="dxa"/>
            </w:tcMar>
            <w:hideMark/>
          </w:tcPr>
          <w:p w14:paraId="0707861A"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7" w:type="pct"/>
            <w:shd w:val="clear" w:color="auto" w:fill="CFF0FC"/>
            <w:tcMar>
              <w:top w:w="15" w:type="dxa"/>
              <w:left w:w="0" w:type="dxa"/>
              <w:bottom w:w="0" w:type="dxa"/>
              <w:right w:w="15" w:type="dxa"/>
            </w:tcMar>
            <w:vAlign w:val="bottom"/>
            <w:hideMark/>
          </w:tcPr>
          <w:p w14:paraId="46B03F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8F69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D196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9,614</w:t>
            </w:r>
          </w:p>
        </w:tc>
        <w:tc>
          <w:tcPr>
            <w:tcW w:w="50" w:type="pct"/>
            <w:shd w:val="clear" w:color="auto" w:fill="CFF0FC"/>
            <w:noWrap/>
            <w:tcMar>
              <w:top w:w="15" w:type="dxa"/>
              <w:left w:w="0" w:type="dxa"/>
              <w:bottom w:w="0" w:type="dxa"/>
              <w:right w:w="15" w:type="dxa"/>
            </w:tcMar>
            <w:vAlign w:val="bottom"/>
            <w:hideMark/>
          </w:tcPr>
          <w:p w14:paraId="3D858B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73AF4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BC4DD2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0A65EF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39927C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25988F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B307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39A04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9,676</w:t>
            </w:r>
          </w:p>
        </w:tc>
        <w:tc>
          <w:tcPr>
            <w:tcW w:w="50" w:type="pct"/>
            <w:shd w:val="clear" w:color="auto" w:fill="CFF0FC"/>
            <w:noWrap/>
            <w:tcMar>
              <w:top w:w="15" w:type="dxa"/>
              <w:left w:w="0" w:type="dxa"/>
              <w:bottom w:w="0" w:type="dxa"/>
              <w:right w:w="15" w:type="dxa"/>
            </w:tcMar>
            <w:vAlign w:val="bottom"/>
            <w:hideMark/>
          </w:tcPr>
          <w:p w14:paraId="38C5D0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7EA22F9"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4C73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06A59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28,369</w:t>
            </w:r>
          </w:p>
        </w:tc>
        <w:tc>
          <w:tcPr>
            <w:tcW w:w="50" w:type="pct"/>
            <w:shd w:val="clear" w:color="auto" w:fill="CFF0FC"/>
            <w:noWrap/>
            <w:tcMar>
              <w:top w:w="15" w:type="dxa"/>
              <w:left w:w="0" w:type="dxa"/>
              <w:bottom w:w="0" w:type="dxa"/>
              <w:right w:w="15" w:type="dxa"/>
            </w:tcMar>
            <w:vAlign w:val="bottom"/>
            <w:hideMark/>
          </w:tcPr>
          <w:p w14:paraId="560BF2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36294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7F466A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1613D6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21DF2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21E33C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8A08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6DA1F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28,369</w:t>
            </w:r>
          </w:p>
        </w:tc>
        <w:tc>
          <w:tcPr>
            <w:tcW w:w="50" w:type="pct"/>
            <w:shd w:val="clear" w:color="auto" w:fill="CFF0FC"/>
            <w:noWrap/>
            <w:tcMar>
              <w:top w:w="15" w:type="dxa"/>
              <w:left w:w="0" w:type="dxa"/>
              <w:bottom w:w="0" w:type="dxa"/>
              <w:right w:w="15" w:type="dxa"/>
            </w:tcMar>
            <w:vAlign w:val="bottom"/>
            <w:hideMark/>
          </w:tcPr>
          <w:p w14:paraId="77EBE7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C35F861" w14:textId="77777777">
        <w:trPr>
          <w:divId w:val="968584018"/>
          <w:jc w:val="center"/>
        </w:trPr>
        <w:tc>
          <w:tcPr>
            <w:tcW w:w="1688" w:type="pct"/>
            <w:shd w:val="clear" w:color="auto" w:fill="FFFFFF"/>
            <w:tcMar>
              <w:top w:w="15" w:type="dxa"/>
              <w:left w:w="0" w:type="dxa"/>
              <w:bottom w:w="0" w:type="dxa"/>
              <w:right w:w="15" w:type="dxa"/>
            </w:tcMar>
            <w:hideMark/>
          </w:tcPr>
          <w:p w14:paraId="6FCA7FEB"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Business:</w:t>
            </w:r>
          </w:p>
        </w:tc>
        <w:tc>
          <w:tcPr>
            <w:tcW w:w="57" w:type="pct"/>
            <w:shd w:val="clear" w:color="auto" w:fill="FFFFFF"/>
            <w:tcMar>
              <w:top w:w="15" w:type="dxa"/>
              <w:left w:w="0" w:type="dxa"/>
              <w:bottom w:w="0" w:type="dxa"/>
              <w:right w:w="15" w:type="dxa"/>
            </w:tcMar>
            <w:vAlign w:val="bottom"/>
            <w:hideMark/>
          </w:tcPr>
          <w:p w14:paraId="469A3D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63EDD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54B1B1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E50E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15E21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326D2D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373DA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EA3696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E0E84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E001F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05B2B7B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3ECA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7E9E8AE"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39056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23634AF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3EC3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9E508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2841C1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136BF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C670C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850DB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109D6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216BFA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858B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DE1D930" w14:textId="77777777">
        <w:trPr>
          <w:divId w:val="968584018"/>
          <w:jc w:val="center"/>
        </w:trPr>
        <w:tc>
          <w:tcPr>
            <w:tcW w:w="1688" w:type="pct"/>
            <w:shd w:val="clear" w:color="auto" w:fill="CFF0FC"/>
            <w:tcMar>
              <w:top w:w="15" w:type="dxa"/>
              <w:left w:w="0" w:type="dxa"/>
              <w:bottom w:w="0" w:type="dxa"/>
              <w:right w:w="15" w:type="dxa"/>
            </w:tcMar>
            <w:hideMark/>
          </w:tcPr>
          <w:p w14:paraId="0D8660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and license</w:t>
            </w:r>
          </w:p>
        </w:tc>
        <w:tc>
          <w:tcPr>
            <w:tcW w:w="57" w:type="pct"/>
            <w:shd w:val="clear" w:color="auto" w:fill="CFF0FC"/>
            <w:tcMar>
              <w:top w:w="15" w:type="dxa"/>
              <w:left w:w="0" w:type="dxa"/>
              <w:bottom w:w="0" w:type="dxa"/>
              <w:right w:w="15" w:type="dxa"/>
            </w:tcMar>
            <w:vAlign w:val="bottom"/>
            <w:hideMark/>
          </w:tcPr>
          <w:p w14:paraId="773E6D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0F02D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left w:w="0" w:type="dxa"/>
              <w:bottom w:w="0" w:type="dxa"/>
              <w:right w:w="15" w:type="dxa"/>
            </w:tcMar>
            <w:vAlign w:val="bottom"/>
            <w:hideMark/>
          </w:tcPr>
          <w:p w14:paraId="091B9C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34042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34D872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046E75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B25F5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A4199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61BC7BA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left w:w="0" w:type="dxa"/>
              <w:bottom w:w="0" w:type="dxa"/>
              <w:right w:w="15" w:type="dxa"/>
            </w:tcMar>
            <w:vAlign w:val="bottom"/>
            <w:hideMark/>
          </w:tcPr>
          <w:p w14:paraId="16DFED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7965847"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shd w:val="clear" w:color="auto" w:fill="CFF0FC"/>
            <w:tcMar>
              <w:top w:w="15" w:type="dxa"/>
              <w:left w:w="0" w:type="dxa"/>
              <w:bottom w:w="0" w:type="dxa"/>
              <w:right w:w="15" w:type="dxa"/>
            </w:tcMar>
            <w:vAlign w:val="bottom"/>
            <w:hideMark/>
          </w:tcPr>
          <w:p w14:paraId="4DC570F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w:t>
            </w:r>
          </w:p>
        </w:tc>
        <w:tc>
          <w:tcPr>
            <w:tcW w:w="50" w:type="pct"/>
            <w:shd w:val="clear" w:color="auto" w:fill="CFF0FC"/>
            <w:noWrap/>
            <w:tcMar>
              <w:top w:w="15" w:type="dxa"/>
              <w:left w:w="0" w:type="dxa"/>
              <w:bottom w:w="0" w:type="dxa"/>
              <w:right w:w="15" w:type="dxa"/>
            </w:tcMar>
            <w:vAlign w:val="bottom"/>
            <w:hideMark/>
          </w:tcPr>
          <w:p w14:paraId="2A8C61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686DD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EF9AB3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B295D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CE49FC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9D29B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FA3F08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0F4FA7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9AB5075" w14:textId="77777777">
        <w:trPr>
          <w:divId w:val="968584018"/>
          <w:jc w:val="center"/>
        </w:trPr>
        <w:tc>
          <w:tcPr>
            <w:tcW w:w="1688" w:type="pct"/>
            <w:shd w:val="clear" w:color="auto" w:fill="FFFFFF"/>
            <w:tcMar>
              <w:top w:w="15" w:type="dxa"/>
              <w:left w:w="0" w:type="dxa"/>
              <w:bottom w:w="0" w:type="dxa"/>
              <w:right w:w="15" w:type="dxa"/>
            </w:tcMar>
            <w:hideMark/>
          </w:tcPr>
          <w:p w14:paraId="5C5612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w:t>
            </w:r>
          </w:p>
        </w:tc>
        <w:tc>
          <w:tcPr>
            <w:tcW w:w="57" w:type="pct"/>
            <w:shd w:val="clear" w:color="auto" w:fill="FFFFFF"/>
            <w:tcMar>
              <w:top w:w="15" w:type="dxa"/>
              <w:left w:w="0" w:type="dxa"/>
              <w:bottom w:w="0" w:type="dxa"/>
              <w:right w:w="15" w:type="dxa"/>
            </w:tcMar>
            <w:vAlign w:val="bottom"/>
            <w:hideMark/>
          </w:tcPr>
          <w:p w14:paraId="6D015F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68B820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7AD36B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BE22D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F035B7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ED826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538309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7ADCE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11E5568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2635C1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754DA7F"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shd w:val="clear" w:color="auto" w:fill="FFFFFF"/>
            <w:tcMar>
              <w:top w:w="15" w:type="dxa"/>
              <w:left w:w="0" w:type="dxa"/>
              <w:bottom w:w="0" w:type="dxa"/>
              <w:right w:w="15" w:type="dxa"/>
            </w:tcMar>
            <w:vAlign w:val="bottom"/>
            <w:hideMark/>
          </w:tcPr>
          <w:p w14:paraId="0D4F3E9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3421C5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EB229F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40032D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6ABE4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B73C13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2C8339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57130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FFFFFF"/>
            <w:noWrap/>
            <w:tcMar>
              <w:top w:w="15" w:type="dxa"/>
              <w:left w:w="0" w:type="dxa"/>
              <w:bottom w:w="0" w:type="dxa"/>
              <w:right w:w="15" w:type="dxa"/>
            </w:tcMar>
            <w:vAlign w:val="bottom"/>
            <w:hideMark/>
          </w:tcPr>
          <w:p w14:paraId="524C718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F6ECBFB" w14:textId="77777777">
        <w:trPr>
          <w:divId w:val="968584018"/>
          <w:jc w:val="center"/>
        </w:trPr>
        <w:tc>
          <w:tcPr>
            <w:tcW w:w="1688" w:type="pct"/>
            <w:shd w:val="clear" w:color="auto" w:fill="CFF0FC"/>
            <w:tcMar>
              <w:top w:w="15" w:type="dxa"/>
              <w:left w:w="0" w:type="dxa"/>
              <w:bottom w:w="0" w:type="dxa"/>
              <w:right w:w="15" w:type="dxa"/>
            </w:tcMar>
            <w:hideMark/>
          </w:tcPr>
          <w:p w14:paraId="1C3A76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Services</w:t>
            </w:r>
          </w:p>
        </w:tc>
        <w:tc>
          <w:tcPr>
            <w:tcW w:w="57" w:type="pct"/>
            <w:shd w:val="clear" w:color="auto" w:fill="CFF0FC"/>
            <w:tcMar>
              <w:top w:w="15" w:type="dxa"/>
              <w:left w:w="0" w:type="dxa"/>
              <w:bottom w:w="0" w:type="dxa"/>
              <w:right w:w="15" w:type="dxa"/>
            </w:tcMar>
            <w:vAlign w:val="bottom"/>
            <w:hideMark/>
          </w:tcPr>
          <w:p w14:paraId="09D6E4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418CE4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16AE81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FB8CF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00607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25EBA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733D6A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ABD9B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6F9F25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2DD3CD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175E692" w14:textId="77777777" w:rsidR="00716E85" w:rsidRDefault="00716E85">
            <w:pPr>
              <w:pStyle w:val="a3"/>
              <w:spacing w:before="0" w:beforeAutospacing="0" w:after="0" w:afterAutospacing="0"/>
              <w:rPr>
                <w:rFonts w:ascii="Calibri" w:hAnsi="Calibri" w:cs="Calibri"/>
                <w:color w:val="000000"/>
                <w:sz w:val="17"/>
                <w:szCs w:val="17"/>
              </w:rPr>
            </w:pPr>
            <w:r>
              <w:rPr>
                <w:rFonts w:ascii="Calibri" w:hAnsi="Calibri" w:cs="Calibri"/>
                <w:color w:val="000000"/>
                <w:sz w:val="17"/>
                <w:szCs w:val="17"/>
              </w:rPr>
              <w:t> </w:t>
            </w:r>
          </w:p>
        </w:tc>
        <w:tc>
          <w:tcPr>
            <w:tcW w:w="306" w:type="pct"/>
            <w:gridSpan w:val="2"/>
            <w:shd w:val="clear" w:color="auto" w:fill="CFF0FC"/>
            <w:tcMar>
              <w:top w:w="15" w:type="dxa"/>
              <w:left w:w="0" w:type="dxa"/>
              <w:bottom w:w="0" w:type="dxa"/>
              <w:right w:w="15" w:type="dxa"/>
            </w:tcMar>
            <w:vAlign w:val="bottom"/>
            <w:hideMark/>
          </w:tcPr>
          <w:p w14:paraId="131B2C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1477E3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64F0C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1A0222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74A47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7AD4D3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E78BA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8A7346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0191BF91"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68943FC3" w14:textId="77777777" w:rsidR="00716E85" w:rsidRDefault="00716E85">
      <w:pPr>
        <w:pStyle w:val="a3"/>
        <w:pBdr>
          <w:bottom w:val="single" w:sz="6" w:space="1" w:color="auto"/>
        </w:pBdr>
        <w:spacing w:before="0" w:beforeAutospacing="0" w:after="0" w:afterAutospacing="0"/>
        <w:ind w:right="10477"/>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0F0EFD5A" w14:textId="77777777">
        <w:tc>
          <w:tcPr>
            <w:tcW w:w="192" w:type="pct"/>
            <w:noWrap/>
            <w:hideMark/>
          </w:tcPr>
          <w:p w14:paraId="1A5F1081"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4C08F795"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4D1A2097"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51211D88" w14:textId="77777777">
        <w:tc>
          <w:tcPr>
            <w:tcW w:w="192" w:type="pct"/>
            <w:noWrap/>
            <w:hideMark/>
          </w:tcPr>
          <w:p w14:paraId="7E6111D9" w14:textId="77777777" w:rsidR="00716E85" w:rsidRDefault="00716E85">
            <w:pPr>
              <w:pStyle w:val="a3"/>
              <w:spacing w:before="12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6CF6BF98" w14:textId="77777777" w:rsidR="00716E85" w:rsidRDefault="00716E85">
            <w:pPr>
              <w:pStyle w:val="a3"/>
              <w:spacing w:before="120" w:beforeAutospacing="0" w:after="0" w:afterAutospacing="0"/>
              <w:jc w:val="both"/>
              <w:rPr>
                <w:rFonts w:ascii="Calibri" w:hAnsi="Calibri" w:cs="Calibri"/>
                <w:sz w:val="15"/>
                <w:szCs w:val="15"/>
              </w:rPr>
            </w:pPr>
            <w:r>
              <w:rPr>
                <w:rFonts w:ascii="Calibri" w:hAnsi="Calibri" w:cs="Calibri"/>
                <w:sz w:val="15"/>
                <w:szCs w:val="15"/>
              </w:rPr>
              <w:t xml:space="preserve">The Asia Pacific region includes Japan </w:t>
            </w:r>
          </w:p>
        </w:tc>
      </w:tr>
    </w:tbl>
    <w:p w14:paraId="7E76D939" w14:textId="77777777" w:rsidR="00716E85" w:rsidRDefault="00716E85">
      <w:pPr>
        <w:pStyle w:val="a3"/>
        <w:spacing w:before="0" w:beforeAutospacing="0" w:after="0" w:afterAutospacing="0"/>
        <w:rPr>
          <w:sz w:val="12"/>
          <w:szCs w:val="12"/>
        </w:rPr>
      </w:pPr>
      <w:r>
        <w:rPr>
          <w:sz w:val="12"/>
          <w:szCs w:val="12"/>
        </w:rPr>
        <w:t> </w:t>
      </w:r>
    </w:p>
    <w:p w14:paraId="30785259"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38</w:t>
      </w:r>
    </w:p>
    <w:p w14:paraId="12FBF6E1" w14:textId="77777777" w:rsidR="00716E85" w:rsidRDefault="00716E85">
      <w:pPr>
        <w:rPr>
          <w:rFonts w:ascii="Times New Roman" w:eastAsia="Times New Roman" w:hAnsi="Times New Roman" w:cs="Times New Roman"/>
          <w:sz w:val="24"/>
          <w:szCs w:val="24"/>
        </w:rPr>
      </w:pPr>
      <w:r>
        <w:rPr>
          <w:rFonts w:eastAsia="Times New Roman"/>
        </w:rPr>
        <w:pict w14:anchorId="0EFA096E">
          <v:rect id="_x0000_i1064" style="width:415.3pt;height:1.5pt" o:hralign="center" o:hrstd="t" o:hr="t" fillcolor="#a0a0a0" stroked="f"/>
        </w:pict>
      </w:r>
    </w:p>
    <w:p w14:paraId="673AC158"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5418423B" w14:textId="77777777" w:rsidR="00716E85" w:rsidRDefault="00716E85">
      <w:pPr>
        <w:pStyle w:val="a3"/>
        <w:spacing w:before="0" w:beforeAutospacing="0" w:after="0" w:afterAutospacing="0"/>
        <w:rPr>
          <w:sz w:val="20"/>
          <w:szCs w:val="20"/>
        </w:rPr>
      </w:pPr>
      <w:r>
        <w:rPr>
          <w:sz w:val="20"/>
          <w:szCs w:val="20"/>
        </w:rPr>
        <w:t> </w:t>
      </w:r>
    </w:p>
    <w:p w14:paraId="41B1B58A" w14:textId="77777777" w:rsidR="00716E85" w:rsidRDefault="00716E85">
      <w:pPr>
        <w:pStyle w:val="a3"/>
        <w:spacing w:before="0" w:beforeAutospacing="0" w:after="0" w:afterAutospacing="0"/>
        <w:jc w:val="both"/>
        <w:rPr>
          <w:rFonts w:ascii="Calibri" w:hAnsi="Calibri" w:cs="Calibri"/>
          <w:sz w:val="20"/>
          <w:szCs w:val="20"/>
        </w:rPr>
      </w:pPr>
      <w:bookmarkStart w:id="48" w:name="_AEIOULastRenderedPageBreakAEIOU39"/>
      <w:bookmarkEnd w:id="48"/>
      <w:r>
        <w:rPr>
          <w:rFonts w:ascii="Calibri" w:hAnsi="Calibri" w:cs="Calibri"/>
          <w:sz w:val="20"/>
          <w:szCs w:val="20"/>
        </w:rPr>
        <w:t xml:space="preserve">Excluding the effects of currency rate fluctuations, our total revenues increased in the fiscal 2019 periods presented relative to the corresponding prior year periods primarily due to growth in our cloud and license business’ revenues, which were partially offset primarily by decreases in our hardware revenues. The constant currency increases in our cloud and license revenues during the fiscal 2019 periods presented were attributable to growth in our cloud services and license support revenues as customers purchased our applications and infrastructure technologies via cloud deployment models and license deployment models and renewed their related cloud and license support contracts to continue to gain access to our latest technology and support services. The constant currency decreases in our hardware revenues during the fiscal 2019 periods presented were due to a reduction in our hardware products revenues and hardware support revenues primarily due to the emphasis we placed on the marketing and sale of our cloud-based infrastructure technologies, which resulted in reduced sales volumes of certain of our hardware product lines and also impacted the volume of customers that purchased hardware support contracts. In constant currency, the Americas, EMEA and Asia Pacific regions contributed 28% and 33%, respectively, 32% and 37%, respectively, and 40% and 30%, respectively, to the growth in our total revenues during the third quarter and first nine months of fiscal 2019, respectively. </w:t>
      </w:r>
    </w:p>
    <w:p w14:paraId="598E3C6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our total operating expenses increased slightly in the fiscal 2019 periods presented relative to the corresponding prior year periods primarily due to higher cloud services and license support expenses and higher cloud and license related sales and marketing expenses, both of which resulted primarily from increased headcount and infrastructure expenses to support the increases in our cloud and license business’ revenues. These constant currency expense increases were partially offset by certain expense decreases during the fiscal 2019 periods presented relative to the corresponding prior year periods, primarily lower research and development expenses; lower hardware products expenses and support costs, both of which aligned to lower hardware revenues; lower general and administrative expenses due primarily to lower professional fees incurred; and lower restructuring expenses.</w:t>
      </w:r>
    </w:p>
    <w:p w14:paraId="40AF5FDB"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 constant currency, our total operating margins and operating margin as a percentage of total revenues increased during the fiscal 2019 periods presented primarily due to the increases in our total revenues. </w:t>
      </w:r>
    </w:p>
    <w:p w14:paraId="22FD2FC0"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Supplemental Disclosure Related to Certain Charges</w:t>
      </w:r>
    </w:p>
    <w:p w14:paraId="661D8E66"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that the following information is helpful to an overall understanding of our past financial performance and prospects for the future. You should review the introduction under “Impacts of Acquisitions” (above) for a discussion of the inherent limitations in comparing pre- and post-acquisition information.</w:t>
      </w:r>
    </w:p>
    <w:p w14:paraId="16ECBAF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operating results reported pursuant to GAAP included the following business combination accounting adjustments, expenses related to acquisitions, and certain other expense, and income items that affected our GAAP net income (loss):</w:t>
      </w:r>
      <w:r>
        <w:rPr>
          <w:rFonts w:ascii="Calibri" w:hAnsi="Calibri" w:cs="Calibri"/>
        </w:rPr>
        <w:t> </w:t>
      </w:r>
    </w:p>
    <w:p w14:paraId="12CE773F"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51"/>
        <w:gridCol w:w="61"/>
        <w:gridCol w:w="117"/>
        <w:gridCol w:w="656"/>
        <w:gridCol w:w="76"/>
        <w:gridCol w:w="61"/>
        <w:gridCol w:w="117"/>
        <w:gridCol w:w="649"/>
        <w:gridCol w:w="76"/>
        <w:gridCol w:w="89"/>
        <w:gridCol w:w="117"/>
        <w:gridCol w:w="657"/>
        <w:gridCol w:w="76"/>
        <w:gridCol w:w="61"/>
        <w:gridCol w:w="117"/>
        <w:gridCol w:w="649"/>
        <w:gridCol w:w="76"/>
      </w:tblGrid>
      <w:tr w:rsidR="00716E85" w14:paraId="0B522069" w14:textId="77777777">
        <w:tc>
          <w:tcPr>
            <w:tcW w:w="2809" w:type="pct"/>
            <w:shd w:val="clear" w:color="auto" w:fill="FFFFFF"/>
            <w:tcMar>
              <w:top w:w="15" w:type="dxa"/>
              <w:left w:w="0" w:type="dxa"/>
              <w:bottom w:w="0" w:type="dxa"/>
              <w:right w:w="15" w:type="dxa"/>
            </w:tcMar>
            <w:vAlign w:val="bottom"/>
            <w:hideMark/>
          </w:tcPr>
          <w:p w14:paraId="15C15E9E" w14:textId="77777777" w:rsidR="00716E85" w:rsidRDefault="00716E85">
            <w:pPr>
              <w:pStyle w:val="a3"/>
              <w:spacing w:before="0" w:beforeAutospacing="0" w:after="0" w:afterAutospacing="0"/>
              <w:jc w:val="center"/>
              <w:rPr>
                <w:sz w:val="20"/>
                <w:szCs w:val="20"/>
              </w:rPr>
            </w:pPr>
            <w:r>
              <w:rPr>
                <w:sz w:val="20"/>
                <w:szCs w:val="20"/>
              </w:rPr>
              <w:t> </w:t>
            </w:r>
          </w:p>
        </w:tc>
        <w:tc>
          <w:tcPr>
            <w:tcW w:w="34" w:type="pct"/>
            <w:shd w:val="clear" w:color="auto" w:fill="FFFFFF"/>
            <w:tcMar>
              <w:top w:w="15" w:type="dxa"/>
              <w:left w:w="0" w:type="dxa"/>
              <w:bottom w:w="0" w:type="dxa"/>
              <w:right w:w="15" w:type="dxa"/>
            </w:tcMar>
            <w:vAlign w:val="bottom"/>
            <w:hideMark/>
          </w:tcPr>
          <w:p w14:paraId="365785C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94" w:type="pct"/>
            <w:gridSpan w:val="6"/>
            <w:tcBorders>
              <w:bottom w:val="single" w:sz="6" w:space="0" w:color="000000"/>
            </w:tcBorders>
            <w:shd w:val="clear" w:color="auto" w:fill="FFFFFF"/>
            <w:tcMar>
              <w:top w:w="15" w:type="dxa"/>
              <w:left w:w="0" w:type="dxa"/>
              <w:bottom w:w="0" w:type="dxa"/>
              <w:right w:w="15" w:type="dxa"/>
            </w:tcMar>
            <w:vAlign w:val="bottom"/>
            <w:hideMark/>
          </w:tcPr>
          <w:p w14:paraId="56B2F2F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2A209E6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40692AE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1DA0ED0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994" w:type="pct"/>
            <w:gridSpan w:val="6"/>
            <w:tcBorders>
              <w:bottom w:val="single" w:sz="6" w:space="0" w:color="000000"/>
            </w:tcBorders>
            <w:shd w:val="clear" w:color="auto" w:fill="FFFFFF"/>
            <w:tcMar>
              <w:top w:w="15" w:type="dxa"/>
              <w:left w:w="0" w:type="dxa"/>
              <w:bottom w:w="0" w:type="dxa"/>
              <w:right w:w="15" w:type="dxa"/>
            </w:tcMar>
            <w:vAlign w:val="bottom"/>
            <w:hideMark/>
          </w:tcPr>
          <w:p w14:paraId="41B266C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741DF1C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3BD23BE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BF617B0" w14:textId="77777777">
        <w:tc>
          <w:tcPr>
            <w:tcW w:w="2809" w:type="pct"/>
            <w:tcBorders>
              <w:bottom w:val="single" w:sz="6" w:space="0" w:color="000000"/>
            </w:tcBorders>
            <w:shd w:val="clear" w:color="auto" w:fill="FFFFFF"/>
            <w:tcMar>
              <w:top w:w="15" w:type="dxa"/>
              <w:left w:w="0" w:type="dxa"/>
              <w:bottom w:w="0" w:type="dxa"/>
              <w:right w:w="15" w:type="dxa"/>
            </w:tcMar>
            <w:vAlign w:val="bottom"/>
            <w:hideMark/>
          </w:tcPr>
          <w:p w14:paraId="68B214C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34" w:type="pct"/>
            <w:shd w:val="clear" w:color="auto" w:fill="FFFFFF"/>
            <w:tcMar>
              <w:top w:w="15" w:type="dxa"/>
              <w:left w:w="0" w:type="dxa"/>
              <w:bottom w:w="0" w:type="dxa"/>
              <w:right w:w="15" w:type="dxa"/>
            </w:tcMar>
            <w:vAlign w:val="bottom"/>
            <w:hideMark/>
          </w:tcPr>
          <w:p w14:paraId="12D46F8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C6BE2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57A5FB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32B6150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52179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E60F35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8" w:type="pct"/>
            <w:shd w:val="clear" w:color="auto" w:fill="FFFFFF"/>
            <w:tcMar>
              <w:top w:w="15" w:type="dxa"/>
              <w:left w:w="0" w:type="dxa"/>
              <w:bottom w:w="0" w:type="dxa"/>
              <w:right w:w="15" w:type="dxa"/>
            </w:tcMar>
            <w:vAlign w:val="bottom"/>
            <w:hideMark/>
          </w:tcPr>
          <w:p w14:paraId="6863725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2686F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3157CC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4" w:type="pct"/>
            <w:tcBorders>
              <w:top w:val="single" w:sz="6" w:space="0" w:color="000000"/>
            </w:tcBorders>
            <w:shd w:val="clear" w:color="auto" w:fill="FFFFFF"/>
            <w:tcMar>
              <w:top w:w="15" w:type="dxa"/>
              <w:left w:w="0" w:type="dxa"/>
              <w:bottom w:w="0" w:type="dxa"/>
              <w:right w:w="15" w:type="dxa"/>
            </w:tcMar>
            <w:vAlign w:val="bottom"/>
            <w:hideMark/>
          </w:tcPr>
          <w:p w14:paraId="2A60316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546A8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C88822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8AC7F6A" w14:textId="77777777">
        <w:tc>
          <w:tcPr>
            <w:tcW w:w="2809" w:type="pct"/>
            <w:tcBorders>
              <w:top w:val="single" w:sz="6" w:space="0" w:color="000000"/>
            </w:tcBorders>
            <w:shd w:val="clear" w:color="auto" w:fill="CFF0FC"/>
            <w:tcMar>
              <w:top w:w="15" w:type="dxa"/>
              <w:left w:w="0" w:type="dxa"/>
              <w:bottom w:w="0" w:type="dxa"/>
              <w:right w:w="15" w:type="dxa"/>
            </w:tcMar>
            <w:hideMark/>
          </w:tcPr>
          <w:p w14:paraId="5AF7AF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vertAlign w:val="superscript"/>
              </w:rPr>
              <w:t>(1)</w:t>
            </w:r>
          </w:p>
        </w:tc>
        <w:tc>
          <w:tcPr>
            <w:tcW w:w="34" w:type="pct"/>
            <w:shd w:val="clear" w:color="auto" w:fill="CFF0FC"/>
            <w:tcMar>
              <w:top w:w="15" w:type="dxa"/>
              <w:left w:w="0" w:type="dxa"/>
              <w:bottom w:w="0" w:type="dxa"/>
              <w:right w:w="15" w:type="dxa"/>
            </w:tcMar>
            <w:vAlign w:val="center"/>
            <w:hideMark/>
          </w:tcPr>
          <w:p w14:paraId="6B017A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CFED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6DDFAC5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left w:w="0" w:type="dxa"/>
              <w:bottom w:w="0" w:type="dxa"/>
              <w:right w:w="15" w:type="dxa"/>
            </w:tcMar>
            <w:vAlign w:val="bottom"/>
            <w:hideMark/>
          </w:tcPr>
          <w:p w14:paraId="38E3998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center"/>
            <w:hideMark/>
          </w:tcPr>
          <w:p w14:paraId="0E8526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0FF8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70B8C9C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7C20B8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left w:w="0" w:type="dxa"/>
              <w:bottom w:w="0" w:type="dxa"/>
              <w:right w:w="15" w:type="dxa"/>
            </w:tcMar>
            <w:vAlign w:val="bottom"/>
            <w:hideMark/>
          </w:tcPr>
          <w:p w14:paraId="0E4544C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6C37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5CAC0F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CFF0FC"/>
            <w:noWrap/>
            <w:tcMar>
              <w:top w:w="15" w:type="dxa"/>
              <w:left w:w="0" w:type="dxa"/>
              <w:bottom w:w="0" w:type="dxa"/>
              <w:right w:w="15" w:type="dxa"/>
            </w:tcMar>
            <w:vAlign w:val="bottom"/>
            <w:hideMark/>
          </w:tcPr>
          <w:p w14:paraId="4FD56C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center"/>
            <w:hideMark/>
          </w:tcPr>
          <w:p w14:paraId="49A3BF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F98A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14:paraId="6549D6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CFF0FC"/>
            <w:noWrap/>
            <w:tcMar>
              <w:top w:w="15" w:type="dxa"/>
              <w:left w:w="0" w:type="dxa"/>
              <w:bottom w:w="0" w:type="dxa"/>
              <w:right w:w="15" w:type="dxa"/>
            </w:tcMar>
            <w:vAlign w:val="bottom"/>
            <w:hideMark/>
          </w:tcPr>
          <w:p w14:paraId="5CBBB8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213601C" w14:textId="77777777">
        <w:tc>
          <w:tcPr>
            <w:tcW w:w="2809" w:type="pct"/>
            <w:shd w:val="clear" w:color="auto" w:fill="FFFFFF"/>
            <w:tcMar>
              <w:top w:w="15" w:type="dxa"/>
              <w:left w:w="0" w:type="dxa"/>
              <w:bottom w:w="0" w:type="dxa"/>
              <w:right w:w="15" w:type="dxa"/>
            </w:tcMar>
            <w:hideMark/>
          </w:tcPr>
          <w:p w14:paraId="7CA0C6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Acquired deferred sales commissions amortization</w:t>
            </w:r>
            <w:r>
              <w:rPr>
                <w:rFonts w:ascii="Calibri" w:hAnsi="Calibri" w:cs="Calibri"/>
                <w:color w:val="000000"/>
                <w:sz w:val="17"/>
                <w:szCs w:val="17"/>
                <w:vertAlign w:val="superscript"/>
              </w:rPr>
              <w:t>(2)</w:t>
            </w:r>
          </w:p>
        </w:tc>
        <w:tc>
          <w:tcPr>
            <w:tcW w:w="34" w:type="pct"/>
            <w:shd w:val="clear" w:color="auto" w:fill="FFFFFF"/>
            <w:tcMar>
              <w:top w:w="15" w:type="dxa"/>
              <w:left w:w="0" w:type="dxa"/>
              <w:bottom w:w="0" w:type="dxa"/>
              <w:right w:w="15" w:type="dxa"/>
            </w:tcMar>
            <w:vAlign w:val="bottom"/>
            <w:hideMark/>
          </w:tcPr>
          <w:p w14:paraId="3EDF56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04A3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62069B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2999D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4A2EE6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43A2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31C8865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74D737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FFFFFF"/>
            <w:tcMar>
              <w:top w:w="15" w:type="dxa"/>
              <w:left w:w="0" w:type="dxa"/>
              <w:bottom w:w="0" w:type="dxa"/>
              <w:right w:w="15" w:type="dxa"/>
            </w:tcMar>
            <w:vAlign w:val="bottom"/>
            <w:hideMark/>
          </w:tcPr>
          <w:p w14:paraId="7F7E353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7CD5A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0C2404A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D2C3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1C926B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4303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7DDD589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2F9BAB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72C3C2A4" w14:textId="77777777">
        <w:tc>
          <w:tcPr>
            <w:tcW w:w="2809" w:type="pct"/>
            <w:shd w:val="clear" w:color="auto" w:fill="CFF0FC"/>
            <w:tcMar>
              <w:top w:w="15" w:type="dxa"/>
              <w:left w:w="0" w:type="dxa"/>
              <w:bottom w:w="0" w:type="dxa"/>
              <w:right w:w="15" w:type="dxa"/>
            </w:tcMar>
            <w:hideMark/>
          </w:tcPr>
          <w:p w14:paraId="3C5ABC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vertAlign w:val="superscript"/>
              </w:rPr>
              <w:t>(3)</w:t>
            </w:r>
          </w:p>
        </w:tc>
        <w:tc>
          <w:tcPr>
            <w:tcW w:w="34" w:type="pct"/>
            <w:shd w:val="clear" w:color="auto" w:fill="CFF0FC"/>
            <w:tcMar>
              <w:top w:w="15" w:type="dxa"/>
              <w:left w:w="0" w:type="dxa"/>
              <w:bottom w:w="0" w:type="dxa"/>
              <w:right w:w="15" w:type="dxa"/>
            </w:tcMar>
            <w:vAlign w:val="bottom"/>
            <w:hideMark/>
          </w:tcPr>
          <w:p w14:paraId="000CF2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B0FC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1FC098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CFF0FC"/>
            <w:noWrap/>
            <w:tcMar>
              <w:top w:w="15" w:type="dxa"/>
              <w:left w:w="0" w:type="dxa"/>
              <w:bottom w:w="0" w:type="dxa"/>
              <w:right w:w="15" w:type="dxa"/>
            </w:tcMar>
            <w:vAlign w:val="bottom"/>
            <w:hideMark/>
          </w:tcPr>
          <w:p w14:paraId="3AA411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bottom"/>
            <w:hideMark/>
          </w:tcPr>
          <w:p w14:paraId="4332524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8BD4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1B5B50C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394</w:t>
            </w:r>
          </w:p>
        </w:tc>
        <w:tc>
          <w:tcPr>
            <w:tcW w:w="50" w:type="pct"/>
            <w:shd w:val="clear" w:color="auto" w:fill="CFF0FC"/>
            <w:noWrap/>
            <w:tcMar>
              <w:top w:w="15" w:type="dxa"/>
              <w:left w:w="0" w:type="dxa"/>
              <w:bottom w:w="0" w:type="dxa"/>
              <w:right w:w="15" w:type="dxa"/>
            </w:tcMar>
            <w:vAlign w:val="bottom"/>
            <w:hideMark/>
          </w:tcPr>
          <w:p w14:paraId="1936C9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left w:w="0" w:type="dxa"/>
              <w:bottom w:w="0" w:type="dxa"/>
              <w:right w:w="15" w:type="dxa"/>
            </w:tcMar>
            <w:vAlign w:val="bottom"/>
            <w:hideMark/>
          </w:tcPr>
          <w:p w14:paraId="65ED1E3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54AD79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1E191D9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1,265</w:t>
            </w:r>
          </w:p>
        </w:tc>
        <w:tc>
          <w:tcPr>
            <w:tcW w:w="50" w:type="pct"/>
            <w:shd w:val="clear" w:color="auto" w:fill="CFF0FC"/>
            <w:noWrap/>
            <w:tcMar>
              <w:top w:w="15" w:type="dxa"/>
              <w:left w:w="0" w:type="dxa"/>
              <w:bottom w:w="0" w:type="dxa"/>
              <w:right w:w="15" w:type="dxa"/>
            </w:tcMar>
            <w:vAlign w:val="bottom"/>
            <w:hideMark/>
          </w:tcPr>
          <w:p w14:paraId="449060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bottom"/>
            <w:hideMark/>
          </w:tcPr>
          <w:p w14:paraId="71CD2F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9B23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45C064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1,205</w:t>
            </w:r>
          </w:p>
        </w:tc>
        <w:tc>
          <w:tcPr>
            <w:tcW w:w="50" w:type="pct"/>
            <w:shd w:val="clear" w:color="auto" w:fill="CFF0FC"/>
            <w:noWrap/>
            <w:tcMar>
              <w:top w:w="15" w:type="dxa"/>
              <w:left w:w="0" w:type="dxa"/>
              <w:bottom w:w="0" w:type="dxa"/>
              <w:right w:w="15" w:type="dxa"/>
            </w:tcMar>
            <w:vAlign w:val="bottom"/>
            <w:hideMark/>
          </w:tcPr>
          <w:p w14:paraId="00CDD0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9FAE39E" w14:textId="77777777">
        <w:tc>
          <w:tcPr>
            <w:tcW w:w="2809" w:type="pct"/>
            <w:shd w:val="clear" w:color="auto" w:fill="FFFFFF"/>
            <w:tcMar>
              <w:top w:w="15" w:type="dxa"/>
              <w:left w:w="0" w:type="dxa"/>
              <w:bottom w:w="0" w:type="dxa"/>
              <w:right w:w="15" w:type="dxa"/>
            </w:tcMar>
            <w:hideMark/>
          </w:tcPr>
          <w:p w14:paraId="5B0F04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vertAlign w:val="superscript"/>
              </w:rPr>
              <w:t>(4)(6)</w:t>
            </w:r>
          </w:p>
        </w:tc>
        <w:tc>
          <w:tcPr>
            <w:tcW w:w="34" w:type="pct"/>
            <w:shd w:val="clear" w:color="auto" w:fill="FFFFFF"/>
            <w:tcMar>
              <w:top w:w="15" w:type="dxa"/>
              <w:left w:w="0" w:type="dxa"/>
              <w:bottom w:w="0" w:type="dxa"/>
              <w:right w:w="15" w:type="dxa"/>
            </w:tcMar>
            <w:vAlign w:val="bottom"/>
            <w:hideMark/>
          </w:tcPr>
          <w:p w14:paraId="6A1DBF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4A57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48FC098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0805BF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 w:type="pct"/>
            <w:shd w:val="clear" w:color="auto" w:fill="FFFFFF"/>
            <w:tcMar>
              <w:top w:w="15" w:type="dxa"/>
              <w:left w:w="0" w:type="dxa"/>
              <w:bottom w:w="0" w:type="dxa"/>
              <w:right w:w="15" w:type="dxa"/>
            </w:tcMar>
            <w:vAlign w:val="bottom"/>
            <w:hideMark/>
          </w:tcPr>
          <w:p w14:paraId="5F946F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754C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1B027B8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494969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left w:w="0" w:type="dxa"/>
              <w:bottom w:w="0" w:type="dxa"/>
              <w:right w:w="15" w:type="dxa"/>
            </w:tcMar>
            <w:vAlign w:val="bottom"/>
            <w:hideMark/>
          </w:tcPr>
          <w:p w14:paraId="205F02D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7FDF1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641E7A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0045B9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0DF9B1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0938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5FD40D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FFFFFF"/>
            <w:noWrap/>
            <w:tcMar>
              <w:top w:w="15" w:type="dxa"/>
              <w:left w:w="0" w:type="dxa"/>
              <w:bottom w:w="0" w:type="dxa"/>
              <w:right w:w="15" w:type="dxa"/>
            </w:tcMar>
            <w:vAlign w:val="bottom"/>
            <w:hideMark/>
          </w:tcPr>
          <w:p w14:paraId="651036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E98F300" w14:textId="77777777">
        <w:tc>
          <w:tcPr>
            <w:tcW w:w="2809" w:type="pct"/>
            <w:shd w:val="clear" w:color="auto" w:fill="CFF0FC"/>
            <w:tcMar>
              <w:top w:w="15" w:type="dxa"/>
              <w:left w:w="0" w:type="dxa"/>
              <w:bottom w:w="0" w:type="dxa"/>
              <w:right w:w="15" w:type="dxa"/>
            </w:tcMar>
            <w:hideMark/>
          </w:tcPr>
          <w:p w14:paraId="68FAEF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vertAlign w:val="superscript"/>
              </w:rPr>
              <w:t>(5)</w:t>
            </w:r>
          </w:p>
        </w:tc>
        <w:tc>
          <w:tcPr>
            <w:tcW w:w="34" w:type="pct"/>
            <w:shd w:val="clear" w:color="auto" w:fill="CFF0FC"/>
            <w:tcMar>
              <w:top w:w="15" w:type="dxa"/>
              <w:left w:w="0" w:type="dxa"/>
              <w:bottom w:w="0" w:type="dxa"/>
              <w:right w:w="15" w:type="dxa"/>
            </w:tcMar>
            <w:vAlign w:val="bottom"/>
            <w:hideMark/>
          </w:tcPr>
          <w:p w14:paraId="7DC7B5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798B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ED9C36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left w:w="0" w:type="dxa"/>
              <w:bottom w:w="0" w:type="dxa"/>
              <w:right w:w="15" w:type="dxa"/>
            </w:tcMar>
            <w:vAlign w:val="bottom"/>
            <w:hideMark/>
          </w:tcPr>
          <w:p w14:paraId="632A1C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bottom"/>
            <w:hideMark/>
          </w:tcPr>
          <w:p w14:paraId="618EDC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A9186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3219225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left w:w="0" w:type="dxa"/>
              <w:bottom w:w="0" w:type="dxa"/>
              <w:right w:w="15" w:type="dxa"/>
            </w:tcMar>
            <w:vAlign w:val="bottom"/>
            <w:hideMark/>
          </w:tcPr>
          <w:p w14:paraId="0947736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left w:w="0" w:type="dxa"/>
              <w:bottom w:w="0" w:type="dxa"/>
              <w:right w:w="15" w:type="dxa"/>
            </w:tcMar>
            <w:vAlign w:val="bottom"/>
            <w:hideMark/>
          </w:tcPr>
          <w:p w14:paraId="1522B2F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6F38C6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702A10D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CFF0FC"/>
            <w:noWrap/>
            <w:tcMar>
              <w:top w:w="15" w:type="dxa"/>
              <w:left w:w="0" w:type="dxa"/>
              <w:bottom w:w="0" w:type="dxa"/>
              <w:right w:w="15" w:type="dxa"/>
            </w:tcMar>
            <w:vAlign w:val="bottom"/>
            <w:hideMark/>
          </w:tcPr>
          <w:p w14:paraId="18D410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bottom"/>
            <w:hideMark/>
          </w:tcPr>
          <w:p w14:paraId="1A87BC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4DF7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1E1B284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506</w:t>
            </w:r>
          </w:p>
        </w:tc>
        <w:tc>
          <w:tcPr>
            <w:tcW w:w="50" w:type="pct"/>
            <w:shd w:val="clear" w:color="auto" w:fill="CFF0FC"/>
            <w:noWrap/>
            <w:tcMar>
              <w:top w:w="15" w:type="dxa"/>
              <w:left w:w="0" w:type="dxa"/>
              <w:bottom w:w="0" w:type="dxa"/>
              <w:right w:w="15" w:type="dxa"/>
            </w:tcMar>
            <w:vAlign w:val="bottom"/>
            <w:hideMark/>
          </w:tcPr>
          <w:p w14:paraId="12E537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B1B68B1" w14:textId="77777777">
        <w:tc>
          <w:tcPr>
            <w:tcW w:w="2809" w:type="pct"/>
            <w:shd w:val="clear" w:color="auto" w:fill="FFFFFF"/>
            <w:tcMar>
              <w:top w:w="15" w:type="dxa"/>
              <w:left w:w="0" w:type="dxa"/>
              <w:bottom w:w="0" w:type="dxa"/>
              <w:right w:w="15" w:type="dxa"/>
            </w:tcMar>
            <w:hideMark/>
          </w:tcPr>
          <w:p w14:paraId="4CAF4B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 operating segments</w:t>
            </w:r>
            <w:r>
              <w:rPr>
                <w:rFonts w:ascii="Calibri" w:hAnsi="Calibri" w:cs="Calibri"/>
                <w:color w:val="000000"/>
                <w:sz w:val="17"/>
                <w:szCs w:val="17"/>
                <w:vertAlign w:val="superscript"/>
              </w:rPr>
              <w:t>(6)</w:t>
            </w:r>
          </w:p>
        </w:tc>
        <w:tc>
          <w:tcPr>
            <w:tcW w:w="34" w:type="pct"/>
            <w:shd w:val="clear" w:color="auto" w:fill="FFFFFF"/>
            <w:tcMar>
              <w:top w:w="15" w:type="dxa"/>
              <w:left w:w="0" w:type="dxa"/>
              <w:bottom w:w="0" w:type="dxa"/>
              <w:right w:w="15" w:type="dxa"/>
            </w:tcMar>
            <w:vAlign w:val="bottom"/>
            <w:hideMark/>
          </w:tcPr>
          <w:p w14:paraId="7C007F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2AA7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116AD05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129</w:t>
            </w:r>
          </w:p>
        </w:tc>
        <w:tc>
          <w:tcPr>
            <w:tcW w:w="50" w:type="pct"/>
            <w:shd w:val="clear" w:color="auto" w:fill="FFFFFF"/>
            <w:noWrap/>
            <w:tcMar>
              <w:top w:w="15" w:type="dxa"/>
              <w:left w:w="0" w:type="dxa"/>
              <w:bottom w:w="0" w:type="dxa"/>
              <w:right w:w="15" w:type="dxa"/>
            </w:tcMar>
            <w:vAlign w:val="bottom"/>
            <w:hideMark/>
          </w:tcPr>
          <w:p w14:paraId="49C6BC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683C09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4FAC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2590CDE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123</w:t>
            </w:r>
          </w:p>
        </w:tc>
        <w:tc>
          <w:tcPr>
            <w:tcW w:w="50" w:type="pct"/>
            <w:shd w:val="clear" w:color="auto" w:fill="FFFFFF"/>
            <w:noWrap/>
            <w:tcMar>
              <w:top w:w="15" w:type="dxa"/>
              <w:left w:w="0" w:type="dxa"/>
              <w:bottom w:w="0" w:type="dxa"/>
              <w:right w:w="15" w:type="dxa"/>
            </w:tcMar>
            <w:vAlign w:val="bottom"/>
            <w:hideMark/>
          </w:tcPr>
          <w:p w14:paraId="3F36D9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left w:w="0" w:type="dxa"/>
              <w:bottom w:w="0" w:type="dxa"/>
              <w:right w:w="15" w:type="dxa"/>
            </w:tcMar>
            <w:vAlign w:val="bottom"/>
            <w:hideMark/>
          </w:tcPr>
          <w:p w14:paraId="363196E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777B5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3674FA7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396</w:t>
            </w:r>
          </w:p>
        </w:tc>
        <w:tc>
          <w:tcPr>
            <w:tcW w:w="50" w:type="pct"/>
            <w:shd w:val="clear" w:color="auto" w:fill="FFFFFF"/>
            <w:noWrap/>
            <w:tcMar>
              <w:top w:w="15" w:type="dxa"/>
              <w:left w:w="0" w:type="dxa"/>
              <w:bottom w:w="0" w:type="dxa"/>
              <w:right w:w="15" w:type="dxa"/>
            </w:tcMar>
            <w:vAlign w:val="bottom"/>
            <w:hideMark/>
          </w:tcPr>
          <w:p w14:paraId="40B9669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23A2AED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1B2A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343E396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382</w:t>
            </w:r>
          </w:p>
        </w:tc>
        <w:tc>
          <w:tcPr>
            <w:tcW w:w="50" w:type="pct"/>
            <w:shd w:val="clear" w:color="auto" w:fill="FFFFFF"/>
            <w:noWrap/>
            <w:tcMar>
              <w:top w:w="15" w:type="dxa"/>
              <w:left w:w="0" w:type="dxa"/>
              <w:bottom w:w="0" w:type="dxa"/>
              <w:right w:w="15" w:type="dxa"/>
            </w:tcMar>
            <w:vAlign w:val="bottom"/>
            <w:hideMark/>
          </w:tcPr>
          <w:p w14:paraId="522BF3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CDEC31F" w14:textId="77777777">
        <w:tc>
          <w:tcPr>
            <w:tcW w:w="2809" w:type="pct"/>
            <w:shd w:val="clear" w:color="auto" w:fill="CFF0FC"/>
            <w:tcMar>
              <w:top w:w="15" w:type="dxa"/>
              <w:left w:w="0" w:type="dxa"/>
              <w:bottom w:w="0" w:type="dxa"/>
              <w:right w:w="15" w:type="dxa"/>
            </w:tcMar>
            <w:hideMark/>
          </w:tcPr>
          <w:p w14:paraId="658C4C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vertAlign w:val="superscript"/>
              </w:rPr>
              <w:t>(6)</w:t>
            </w:r>
          </w:p>
        </w:tc>
        <w:tc>
          <w:tcPr>
            <w:tcW w:w="34" w:type="pct"/>
            <w:shd w:val="clear" w:color="auto" w:fill="CFF0FC"/>
            <w:tcMar>
              <w:top w:w="15" w:type="dxa"/>
              <w:left w:w="0" w:type="dxa"/>
              <w:bottom w:w="0" w:type="dxa"/>
              <w:right w:w="15" w:type="dxa"/>
            </w:tcMar>
            <w:vAlign w:val="bottom"/>
            <w:hideMark/>
          </w:tcPr>
          <w:p w14:paraId="525EE0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C542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68616A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left w:w="0" w:type="dxa"/>
              <w:bottom w:w="0" w:type="dxa"/>
              <w:right w:w="15" w:type="dxa"/>
            </w:tcMar>
            <w:vAlign w:val="bottom"/>
            <w:hideMark/>
          </w:tcPr>
          <w:p w14:paraId="711F96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bottom"/>
            <w:hideMark/>
          </w:tcPr>
          <w:p w14:paraId="63CC4FF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243E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79880F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266</w:t>
            </w:r>
          </w:p>
        </w:tc>
        <w:tc>
          <w:tcPr>
            <w:tcW w:w="50" w:type="pct"/>
            <w:shd w:val="clear" w:color="auto" w:fill="CFF0FC"/>
            <w:noWrap/>
            <w:tcMar>
              <w:top w:w="15" w:type="dxa"/>
              <w:left w:w="0" w:type="dxa"/>
              <w:bottom w:w="0" w:type="dxa"/>
              <w:right w:w="15" w:type="dxa"/>
            </w:tcMar>
            <w:vAlign w:val="bottom"/>
            <w:hideMark/>
          </w:tcPr>
          <w:p w14:paraId="73D828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left w:w="0" w:type="dxa"/>
              <w:bottom w:w="0" w:type="dxa"/>
              <w:right w:w="15" w:type="dxa"/>
            </w:tcMar>
            <w:vAlign w:val="bottom"/>
            <w:hideMark/>
          </w:tcPr>
          <w:p w14:paraId="46A6011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698544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38B0E81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863</w:t>
            </w:r>
          </w:p>
        </w:tc>
        <w:tc>
          <w:tcPr>
            <w:tcW w:w="50" w:type="pct"/>
            <w:shd w:val="clear" w:color="auto" w:fill="CFF0FC"/>
            <w:noWrap/>
            <w:tcMar>
              <w:top w:w="15" w:type="dxa"/>
              <w:left w:w="0" w:type="dxa"/>
              <w:bottom w:w="0" w:type="dxa"/>
              <w:right w:w="15" w:type="dxa"/>
            </w:tcMar>
            <w:vAlign w:val="bottom"/>
            <w:hideMark/>
          </w:tcPr>
          <w:p w14:paraId="75C4D7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CFF0FC"/>
            <w:tcMar>
              <w:top w:w="15" w:type="dxa"/>
              <w:left w:w="0" w:type="dxa"/>
              <w:bottom w:w="0" w:type="dxa"/>
              <w:right w:w="15" w:type="dxa"/>
            </w:tcMar>
            <w:vAlign w:val="bottom"/>
            <w:hideMark/>
          </w:tcPr>
          <w:p w14:paraId="1B9C9E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89BF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CFF0FC"/>
            <w:noWrap/>
            <w:tcMar>
              <w:top w:w="15" w:type="dxa"/>
              <w:left w:w="0" w:type="dxa"/>
              <w:bottom w:w="0" w:type="dxa"/>
              <w:right w:w="15" w:type="dxa"/>
            </w:tcMar>
            <w:vAlign w:val="bottom"/>
            <w:hideMark/>
          </w:tcPr>
          <w:p w14:paraId="5982279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828</w:t>
            </w:r>
          </w:p>
        </w:tc>
        <w:tc>
          <w:tcPr>
            <w:tcW w:w="50" w:type="pct"/>
            <w:shd w:val="clear" w:color="auto" w:fill="CFF0FC"/>
            <w:noWrap/>
            <w:tcMar>
              <w:top w:w="15" w:type="dxa"/>
              <w:left w:w="0" w:type="dxa"/>
              <w:bottom w:w="0" w:type="dxa"/>
              <w:right w:w="15" w:type="dxa"/>
            </w:tcMar>
            <w:vAlign w:val="bottom"/>
            <w:hideMark/>
          </w:tcPr>
          <w:p w14:paraId="7136C2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CAF4AFA" w14:textId="77777777">
        <w:tc>
          <w:tcPr>
            <w:tcW w:w="2809" w:type="pct"/>
            <w:shd w:val="clear" w:color="auto" w:fill="FFFFFF"/>
            <w:tcMar>
              <w:top w:w="15" w:type="dxa"/>
              <w:left w:w="0" w:type="dxa"/>
              <w:bottom w:w="0" w:type="dxa"/>
              <w:right w:w="15" w:type="dxa"/>
            </w:tcMar>
            <w:hideMark/>
          </w:tcPr>
          <w:p w14:paraId="68F05B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vertAlign w:val="superscript"/>
              </w:rPr>
              <w:t>(7)</w:t>
            </w:r>
          </w:p>
        </w:tc>
        <w:tc>
          <w:tcPr>
            <w:tcW w:w="34" w:type="pct"/>
            <w:shd w:val="clear" w:color="auto" w:fill="FFFFFF"/>
            <w:tcMar>
              <w:top w:w="15" w:type="dxa"/>
              <w:left w:w="0" w:type="dxa"/>
              <w:bottom w:w="0" w:type="dxa"/>
              <w:right w:w="15" w:type="dxa"/>
            </w:tcMar>
            <w:vAlign w:val="bottom"/>
            <w:hideMark/>
          </w:tcPr>
          <w:p w14:paraId="67F2EBC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4D21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4307C8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w:t>
            </w:r>
          </w:p>
        </w:tc>
        <w:tc>
          <w:tcPr>
            <w:tcW w:w="50" w:type="pct"/>
            <w:shd w:val="clear" w:color="auto" w:fill="FFFFFF"/>
            <w:noWrap/>
            <w:tcMar>
              <w:top w:w="15" w:type="dxa"/>
              <w:left w:w="0" w:type="dxa"/>
              <w:bottom w:w="0" w:type="dxa"/>
              <w:right w:w="15" w:type="dxa"/>
            </w:tcMar>
            <w:vAlign w:val="bottom"/>
            <w:hideMark/>
          </w:tcPr>
          <w:p w14:paraId="1CABA27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 w:type="pct"/>
            <w:shd w:val="clear" w:color="auto" w:fill="FFFFFF"/>
            <w:tcMar>
              <w:top w:w="15" w:type="dxa"/>
              <w:left w:w="0" w:type="dxa"/>
              <w:bottom w:w="0" w:type="dxa"/>
              <w:right w:w="15" w:type="dxa"/>
            </w:tcMar>
            <w:vAlign w:val="bottom"/>
            <w:hideMark/>
          </w:tcPr>
          <w:p w14:paraId="7F8594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989B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73A1E61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(289</w:t>
            </w:r>
          </w:p>
        </w:tc>
        <w:tc>
          <w:tcPr>
            <w:tcW w:w="50" w:type="pct"/>
            <w:shd w:val="clear" w:color="auto" w:fill="FFFFFF"/>
            <w:noWrap/>
            <w:tcMar>
              <w:top w:w="15" w:type="dxa"/>
              <w:left w:w="0" w:type="dxa"/>
              <w:bottom w:w="0" w:type="dxa"/>
              <w:right w:w="15" w:type="dxa"/>
            </w:tcMar>
            <w:vAlign w:val="bottom"/>
            <w:hideMark/>
          </w:tcPr>
          <w:p w14:paraId="25045C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68" w:type="pct"/>
            <w:shd w:val="clear" w:color="auto" w:fill="FFFFFF"/>
            <w:tcMar>
              <w:top w:w="15" w:type="dxa"/>
              <w:left w:w="0" w:type="dxa"/>
              <w:bottom w:w="0" w:type="dxa"/>
              <w:right w:w="15" w:type="dxa"/>
            </w:tcMar>
            <w:vAlign w:val="bottom"/>
            <w:hideMark/>
          </w:tcPr>
          <w:p w14:paraId="334DBB7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81EA2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5A3F495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(733</w:t>
            </w:r>
          </w:p>
        </w:tc>
        <w:tc>
          <w:tcPr>
            <w:tcW w:w="50" w:type="pct"/>
            <w:shd w:val="clear" w:color="auto" w:fill="FFFFFF"/>
            <w:noWrap/>
            <w:tcMar>
              <w:top w:w="15" w:type="dxa"/>
              <w:left w:w="0" w:type="dxa"/>
              <w:bottom w:w="0" w:type="dxa"/>
              <w:right w:w="15" w:type="dxa"/>
            </w:tcMar>
            <w:vAlign w:val="bottom"/>
            <w:hideMark/>
          </w:tcPr>
          <w:p w14:paraId="48ECAD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 w:type="pct"/>
            <w:shd w:val="clear" w:color="auto" w:fill="FFFFFF"/>
            <w:tcMar>
              <w:top w:w="15" w:type="dxa"/>
              <w:left w:w="0" w:type="dxa"/>
              <w:bottom w:w="0" w:type="dxa"/>
              <w:right w:w="15" w:type="dxa"/>
            </w:tcMar>
            <w:vAlign w:val="bottom"/>
            <w:hideMark/>
          </w:tcPr>
          <w:p w14:paraId="3AC8D1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23B3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shd w:val="clear" w:color="auto" w:fill="FFFFFF"/>
            <w:noWrap/>
            <w:tcMar>
              <w:top w:w="15" w:type="dxa"/>
              <w:left w:w="0" w:type="dxa"/>
              <w:bottom w:w="0" w:type="dxa"/>
              <w:right w:w="15" w:type="dxa"/>
            </w:tcMar>
            <w:vAlign w:val="bottom"/>
            <w:hideMark/>
          </w:tcPr>
          <w:p w14:paraId="059DAB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(1,183</w:t>
            </w:r>
          </w:p>
        </w:tc>
        <w:tc>
          <w:tcPr>
            <w:tcW w:w="50" w:type="pct"/>
            <w:shd w:val="clear" w:color="auto" w:fill="FFFFFF"/>
            <w:noWrap/>
            <w:tcMar>
              <w:top w:w="15" w:type="dxa"/>
              <w:left w:w="0" w:type="dxa"/>
              <w:bottom w:w="0" w:type="dxa"/>
              <w:right w:w="15" w:type="dxa"/>
            </w:tcMar>
            <w:vAlign w:val="bottom"/>
            <w:hideMark/>
          </w:tcPr>
          <w:p w14:paraId="0CD970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20A2902A" w14:textId="77777777">
        <w:tc>
          <w:tcPr>
            <w:tcW w:w="2809" w:type="pct"/>
            <w:shd w:val="clear" w:color="auto" w:fill="CFF0FC"/>
            <w:tcMar>
              <w:top w:w="15" w:type="dxa"/>
              <w:left w:w="0" w:type="dxa"/>
              <w:bottom w:w="0" w:type="dxa"/>
              <w:right w:w="15" w:type="dxa"/>
            </w:tcMar>
            <w:hideMark/>
          </w:tcPr>
          <w:p w14:paraId="3BDC1A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Income tax reform</w:t>
            </w:r>
            <w:r>
              <w:rPr>
                <w:rFonts w:ascii="Calibri" w:hAnsi="Calibri" w:cs="Calibri"/>
                <w:color w:val="000000"/>
                <w:sz w:val="17"/>
                <w:szCs w:val="17"/>
                <w:vertAlign w:val="superscript"/>
              </w:rPr>
              <w:t>(8)</w:t>
            </w:r>
          </w:p>
        </w:tc>
        <w:tc>
          <w:tcPr>
            <w:tcW w:w="34" w:type="pct"/>
            <w:shd w:val="clear" w:color="auto" w:fill="CFF0FC"/>
            <w:tcMar>
              <w:top w:w="15" w:type="dxa"/>
              <w:left w:w="0" w:type="dxa"/>
              <w:bottom w:w="0" w:type="dxa"/>
              <w:right w:w="15" w:type="dxa"/>
            </w:tcMar>
            <w:vAlign w:val="bottom"/>
            <w:hideMark/>
          </w:tcPr>
          <w:p w14:paraId="05DE999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B802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79462E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(236</w:t>
            </w:r>
          </w:p>
        </w:tc>
        <w:tc>
          <w:tcPr>
            <w:tcW w:w="50" w:type="pct"/>
            <w:shd w:val="clear" w:color="auto" w:fill="CFF0FC"/>
            <w:noWrap/>
            <w:tcMar>
              <w:top w:w="15" w:type="dxa"/>
              <w:left w:w="0" w:type="dxa"/>
              <w:bottom w:w="0" w:type="dxa"/>
              <w:right w:w="15" w:type="dxa"/>
            </w:tcMar>
            <w:vAlign w:val="bottom"/>
            <w:hideMark/>
          </w:tcPr>
          <w:p w14:paraId="1466E1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 w:type="pct"/>
            <w:shd w:val="clear" w:color="auto" w:fill="CFF0FC"/>
            <w:tcMar>
              <w:top w:w="15" w:type="dxa"/>
              <w:left w:w="0" w:type="dxa"/>
              <w:bottom w:w="0" w:type="dxa"/>
              <w:right w:w="15" w:type="dxa"/>
            </w:tcMar>
            <w:vAlign w:val="bottom"/>
            <w:hideMark/>
          </w:tcPr>
          <w:p w14:paraId="49DCFB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A517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018A145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6,871</w:t>
            </w:r>
          </w:p>
        </w:tc>
        <w:tc>
          <w:tcPr>
            <w:tcW w:w="50" w:type="pct"/>
            <w:shd w:val="clear" w:color="auto" w:fill="CFF0FC"/>
            <w:noWrap/>
            <w:tcMar>
              <w:top w:w="15" w:type="dxa"/>
              <w:left w:w="0" w:type="dxa"/>
              <w:bottom w:w="0" w:type="dxa"/>
              <w:right w:w="15" w:type="dxa"/>
            </w:tcMar>
            <w:vAlign w:val="bottom"/>
            <w:hideMark/>
          </w:tcPr>
          <w:p w14:paraId="293B85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CFF0FC"/>
            <w:tcMar>
              <w:top w:w="15" w:type="dxa"/>
              <w:left w:w="0" w:type="dxa"/>
              <w:bottom w:w="0" w:type="dxa"/>
              <w:right w:w="15" w:type="dxa"/>
            </w:tcMar>
            <w:vAlign w:val="bottom"/>
            <w:hideMark/>
          </w:tcPr>
          <w:p w14:paraId="6B824F8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31AB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698B1BE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(389</w:t>
            </w:r>
          </w:p>
        </w:tc>
        <w:tc>
          <w:tcPr>
            <w:tcW w:w="50" w:type="pct"/>
            <w:shd w:val="clear" w:color="auto" w:fill="CFF0FC"/>
            <w:noWrap/>
            <w:tcMar>
              <w:top w:w="15" w:type="dxa"/>
              <w:left w:w="0" w:type="dxa"/>
              <w:bottom w:w="0" w:type="dxa"/>
              <w:right w:w="15" w:type="dxa"/>
            </w:tcMar>
            <w:vAlign w:val="bottom"/>
            <w:hideMark/>
          </w:tcPr>
          <w:p w14:paraId="18B9CD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4" w:type="pct"/>
            <w:shd w:val="clear" w:color="auto" w:fill="CFF0FC"/>
            <w:tcMar>
              <w:top w:w="15" w:type="dxa"/>
              <w:left w:w="0" w:type="dxa"/>
              <w:bottom w:w="0" w:type="dxa"/>
              <w:right w:w="15" w:type="dxa"/>
            </w:tcMar>
            <w:vAlign w:val="bottom"/>
            <w:hideMark/>
          </w:tcPr>
          <w:p w14:paraId="2B170E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E931B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14:paraId="5CA57F3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6,871</w:t>
            </w:r>
          </w:p>
        </w:tc>
        <w:tc>
          <w:tcPr>
            <w:tcW w:w="50" w:type="pct"/>
            <w:shd w:val="clear" w:color="auto" w:fill="CFF0FC"/>
            <w:noWrap/>
            <w:tcMar>
              <w:top w:w="15" w:type="dxa"/>
              <w:left w:w="0" w:type="dxa"/>
              <w:bottom w:w="0" w:type="dxa"/>
              <w:right w:w="15" w:type="dxa"/>
            </w:tcMar>
            <w:vAlign w:val="bottom"/>
            <w:hideMark/>
          </w:tcPr>
          <w:p w14:paraId="540D63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8B8F6E6" w14:textId="77777777">
        <w:tc>
          <w:tcPr>
            <w:tcW w:w="2809" w:type="pct"/>
            <w:shd w:val="clear" w:color="auto" w:fill="FFFFFF"/>
            <w:tcMar>
              <w:top w:w="15" w:type="dxa"/>
              <w:left w:w="0" w:type="dxa"/>
              <w:bottom w:w="0" w:type="dxa"/>
              <w:right w:w="15" w:type="dxa"/>
            </w:tcMar>
            <w:hideMark/>
          </w:tcPr>
          <w:p w14:paraId="178154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5790CA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A79A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D274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411</w:t>
            </w:r>
          </w:p>
        </w:tc>
        <w:tc>
          <w:tcPr>
            <w:tcW w:w="50" w:type="pct"/>
            <w:shd w:val="clear" w:color="auto" w:fill="FFFFFF"/>
            <w:noWrap/>
            <w:tcMar>
              <w:top w:w="15" w:type="dxa"/>
              <w:left w:w="0" w:type="dxa"/>
              <w:bottom w:w="0" w:type="dxa"/>
              <w:right w:w="15" w:type="dxa"/>
            </w:tcMar>
            <w:vAlign w:val="bottom"/>
            <w:hideMark/>
          </w:tcPr>
          <w:p w14:paraId="24D32A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5407C5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418FD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3839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7,461</w:t>
            </w:r>
          </w:p>
        </w:tc>
        <w:tc>
          <w:tcPr>
            <w:tcW w:w="50" w:type="pct"/>
            <w:shd w:val="clear" w:color="auto" w:fill="FFFFFF"/>
            <w:noWrap/>
            <w:tcMar>
              <w:top w:w="15" w:type="dxa"/>
              <w:left w:w="0" w:type="dxa"/>
              <w:bottom w:w="0" w:type="dxa"/>
              <w:right w:w="15" w:type="dxa"/>
            </w:tcMar>
            <w:vAlign w:val="bottom"/>
            <w:hideMark/>
          </w:tcPr>
          <w:p w14:paraId="4EF60F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8" w:type="pct"/>
            <w:shd w:val="clear" w:color="auto" w:fill="FFFFFF"/>
            <w:tcMar>
              <w:top w:w="15" w:type="dxa"/>
              <w:left w:w="0" w:type="dxa"/>
              <w:bottom w:w="0" w:type="dxa"/>
              <w:right w:w="15" w:type="dxa"/>
            </w:tcMar>
            <w:vAlign w:val="bottom"/>
            <w:hideMark/>
          </w:tcPr>
          <w:p w14:paraId="50BB66C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61A1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7E805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1,723</w:t>
            </w:r>
          </w:p>
        </w:tc>
        <w:tc>
          <w:tcPr>
            <w:tcW w:w="50" w:type="pct"/>
            <w:shd w:val="clear" w:color="auto" w:fill="FFFFFF"/>
            <w:noWrap/>
            <w:tcMar>
              <w:top w:w="15" w:type="dxa"/>
              <w:left w:w="0" w:type="dxa"/>
              <w:bottom w:w="0" w:type="dxa"/>
              <w:right w:w="15" w:type="dxa"/>
            </w:tcMar>
            <w:vAlign w:val="bottom"/>
            <w:hideMark/>
          </w:tcPr>
          <w:p w14:paraId="1C0EBB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4" w:type="pct"/>
            <w:shd w:val="clear" w:color="auto" w:fill="FFFFFF"/>
            <w:tcMar>
              <w:top w:w="15" w:type="dxa"/>
              <w:left w:w="0" w:type="dxa"/>
              <w:bottom w:w="0" w:type="dxa"/>
              <w:right w:w="15" w:type="dxa"/>
            </w:tcMar>
            <w:vAlign w:val="bottom"/>
            <w:hideMark/>
          </w:tcPr>
          <w:p w14:paraId="7C2A26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2355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967A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8,660</w:t>
            </w:r>
          </w:p>
        </w:tc>
        <w:tc>
          <w:tcPr>
            <w:tcW w:w="50" w:type="pct"/>
            <w:shd w:val="clear" w:color="auto" w:fill="FFFFFF"/>
            <w:noWrap/>
            <w:tcMar>
              <w:top w:w="15" w:type="dxa"/>
              <w:left w:w="0" w:type="dxa"/>
              <w:bottom w:w="0" w:type="dxa"/>
              <w:right w:w="15" w:type="dxa"/>
            </w:tcMar>
            <w:vAlign w:val="bottom"/>
            <w:hideMark/>
          </w:tcPr>
          <w:p w14:paraId="6DD392F0"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AE4BD2F" w14:textId="77777777" w:rsidR="00716E85" w:rsidRDefault="00716E85">
      <w:pPr>
        <w:pStyle w:val="a3"/>
        <w:pBdr>
          <w:bottom w:val="single" w:sz="6" w:space="1" w:color="auto"/>
        </w:pBdr>
        <w:spacing w:before="0" w:beforeAutospacing="0" w:after="0" w:afterAutospacing="0"/>
        <w:ind w:right="1047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30C435E2" w14:textId="77777777">
        <w:tc>
          <w:tcPr>
            <w:tcW w:w="192" w:type="pct"/>
            <w:noWrap/>
            <w:hideMark/>
          </w:tcPr>
          <w:p w14:paraId="543A6F91"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60D6F00E"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In connection with our acquisitions, we have estimated the fair values of the cloud services and license support contracts assumed. Due to our application of business combination accounting rules, we did not recognize the cloud services and license support revenue amounts as presented in the above table that would have otherwise been recorded by the acquired businesses as independent entities upon delivery of the contractual obligations. To the extent customers for which these contractual obligations pertain renew these contracts with us, we expect to recognize revenues for the full contracts’ values over the respective contracts’ renewal periods.</w:t>
            </w:r>
          </w:p>
        </w:tc>
      </w:tr>
    </w:tbl>
    <w:p w14:paraId="7253EF0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39</w:t>
      </w:r>
    </w:p>
    <w:p w14:paraId="1906984C" w14:textId="77777777" w:rsidR="00716E85" w:rsidRDefault="00716E85">
      <w:pPr>
        <w:rPr>
          <w:rFonts w:ascii="Times New Roman" w:eastAsia="Times New Roman" w:hAnsi="Times New Roman" w:cs="Times New Roman"/>
          <w:sz w:val="24"/>
          <w:szCs w:val="24"/>
        </w:rPr>
      </w:pPr>
      <w:r>
        <w:rPr>
          <w:rFonts w:eastAsia="Times New Roman"/>
        </w:rPr>
        <w:pict w14:anchorId="29488393">
          <v:rect id="_x0000_i1065" style="width:415.3pt;height:1.5pt" o:hralign="center" o:hrstd="t" o:hr="t" fillcolor="#a0a0a0" stroked="f"/>
        </w:pict>
      </w:r>
    </w:p>
    <w:p w14:paraId="2D0D55AE"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39CC548"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0810A201" w14:textId="77777777">
        <w:tc>
          <w:tcPr>
            <w:tcW w:w="192" w:type="pct"/>
            <w:noWrap/>
            <w:hideMark/>
          </w:tcPr>
          <w:p w14:paraId="60494986"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769688F2" w14:textId="77777777" w:rsidR="00716E85" w:rsidRDefault="00716E85">
            <w:pPr>
              <w:pStyle w:val="a3"/>
              <w:spacing w:before="40" w:beforeAutospacing="0" w:after="0" w:afterAutospacing="0"/>
              <w:jc w:val="both"/>
              <w:rPr>
                <w:rFonts w:ascii="Calibri" w:hAnsi="Calibri" w:cs="Calibri"/>
                <w:sz w:val="15"/>
                <w:szCs w:val="15"/>
              </w:rPr>
            </w:pPr>
            <w:bookmarkStart w:id="49" w:name="_AEIOULastRenderedPageBreakAEIOU40"/>
            <w:bookmarkEnd w:id="49"/>
            <w:r>
              <w:rPr>
                <w:rFonts w:ascii="Calibri" w:hAnsi="Calibri" w:cs="Calibri"/>
                <w:sz w:val="15"/>
                <w:szCs w:val="15"/>
              </w:rPr>
              <w:t>Certain acquired companies capitalized sales commissions associated with subscription agreements and amortized these amounts over the related contractual terms. Business combination accounting rules generally require us to eliminate these acquired capitalized sales commissions balances as of the acquisition date and our post-combination GAAP sales and marketing expenses generally do not reflect the amortization of these acquired deferred sales commissions balances. This adjustment is intended to include, and thus reflect, the full amount of amortization related to such balances as though the acquired companies operated independently in the periods presented.</w:t>
            </w:r>
          </w:p>
        </w:tc>
      </w:tr>
    </w:tbl>
    <w:p w14:paraId="0123BE09"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4F1F5DD7" w14:textId="77777777">
        <w:tc>
          <w:tcPr>
            <w:tcW w:w="192" w:type="pct"/>
            <w:noWrap/>
            <w:hideMark/>
          </w:tcPr>
          <w:p w14:paraId="533DFF30"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3"/>
                <w:szCs w:val="13"/>
                <w:vertAlign w:val="superscript"/>
              </w:rPr>
              <w:t>(3)</w:t>
            </w:r>
          </w:p>
        </w:tc>
        <w:tc>
          <w:tcPr>
            <w:tcW w:w="0" w:type="auto"/>
            <w:hideMark/>
          </w:tcPr>
          <w:p w14:paraId="0C73BCD1"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5"/>
                <w:szCs w:val="15"/>
              </w:rPr>
              <w:t>Represents the amortization of intangible assets, substantially all of which were acquired in connection with our acquisitions. As of February 28, 2019, estimated future amortization related to intangible assets was as follows (in millions):</w:t>
            </w:r>
          </w:p>
        </w:tc>
      </w:tr>
    </w:tbl>
    <w:p w14:paraId="015FD8A0" w14:textId="77777777" w:rsidR="00716E85" w:rsidRDefault="00716E85">
      <w:pPr>
        <w:pStyle w:val="a3"/>
        <w:spacing w:before="0" w:beforeAutospacing="0" w:after="0" w:afterAutospacing="0"/>
        <w:ind w:left="357" w:hanging="471"/>
        <w:jc w:val="both"/>
        <w:rPr>
          <w:sz w:val="16"/>
          <w:szCs w:val="16"/>
        </w:rPr>
      </w:pPr>
      <w:r>
        <w:rPr>
          <w:sz w:val="16"/>
          <w:szCs w:val="16"/>
        </w:rPr>
        <w:t> </w:t>
      </w:r>
    </w:p>
    <w:tbl>
      <w:tblPr>
        <w:tblW w:w="4800" w:type="pct"/>
        <w:jc w:val="right"/>
        <w:tblCellMar>
          <w:left w:w="0" w:type="dxa"/>
          <w:right w:w="0" w:type="dxa"/>
        </w:tblCellMar>
        <w:tblLook w:val="04A0" w:firstRow="1" w:lastRow="0" w:firstColumn="1" w:lastColumn="0" w:noHBand="0" w:noVBand="1"/>
      </w:tblPr>
      <w:tblGrid>
        <w:gridCol w:w="6776"/>
        <w:gridCol w:w="139"/>
        <w:gridCol w:w="92"/>
        <w:gridCol w:w="890"/>
        <w:gridCol w:w="77"/>
      </w:tblGrid>
      <w:tr w:rsidR="00716E85" w14:paraId="58E6B41D" w14:textId="77777777">
        <w:trPr>
          <w:jc w:val="right"/>
        </w:trPr>
        <w:tc>
          <w:tcPr>
            <w:tcW w:w="4250" w:type="pct"/>
            <w:shd w:val="clear" w:color="auto" w:fill="CFF0FC"/>
            <w:tcMar>
              <w:top w:w="15" w:type="dxa"/>
              <w:left w:w="0" w:type="dxa"/>
              <w:bottom w:w="0" w:type="dxa"/>
              <w:right w:w="15" w:type="dxa"/>
            </w:tcMar>
            <w:hideMark/>
          </w:tcPr>
          <w:p w14:paraId="55062B9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Remainder of fiscal 2019</w:t>
            </w:r>
          </w:p>
        </w:tc>
        <w:tc>
          <w:tcPr>
            <w:tcW w:w="89" w:type="pct"/>
            <w:shd w:val="clear" w:color="auto" w:fill="CFF0FC"/>
            <w:tcMar>
              <w:top w:w="15" w:type="dxa"/>
              <w:left w:w="0" w:type="dxa"/>
              <w:bottom w:w="0" w:type="dxa"/>
              <w:right w:w="15" w:type="dxa"/>
            </w:tcMar>
            <w:vAlign w:val="bottom"/>
            <w:hideMark/>
          </w:tcPr>
          <w:p w14:paraId="68C34C4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2751E78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60" w:type="pct"/>
            <w:shd w:val="clear" w:color="auto" w:fill="CFF0FC"/>
            <w:noWrap/>
            <w:tcMar>
              <w:top w:w="15" w:type="dxa"/>
              <w:left w:w="0" w:type="dxa"/>
              <w:bottom w:w="0" w:type="dxa"/>
              <w:right w:w="15" w:type="dxa"/>
            </w:tcMar>
            <w:vAlign w:val="bottom"/>
            <w:hideMark/>
          </w:tcPr>
          <w:p w14:paraId="0C2B240C"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401</w:t>
            </w:r>
          </w:p>
        </w:tc>
        <w:tc>
          <w:tcPr>
            <w:tcW w:w="50" w:type="pct"/>
            <w:shd w:val="clear" w:color="auto" w:fill="CFF0FC"/>
            <w:noWrap/>
            <w:tcMar>
              <w:top w:w="15" w:type="dxa"/>
              <w:left w:w="0" w:type="dxa"/>
              <w:bottom w:w="0" w:type="dxa"/>
              <w:right w:w="15" w:type="dxa"/>
            </w:tcMar>
            <w:vAlign w:val="bottom"/>
            <w:hideMark/>
          </w:tcPr>
          <w:p w14:paraId="6E128E3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18E3F1A3" w14:textId="77777777">
        <w:trPr>
          <w:jc w:val="right"/>
        </w:trPr>
        <w:tc>
          <w:tcPr>
            <w:tcW w:w="4250" w:type="pct"/>
            <w:shd w:val="clear" w:color="auto" w:fill="FFFFFF"/>
            <w:tcMar>
              <w:top w:w="15" w:type="dxa"/>
              <w:left w:w="0" w:type="dxa"/>
              <w:bottom w:w="0" w:type="dxa"/>
              <w:right w:w="15" w:type="dxa"/>
            </w:tcMar>
            <w:hideMark/>
          </w:tcPr>
          <w:p w14:paraId="2598982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2020</w:t>
            </w:r>
          </w:p>
        </w:tc>
        <w:tc>
          <w:tcPr>
            <w:tcW w:w="89" w:type="pct"/>
            <w:shd w:val="clear" w:color="auto" w:fill="FFFFFF"/>
            <w:tcMar>
              <w:top w:w="15" w:type="dxa"/>
              <w:left w:w="0" w:type="dxa"/>
              <w:bottom w:w="0" w:type="dxa"/>
              <w:right w:w="15" w:type="dxa"/>
            </w:tcMar>
            <w:vAlign w:val="bottom"/>
            <w:hideMark/>
          </w:tcPr>
          <w:p w14:paraId="6A12AF7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9E16B9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0" w:type="pct"/>
            <w:shd w:val="clear" w:color="auto" w:fill="FFFFFF"/>
            <w:noWrap/>
            <w:tcMar>
              <w:top w:w="15" w:type="dxa"/>
              <w:left w:w="0" w:type="dxa"/>
              <w:bottom w:w="0" w:type="dxa"/>
              <w:right w:w="15" w:type="dxa"/>
            </w:tcMar>
            <w:vAlign w:val="bottom"/>
            <w:hideMark/>
          </w:tcPr>
          <w:p w14:paraId="07EAB05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1,492</w:t>
            </w:r>
          </w:p>
        </w:tc>
        <w:tc>
          <w:tcPr>
            <w:tcW w:w="50" w:type="pct"/>
            <w:shd w:val="clear" w:color="auto" w:fill="FFFFFF"/>
            <w:noWrap/>
            <w:tcMar>
              <w:top w:w="15" w:type="dxa"/>
              <w:left w:w="0" w:type="dxa"/>
              <w:bottom w:w="0" w:type="dxa"/>
              <w:right w:w="15" w:type="dxa"/>
            </w:tcMar>
            <w:vAlign w:val="bottom"/>
            <w:hideMark/>
          </w:tcPr>
          <w:p w14:paraId="517BE3E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3BD165D8" w14:textId="77777777">
        <w:trPr>
          <w:jc w:val="right"/>
        </w:trPr>
        <w:tc>
          <w:tcPr>
            <w:tcW w:w="4250" w:type="pct"/>
            <w:shd w:val="clear" w:color="auto" w:fill="CFF0FC"/>
            <w:tcMar>
              <w:top w:w="15" w:type="dxa"/>
              <w:left w:w="0" w:type="dxa"/>
              <w:bottom w:w="0" w:type="dxa"/>
              <w:right w:w="15" w:type="dxa"/>
            </w:tcMar>
            <w:hideMark/>
          </w:tcPr>
          <w:p w14:paraId="7BB9BB5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2021</w:t>
            </w:r>
          </w:p>
        </w:tc>
        <w:tc>
          <w:tcPr>
            <w:tcW w:w="89" w:type="pct"/>
            <w:shd w:val="clear" w:color="auto" w:fill="CFF0FC"/>
            <w:tcMar>
              <w:top w:w="15" w:type="dxa"/>
              <w:left w:w="0" w:type="dxa"/>
              <w:bottom w:w="0" w:type="dxa"/>
              <w:right w:w="15" w:type="dxa"/>
            </w:tcMar>
            <w:vAlign w:val="bottom"/>
            <w:hideMark/>
          </w:tcPr>
          <w:p w14:paraId="1F54597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1F7E1F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0" w:type="pct"/>
            <w:shd w:val="clear" w:color="auto" w:fill="CFF0FC"/>
            <w:noWrap/>
            <w:tcMar>
              <w:top w:w="15" w:type="dxa"/>
              <w:left w:w="0" w:type="dxa"/>
              <w:bottom w:w="0" w:type="dxa"/>
              <w:right w:w="15" w:type="dxa"/>
            </w:tcMar>
            <w:vAlign w:val="bottom"/>
            <w:hideMark/>
          </w:tcPr>
          <w:p w14:paraId="1DA3ECF7"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1,269</w:t>
            </w:r>
          </w:p>
        </w:tc>
        <w:tc>
          <w:tcPr>
            <w:tcW w:w="50" w:type="pct"/>
            <w:shd w:val="clear" w:color="auto" w:fill="CFF0FC"/>
            <w:noWrap/>
            <w:tcMar>
              <w:top w:w="15" w:type="dxa"/>
              <w:left w:w="0" w:type="dxa"/>
              <w:bottom w:w="0" w:type="dxa"/>
              <w:right w:w="15" w:type="dxa"/>
            </w:tcMar>
            <w:vAlign w:val="bottom"/>
            <w:hideMark/>
          </w:tcPr>
          <w:p w14:paraId="34C6705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7C201BE8" w14:textId="77777777">
        <w:trPr>
          <w:jc w:val="right"/>
        </w:trPr>
        <w:tc>
          <w:tcPr>
            <w:tcW w:w="4250" w:type="pct"/>
            <w:shd w:val="clear" w:color="auto" w:fill="FFFFFF"/>
            <w:tcMar>
              <w:top w:w="15" w:type="dxa"/>
              <w:left w:w="0" w:type="dxa"/>
              <w:bottom w:w="0" w:type="dxa"/>
              <w:right w:w="15" w:type="dxa"/>
            </w:tcMar>
            <w:hideMark/>
          </w:tcPr>
          <w:p w14:paraId="6B3CE2F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2022</w:t>
            </w:r>
          </w:p>
        </w:tc>
        <w:tc>
          <w:tcPr>
            <w:tcW w:w="89" w:type="pct"/>
            <w:shd w:val="clear" w:color="auto" w:fill="FFFFFF"/>
            <w:tcMar>
              <w:top w:w="15" w:type="dxa"/>
              <w:left w:w="0" w:type="dxa"/>
              <w:bottom w:w="0" w:type="dxa"/>
              <w:right w:w="15" w:type="dxa"/>
            </w:tcMar>
            <w:vAlign w:val="bottom"/>
            <w:hideMark/>
          </w:tcPr>
          <w:p w14:paraId="19DAF85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0076E64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0" w:type="pct"/>
            <w:shd w:val="clear" w:color="auto" w:fill="FFFFFF"/>
            <w:noWrap/>
            <w:tcMar>
              <w:top w:w="15" w:type="dxa"/>
              <w:left w:w="0" w:type="dxa"/>
              <w:bottom w:w="0" w:type="dxa"/>
              <w:right w:w="15" w:type="dxa"/>
            </w:tcMar>
            <w:vAlign w:val="bottom"/>
            <w:hideMark/>
          </w:tcPr>
          <w:p w14:paraId="6C6CC0C7"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1,018</w:t>
            </w:r>
          </w:p>
        </w:tc>
        <w:tc>
          <w:tcPr>
            <w:tcW w:w="50" w:type="pct"/>
            <w:shd w:val="clear" w:color="auto" w:fill="FFFFFF"/>
            <w:noWrap/>
            <w:tcMar>
              <w:top w:w="15" w:type="dxa"/>
              <w:left w:w="0" w:type="dxa"/>
              <w:bottom w:w="0" w:type="dxa"/>
              <w:right w:w="15" w:type="dxa"/>
            </w:tcMar>
            <w:vAlign w:val="bottom"/>
            <w:hideMark/>
          </w:tcPr>
          <w:p w14:paraId="232C78B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4019AD6C" w14:textId="77777777">
        <w:trPr>
          <w:jc w:val="right"/>
        </w:trPr>
        <w:tc>
          <w:tcPr>
            <w:tcW w:w="4250" w:type="pct"/>
            <w:shd w:val="clear" w:color="auto" w:fill="CFF0FC"/>
            <w:tcMar>
              <w:top w:w="15" w:type="dxa"/>
              <w:left w:w="0" w:type="dxa"/>
              <w:bottom w:w="0" w:type="dxa"/>
              <w:right w:w="15" w:type="dxa"/>
            </w:tcMar>
            <w:hideMark/>
          </w:tcPr>
          <w:p w14:paraId="76DB972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2023</w:t>
            </w:r>
          </w:p>
        </w:tc>
        <w:tc>
          <w:tcPr>
            <w:tcW w:w="89" w:type="pct"/>
            <w:shd w:val="clear" w:color="auto" w:fill="CFF0FC"/>
            <w:tcMar>
              <w:top w:w="15" w:type="dxa"/>
              <w:left w:w="0" w:type="dxa"/>
              <w:bottom w:w="0" w:type="dxa"/>
              <w:right w:w="15" w:type="dxa"/>
            </w:tcMar>
            <w:vAlign w:val="bottom"/>
            <w:hideMark/>
          </w:tcPr>
          <w:p w14:paraId="6142A76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551C29F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0" w:type="pct"/>
            <w:shd w:val="clear" w:color="auto" w:fill="CFF0FC"/>
            <w:noWrap/>
            <w:tcMar>
              <w:top w:w="15" w:type="dxa"/>
              <w:left w:w="0" w:type="dxa"/>
              <w:bottom w:w="0" w:type="dxa"/>
              <w:right w:w="15" w:type="dxa"/>
            </w:tcMar>
            <w:vAlign w:val="bottom"/>
            <w:hideMark/>
          </w:tcPr>
          <w:p w14:paraId="348236D4"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622</w:t>
            </w:r>
          </w:p>
        </w:tc>
        <w:tc>
          <w:tcPr>
            <w:tcW w:w="50" w:type="pct"/>
            <w:shd w:val="clear" w:color="auto" w:fill="CFF0FC"/>
            <w:noWrap/>
            <w:tcMar>
              <w:top w:w="15" w:type="dxa"/>
              <w:left w:w="0" w:type="dxa"/>
              <w:bottom w:w="0" w:type="dxa"/>
              <w:right w:w="15" w:type="dxa"/>
            </w:tcMar>
            <w:vAlign w:val="bottom"/>
            <w:hideMark/>
          </w:tcPr>
          <w:p w14:paraId="027E3DE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11507B94" w14:textId="77777777">
        <w:trPr>
          <w:jc w:val="right"/>
        </w:trPr>
        <w:tc>
          <w:tcPr>
            <w:tcW w:w="4250" w:type="pct"/>
            <w:shd w:val="clear" w:color="auto" w:fill="FFFFFF"/>
            <w:tcMar>
              <w:top w:w="15" w:type="dxa"/>
              <w:left w:w="0" w:type="dxa"/>
              <w:bottom w:w="0" w:type="dxa"/>
              <w:right w:w="15" w:type="dxa"/>
            </w:tcMar>
            <w:hideMark/>
          </w:tcPr>
          <w:p w14:paraId="341ECE4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Fiscal 2024</w:t>
            </w:r>
          </w:p>
        </w:tc>
        <w:tc>
          <w:tcPr>
            <w:tcW w:w="89" w:type="pct"/>
            <w:shd w:val="clear" w:color="auto" w:fill="FFFFFF"/>
            <w:tcMar>
              <w:top w:w="15" w:type="dxa"/>
              <w:left w:w="0" w:type="dxa"/>
              <w:bottom w:w="0" w:type="dxa"/>
              <w:right w:w="15" w:type="dxa"/>
            </w:tcMar>
            <w:vAlign w:val="bottom"/>
            <w:hideMark/>
          </w:tcPr>
          <w:p w14:paraId="1CDCFDB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4FE59F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0" w:type="pct"/>
            <w:shd w:val="clear" w:color="auto" w:fill="FFFFFF"/>
            <w:noWrap/>
            <w:tcMar>
              <w:top w:w="15" w:type="dxa"/>
              <w:left w:w="0" w:type="dxa"/>
              <w:bottom w:w="0" w:type="dxa"/>
              <w:right w:w="15" w:type="dxa"/>
            </w:tcMar>
            <w:vAlign w:val="bottom"/>
            <w:hideMark/>
          </w:tcPr>
          <w:p w14:paraId="0CCDC4E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391</w:t>
            </w:r>
          </w:p>
        </w:tc>
        <w:tc>
          <w:tcPr>
            <w:tcW w:w="50" w:type="pct"/>
            <w:shd w:val="clear" w:color="auto" w:fill="FFFFFF"/>
            <w:noWrap/>
            <w:tcMar>
              <w:top w:w="15" w:type="dxa"/>
              <w:left w:w="0" w:type="dxa"/>
              <w:bottom w:w="0" w:type="dxa"/>
              <w:right w:w="15" w:type="dxa"/>
            </w:tcMar>
            <w:vAlign w:val="bottom"/>
            <w:hideMark/>
          </w:tcPr>
          <w:p w14:paraId="4D069A0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42706E01" w14:textId="77777777">
        <w:trPr>
          <w:jc w:val="right"/>
        </w:trPr>
        <w:tc>
          <w:tcPr>
            <w:tcW w:w="4250" w:type="pct"/>
            <w:shd w:val="clear" w:color="auto" w:fill="CFF0FC"/>
            <w:tcMar>
              <w:top w:w="15" w:type="dxa"/>
              <w:left w:w="0" w:type="dxa"/>
              <w:bottom w:w="0" w:type="dxa"/>
              <w:right w:w="15" w:type="dxa"/>
            </w:tcMar>
            <w:hideMark/>
          </w:tcPr>
          <w:p w14:paraId="57A19F9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Thereafter</w:t>
            </w:r>
          </w:p>
        </w:tc>
        <w:tc>
          <w:tcPr>
            <w:tcW w:w="89" w:type="pct"/>
            <w:shd w:val="clear" w:color="auto" w:fill="CFF0FC"/>
            <w:tcMar>
              <w:top w:w="15" w:type="dxa"/>
              <w:left w:w="0" w:type="dxa"/>
              <w:bottom w:w="0" w:type="dxa"/>
              <w:right w:w="15" w:type="dxa"/>
            </w:tcMar>
            <w:vAlign w:val="bottom"/>
            <w:hideMark/>
          </w:tcPr>
          <w:p w14:paraId="6E74B1A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D15F2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60" w:type="pct"/>
            <w:tcBorders>
              <w:bottom w:val="single" w:sz="6" w:space="0" w:color="000000"/>
            </w:tcBorders>
            <w:shd w:val="clear" w:color="auto" w:fill="CFF0FC"/>
            <w:noWrap/>
            <w:tcMar>
              <w:top w:w="15" w:type="dxa"/>
              <w:left w:w="0" w:type="dxa"/>
              <w:bottom w:w="0" w:type="dxa"/>
              <w:right w:w="15" w:type="dxa"/>
            </w:tcMar>
            <w:vAlign w:val="bottom"/>
            <w:hideMark/>
          </w:tcPr>
          <w:p w14:paraId="343BB687"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485</w:t>
            </w:r>
          </w:p>
        </w:tc>
        <w:tc>
          <w:tcPr>
            <w:tcW w:w="50" w:type="pct"/>
            <w:shd w:val="clear" w:color="auto" w:fill="CFF0FC"/>
            <w:noWrap/>
            <w:tcMar>
              <w:top w:w="15" w:type="dxa"/>
              <w:left w:w="0" w:type="dxa"/>
              <w:bottom w:w="0" w:type="dxa"/>
              <w:right w:w="15" w:type="dxa"/>
            </w:tcMar>
            <w:vAlign w:val="bottom"/>
            <w:hideMark/>
          </w:tcPr>
          <w:p w14:paraId="71D639B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642ED2DA" w14:textId="77777777">
        <w:trPr>
          <w:jc w:val="right"/>
        </w:trPr>
        <w:tc>
          <w:tcPr>
            <w:tcW w:w="4250" w:type="pct"/>
            <w:shd w:val="clear" w:color="auto" w:fill="FFFFFF"/>
            <w:tcMar>
              <w:top w:w="15" w:type="dxa"/>
              <w:left w:w="0" w:type="dxa"/>
              <w:bottom w:w="0" w:type="dxa"/>
              <w:right w:w="15" w:type="dxa"/>
            </w:tcMar>
            <w:hideMark/>
          </w:tcPr>
          <w:p w14:paraId="6E38FE71" w14:textId="77777777" w:rsidR="00716E85" w:rsidRDefault="00716E85">
            <w:pPr>
              <w:pStyle w:val="a3"/>
              <w:spacing w:before="0" w:beforeAutospacing="0" w:after="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9" w:type="pct"/>
            <w:shd w:val="clear" w:color="auto" w:fill="FFFFFF"/>
            <w:tcMar>
              <w:top w:w="15" w:type="dxa"/>
              <w:left w:w="0" w:type="dxa"/>
              <w:bottom w:w="0" w:type="dxa"/>
              <w:right w:w="15" w:type="dxa"/>
            </w:tcMar>
            <w:vAlign w:val="bottom"/>
            <w:hideMark/>
          </w:tcPr>
          <w:p w14:paraId="1B862C5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5FBFA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56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4920EC"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5,678</w:t>
            </w:r>
          </w:p>
        </w:tc>
        <w:tc>
          <w:tcPr>
            <w:tcW w:w="50" w:type="pct"/>
            <w:shd w:val="clear" w:color="auto" w:fill="FFFFFF"/>
            <w:noWrap/>
            <w:tcMar>
              <w:top w:w="15" w:type="dxa"/>
              <w:left w:w="0" w:type="dxa"/>
              <w:bottom w:w="0" w:type="dxa"/>
              <w:right w:w="15" w:type="dxa"/>
            </w:tcMar>
            <w:vAlign w:val="bottom"/>
            <w:hideMark/>
          </w:tcPr>
          <w:p w14:paraId="2180C5BE"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35BE450" w14:textId="77777777" w:rsidR="00716E85" w:rsidRDefault="00716E85">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09D1081B" w14:textId="77777777">
        <w:tc>
          <w:tcPr>
            <w:tcW w:w="192" w:type="pct"/>
            <w:noWrap/>
            <w:hideMark/>
          </w:tcPr>
          <w:p w14:paraId="2752B937" w14:textId="77777777" w:rsidR="00716E85" w:rsidRDefault="00716E85">
            <w:pPr>
              <w:pStyle w:val="a3"/>
              <w:spacing w:before="0" w:beforeAutospacing="0" w:after="0" w:afterAutospacing="0"/>
              <w:jc w:val="both"/>
              <w:rPr>
                <w:rFonts w:ascii="Calibri" w:hAnsi="Calibri" w:cs="Calibri"/>
                <w:sz w:val="15"/>
                <w:szCs w:val="15"/>
              </w:rPr>
            </w:pPr>
            <w:r>
              <w:rPr>
                <w:rFonts w:ascii="Calibri" w:hAnsi="Calibri" w:cs="Calibri"/>
                <w:sz w:val="13"/>
                <w:szCs w:val="13"/>
                <w:vertAlign w:val="superscript"/>
              </w:rPr>
              <w:t>(4)</w:t>
            </w:r>
          </w:p>
        </w:tc>
        <w:tc>
          <w:tcPr>
            <w:tcW w:w="0" w:type="auto"/>
            <w:hideMark/>
          </w:tcPr>
          <w:p w14:paraId="2B98390A" w14:textId="77777777" w:rsidR="00716E85" w:rsidRDefault="00716E85">
            <w:pPr>
              <w:pStyle w:val="a3"/>
              <w:spacing w:before="0" w:beforeAutospacing="0" w:after="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personnel related costs and stock-based compensation expenses for transitional and certain other employees, integration related professional services, certain business combination adjustments including certain adjustments after the measurement period has ended and certain other operating items, net. </w:t>
            </w:r>
          </w:p>
        </w:tc>
      </w:tr>
    </w:tbl>
    <w:p w14:paraId="3330B49F"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710C4C31" w14:textId="77777777">
        <w:tc>
          <w:tcPr>
            <w:tcW w:w="192" w:type="pct"/>
            <w:noWrap/>
            <w:hideMark/>
          </w:tcPr>
          <w:p w14:paraId="6E8E162B"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3"/>
                <w:szCs w:val="13"/>
                <w:vertAlign w:val="superscript"/>
              </w:rPr>
              <w:t>(5)</w:t>
            </w:r>
          </w:p>
        </w:tc>
        <w:tc>
          <w:tcPr>
            <w:tcW w:w="0" w:type="auto"/>
            <w:hideMark/>
          </w:tcPr>
          <w:p w14:paraId="5BF56ABA"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5"/>
                <w:szCs w:val="15"/>
              </w:rPr>
              <w:t>Restructuring expenses during the first nine months of fiscal 2019 primarily related to employee severance in connection with our Fiscal 2019 Oracle Restructuring Plan (2019 Restructuring Plan). Restructuring expenses during the first nine months of fiscal 2018 primarily related to employee severance in connection with our Fiscal 2017 Oracle Restructuring Plan (2017 Restructuring Plan). Additional information regarding certain of our restructuring plans is provided in management’s discussion below under “Restructuring Expenses”, Note 5 of Notes to Condensed Consolidated Financial Statements included elsewhere in this Quarterly Report, and in Note 8 of Notes to Consolidated Financial Statements included in our Annual Report on Form 10-K for the fiscal year ended May 31, 2018.</w:t>
            </w:r>
          </w:p>
        </w:tc>
      </w:tr>
    </w:tbl>
    <w:p w14:paraId="7FD3DFD8"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7A2434CD" w14:textId="77777777">
        <w:tc>
          <w:tcPr>
            <w:tcW w:w="192" w:type="pct"/>
            <w:noWrap/>
            <w:hideMark/>
          </w:tcPr>
          <w:p w14:paraId="7E3F5EF8"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3"/>
                <w:szCs w:val="13"/>
                <w:vertAlign w:val="superscript"/>
              </w:rPr>
              <w:t>(6)</w:t>
            </w:r>
          </w:p>
        </w:tc>
        <w:tc>
          <w:tcPr>
            <w:tcW w:w="0" w:type="auto"/>
            <w:hideMark/>
          </w:tcPr>
          <w:p w14:paraId="602B59E3"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5"/>
                <w:szCs w:val="15"/>
              </w:rPr>
              <w:t xml:space="preserve">Stock-based compensation was included in the following operating expense line items of our condensed consolidated statements of operations (in millions): </w:t>
            </w:r>
          </w:p>
        </w:tc>
      </w:tr>
    </w:tbl>
    <w:p w14:paraId="5A0A866C" w14:textId="77777777" w:rsidR="00716E85" w:rsidRDefault="00716E85">
      <w:pPr>
        <w:pStyle w:val="a3"/>
        <w:spacing w:before="0" w:beforeAutospacing="0" w:after="0" w:afterAutospacing="0"/>
        <w:ind w:left="357" w:hanging="471"/>
        <w:jc w:val="both"/>
        <w:rPr>
          <w:sz w:val="16"/>
          <w:szCs w:val="16"/>
        </w:rPr>
      </w:pPr>
      <w:r>
        <w:rPr>
          <w:sz w:val="16"/>
          <w:szCs w:val="16"/>
        </w:rPr>
        <w:t> </w:t>
      </w:r>
    </w:p>
    <w:tbl>
      <w:tblPr>
        <w:tblW w:w="4800" w:type="pct"/>
        <w:jc w:val="right"/>
        <w:tblCellMar>
          <w:left w:w="0" w:type="dxa"/>
          <w:right w:w="0" w:type="dxa"/>
        </w:tblCellMar>
        <w:tblLook w:val="04A0" w:firstRow="1" w:lastRow="0" w:firstColumn="1" w:lastColumn="0" w:noHBand="0" w:noVBand="1"/>
      </w:tblPr>
      <w:tblGrid>
        <w:gridCol w:w="4390"/>
        <w:gridCol w:w="101"/>
        <w:gridCol w:w="92"/>
        <w:gridCol w:w="624"/>
        <w:gridCol w:w="76"/>
        <w:gridCol w:w="101"/>
        <w:gridCol w:w="92"/>
        <w:gridCol w:w="628"/>
        <w:gridCol w:w="76"/>
        <w:gridCol w:w="101"/>
        <w:gridCol w:w="92"/>
        <w:gridCol w:w="624"/>
        <w:gridCol w:w="77"/>
        <w:gridCol w:w="102"/>
        <w:gridCol w:w="92"/>
        <w:gridCol w:w="629"/>
        <w:gridCol w:w="77"/>
      </w:tblGrid>
      <w:tr w:rsidR="00716E85" w14:paraId="63317B11" w14:textId="77777777">
        <w:trPr>
          <w:jc w:val="right"/>
        </w:trPr>
        <w:tc>
          <w:tcPr>
            <w:tcW w:w="2753" w:type="pct"/>
            <w:shd w:val="clear" w:color="auto" w:fill="FFFFFF"/>
            <w:tcMar>
              <w:top w:w="15" w:type="dxa"/>
              <w:left w:w="0" w:type="dxa"/>
              <w:bottom w:w="0" w:type="dxa"/>
              <w:right w:w="15" w:type="dxa"/>
            </w:tcMar>
            <w:vAlign w:val="bottom"/>
            <w:hideMark/>
          </w:tcPr>
          <w:p w14:paraId="60D3B114" w14:textId="77777777" w:rsidR="00716E85" w:rsidRDefault="00716E85">
            <w:pPr>
              <w:pStyle w:val="a3"/>
              <w:spacing w:before="0" w:beforeAutospacing="0" w:after="0" w:afterAutospacing="0"/>
              <w:rPr>
                <w:sz w:val="20"/>
                <w:szCs w:val="20"/>
              </w:rPr>
            </w:pPr>
            <w:r>
              <w:rPr>
                <w:sz w:val="20"/>
                <w:szCs w:val="20"/>
              </w:rPr>
              <w:t> </w:t>
            </w:r>
          </w:p>
        </w:tc>
        <w:tc>
          <w:tcPr>
            <w:tcW w:w="66" w:type="pct"/>
            <w:shd w:val="clear" w:color="auto" w:fill="FFFFFF"/>
            <w:tcMar>
              <w:top w:w="15" w:type="dxa"/>
              <w:left w:w="0" w:type="dxa"/>
              <w:bottom w:w="0" w:type="dxa"/>
              <w:right w:w="15" w:type="dxa"/>
            </w:tcMar>
            <w:vAlign w:val="bottom"/>
            <w:hideMark/>
          </w:tcPr>
          <w:p w14:paraId="343D2FE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006" w:type="pct"/>
            <w:gridSpan w:val="6"/>
            <w:tcBorders>
              <w:bottom w:val="single" w:sz="6" w:space="0" w:color="000000"/>
            </w:tcBorders>
            <w:shd w:val="clear" w:color="auto" w:fill="FFFFFF"/>
            <w:tcMar>
              <w:top w:w="15" w:type="dxa"/>
              <w:left w:w="0" w:type="dxa"/>
              <w:bottom w:w="0" w:type="dxa"/>
              <w:right w:w="15" w:type="dxa"/>
            </w:tcMar>
            <w:vAlign w:val="bottom"/>
            <w:hideMark/>
          </w:tcPr>
          <w:p w14:paraId="2A643A8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622696C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7D721CB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left w:w="0" w:type="dxa"/>
              <w:bottom w:w="0" w:type="dxa"/>
              <w:right w:w="15" w:type="dxa"/>
            </w:tcMar>
            <w:vAlign w:val="bottom"/>
            <w:hideMark/>
          </w:tcPr>
          <w:p w14:paraId="1DC37D1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006" w:type="pct"/>
            <w:gridSpan w:val="6"/>
            <w:tcBorders>
              <w:bottom w:val="single" w:sz="6" w:space="0" w:color="000000"/>
            </w:tcBorders>
            <w:shd w:val="clear" w:color="auto" w:fill="FFFFFF"/>
            <w:tcMar>
              <w:top w:w="15" w:type="dxa"/>
              <w:left w:w="0" w:type="dxa"/>
              <w:bottom w:w="0" w:type="dxa"/>
              <w:right w:w="15" w:type="dxa"/>
            </w:tcMar>
            <w:vAlign w:val="bottom"/>
            <w:hideMark/>
          </w:tcPr>
          <w:p w14:paraId="6FA24CE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w:t>
            </w:r>
          </w:p>
          <w:p w14:paraId="406CC4D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tc>
        <w:tc>
          <w:tcPr>
            <w:tcW w:w="50" w:type="pct"/>
            <w:shd w:val="clear" w:color="auto" w:fill="FFFFFF"/>
            <w:noWrap/>
            <w:tcMar>
              <w:top w:w="15" w:type="dxa"/>
              <w:left w:w="0" w:type="dxa"/>
              <w:bottom w:w="0" w:type="dxa"/>
              <w:right w:w="15" w:type="dxa"/>
            </w:tcMar>
            <w:vAlign w:val="bottom"/>
            <w:hideMark/>
          </w:tcPr>
          <w:p w14:paraId="27C8F37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6F9D4F4" w14:textId="77777777">
        <w:trPr>
          <w:jc w:val="right"/>
        </w:trPr>
        <w:tc>
          <w:tcPr>
            <w:tcW w:w="2753" w:type="pct"/>
            <w:shd w:val="clear" w:color="auto" w:fill="FFFFFF"/>
            <w:tcMar>
              <w:top w:w="15" w:type="dxa"/>
              <w:left w:w="0" w:type="dxa"/>
              <w:bottom w:w="0" w:type="dxa"/>
              <w:right w:w="15" w:type="dxa"/>
            </w:tcMar>
            <w:vAlign w:val="bottom"/>
            <w:hideMark/>
          </w:tcPr>
          <w:p w14:paraId="7C4B1CA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left w:w="0" w:type="dxa"/>
              <w:bottom w:w="0" w:type="dxa"/>
              <w:right w:w="15" w:type="dxa"/>
            </w:tcMar>
            <w:vAlign w:val="bottom"/>
            <w:hideMark/>
          </w:tcPr>
          <w:p w14:paraId="68973EE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5631D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EC3B95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75AAE29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C4022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593E56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shd w:val="clear" w:color="auto" w:fill="FFFFFF"/>
            <w:tcMar>
              <w:top w:w="15" w:type="dxa"/>
              <w:left w:w="0" w:type="dxa"/>
              <w:bottom w:w="0" w:type="dxa"/>
              <w:right w:w="15" w:type="dxa"/>
            </w:tcMar>
            <w:vAlign w:val="bottom"/>
            <w:hideMark/>
          </w:tcPr>
          <w:p w14:paraId="45D408E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65EB7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B072FD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6DC4000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422F7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D22B15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030E6BA" w14:textId="77777777">
        <w:trPr>
          <w:jc w:val="right"/>
        </w:trPr>
        <w:tc>
          <w:tcPr>
            <w:tcW w:w="2753" w:type="pct"/>
            <w:shd w:val="clear" w:color="auto" w:fill="CFF0FC"/>
            <w:tcMar>
              <w:top w:w="15" w:type="dxa"/>
              <w:left w:w="0" w:type="dxa"/>
              <w:bottom w:w="0" w:type="dxa"/>
              <w:right w:w="15" w:type="dxa"/>
            </w:tcMar>
            <w:hideMark/>
          </w:tcPr>
          <w:p w14:paraId="196B952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66" w:type="pct"/>
            <w:shd w:val="clear" w:color="auto" w:fill="CFF0FC"/>
            <w:tcMar>
              <w:top w:w="15" w:type="dxa"/>
              <w:left w:w="0" w:type="dxa"/>
              <w:bottom w:w="0" w:type="dxa"/>
              <w:right w:w="15" w:type="dxa"/>
            </w:tcMar>
            <w:vAlign w:val="bottom"/>
            <w:hideMark/>
          </w:tcPr>
          <w:p w14:paraId="4F45739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718A0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tcBorders>
            <w:shd w:val="clear" w:color="auto" w:fill="CFF0FC"/>
            <w:noWrap/>
            <w:tcMar>
              <w:top w:w="15" w:type="dxa"/>
              <w:left w:w="0" w:type="dxa"/>
              <w:bottom w:w="0" w:type="dxa"/>
              <w:right w:w="15" w:type="dxa"/>
            </w:tcMar>
            <w:vAlign w:val="bottom"/>
            <w:hideMark/>
          </w:tcPr>
          <w:p w14:paraId="3CC924A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26</w:t>
            </w:r>
          </w:p>
        </w:tc>
        <w:tc>
          <w:tcPr>
            <w:tcW w:w="50" w:type="pct"/>
            <w:shd w:val="clear" w:color="auto" w:fill="CFF0FC"/>
            <w:noWrap/>
            <w:tcMar>
              <w:top w:w="15" w:type="dxa"/>
              <w:left w:w="0" w:type="dxa"/>
              <w:bottom w:w="0" w:type="dxa"/>
              <w:right w:w="15" w:type="dxa"/>
            </w:tcMar>
            <w:vAlign w:val="bottom"/>
            <w:hideMark/>
          </w:tcPr>
          <w:p w14:paraId="0B8F188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0BAC6C9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CF11F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tcBorders>
            <w:shd w:val="clear" w:color="auto" w:fill="CFF0FC"/>
            <w:noWrap/>
            <w:tcMar>
              <w:top w:w="15" w:type="dxa"/>
              <w:left w:w="0" w:type="dxa"/>
              <w:bottom w:w="0" w:type="dxa"/>
              <w:right w:w="15" w:type="dxa"/>
            </w:tcMar>
            <w:vAlign w:val="bottom"/>
            <w:hideMark/>
          </w:tcPr>
          <w:p w14:paraId="52F0BED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21</w:t>
            </w:r>
          </w:p>
        </w:tc>
        <w:tc>
          <w:tcPr>
            <w:tcW w:w="50" w:type="pct"/>
            <w:shd w:val="clear" w:color="auto" w:fill="CFF0FC"/>
            <w:noWrap/>
            <w:tcMar>
              <w:top w:w="15" w:type="dxa"/>
              <w:left w:w="0" w:type="dxa"/>
              <w:bottom w:w="0" w:type="dxa"/>
              <w:right w:w="15" w:type="dxa"/>
            </w:tcMar>
            <w:vAlign w:val="bottom"/>
            <w:hideMark/>
          </w:tcPr>
          <w:p w14:paraId="78D5377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26BD740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19C39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tcBorders>
            <w:shd w:val="clear" w:color="auto" w:fill="CFF0FC"/>
            <w:noWrap/>
            <w:tcMar>
              <w:top w:w="15" w:type="dxa"/>
              <w:left w:w="0" w:type="dxa"/>
              <w:bottom w:w="0" w:type="dxa"/>
              <w:right w:w="15" w:type="dxa"/>
            </w:tcMar>
            <w:vAlign w:val="bottom"/>
            <w:hideMark/>
          </w:tcPr>
          <w:p w14:paraId="7071E394"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74</w:t>
            </w:r>
          </w:p>
        </w:tc>
        <w:tc>
          <w:tcPr>
            <w:tcW w:w="50" w:type="pct"/>
            <w:shd w:val="clear" w:color="auto" w:fill="CFF0FC"/>
            <w:noWrap/>
            <w:tcMar>
              <w:top w:w="15" w:type="dxa"/>
              <w:left w:w="0" w:type="dxa"/>
              <w:bottom w:w="0" w:type="dxa"/>
              <w:right w:w="15" w:type="dxa"/>
            </w:tcMar>
            <w:vAlign w:val="bottom"/>
            <w:hideMark/>
          </w:tcPr>
          <w:p w14:paraId="5C348F8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677374D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55BEB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tcBorders>
            <w:shd w:val="clear" w:color="auto" w:fill="CFF0FC"/>
            <w:noWrap/>
            <w:tcMar>
              <w:top w:w="15" w:type="dxa"/>
              <w:left w:w="0" w:type="dxa"/>
              <w:bottom w:w="0" w:type="dxa"/>
              <w:right w:w="15" w:type="dxa"/>
            </w:tcMar>
            <w:vAlign w:val="bottom"/>
            <w:hideMark/>
          </w:tcPr>
          <w:p w14:paraId="1B830459"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58</w:t>
            </w:r>
          </w:p>
        </w:tc>
        <w:tc>
          <w:tcPr>
            <w:tcW w:w="50" w:type="pct"/>
            <w:shd w:val="clear" w:color="auto" w:fill="CFF0FC"/>
            <w:noWrap/>
            <w:tcMar>
              <w:top w:w="15" w:type="dxa"/>
              <w:left w:w="0" w:type="dxa"/>
              <w:bottom w:w="0" w:type="dxa"/>
              <w:right w:w="15" w:type="dxa"/>
            </w:tcMar>
            <w:vAlign w:val="bottom"/>
            <w:hideMark/>
          </w:tcPr>
          <w:p w14:paraId="0C4A79D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39AD9774" w14:textId="77777777">
        <w:trPr>
          <w:jc w:val="right"/>
        </w:trPr>
        <w:tc>
          <w:tcPr>
            <w:tcW w:w="2753" w:type="pct"/>
            <w:shd w:val="clear" w:color="auto" w:fill="FFFFFF"/>
            <w:tcMar>
              <w:top w:w="15" w:type="dxa"/>
              <w:left w:w="0" w:type="dxa"/>
              <w:bottom w:w="0" w:type="dxa"/>
              <w:right w:w="15" w:type="dxa"/>
            </w:tcMar>
            <w:hideMark/>
          </w:tcPr>
          <w:p w14:paraId="0F103B3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Hardware</w:t>
            </w:r>
          </w:p>
        </w:tc>
        <w:tc>
          <w:tcPr>
            <w:tcW w:w="66" w:type="pct"/>
            <w:shd w:val="clear" w:color="auto" w:fill="FFFFFF"/>
            <w:tcMar>
              <w:top w:w="15" w:type="dxa"/>
              <w:left w:w="0" w:type="dxa"/>
              <w:bottom w:w="0" w:type="dxa"/>
              <w:right w:w="15" w:type="dxa"/>
            </w:tcMar>
            <w:vAlign w:val="bottom"/>
            <w:hideMark/>
          </w:tcPr>
          <w:p w14:paraId="7CBBCDE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BD6B72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FFFFFF"/>
            <w:noWrap/>
            <w:tcMar>
              <w:top w:w="15" w:type="dxa"/>
              <w:left w:w="0" w:type="dxa"/>
              <w:bottom w:w="0" w:type="dxa"/>
              <w:right w:w="15" w:type="dxa"/>
            </w:tcMar>
            <w:vAlign w:val="bottom"/>
            <w:hideMark/>
          </w:tcPr>
          <w:p w14:paraId="073C97C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w:t>
            </w:r>
          </w:p>
        </w:tc>
        <w:tc>
          <w:tcPr>
            <w:tcW w:w="50" w:type="pct"/>
            <w:shd w:val="clear" w:color="auto" w:fill="FFFFFF"/>
            <w:noWrap/>
            <w:tcMar>
              <w:top w:w="15" w:type="dxa"/>
              <w:left w:w="0" w:type="dxa"/>
              <w:bottom w:w="0" w:type="dxa"/>
              <w:right w:w="15" w:type="dxa"/>
            </w:tcMar>
            <w:vAlign w:val="bottom"/>
            <w:hideMark/>
          </w:tcPr>
          <w:p w14:paraId="3A96790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39AD673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C5E98B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FFFFFF"/>
            <w:noWrap/>
            <w:tcMar>
              <w:top w:w="15" w:type="dxa"/>
              <w:left w:w="0" w:type="dxa"/>
              <w:bottom w:w="0" w:type="dxa"/>
              <w:right w:w="15" w:type="dxa"/>
            </w:tcMar>
            <w:vAlign w:val="bottom"/>
            <w:hideMark/>
          </w:tcPr>
          <w:p w14:paraId="6416044A"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w:t>
            </w:r>
          </w:p>
        </w:tc>
        <w:tc>
          <w:tcPr>
            <w:tcW w:w="50" w:type="pct"/>
            <w:shd w:val="clear" w:color="auto" w:fill="FFFFFF"/>
            <w:noWrap/>
            <w:tcMar>
              <w:top w:w="15" w:type="dxa"/>
              <w:left w:w="0" w:type="dxa"/>
              <w:bottom w:w="0" w:type="dxa"/>
              <w:right w:w="15" w:type="dxa"/>
            </w:tcMar>
            <w:vAlign w:val="bottom"/>
            <w:hideMark/>
          </w:tcPr>
          <w:p w14:paraId="3BAF7A3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55F0D9C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3DEEDC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FFFFFF"/>
            <w:noWrap/>
            <w:tcMar>
              <w:top w:w="15" w:type="dxa"/>
              <w:left w:w="0" w:type="dxa"/>
              <w:bottom w:w="0" w:type="dxa"/>
              <w:right w:w="15" w:type="dxa"/>
            </w:tcMar>
            <w:vAlign w:val="bottom"/>
            <w:hideMark/>
          </w:tcPr>
          <w:p w14:paraId="6A53A56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7</w:t>
            </w:r>
          </w:p>
        </w:tc>
        <w:tc>
          <w:tcPr>
            <w:tcW w:w="50" w:type="pct"/>
            <w:shd w:val="clear" w:color="auto" w:fill="FFFFFF"/>
            <w:noWrap/>
            <w:tcMar>
              <w:top w:w="15" w:type="dxa"/>
              <w:left w:w="0" w:type="dxa"/>
              <w:bottom w:w="0" w:type="dxa"/>
              <w:right w:w="15" w:type="dxa"/>
            </w:tcMar>
            <w:vAlign w:val="bottom"/>
            <w:hideMark/>
          </w:tcPr>
          <w:p w14:paraId="25FD6BA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0617126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3E2A9AA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FFFFFF"/>
            <w:noWrap/>
            <w:tcMar>
              <w:top w:w="15" w:type="dxa"/>
              <w:left w:w="0" w:type="dxa"/>
              <w:bottom w:w="0" w:type="dxa"/>
              <w:right w:w="15" w:type="dxa"/>
            </w:tcMar>
            <w:vAlign w:val="bottom"/>
            <w:hideMark/>
          </w:tcPr>
          <w:p w14:paraId="037B6484"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8</w:t>
            </w:r>
          </w:p>
        </w:tc>
        <w:tc>
          <w:tcPr>
            <w:tcW w:w="50" w:type="pct"/>
            <w:shd w:val="clear" w:color="auto" w:fill="FFFFFF"/>
            <w:noWrap/>
            <w:tcMar>
              <w:top w:w="15" w:type="dxa"/>
              <w:left w:w="0" w:type="dxa"/>
              <w:bottom w:w="0" w:type="dxa"/>
              <w:right w:w="15" w:type="dxa"/>
            </w:tcMar>
            <w:vAlign w:val="bottom"/>
            <w:hideMark/>
          </w:tcPr>
          <w:p w14:paraId="2FCBD4C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2F5A630A" w14:textId="77777777">
        <w:trPr>
          <w:jc w:val="right"/>
        </w:trPr>
        <w:tc>
          <w:tcPr>
            <w:tcW w:w="2753" w:type="pct"/>
            <w:shd w:val="clear" w:color="auto" w:fill="CFF0FC"/>
            <w:tcMar>
              <w:top w:w="15" w:type="dxa"/>
              <w:left w:w="0" w:type="dxa"/>
              <w:bottom w:w="0" w:type="dxa"/>
              <w:right w:w="15" w:type="dxa"/>
            </w:tcMar>
            <w:hideMark/>
          </w:tcPr>
          <w:p w14:paraId="5397FE7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Services</w:t>
            </w:r>
          </w:p>
        </w:tc>
        <w:tc>
          <w:tcPr>
            <w:tcW w:w="66" w:type="pct"/>
            <w:shd w:val="clear" w:color="auto" w:fill="CFF0FC"/>
            <w:tcMar>
              <w:top w:w="15" w:type="dxa"/>
              <w:left w:w="0" w:type="dxa"/>
              <w:bottom w:w="0" w:type="dxa"/>
              <w:right w:w="15" w:type="dxa"/>
            </w:tcMar>
            <w:vAlign w:val="bottom"/>
            <w:hideMark/>
          </w:tcPr>
          <w:p w14:paraId="090A772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189A4B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48805433"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12</w:t>
            </w:r>
          </w:p>
        </w:tc>
        <w:tc>
          <w:tcPr>
            <w:tcW w:w="50" w:type="pct"/>
            <w:shd w:val="clear" w:color="auto" w:fill="CFF0FC"/>
            <w:noWrap/>
            <w:tcMar>
              <w:top w:w="15" w:type="dxa"/>
              <w:left w:w="0" w:type="dxa"/>
              <w:bottom w:w="0" w:type="dxa"/>
              <w:right w:w="15" w:type="dxa"/>
            </w:tcMar>
            <w:vAlign w:val="bottom"/>
            <w:hideMark/>
          </w:tcPr>
          <w:p w14:paraId="7E2AF50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5106F8D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13852E2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7747F357"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13</w:t>
            </w:r>
          </w:p>
        </w:tc>
        <w:tc>
          <w:tcPr>
            <w:tcW w:w="50" w:type="pct"/>
            <w:shd w:val="clear" w:color="auto" w:fill="CFF0FC"/>
            <w:noWrap/>
            <w:tcMar>
              <w:top w:w="15" w:type="dxa"/>
              <w:left w:w="0" w:type="dxa"/>
              <w:bottom w:w="0" w:type="dxa"/>
              <w:right w:w="15" w:type="dxa"/>
            </w:tcMar>
            <w:vAlign w:val="bottom"/>
            <w:hideMark/>
          </w:tcPr>
          <w:p w14:paraId="1E4F4FC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63B3A8C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E5DE7C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73928EB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37</w:t>
            </w:r>
          </w:p>
        </w:tc>
        <w:tc>
          <w:tcPr>
            <w:tcW w:w="50" w:type="pct"/>
            <w:shd w:val="clear" w:color="auto" w:fill="CFF0FC"/>
            <w:noWrap/>
            <w:tcMar>
              <w:top w:w="15" w:type="dxa"/>
              <w:left w:w="0" w:type="dxa"/>
              <w:bottom w:w="0" w:type="dxa"/>
              <w:right w:w="15" w:type="dxa"/>
            </w:tcMar>
            <w:vAlign w:val="bottom"/>
            <w:hideMark/>
          </w:tcPr>
          <w:p w14:paraId="587919C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38DFD74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E5226F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30ADB4B6"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41</w:t>
            </w:r>
          </w:p>
        </w:tc>
        <w:tc>
          <w:tcPr>
            <w:tcW w:w="50" w:type="pct"/>
            <w:shd w:val="clear" w:color="auto" w:fill="CFF0FC"/>
            <w:noWrap/>
            <w:tcMar>
              <w:top w:w="15" w:type="dxa"/>
              <w:left w:w="0" w:type="dxa"/>
              <w:bottom w:w="0" w:type="dxa"/>
              <w:right w:w="15" w:type="dxa"/>
            </w:tcMar>
            <w:vAlign w:val="bottom"/>
            <w:hideMark/>
          </w:tcPr>
          <w:p w14:paraId="12FA820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451799C0" w14:textId="77777777">
        <w:trPr>
          <w:jc w:val="right"/>
        </w:trPr>
        <w:tc>
          <w:tcPr>
            <w:tcW w:w="2753" w:type="pct"/>
            <w:shd w:val="clear" w:color="auto" w:fill="FFFFFF"/>
            <w:tcMar>
              <w:top w:w="15" w:type="dxa"/>
              <w:left w:w="0" w:type="dxa"/>
              <w:bottom w:w="0" w:type="dxa"/>
              <w:right w:w="15" w:type="dxa"/>
            </w:tcMar>
            <w:hideMark/>
          </w:tcPr>
          <w:p w14:paraId="3996481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Sales and marketing</w:t>
            </w:r>
          </w:p>
        </w:tc>
        <w:tc>
          <w:tcPr>
            <w:tcW w:w="66" w:type="pct"/>
            <w:shd w:val="clear" w:color="auto" w:fill="FFFFFF"/>
            <w:tcMar>
              <w:top w:w="15" w:type="dxa"/>
              <w:left w:w="0" w:type="dxa"/>
              <w:bottom w:w="0" w:type="dxa"/>
              <w:right w:w="15" w:type="dxa"/>
            </w:tcMar>
            <w:vAlign w:val="bottom"/>
            <w:hideMark/>
          </w:tcPr>
          <w:p w14:paraId="5558121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BBBD2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73533F40"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89</w:t>
            </w:r>
          </w:p>
        </w:tc>
        <w:tc>
          <w:tcPr>
            <w:tcW w:w="50" w:type="pct"/>
            <w:shd w:val="clear" w:color="auto" w:fill="FFFFFF"/>
            <w:noWrap/>
            <w:tcMar>
              <w:top w:w="15" w:type="dxa"/>
              <w:left w:w="0" w:type="dxa"/>
              <w:bottom w:w="0" w:type="dxa"/>
              <w:right w:w="15" w:type="dxa"/>
            </w:tcMar>
            <w:vAlign w:val="bottom"/>
            <w:hideMark/>
          </w:tcPr>
          <w:p w14:paraId="5BAE772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center"/>
            <w:hideMark/>
          </w:tcPr>
          <w:p w14:paraId="4F1E0B9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EAF02A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2B04E0D6"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87</w:t>
            </w:r>
          </w:p>
        </w:tc>
        <w:tc>
          <w:tcPr>
            <w:tcW w:w="50" w:type="pct"/>
            <w:shd w:val="clear" w:color="auto" w:fill="FFFFFF"/>
            <w:noWrap/>
            <w:tcMar>
              <w:top w:w="15" w:type="dxa"/>
              <w:left w:w="0" w:type="dxa"/>
              <w:bottom w:w="0" w:type="dxa"/>
              <w:right w:w="15" w:type="dxa"/>
            </w:tcMar>
            <w:vAlign w:val="bottom"/>
            <w:hideMark/>
          </w:tcPr>
          <w:p w14:paraId="75323F5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23B5D9E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7479C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196FEC55"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278</w:t>
            </w:r>
          </w:p>
        </w:tc>
        <w:tc>
          <w:tcPr>
            <w:tcW w:w="50" w:type="pct"/>
            <w:shd w:val="clear" w:color="auto" w:fill="FFFFFF"/>
            <w:noWrap/>
            <w:tcMar>
              <w:top w:w="15" w:type="dxa"/>
              <w:left w:w="0" w:type="dxa"/>
              <w:bottom w:w="0" w:type="dxa"/>
              <w:right w:w="15" w:type="dxa"/>
            </w:tcMar>
            <w:vAlign w:val="bottom"/>
            <w:hideMark/>
          </w:tcPr>
          <w:p w14:paraId="75CA3F1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center"/>
            <w:hideMark/>
          </w:tcPr>
          <w:p w14:paraId="6AE3106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F8F7F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214E8425"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275</w:t>
            </w:r>
          </w:p>
        </w:tc>
        <w:tc>
          <w:tcPr>
            <w:tcW w:w="50" w:type="pct"/>
            <w:shd w:val="clear" w:color="auto" w:fill="FFFFFF"/>
            <w:noWrap/>
            <w:tcMar>
              <w:top w:w="15" w:type="dxa"/>
              <w:left w:w="0" w:type="dxa"/>
              <w:bottom w:w="0" w:type="dxa"/>
              <w:right w:w="15" w:type="dxa"/>
            </w:tcMar>
            <w:vAlign w:val="bottom"/>
            <w:hideMark/>
          </w:tcPr>
          <w:p w14:paraId="5C30541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2E822982" w14:textId="77777777">
        <w:trPr>
          <w:jc w:val="right"/>
        </w:trPr>
        <w:tc>
          <w:tcPr>
            <w:tcW w:w="2753" w:type="pct"/>
            <w:shd w:val="clear" w:color="auto" w:fill="CFF0FC"/>
            <w:tcMar>
              <w:top w:w="15" w:type="dxa"/>
              <w:left w:w="0" w:type="dxa"/>
              <w:bottom w:w="0" w:type="dxa"/>
              <w:right w:w="15" w:type="dxa"/>
            </w:tcMar>
            <w:hideMark/>
          </w:tcPr>
          <w:p w14:paraId="357243F3" w14:textId="77777777" w:rsidR="00716E85" w:rsidRDefault="00716E85">
            <w:pPr>
              <w:pStyle w:val="a3"/>
              <w:spacing w:before="0" w:beforeAutospacing="0" w:after="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66" w:type="pct"/>
            <w:shd w:val="clear" w:color="auto" w:fill="CFF0FC"/>
            <w:tcMar>
              <w:top w:w="15" w:type="dxa"/>
              <w:left w:w="0" w:type="dxa"/>
              <w:bottom w:w="0" w:type="dxa"/>
              <w:right w:w="15" w:type="dxa"/>
            </w:tcMar>
            <w:vAlign w:val="bottom"/>
            <w:hideMark/>
          </w:tcPr>
          <w:p w14:paraId="7BA59C0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5F1E0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0F7445"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129</w:t>
            </w:r>
          </w:p>
        </w:tc>
        <w:tc>
          <w:tcPr>
            <w:tcW w:w="50" w:type="pct"/>
            <w:shd w:val="clear" w:color="auto" w:fill="CFF0FC"/>
            <w:noWrap/>
            <w:tcMar>
              <w:top w:w="15" w:type="dxa"/>
              <w:left w:w="0" w:type="dxa"/>
              <w:bottom w:w="0" w:type="dxa"/>
              <w:right w:w="15" w:type="dxa"/>
            </w:tcMar>
            <w:vAlign w:val="bottom"/>
            <w:hideMark/>
          </w:tcPr>
          <w:p w14:paraId="0AEC355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22C7F067"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5E5B0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D83EC5"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123</w:t>
            </w:r>
          </w:p>
        </w:tc>
        <w:tc>
          <w:tcPr>
            <w:tcW w:w="50" w:type="pct"/>
            <w:shd w:val="clear" w:color="auto" w:fill="CFF0FC"/>
            <w:noWrap/>
            <w:tcMar>
              <w:top w:w="15" w:type="dxa"/>
              <w:left w:w="0" w:type="dxa"/>
              <w:bottom w:w="0" w:type="dxa"/>
              <w:right w:w="15" w:type="dxa"/>
            </w:tcMar>
            <w:vAlign w:val="bottom"/>
            <w:hideMark/>
          </w:tcPr>
          <w:p w14:paraId="0BECC9D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1607C80C"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923BC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0BAC03"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396</w:t>
            </w:r>
          </w:p>
        </w:tc>
        <w:tc>
          <w:tcPr>
            <w:tcW w:w="50" w:type="pct"/>
            <w:shd w:val="clear" w:color="auto" w:fill="CFF0FC"/>
            <w:noWrap/>
            <w:tcMar>
              <w:top w:w="15" w:type="dxa"/>
              <w:left w:w="0" w:type="dxa"/>
              <w:bottom w:w="0" w:type="dxa"/>
              <w:right w:w="15" w:type="dxa"/>
            </w:tcMar>
            <w:vAlign w:val="bottom"/>
            <w:hideMark/>
          </w:tcPr>
          <w:p w14:paraId="46D2D8D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21D488B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18DB68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A1833C"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382</w:t>
            </w:r>
          </w:p>
        </w:tc>
        <w:tc>
          <w:tcPr>
            <w:tcW w:w="50" w:type="pct"/>
            <w:shd w:val="clear" w:color="auto" w:fill="CFF0FC"/>
            <w:noWrap/>
            <w:tcMar>
              <w:top w:w="15" w:type="dxa"/>
              <w:left w:w="0" w:type="dxa"/>
              <w:bottom w:w="0" w:type="dxa"/>
              <w:right w:w="15" w:type="dxa"/>
            </w:tcMar>
            <w:vAlign w:val="bottom"/>
            <w:hideMark/>
          </w:tcPr>
          <w:p w14:paraId="2334753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7671F7F9" w14:textId="77777777">
        <w:trPr>
          <w:jc w:val="right"/>
        </w:trPr>
        <w:tc>
          <w:tcPr>
            <w:tcW w:w="2753" w:type="pct"/>
            <w:shd w:val="clear" w:color="auto" w:fill="FFFFFF"/>
            <w:tcMar>
              <w:top w:w="15" w:type="dxa"/>
              <w:left w:w="0" w:type="dxa"/>
              <w:bottom w:w="0" w:type="dxa"/>
              <w:right w:w="15" w:type="dxa"/>
            </w:tcMar>
            <w:hideMark/>
          </w:tcPr>
          <w:p w14:paraId="527F283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66" w:type="pct"/>
            <w:shd w:val="clear" w:color="auto" w:fill="FFFFFF"/>
            <w:tcMar>
              <w:top w:w="15" w:type="dxa"/>
              <w:left w:w="0" w:type="dxa"/>
              <w:bottom w:w="0" w:type="dxa"/>
              <w:right w:w="15" w:type="dxa"/>
            </w:tcMar>
            <w:vAlign w:val="bottom"/>
            <w:hideMark/>
          </w:tcPr>
          <w:p w14:paraId="73374EA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D03F3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tcBorders>
            <w:shd w:val="clear" w:color="auto" w:fill="FFFFFF"/>
            <w:noWrap/>
            <w:tcMar>
              <w:top w:w="15" w:type="dxa"/>
              <w:left w:w="0" w:type="dxa"/>
              <w:bottom w:w="0" w:type="dxa"/>
              <w:right w:w="15" w:type="dxa"/>
            </w:tcMar>
            <w:vAlign w:val="bottom"/>
            <w:hideMark/>
          </w:tcPr>
          <w:p w14:paraId="6F1715BF"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254</w:t>
            </w:r>
          </w:p>
        </w:tc>
        <w:tc>
          <w:tcPr>
            <w:tcW w:w="50" w:type="pct"/>
            <w:shd w:val="clear" w:color="auto" w:fill="FFFFFF"/>
            <w:noWrap/>
            <w:tcMar>
              <w:top w:w="15" w:type="dxa"/>
              <w:left w:w="0" w:type="dxa"/>
              <w:bottom w:w="0" w:type="dxa"/>
              <w:right w:w="15" w:type="dxa"/>
            </w:tcMar>
            <w:vAlign w:val="bottom"/>
            <w:hideMark/>
          </w:tcPr>
          <w:p w14:paraId="63AA33A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138B690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649EF1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tcBorders>
            <w:shd w:val="clear" w:color="auto" w:fill="FFFFFF"/>
            <w:noWrap/>
            <w:tcMar>
              <w:top w:w="15" w:type="dxa"/>
              <w:left w:w="0" w:type="dxa"/>
              <w:bottom w:w="0" w:type="dxa"/>
              <w:right w:w="15" w:type="dxa"/>
            </w:tcMar>
            <w:vAlign w:val="bottom"/>
            <w:hideMark/>
          </w:tcPr>
          <w:p w14:paraId="3D661741"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221</w:t>
            </w:r>
          </w:p>
        </w:tc>
        <w:tc>
          <w:tcPr>
            <w:tcW w:w="50" w:type="pct"/>
            <w:shd w:val="clear" w:color="auto" w:fill="FFFFFF"/>
            <w:noWrap/>
            <w:tcMar>
              <w:top w:w="15" w:type="dxa"/>
              <w:left w:w="0" w:type="dxa"/>
              <w:bottom w:w="0" w:type="dxa"/>
              <w:right w:w="15" w:type="dxa"/>
            </w:tcMar>
            <w:vAlign w:val="bottom"/>
            <w:hideMark/>
          </w:tcPr>
          <w:p w14:paraId="1096E08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07311CB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227B21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tcBorders>
            <w:shd w:val="clear" w:color="auto" w:fill="FFFFFF"/>
            <w:noWrap/>
            <w:tcMar>
              <w:top w:w="15" w:type="dxa"/>
              <w:left w:w="0" w:type="dxa"/>
              <w:bottom w:w="0" w:type="dxa"/>
              <w:right w:w="15" w:type="dxa"/>
            </w:tcMar>
            <w:vAlign w:val="bottom"/>
            <w:hideMark/>
          </w:tcPr>
          <w:p w14:paraId="47E7B76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732</w:t>
            </w:r>
          </w:p>
        </w:tc>
        <w:tc>
          <w:tcPr>
            <w:tcW w:w="50" w:type="pct"/>
            <w:shd w:val="clear" w:color="auto" w:fill="FFFFFF"/>
            <w:noWrap/>
            <w:tcMar>
              <w:top w:w="15" w:type="dxa"/>
              <w:left w:w="0" w:type="dxa"/>
              <w:bottom w:w="0" w:type="dxa"/>
              <w:right w:w="15" w:type="dxa"/>
            </w:tcMar>
            <w:vAlign w:val="bottom"/>
            <w:hideMark/>
          </w:tcPr>
          <w:p w14:paraId="1F73DA3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3A873AC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E608F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top w:val="single" w:sz="6" w:space="0" w:color="000000"/>
            </w:tcBorders>
            <w:shd w:val="clear" w:color="auto" w:fill="FFFFFF"/>
            <w:noWrap/>
            <w:tcMar>
              <w:top w:w="15" w:type="dxa"/>
              <w:left w:w="0" w:type="dxa"/>
              <w:bottom w:w="0" w:type="dxa"/>
              <w:right w:w="15" w:type="dxa"/>
            </w:tcMar>
            <w:vAlign w:val="bottom"/>
            <w:hideMark/>
          </w:tcPr>
          <w:p w14:paraId="43F268BC"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693</w:t>
            </w:r>
          </w:p>
        </w:tc>
        <w:tc>
          <w:tcPr>
            <w:tcW w:w="50" w:type="pct"/>
            <w:shd w:val="clear" w:color="auto" w:fill="FFFFFF"/>
            <w:noWrap/>
            <w:tcMar>
              <w:top w:w="15" w:type="dxa"/>
              <w:left w:w="0" w:type="dxa"/>
              <w:bottom w:w="0" w:type="dxa"/>
              <w:right w:w="15" w:type="dxa"/>
            </w:tcMar>
            <w:vAlign w:val="bottom"/>
            <w:hideMark/>
          </w:tcPr>
          <w:p w14:paraId="45A8C3F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115B34BF" w14:textId="77777777">
        <w:trPr>
          <w:jc w:val="right"/>
        </w:trPr>
        <w:tc>
          <w:tcPr>
            <w:tcW w:w="2753" w:type="pct"/>
            <w:shd w:val="clear" w:color="auto" w:fill="CFF0FC"/>
            <w:tcMar>
              <w:top w:w="15" w:type="dxa"/>
              <w:left w:w="0" w:type="dxa"/>
              <w:bottom w:w="0" w:type="dxa"/>
              <w:right w:w="15" w:type="dxa"/>
            </w:tcMar>
            <w:hideMark/>
          </w:tcPr>
          <w:p w14:paraId="0D42FC3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66" w:type="pct"/>
            <w:shd w:val="clear" w:color="auto" w:fill="CFF0FC"/>
            <w:tcMar>
              <w:top w:w="15" w:type="dxa"/>
              <w:left w:w="0" w:type="dxa"/>
              <w:bottom w:w="0" w:type="dxa"/>
              <w:right w:w="15" w:type="dxa"/>
            </w:tcMar>
            <w:vAlign w:val="bottom"/>
            <w:hideMark/>
          </w:tcPr>
          <w:p w14:paraId="5DD2FEC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28523F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48C15E06"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44</w:t>
            </w:r>
          </w:p>
        </w:tc>
        <w:tc>
          <w:tcPr>
            <w:tcW w:w="50" w:type="pct"/>
            <w:shd w:val="clear" w:color="auto" w:fill="CFF0FC"/>
            <w:noWrap/>
            <w:tcMar>
              <w:top w:w="15" w:type="dxa"/>
              <w:left w:w="0" w:type="dxa"/>
              <w:bottom w:w="0" w:type="dxa"/>
              <w:right w:w="15" w:type="dxa"/>
            </w:tcMar>
            <w:vAlign w:val="bottom"/>
            <w:hideMark/>
          </w:tcPr>
          <w:p w14:paraId="3D40D4D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7B32F41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6CCB972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5971DFC6"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45</w:t>
            </w:r>
          </w:p>
        </w:tc>
        <w:tc>
          <w:tcPr>
            <w:tcW w:w="50" w:type="pct"/>
            <w:shd w:val="clear" w:color="auto" w:fill="CFF0FC"/>
            <w:noWrap/>
            <w:tcMar>
              <w:top w:w="15" w:type="dxa"/>
              <w:left w:w="0" w:type="dxa"/>
              <w:bottom w:w="0" w:type="dxa"/>
              <w:right w:w="15" w:type="dxa"/>
            </w:tcMar>
            <w:vAlign w:val="bottom"/>
            <w:hideMark/>
          </w:tcPr>
          <w:p w14:paraId="00A2827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75744A1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094BA1B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35888A0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131</w:t>
            </w:r>
          </w:p>
        </w:tc>
        <w:tc>
          <w:tcPr>
            <w:tcW w:w="50" w:type="pct"/>
            <w:shd w:val="clear" w:color="auto" w:fill="CFF0FC"/>
            <w:noWrap/>
            <w:tcMar>
              <w:top w:w="15" w:type="dxa"/>
              <w:left w:w="0" w:type="dxa"/>
              <w:bottom w:w="0" w:type="dxa"/>
              <w:right w:w="15" w:type="dxa"/>
            </w:tcMar>
            <w:vAlign w:val="bottom"/>
            <w:hideMark/>
          </w:tcPr>
          <w:p w14:paraId="52241B7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4E3F684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left w:w="0" w:type="dxa"/>
              <w:bottom w:w="0" w:type="dxa"/>
              <w:right w:w="15" w:type="dxa"/>
            </w:tcMar>
            <w:vAlign w:val="bottom"/>
            <w:hideMark/>
          </w:tcPr>
          <w:p w14:paraId="7190F5E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shd w:val="clear" w:color="auto" w:fill="CFF0FC"/>
            <w:noWrap/>
            <w:tcMar>
              <w:top w:w="15" w:type="dxa"/>
              <w:left w:w="0" w:type="dxa"/>
              <w:bottom w:w="0" w:type="dxa"/>
              <w:right w:w="15" w:type="dxa"/>
            </w:tcMar>
            <w:vAlign w:val="bottom"/>
            <w:hideMark/>
          </w:tcPr>
          <w:p w14:paraId="6137D93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135</w:t>
            </w:r>
          </w:p>
        </w:tc>
        <w:tc>
          <w:tcPr>
            <w:tcW w:w="50" w:type="pct"/>
            <w:shd w:val="clear" w:color="auto" w:fill="CFF0FC"/>
            <w:noWrap/>
            <w:tcMar>
              <w:top w:w="15" w:type="dxa"/>
              <w:left w:w="0" w:type="dxa"/>
              <w:bottom w:w="0" w:type="dxa"/>
              <w:right w:w="15" w:type="dxa"/>
            </w:tcMar>
            <w:vAlign w:val="bottom"/>
            <w:hideMark/>
          </w:tcPr>
          <w:p w14:paraId="36951BE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7D66DC7D" w14:textId="77777777">
        <w:trPr>
          <w:jc w:val="right"/>
        </w:trPr>
        <w:tc>
          <w:tcPr>
            <w:tcW w:w="2753" w:type="pct"/>
            <w:shd w:val="clear" w:color="auto" w:fill="FFFFFF"/>
            <w:tcMar>
              <w:top w:w="15" w:type="dxa"/>
              <w:left w:w="0" w:type="dxa"/>
              <w:bottom w:w="0" w:type="dxa"/>
              <w:right w:w="15" w:type="dxa"/>
            </w:tcMar>
            <w:hideMark/>
          </w:tcPr>
          <w:p w14:paraId="73034B1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Acquisition related and other</w:t>
            </w:r>
          </w:p>
        </w:tc>
        <w:tc>
          <w:tcPr>
            <w:tcW w:w="66" w:type="pct"/>
            <w:shd w:val="clear" w:color="auto" w:fill="FFFFFF"/>
            <w:tcMar>
              <w:top w:w="15" w:type="dxa"/>
              <w:left w:w="0" w:type="dxa"/>
              <w:bottom w:w="0" w:type="dxa"/>
              <w:right w:w="15" w:type="dxa"/>
            </w:tcMar>
            <w:vAlign w:val="bottom"/>
            <w:hideMark/>
          </w:tcPr>
          <w:p w14:paraId="6064AB0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10277E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26BD8CAA"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left w:w="0" w:type="dxa"/>
              <w:bottom w:w="0" w:type="dxa"/>
              <w:right w:w="15" w:type="dxa"/>
            </w:tcMar>
            <w:vAlign w:val="bottom"/>
            <w:hideMark/>
          </w:tcPr>
          <w:p w14:paraId="50CA29C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76B09C5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06A9D8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452A41D9"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left w:w="0" w:type="dxa"/>
              <w:bottom w:w="0" w:type="dxa"/>
              <w:right w:w="15" w:type="dxa"/>
            </w:tcMar>
            <w:vAlign w:val="bottom"/>
            <w:hideMark/>
          </w:tcPr>
          <w:p w14:paraId="012CFAC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359D48B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DFB2C3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57DCCEFD"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w:t>
            </w:r>
          </w:p>
        </w:tc>
        <w:tc>
          <w:tcPr>
            <w:tcW w:w="50" w:type="pct"/>
            <w:shd w:val="clear" w:color="auto" w:fill="FFFFFF"/>
            <w:noWrap/>
            <w:tcMar>
              <w:top w:w="15" w:type="dxa"/>
              <w:left w:w="0" w:type="dxa"/>
              <w:bottom w:w="0" w:type="dxa"/>
              <w:right w:w="15" w:type="dxa"/>
            </w:tcMar>
            <w:vAlign w:val="bottom"/>
            <w:hideMark/>
          </w:tcPr>
          <w:p w14:paraId="4CFDADF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FFFFFF"/>
            <w:tcMar>
              <w:top w:w="15" w:type="dxa"/>
              <w:left w:w="0" w:type="dxa"/>
              <w:bottom w:w="0" w:type="dxa"/>
              <w:right w:w="15" w:type="dxa"/>
            </w:tcMar>
            <w:vAlign w:val="bottom"/>
            <w:hideMark/>
          </w:tcPr>
          <w:p w14:paraId="3B08498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F8B31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94" w:type="pct"/>
            <w:tcBorders>
              <w:bottom w:val="single" w:sz="6" w:space="0" w:color="000000"/>
            </w:tcBorders>
            <w:shd w:val="clear" w:color="auto" w:fill="FFFFFF"/>
            <w:noWrap/>
            <w:tcMar>
              <w:top w:w="15" w:type="dxa"/>
              <w:left w:w="0" w:type="dxa"/>
              <w:bottom w:w="0" w:type="dxa"/>
              <w:right w:w="15" w:type="dxa"/>
            </w:tcMar>
            <w:vAlign w:val="bottom"/>
            <w:hideMark/>
          </w:tcPr>
          <w:p w14:paraId="2AFBD319"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w:t>
            </w:r>
          </w:p>
        </w:tc>
        <w:tc>
          <w:tcPr>
            <w:tcW w:w="50" w:type="pct"/>
            <w:shd w:val="clear" w:color="auto" w:fill="FFFFFF"/>
            <w:noWrap/>
            <w:tcMar>
              <w:top w:w="15" w:type="dxa"/>
              <w:left w:w="0" w:type="dxa"/>
              <w:bottom w:w="0" w:type="dxa"/>
              <w:right w:w="15" w:type="dxa"/>
            </w:tcMar>
            <w:vAlign w:val="bottom"/>
            <w:hideMark/>
          </w:tcPr>
          <w:p w14:paraId="19DE3A1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2A2FB768" w14:textId="77777777">
        <w:trPr>
          <w:jc w:val="right"/>
        </w:trPr>
        <w:tc>
          <w:tcPr>
            <w:tcW w:w="2753" w:type="pct"/>
            <w:shd w:val="clear" w:color="auto" w:fill="CFF0FC"/>
            <w:tcMar>
              <w:top w:w="15" w:type="dxa"/>
              <w:left w:w="0" w:type="dxa"/>
              <w:bottom w:w="0" w:type="dxa"/>
              <w:right w:w="15" w:type="dxa"/>
            </w:tcMar>
            <w:hideMark/>
          </w:tcPr>
          <w:p w14:paraId="6E25B5B2" w14:textId="77777777" w:rsidR="00716E85" w:rsidRDefault="00716E85">
            <w:pPr>
              <w:pStyle w:val="a3"/>
              <w:spacing w:before="0" w:beforeAutospacing="0" w:after="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66" w:type="pct"/>
            <w:shd w:val="clear" w:color="auto" w:fill="CFF0FC"/>
            <w:tcMar>
              <w:top w:w="15" w:type="dxa"/>
              <w:left w:w="0" w:type="dxa"/>
              <w:bottom w:w="0" w:type="dxa"/>
              <w:right w:w="15" w:type="dxa"/>
            </w:tcMar>
            <w:vAlign w:val="bottom"/>
            <w:hideMark/>
          </w:tcPr>
          <w:p w14:paraId="37B86B7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FFB38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97598C"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427</w:t>
            </w:r>
          </w:p>
        </w:tc>
        <w:tc>
          <w:tcPr>
            <w:tcW w:w="50" w:type="pct"/>
            <w:shd w:val="clear" w:color="auto" w:fill="CFF0FC"/>
            <w:noWrap/>
            <w:tcMar>
              <w:top w:w="15" w:type="dxa"/>
              <w:left w:w="0" w:type="dxa"/>
              <w:bottom w:w="0" w:type="dxa"/>
              <w:right w:w="15" w:type="dxa"/>
            </w:tcMar>
            <w:vAlign w:val="bottom"/>
            <w:hideMark/>
          </w:tcPr>
          <w:p w14:paraId="7D53345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7C0BB75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852DE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3E60F6"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389</w:t>
            </w:r>
          </w:p>
        </w:tc>
        <w:tc>
          <w:tcPr>
            <w:tcW w:w="50" w:type="pct"/>
            <w:shd w:val="clear" w:color="auto" w:fill="CFF0FC"/>
            <w:noWrap/>
            <w:tcMar>
              <w:top w:w="15" w:type="dxa"/>
              <w:left w:w="0" w:type="dxa"/>
              <w:bottom w:w="0" w:type="dxa"/>
              <w:right w:w="15" w:type="dxa"/>
            </w:tcMar>
            <w:vAlign w:val="bottom"/>
            <w:hideMark/>
          </w:tcPr>
          <w:p w14:paraId="6C1AB51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57A28A5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A170F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767868"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1,259</w:t>
            </w:r>
          </w:p>
        </w:tc>
        <w:tc>
          <w:tcPr>
            <w:tcW w:w="50" w:type="pct"/>
            <w:shd w:val="clear" w:color="auto" w:fill="CFF0FC"/>
            <w:noWrap/>
            <w:tcMar>
              <w:top w:w="15" w:type="dxa"/>
              <w:left w:w="0" w:type="dxa"/>
              <w:bottom w:w="0" w:type="dxa"/>
              <w:right w:w="15" w:type="dxa"/>
            </w:tcMar>
            <w:vAlign w:val="bottom"/>
            <w:hideMark/>
          </w:tcPr>
          <w:p w14:paraId="50F62A1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66" w:type="pct"/>
            <w:shd w:val="clear" w:color="auto" w:fill="CFF0FC"/>
            <w:tcMar>
              <w:top w:w="15" w:type="dxa"/>
              <w:left w:w="0" w:type="dxa"/>
              <w:bottom w:w="0" w:type="dxa"/>
              <w:right w:w="15" w:type="dxa"/>
            </w:tcMar>
            <w:vAlign w:val="bottom"/>
            <w:hideMark/>
          </w:tcPr>
          <w:p w14:paraId="0EB9750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BCB114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w:t>
            </w:r>
          </w:p>
        </w:tc>
        <w:tc>
          <w:tcPr>
            <w:tcW w:w="39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6320DF" w14:textId="77777777" w:rsidR="00716E85" w:rsidRDefault="00716E85">
            <w:pPr>
              <w:pStyle w:val="a3"/>
              <w:spacing w:before="0" w:beforeAutospacing="0" w:after="0" w:afterAutospacing="0"/>
              <w:jc w:val="right"/>
              <w:rPr>
                <w:rFonts w:ascii="Calibri" w:hAnsi="Calibri" w:cs="Calibri"/>
                <w:color w:val="000000"/>
                <w:sz w:val="15"/>
                <w:szCs w:val="15"/>
              </w:rPr>
            </w:pPr>
            <w:r>
              <w:rPr>
                <w:rFonts w:ascii="Calibri" w:hAnsi="Calibri" w:cs="Calibri"/>
                <w:color w:val="000000"/>
                <w:sz w:val="15"/>
                <w:szCs w:val="15"/>
              </w:rPr>
              <w:t>1,211</w:t>
            </w:r>
          </w:p>
        </w:tc>
        <w:tc>
          <w:tcPr>
            <w:tcW w:w="50" w:type="pct"/>
            <w:shd w:val="clear" w:color="auto" w:fill="CFF0FC"/>
            <w:noWrap/>
            <w:tcMar>
              <w:top w:w="15" w:type="dxa"/>
              <w:left w:w="0" w:type="dxa"/>
              <w:bottom w:w="0" w:type="dxa"/>
              <w:right w:w="15" w:type="dxa"/>
            </w:tcMar>
            <w:vAlign w:val="bottom"/>
            <w:hideMark/>
          </w:tcPr>
          <w:p w14:paraId="4DF0CE86"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39BEAA0" w14:textId="77777777" w:rsidR="00716E85" w:rsidRDefault="00716E85">
      <w:pPr>
        <w:pStyle w:val="a3"/>
        <w:spacing w:before="0" w:beforeAutospacing="0" w:after="0" w:afterAutospacing="0"/>
        <w:rPr>
          <w:sz w:val="12"/>
          <w:szCs w:val="12"/>
        </w:rPr>
      </w:pPr>
      <w:r>
        <w:rPr>
          <w:sz w:val="12"/>
          <w:szCs w:val="12"/>
        </w:rPr>
        <w:t> </w:t>
      </w:r>
    </w:p>
    <w:p w14:paraId="0F84A770" w14:textId="77777777" w:rsidR="00716E85" w:rsidRDefault="00716E85">
      <w:pPr>
        <w:pStyle w:val="a3"/>
        <w:spacing w:before="0" w:beforeAutospacing="0" w:after="0" w:afterAutospacing="0"/>
        <w:ind w:left="357"/>
        <w:jc w:val="both"/>
        <w:rPr>
          <w:rFonts w:ascii="Calibri" w:hAnsi="Calibri" w:cs="Calibri"/>
          <w:sz w:val="15"/>
          <w:szCs w:val="15"/>
        </w:rPr>
      </w:pPr>
      <w:r>
        <w:rPr>
          <w:rFonts w:ascii="Calibri" w:hAnsi="Calibri" w:cs="Calibri"/>
          <w:sz w:val="15"/>
          <w:szCs w:val="15"/>
        </w:rPr>
        <w:t>Stock-based compensation included in acquisition related and other expenses resulted from unvested stock options and restricted stock-based awards assumed from acquisitions whose vesting was accelerated generally upon termination of the employees pursuant to the terms of those stock options and restricted stock-based awards.</w:t>
      </w:r>
    </w:p>
    <w:tbl>
      <w:tblPr>
        <w:tblW w:w="5000" w:type="pct"/>
        <w:tblCellMar>
          <w:left w:w="0" w:type="dxa"/>
          <w:right w:w="0" w:type="dxa"/>
        </w:tblCellMar>
        <w:tblLook w:val="04A0" w:firstRow="1" w:lastRow="0" w:firstColumn="1" w:lastColumn="0" w:noHBand="0" w:noVBand="1"/>
      </w:tblPr>
      <w:tblGrid>
        <w:gridCol w:w="319"/>
        <w:gridCol w:w="7987"/>
      </w:tblGrid>
      <w:tr w:rsidR="00716E85" w14:paraId="5964D381" w14:textId="77777777">
        <w:tc>
          <w:tcPr>
            <w:tcW w:w="192" w:type="pct"/>
            <w:noWrap/>
            <w:hideMark/>
          </w:tcPr>
          <w:p w14:paraId="6F1826B6"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3"/>
                <w:szCs w:val="13"/>
                <w:vertAlign w:val="superscript"/>
              </w:rPr>
              <w:t>(7)</w:t>
            </w:r>
          </w:p>
        </w:tc>
        <w:tc>
          <w:tcPr>
            <w:tcW w:w="0" w:type="auto"/>
            <w:hideMark/>
          </w:tcPr>
          <w:p w14:paraId="0C9208B6"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5"/>
                <w:szCs w:val="15"/>
              </w:rPr>
              <w:t>For the third quarter and first nine months of fiscal 2019, the applicable jurisdictional tax rates applied to our income before provision for income taxes after adjusting for the effects of items within the table above, excluding income tax reform (see footnote (8) below), resulted in an effective tax rate of 20.4% and 19.4%, respectively, instead of 11.1% and 12.6%, respectively, which represented our effective tax rates as derived per our condensed consolidated statements of operations, primarily due to the exclusion of stock-based compensation expense and acquisition related items, including the tax effects of amortization of intangible assets. Income tax effects for the third quarter and first nine months of fiscal 2018 were calculated based on the applicable jurisdictional tax rates applied to the items within the table above and resulted in an effective tax rate of 16.1% and 21.9%, respectively, instead of 226.8% and 96.4%, respectively, which represented our effective tax rates as derived per our condensed consolidated statements of operations, primarily due to the net tax effects for stock-based compensation expense and acquisition related items, including the tax effects of amortization of intangible assets.</w:t>
            </w:r>
          </w:p>
        </w:tc>
      </w:tr>
    </w:tbl>
    <w:p w14:paraId="0C12EE35"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13567A6C" w14:textId="77777777">
        <w:tc>
          <w:tcPr>
            <w:tcW w:w="192" w:type="pct"/>
            <w:noWrap/>
            <w:hideMark/>
          </w:tcPr>
          <w:p w14:paraId="4D4921C6"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3"/>
                <w:szCs w:val="13"/>
                <w:vertAlign w:val="superscript"/>
              </w:rPr>
              <w:t>(8)</w:t>
            </w:r>
          </w:p>
        </w:tc>
        <w:tc>
          <w:tcPr>
            <w:tcW w:w="0" w:type="auto"/>
            <w:hideMark/>
          </w:tcPr>
          <w:p w14:paraId="09A17D74" w14:textId="77777777" w:rsidR="00716E85" w:rsidRDefault="00716E85">
            <w:pPr>
              <w:pStyle w:val="a3"/>
              <w:spacing w:before="60" w:beforeAutospacing="0" w:after="0" w:afterAutospacing="0"/>
              <w:jc w:val="both"/>
              <w:rPr>
                <w:rFonts w:ascii="Calibri" w:hAnsi="Calibri" w:cs="Calibri"/>
                <w:sz w:val="15"/>
                <w:szCs w:val="15"/>
              </w:rPr>
            </w:pPr>
            <w:r>
              <w:rPr>
                <w:rFonts w:ascii="Calibri" w:hAnsi="Calibri" w:cs="Calibri"/>
                <w:sz w:val="15"/>
                <w:szCs w:val="15"/>
              </w:rPr>
              <w:t>The income tax reform adjustments presented in the table above were due to the enactment of the Tax Act (refer to Note 1 of condensed consolidated financial statements included elsewhere in this Quarterly Report), which was effective for us in our third quarter of fiscal 2018 and also due to subsequent income tax expense adjustments made pursuant to SAB 118 during fiscal 2019.</w:t>
            </w:r>
          </w:p>
        </w:tc>
      </w:tr>
    </w:tbl>
    <w:p w14:paraId="77A34C4F"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Cloud and License Business</w:t>
      </w:r>
    </w:p>
    <w:p w14:paraId="4EB3730D" w14:textId="77777777" w:rsidR="00716E85" w:rsidRDefault="00716E85">
      <w:pPr>
        <w:pStyle w:val="a3"/>
        <w:spacing w:before="120" w:beforeAutospacing="0" w:after="0" w:afterAutospacing="0"/>
        <w:jc w:val="both"/>
        <w:rPr>
          <w:rFonts w:ascii="Calibri" w:hAnsi="Calibri" w:cs="Calibri"/>
          <w:sz w:val="20"/>
          <w:szCs w:val="20"/>
        </w:rPr>
      </w:pPr>
      <w:bookmarkStart w:id="50" w:name="_AEIOULastRenderedPageBreakAEIOU41"/>
      <w:bookmarkEnd w:id="50"/>
      <w:r>
        <w:rPr>
          <w:rFonts w:ascii="Calibri" w:hAnsi="Calibri" w:cs="Calibri"/>
          <w:sz w:val="20"/>
          <w:szCs w:val="20"/>
        </w:rPr>
        <w:t xml:space="preserve">Our cloud and license business engages in the sale, marketing and delivery of our applications and infrastructure technologies through various deployment models including license support offerings; Oracle Cloud Services offerings; and cloud license and on-premise license offerings. License support revenues are typically generated through the sale of license support contracts related to cloud licenses and on-premise licenses purchased by our customers at their option and are generally recognized as revenues ratably over the contractual term, which is generally one year. Our cloud services deliver certain of our applications and infrastructure technologies on a </w:t>
      </w:r>
    </w:p>
    <w:p w14:paraId="55519968"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40</w:t>
      </w:r>
    </w:p>
    <w:p w14:paraId="367702E6" w14:textId="77777777" w:rsidR="00716E85" w:rsidRDefault="00716E85">
      <w:pPr>
        <w:rPr>
          <w:rFonts w:ascii="Times New Roman" w:eastAsia="Times New Roman" w:hAnsi="Times New Roman" w:cs="Times New Roman"/>
          <w:sz w:val="24"/>
          <w:szCs w:val="24"/>
        </w:rPr>
      </w:pPr>
      <w:r>
        <w:rPr>
          <w:rFonts w:eastAsia="Times New Roman"/>
        </w:rPr>
        <w:pict w14:anchorId="5DEC643C">
          <v:rect id="_x0000_i1066" style="width:415.3pt;height:1.5pt" o:hralign="center" o:hrstd="t" o:hr="t" fillcolor="#a0a0a0" stroked="f"/>
        </w:pict>
      </w:r>
    </w:p>
    <w:p w14:paraId="0EB6FC69"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1CFE0D3B" w14:textId="77777777" w:rsidR="00716E85" w:rsidRDefault="00716E85">
      <w:pPr>
        <w:pStyle w:val="a3"/>
        <w:spacing w:before="0" w:beforeAutospacing="0" w:after="0" w:afterAutospacing="0"/>
        <w:rPr>
          <w:sz w:val="20"/>
          <w:szCs w:val="20"/>
        </w:rPr>
      </w:pPr>
      <w:r>
        <w:rPr>
          <w:sz w:val="20"/>
          <w:szCs w:val="20"/>
        </w:rPr>
        <w:t> </w:t>
      </w:r>
    </w:p>
    <w:p w14:paraId="594E560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subscription basis via cloud-based deployment models that we develop, provide unspecified updates and enhancements for, host, manage and support, and revenues are generally recognized over the contractual term, which is generally one to three years, or in the case of usage model contracts, as the cloud services are consumed. Cloud license and on-premise license revenues represent fees earned from granting customers licenses, generally on a perpetual basis, to use our database and middleware and our applications software products within cloud and on-premise IT environments and are generally recognized upfront at the point in time when the software is made available to the customer to download and use. We continue to place significant emphasis, both domestically and internationally, on direct sales through our own sales force. We also continue to market certain of our offerings through indirect channels. Costs associated with our cloud and license business are included in cloud services and license support expenses, and sales and marketing expenses. These costs are largely personnel and infrastructure related including the cost of providing our cloud services and license support offerings, salaries and commissions earned by our sales force for the sale of our cloud and license offerings, and marketing program costs.</w:t>
      </w:r>
    </w:p>
    <w:p w14:paraId="2D47B405"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72"/>
        <w:gridCol w:w="61"/>
        <w:gridCol w:w="117"/>
        <w:gridCol w:w="471"/>
        <w:gridCol w:w="61"/>
        <w:gridCol w:w="61"/>
        <w:gridCol w:w="552"/>
        <w:gridCol w:w="63"/>
        <w:gridCol w:w="574"/>
        <w:gridCol w:w="61"/>
        <w:gridCol w:w="117"/>
        <w:gridCol w:w="471"/>
        <w:gridCol w:w="61"/>
        <w:gridCol w:w="52"/>
        <w:gridCol w:w="117"/>
        <w:gridCol w:w="572"/>
        <w:gridCol w:w="61"/>
        <w:gridCol w:w="61"/>
        <w:gridCol w:w="553"/>
        <w:gridCol w:w="63"/>
        <w:gridCol w:w="574"/>
        <w:gridCol w:w="61"/>
        <w:gridCol w:w="117"/>
        <w:gridCol w:w="572"/>
        <w:gridCol w:w="61"/>
      </w:tblGrid>
      <w:tr w:rsidR="00716E85" w14:paraId="6232207E" w14:textId="77777777">
        <w:tc>
          <w:tcPr>
            <w:tcW w:w="1688" w:type="pct"/>
            <w:shd w:val="clear" w:color="auto" w:fill="FFFFFF"/>
            <w:tcMar>
              <w:top w:w="15" w:type="dxa"/>
              <w:left w:w="0" w:type="dxa"/>
              <w:bottom w:w="0" w:type="dxa"/>
              <w:right w:w="15" w:type="dxa"/>
            </w:tcMar>
            <w:vAlign w:val="center"/>
            <w:hideMark/>
          </w:tcPr>
          <w:p w14:paraId="32D1FD5B"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3CF1683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1438163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46B92F1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94F9F6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0EA21DE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7C624D0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E6A52E0" w14:textId="77777777">
        <w:tc>
          <w:tcPr>
            <w:tcW w:w="1688" w:type="pct"/>
            <w:shd w:val="clear" w:color="auto" w:fill="FFFFFF"/>
            <w:tcMar>
              <w:top w:w="15" w:type="dxa"/>
              <w:left w:w="0" w:type="dxa"/>
              <w:bottom w:w="0" w:type="dxa"/>
              <w:right w:w="15" w:type="dxa"/>
            </w:tcMar>
            <w:vAlign w:val="center"/>
            <w:hideMark/>
          </w:tcPr>
          <w:p w14:paraId="381573E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A0BBDC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1F7D68B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29272F5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5F50D8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3B8BBF0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2CBC9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7E4CFF5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6AEDB0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3B9F127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0936B2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2831C9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4AECFA7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00517BC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51054A6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5303CFC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46A0F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3499185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48875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297C1EF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19BCE35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4BBAC9C3"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4FFA462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4F61F38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BC74B3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79D756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center"/>
            <w:hideMark/>
          </w:tcPr>
          <w:p w14:paraId="5EAD534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60650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1F103A5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9A3CE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center"/>
            <w:hideMark/>
          </w:tcPr>
          <w:p w14:paraId="541F069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454DA4A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EB3736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55F78E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4AAF30F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DF6E3F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393C82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72691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B35966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D7D67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004B866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C6FB19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3FC28E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63E25C6" w14:textId="77777777">
        <w:tc>
          <w:tcPr>
            <w:tcW w:w="1688" w:type="pct"/>
            <w:tcBorders>
              <w:top w:val="single" w:sz="6" w:space="0" w:color="000000"/>
            </w:tcBorders>
            <w:shd w:val="clear" w:color="auto" w:fill="CFF0FC"/>
            <w:tcMar>
              <w:top w:w="15" w:type="dxa"/>
              <w:left w:w="0" w:type="dxa"/>
              <w:bottom w:w="0" w:type="dxa"/>
              <w:right w:w="15" w:type="dxa"/>
            </w:tcMar>
            <w:hideMark/>
          </w:tcPr>
          <w:p w14:paraId="57DB2A7C"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Cloud and License Revenues:</w:t>
            </w:r>
          </w:p>
        </w:tc>
        <w:tc>
          <w:tcPr>
            <w:tcW w:w="57" w:type="pct"/>
            <w:shd w:val="clear" w:color="auto" w:fill="CFF0FC"/>
            <w:tcMar>
              <w:top w:w="15" w:type="dxa"/>
              <w:left w:w="0" w:type="dxa"/>
              <w:bottom w:w="0" w:type="dxa"/>
              <w:right w:w="15" w:type="dxa"/>
            </w:tcMar>
            <w:vAlign w:val="bottom"/>
            <w:hideMark/>
          </w:tcPr>
          <w:p w14:paraId="0DF9BF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316D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03144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2CCF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B1C42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6341F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8965C6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3B62C8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7A3B0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A82F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83297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FACD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B9BBAF5"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6038A6"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66A04A9" w14:textId="77777777" w:rsidR="00716E85" w:rsidRDefault="00716E85">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C417E64"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left w:w="0" w:type="dxa"/>
              <w:bottom w:w="0" w:type="dxa"/>
              <w:right w:w="15" w:type="dxa"/>
            </w:tcMar>
            <w:vAlign w:val="bottom"/>
            <w:hideMark/>
          </w:tcPr>
          <w:p w14:paraId="079AA89C"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34319D3" w14:textId="77777777" w:rsidR="00716E85" w:rsidRDefault="00716E85">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left w:w="0" w:type="dxa"/>
              <w:bottom w:w="0" w:type="dxa"/>
              <w:right w:w="15" w:type="dxa"/>
            </w:tcMar>
            <w:vAlign w:val="bottom"/>
            <w:hideMark/>
          </w:tcPr>
          <w:p w14:paraId="5042937C"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520E21A" w14:textId="77777777" w:rsidR="00716E85" w:rsidRDefault="00716E85">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7" w:type="pct"/>
            <w:shd w:val="clear" w:color="auto" w:fill="CFF0FC"/>
            <w:tcMar>
              <w:top w:w="15" w:type="dxa"/>
              <w:left w:w="0" w:type="dxa"/>
              <w:bottom w:w="0" w:type="dxa"/>
              <w:right w:w="15" w:type="dxa"/>
            </w:tcMar>
            <w:vAlign w:val="bottom"/>
            <w:hideMark/>
          </w:tcPr>
          <w:p w14:paraId="798EC20E"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B77F48"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3E9AD216" w14:textId="77777777" w:rsidR="00716E85" w:rsidRDefault="00716E85">
            <w:pPr>
              <w:pStyle w:val="a3"/>
              <w:spacing w:before="0" w:beforeAutospacing="0" w:after="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47A633E"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716E85" w14:paraId="551AF246" w14:textId="77777777">
        <w:tc>
          <w:tcPr>
            <w:tcW w:w="1688" w:type="pct"/>
            <w:shd w:val="clear" w:color="auto" w:fill="FFFFFF"/>
            <w:tcMar>
              <w:top w:w="15" w:type="dxa"/>
              <w:left w:w="0" w:type="dxa"/>
              <w:bottom w:w="0" w:type="dxa"/>
              <w:right w:w="15" w:type="dxa"/>
            </w:tcMar>
            <w:hideMark/>
          </w:tcPr>
          <w:p w14:paraId="493C1E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r>
              <w:rPr>
                <w:rFonts w:ascii="Calibri" w:hAnsi="Calibri" w:cs="Calibri"/>
                <w:color w:val="000000"/>
                <w:sz w:val="17"/>
                <w:szCs w:val="17"/>
                <w:vertAlign w:val="superscript"/>
              </w:rPr>
              <w:t>(1)</w:t>
            </w:r>
          </w:p>
        </w:tc>
        <w:tc>
          <w:tcPr>
            <w:tcW w:w="57" w:type="pct"/>
            <w:shd w:val="clear" w:color="auto" w:fill="FFFFFF"/>
            <w:tcMar>
              <w:top w:w="15" w:type="dxa"/>
              <w:left w:w="0" w:type="dxa"/>
              <w:bottom w:w="0" w:type="dxa"/>
              <w:right w:w="15" w:type="dxa"/>
            </w:tcMar>
            <w:vAlign w:val="bottom"/>
            <w:hideMark/>
          </w:tcPr>
          <w:p w14:paraId="226A30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DDD87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7FC66AC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4,444</w:t>
            </w:r>
          </w:p>
        </w:tc>
        <w:tc>
          <w:tcPr>
            <w:tcW w:w="50" w:type="pct"/>
            <w:shd w:val="clear" w:color="auto" w:fill="FFFFFF"/>
            <w:noWrap/>
            <w:tcMar>
              <w:top w:w="15" w:type="dxa"/>
              <w:left w:w="0" w:type="dxa"/>
              <w:bottom w:w="0" w:type="dxa"/>
              <w:right w:w="15" w:type="dxa"/>
            </w:tcMar>
            <w:vAlign w:val="bottom"/>
            <w:hideMark/>
          </w:tcPr>
          <w:p w14:paraId="79FC3A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C5571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4E9061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0A9AAB9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AB6A6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7C1A03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07EF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047DC34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4,401</w:t>
            </w:r>
          </w:p>
        </w:tc>
        <w:tc>
          <w:tcPr>
            <w:tcW w:w="50" w:type="pct"/>
            <w:shd w:val="clear" w:color="auto" w:fill="FFFFFF"/>
            <w:noWrap/>
            <w:tcMar>
              <w:top w:w="15" w:type="dxa"/>
              <w:left w:w="0" w:type="dxa"/>
              <w:bottom w:w="0" w:type="dxa"/>
              <w:right w:w="15" w:type="dxa"/>
            </w:tcMar>
            <w:vAlign w:val="bottom"/>
            <w:hideMark/>
          </w:tcPr>
          <w:p w14:paraId="67B920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411972E"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1E1A4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7878D49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13,133</w:t>
            </w:r>
          </w:p>
        </w:tc>
        <w:tc>
          <w:tcPr>
            <w:tcW w:w="50" w:type="pct"/>
            <w:shd w:val="clear" w:color="auto" w:fill="FFFFFF"/>
            <w:noWrap/>
            <w:tcMar>
              <w:top w:w="15" w:type="dxa"/>
              <w:left w:w="0" w:type="dxa"/>
              <w:bottom w:w="0" w:type="dxa"/>
              <w:right w:w="15" w:type="dxa"/>
            </w:tcMar>
            <w:vAlign w:val="bottom"/>
            <w:hideMark/>
          </w:tcPr>
          <w:p w14:paraId="4E81D75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62FF1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851098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37E853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6DF959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2A7B08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0D110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0953767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12,996</w:t>
            </w:r>
          </w:p>
        </w:tc>
        <w:tc>
          <w:tcPr>
            <w:tcW w:w="50" w:type="pct"/>
            <w:shd w:val="clear" w:color="auto" w:fill="FFFFFF"/>
            <w:noWrap/>
            <w:tcMar>
              <w:top w:w="15" w:type="dxa"/>
              <w:left w:w="0" w:type="dxa"/>
              <w:bottom w:w="0" w:type="dxa"/>
              <w:right w:w="15" w:type="dxa"/>
            </w:tcMar>
            <w:vAlign w:val="bottom"/>
            <w:hideMark/>
          </w:tcPr>
          <w:p w14:paraId="61F37D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019969B" w14:textId="77777777">
        <w:tc>
          <w:tcPr>
            <w:tcW w:w="1688" w:type="pct"/>
            <w:shd w:val="clear" w:color="auto" w:fill="CFF0FC"/>
            <w:tcMar>
              <w:top w:w="15" w:type="dxa"/>
              <w:left w:w="0" w:type="dxa"/>
              <w:bottom w:w="0" w:type="dxa"/>
              <w:right w:w="15" w:type="dxa"/>
            </w:tcMar>
            <w:hideMark/>
          </w:tcPr>
          <w:p w14:paraId="05CD589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31CBBD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3261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57C1D9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2,257</w:t>
            </w:r>
          </w:p>
        </w:tc>
        <w:tc>
          <w:tcPr>
            <w:tcW w:w="50" w:type="pct"/>
            <w:shd w:val="clear" w:color="auto" w:fill="CFF0FC"/>
            <w:noWrap/>
            <w:tcMar>
              <w:top w:w="15" w:type="dxa"/>
              <w:left w:w="0" w:type="dxa"/>
              <w:bottom w:w="0" w:type="dxa"/>
              <w:right w:w="15" w:type="dxa"/>
            </w:tcMar>
            <w:vAlign w:val="bottom"/>
            <w:hideMark/>
          </w:tcPr>
          <w:p w14:paraId="42AEFED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E7435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B3B51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0DC236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EAC0B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593AD6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3570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3A2407A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2,307</w:t>
            </w:r>
          </w:p>
        </w:tc>
        <w:tc>
          <w:tcPr>
            <w:tcW w:w="50" w:type="pct"/>
            <w:shd w:val="clear" w:color="auto" w:fill="CFF0FC"/>
            <w:noWrap/>
            <w:tcMar>
              <w:top w:w="15" w:type="dxa"/>
              <w:left w:w="0" w:type="dxa"/>
              <w:bottom w:w="0" w:type="dxa"/>
              <w:right w:w="15" w:type="dxa"/>
            </w:tcMar>
            <w:vAlign w:val="bottom"/>
            <w:hideMark/>
          </w:tcPr>
          <w:p w14:paraId="1346A58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84807CE"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E6017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76B621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6,582</w:t>
            </w:r>
          </w:p>
        </w:tc>
        <w:tc>
          <w:tcPr>
            <w:tcW w:w="50" w:type="pct"/>
            <w:shd w:val="clear" w:color="auto" w:fill="CFF0FC"/>
            <w:noWrap/>
            <w:tcMar>
              <w:top w:w="15" w:type="dxa"/>
              <w:left w:w="0" w:type="dxa"/>
              <w:bottom w:w="0" w:type="dxa"/>
              <w:right w:w="15" w:type="dxa"/>
            </w:tcMar>
            <w:vAlign w:val="bottom"/>
            <w:hideMark/>
          </w:tcPr>
          <w:p w14:paraId="1D9E89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60B3D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8541F7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2E48EF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F1AD8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03F83B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00E3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E343E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6,576</w:t>
            </w:r>
          </w:p>
        </w:tc>
        <w:tc>
          <w:tcPr>
            <w:tcW w:w="50" w:type="pct"/>
            <w:shd w:val="clear" w:color="auto" w:fill="CFF0FC"/>
            <w:noWrap/>
            <w:tcMar>
              <w:top w:w="15" w:type="dxa"/>
              <w:left w:w="0" w:type="dxa"/>
              <w:bottom w:w="0" w:type="dxa"/>
              <w:right w:w="15" w:type="dxa"/>
            </w:tcMar>
            <w:vAlign w:val="bottom"/>
            <w:hideMark/>
          </w:tcPr>
          <w:p w14:paraId="655670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71BB8E8" w14:textId="77777777">
        <w:tc>
          <w:tcPr>
            <w:tcW w:w="1688" w:type="pct"/>
            <w:shd w:val="clear" w:color="auto" w:fill="FFFFFF"/>
            <w:tcMar>
              <w:top w:w="15" w:type="dxa"/>
              <w:left w:w="0" w:type="dxa"/>
              <w:bottom w:w="0" w:type="dxa"/>
              <w:right w:w="15" w:type="dxa"/>
            </w:tcMar>
            <w:hideMark/>
          </w:tcPr>
          <w:p w14:paraId="30B39D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r>
              <w:rPr>
                <w:rFonts w:ascii="Calibri" w:hAnsi="Calibri" w:cs="Calibri"/>
                <w:color w:val="000000"/>
                <w:sz w:val="17"/>
                <w:szCs w:val="17"/>
                <w:vertAlign w:val="superscript"/>
              </w:rPr>
              <w:t>(1)</w:t>
            </w:r>
          </w:p>
        </w:tc>
        <w:tc>
          <w:tcPr>
            <w:tcW w:w="57" w:type="pct"/>
            <w:shd w:val="clear" w:color="auto" w:fill="FFFFFF"/>
            <w:tcMar>
              <w:top w:w="15" w:type="dxa"/>
              <w:left w:w="0" w:type="dxa"/>
              <w:bottom w:w="0" w:type="dxa"/>
              <w:right w:w="15" w:type="dxa"/>
            </w:tcMar>
            <w:vAlign w:val="bottom"/>
            <w:hideMark/>
          </w:tcPr>
          <w:p w14:paraId="75B259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27A3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9CAB58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1,216</w:t>
            </w:r>
          </w:p>
        </w:tc>
        <w:tc>
          <w:tcPr>
            <w:tcW w:w="50" w:type="pct"/>
            <w:shd w:val="clear" w:color="auto" w:fill="FFFFFF"/>
            <w:noWrap/>
            <w:tcMar>
              <w:top w:w="15" w:type="dxa"/>
              <w:left w:w="0" w:type="dxa"/>
              <w:bottom w:w="0" w:type="dxa"/>
              <w:right w:w="15" w:type="dxa"/>
            </w:tcMar>
            <w:vAlign w:val="bottom"/>
            <w:hideMark/>
          </w:tcPr>
          <w:p w14:paraId="00A260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06CFA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FD8A5F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5564F80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D8C474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FFFFFF"/>
            <w:tcMar>
              <w:top w:w="15" w:type="dxa"/>
              <w:left w:w="0" w:type="dxa"/>
              <w:bottom w:w="0" w:type="dxa"/>
              <w:right w:w="15" w:type="dxa"/>
            </w:tcMar>
            <w:vAlign w:val="bottom"/>
            <w:hideMark/>
          </w:tcPr>
          <w:p w14:paraId="2997A9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4C19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47898C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1,183</w:t>
            </w:r>
          </w:p>
        </w:tc>
        <w:tc>
          <w:tcPr>
            <w:tcW w:w="50" w:type="pct"/>
            <w:shd w:val="clear" w:color="auto" w:fill="FFFFFF"/>
            <w:noWrap/>
            <w:tcMar>
              <w:top w:w="15" w:type="dxa"/>
              <w:left w:w="0" w:type="dxa"/>
              <w:bottom w:w="0" w:type="dxa"/>
              <w:right w:w="15" w:type="dxa"/>
            </w:tcMar>
            <w:vAlign w:val="bottom"/>
            <w:hideMark/>
          </w:tcPr>
          <w:p w14:paraId="718AFC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C0EB9B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BF6D6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783679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3,544</w:t>
            </w:r>
          </w:p>
        </w:tc>
        <w:tc>
          <w:tcPr>
            <w:tcW w:w="50" w:type="pct"/>
            <w:shd w:val="clear" w:color="auto" w:fill="FFFFFF"/>
            <w:noWrap/>
            <w:tcMar>
              <w:top w:w="15" w:type="dxa"/>
              <w:left w:w="0" w:type="dxa"/>
              <w:bottom w:w="0" w:type="dxa"/>
              <w:right w:w="15" w:type="dxa"/>
            </w:tcMar>
            <w:vAlign w:val="bottom"/>
            <w:hideMark/>
          </w:tcPr>
          <w:p w14:paraId="772923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0349F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DCC19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1A0109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4D11A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vAlign w:val="bottom"/>
            <w:hideMark/>
          </w:tcPr>
          <w:p w14:paraId="54DFCE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F407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34DF23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3,446</w:t>
            </w:r>
          </w:p>
        </w:tc>
        <w:tc>
          <w:tcPr>
            <w:tcW w:w="50" w:type="pct"/>
            <w:shd w:val="clear" w:color="auto" w:fill="FFFFFF"/>
            <w:noWrap/>
            <w:tcMar>
              <w:top w:w="15" w:type="dxa"/>
              <w:left w:w="0" w:type="dxa"/>
              <w:bottom w:w="0" w:type="dxa"/>
              <w:right w:w="15" w:type="dxa"/>
            </w:tcMar>
            <w:vAlign w:val="bottom"/>
            <w:hideMark/>
          </w:tcPr>
          <w:p w14:paraId="6F637F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356279A" w14:textId="77777777">
        <w:tc>
          <w:tcPr>
            <w:tcW w:w="1688" w:type="pct"/>
            <w:shd w:val="clear" w:color="auto" w:fill="CFF0FC"/>
            <w:tcMar>
              <w:top w:w="15" w:type="dxa"/>
              <w:left w:w="0" w:type="dxa"/>
              <w:bottom w:w="0" w:type="dxa"/>
              <w:right w:w="15" w:type="dxa"/>
            </w:tcMar>
            <w:hideMark/>
          </w:tcPr>
          <w:p w14:paraId="5D918D7F"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33EE2C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313C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2DB817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7,917</w:t>
            </w:r>
          </w:p>
        </w:tc>
        <w:tc>
          <w:tcPr>
            <w:tcW w:w="50" w:type="pct"/>
            <w:shd w:val="clear" w:color="auto" w:fill="CFF0FC"/>
            <w:noWrap/>
            <w:tcMar>
              <w:top w:w="15" w:type="dxa"/>
              <w:left w:w="0" w:type="dxa"/>
              <w:bottom w:w="0" w:type="dxa"/>
              <w:right w:w="15" w:type="dxa"/>
            </w:tcMar>
            <w:vAlign w:val="bottom"/>
            <w:hideMark/>
          </w:tcPr>
          <w:p w14:paraId="5A02B22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4789E8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265F17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6BED2EF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52F46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01BD9E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6B84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51C0C7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7,891</w:t>
            </w:r>
          </w:p>
        </w:tc>
        <w:tc>
          <w:tcPr>
            <w:tcW w:w="50" w:type="pct"/>
            <w:shd w:val="clear" w:color="auto" w:fill="CFF0FC"/>
            <w:noWrap/>
            <w:tcMar>
              <w:top w:w="15" w:type="dxa"/>
              <w:left w:w="0" w:type="dxa"/>
              <w:bottom w:w="0" w:type="dxa"/>
              <w:right w:w="15" w:type="dxa"/>
            </w:tcMar>
            <w:vAlign w:val="bottom"/>
            <w:hideMark/>
          </w:tcPr>
          <w:p w14:paraId="6BBA74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B0A7AA3"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0FB2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514C535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23,259</w:t>
            </w:r>
          </w:p>
        </w:tc>
        <w:tc>
          <w:tcPr>
            <w:tcW w:w="50" w:type="pct"/>
            <w:shd w:val="clear" w:color="auto" w:fill="CFF0FC"/>
            <w:noWrap/>
            <w:tcMar>
              <w:top w:w="15" w:type="dxa"/>
              <w:left w:w="0" w:type="dxa"/>
              <w:bottom w:w="0" w:type="dxa"/>
              <w:right w:w="15" w:type="dxa"/>
            </w:tcMar>
            <w:vAlign w:val="bottom"/>
            <w:hideMark/>
          </w:tcPr>
          <w:p w14:paraId="782639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D6A58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3D29C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61C48E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C8C1C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362AE5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AD75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677524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23,018</w:t>
            </w:r>
          </w:p>
        </w:tc>
        <w:tc>
          <w:tcPr>
            <w:tcW w:w="50" w:type="pct"/>
            <w:shd w:val="clear" w:color="auto" w:fill="CFF0FC"/>
            <w:noWrap/>
            <w:tcMar>
              <w:top w:w="15" w:type="dxa"/>
              <w:left w:w="0" w:type="dxa"/>
              <w:bottom w:w="0" w:type="dxa"/>
              <w:right w:w="15" w:type="dxa"/>
            </w:tcMar>
            <w:vAlign w:val="bottom"/>
            <w:hideMark/>
          </w:tcPr>
          <w:p w14:paraId="13F7C5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05410C2" w14:textId="77777777">
        <w:tc>
          <w:tcPr>
            <w:tcW w:w="1688" w:type="pct"/>
            <w:shd w:val="clear" w:color="auto" w:fill="FFFFFF"/>
            <w:tcMar>
              <w:top w:w="15" w:type="dxa"/>
              <w:left w:w="0" w:type="dxa"/>
              <w:bottom w:w="0" w:type="dxa"/>
              <w:right w:w="15" w:type="dxa"/>
            </w:tcMar>
            <w:hideMark/>
          </w:tcPr>
          <w:p w14:paraId="3B39F724"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Expenses:</w:t>
            </w:r>
          </w:p>
        </w:tc>
        <w:tc>
          <w:tcPr>
            <w:tcW w:w="57" w:type="pct"/>
            <w:shd w:val="clear" w:color="auto" w:fill="FFFFFF"/>
            <w:tcMar>
              <w:top w:w="15" w:type="dxa"/>
              <w:left w:w="0" w:type="dxa"/>
              <w:bottom w:w="0" w:type="dxa"/>
              <w:right w:w="15" w:type="dxa"/>
            </w:tcMar>
            <w:vAlign w:val="bottom"/>
            <w:hideMark/>
          </w:tcPr>
          <w:p w14:paraId="39CB02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35AE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727F14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41AD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29B2A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5B07E4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EE8C6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30888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956D4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13AA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247D442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AB72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05427B5"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8446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5884730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3DAF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57377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9B48C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E7A43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36B0D1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CE1C3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2391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1B95DA7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EB34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0A39CFB" w14:textId="77777777">
        <w:tc>
          <w:tcPr>
            <w:tcW w:w="1688" w:type="pct"/>
            <w:shd w:val="clear" w:color="auto" w:fill="CFF0FC"/>
            <w:tcMar>
              <w:top w:w="15" w:type="dxa"/>
              <w:left w:w="0" w:type="dxa"/>
              <w:bottom w:w="0" w:type="dxa"/>
              <w:right w:w="15" w:type="dxa"/>
            </w:tcMar>
            <w:hideMark/>
          </w:tcPr>
          <w:p w14:paraId="341395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w:t>
            </w:r>
            <w:r>
              <w:rPr>
                <w:rFonts w:ascii="Calibri" w:hAnsi="Calibri" w:cs="Calibri"/>
                <w:color w:val="000000"/>
                <w:sz w:val="17"/>
                <w:szCs w:val="17"/>
                <w:vertAlign w:val="superscript"/>
              </w:rPr>
              <w:t>(2)</w:t>
            </w:r>
          </w:p>
        </w:tc>
        <w:tc>
          <w:tcPr>
            <w:tcW w:w="57" w:type="pct"/>
            <w:shd w:val="clear" w:color="auto" w:fill="CFF0FC"/>
            <w:tcMar>
              <w:top w:w="15" w:type="dxa"/>
              <w:left w:w="0" w:type="dxa"/>
              <w:bottom w:w="0" w:type="dxa"/>
              <w:right w:w="15" w:type="dxa"/>
            </w:tcMar>
            <w:vAlign w:val="bottom"/>
            <w:hideMark/>
          </w:tcPr>
          <w:p w14:paraId="6E69A3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B011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EAD605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890</w:t>
            </w:r>
          </w:p>
        </w:tc>
        <w:tc>
          <w:tcPr>
            <w:tcW w:w="50" w:type="pct"/>
            <w:shd w:val="clear" w:color="auto" w:fill="CFF0FC"/>
            <w:noWrap/>
            <w:tcMar>
              <w:top w:w="15" w:type="dxa"/>
              <w:left w:w="0" w:type="dxa"/>
              <w:bottom w:w="0" w:type="dxa"/>
              <w:right w:w="15" w:type="dxa"/>
            </w:tcMar>
            <w:vAlign w:val="bottom"/>
            <w:hideMark/>
          </w:tcPr>
          <w:p w14:paraId="4C557A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64ADB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0E3B3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3A7447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9E92AB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CFF0FC"/>
            <w:tcMar>
              <w:top w:w="15" w:type="dxa"/>
              <w:left w:w="0" w:type="dxa"/>
              <w:bottom w:w="0" w:type="dxa"/>
              <w:right w:w="15" w:type="dxa"/>
            </w:tcMar>
            <w:vAlign w:val="bottom"/>
            <w:hideMark/>
          </w:tcPr>
          <w:p w14:paraId="21195D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1334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CCA6ED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854</w:t>
            </w:r>
          </w:p>
        </w:tc>
        <w:tc>
          <w:tcPr>
            <w:tcW w:w="50" w:type="pct"/>
            <w:shd w:val="clear" w:color="auto" w:fill="CFF0FC"/>
            <w:noWrap/>
            <w:tcMar>
              <w:top w:w="15" w:type="dxa"/>
              <w:left w:w="0" w:type="dxa"/>
              <w:bottom w:w="0" w:type="dxa"/>
              <w:right w:w="15" w:type="dxa"/>
            </w:tcMar>
            <w:vAlign w:val="bottom"/>
            <w:hideMark/>
          </w:tcPr>
          <w:p w14:paraId="6D0B64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9290038"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4FA5C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3B9AE7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2,668</w:t>
            </w:r>
          </w:p>
        </w:tc>
        <w:tc>
          <w:tcPr>
            <w:tcW w:w="50" w:type="pct"/>
            <w:shd w:val="clear" w:color="auto" w:fill="CFF0FC"/>
            <w:noWrap/>
            <w:tcMar>
              <w:top w:w="15" w:type="dxa"/>
              <w:left w:w="0" w:type="dxa"/>
              <w:bottom w:w="0" w:type="dxa"/>
              <w:right w:w="15" w:type="dxa"/>
            </w:tcMar>
            <w:vAlign w:val="bottom"/>
            <w:hideMark/>
          </w:tcPr>
          <w:p w14:paraId="35682E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8D0BC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ADCBD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vAlign w:val="bottom"/>
            <w:hideMark/>
          </w:tcPr>
          <w:p w14:paraId="014C0A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D3FD98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vAlign w:val="bottom"/>
            <w:hideMark/>
          </w:tcPr>
          <w:p w14:paraId="758864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81E6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E77266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2,526</w:t>
            </w:r>
          </w:p>
        </w:tc>
        <w:tc>
          <w:tcPr>
            <w:tcW w:w="50" w:type="pct"/>
            <w:shd w:val="clear" w:color="auto" w:fill="CFF0FC"/>
            <w:noWrap/>
            <w:tcMar>
              <w:top w:w="15" w:type="dxa"/>
              <w:left w:w="0" w:type="dxa"/>
              <w:bottom w:w="0" w:type="dxa"/>
              <w:right w:w="15" w:type="dxa"/>
            </w:tcMar>
            <w:vAlign w:val="bottom"/>
            <w:hideMark/>
          </w:tcPr>
          <w:p w14:paraId="6C096C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03B538F" w14:textId="77777777">
        <w:tc>
          <w:tcPr>
            <w:tcW w:w="1688" w:type="pct"/>
            <w:shd w:val="clear" w:color="auto" w:fill="FFFFFF"/>
            <w:tcMar>
              <w:top w:w="15" w:type="dxa"/>
              <w:left w:w="0" w:type="dxa"/>
              <w:bottom w:w="0" w:type="dxa"/>
              <w:right w:w="15" w:type="dxa"/>
            </w:tcMar>
            <w:hideMark/>
          </w:tcPr>
          <w:p w14:paraId="5FCA12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vertAlign w:val="superscript"/>
              </w:rPr>
              <w:t>(2)</w:t>
            </w:r>
          </w:p>
        </w:tc>
        <w:tc>
          <w:tcPr>
            <w:tcW w:w="57" w:type="pct"/>
            <w:shd w:val="clear" w:color="auto" w:fill="FFFFFF"/>
            <w:tcMar>
              <w:top w:w="15" w:type="dxa"/>
              <w:left w:w="0" w:type="dxa"/>
              <w:bottom w:w="0" w:type="dxa"/>
              <w:right w:w="15" w:type="dxa"/>
            </w:tcMar>
            <w:vAlign w:val="bottom"/>
            <w:hideMark/>
          </w:tcPr>
          <w:p w14:paraId="66360B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25C7A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0D9AE1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1,780</w:t>
            </w:r>
          </w:p>
        </w:tc>
        <w:tc>
          <w:tcPr>
            <w:tcW w:w="50" w:type="pct"/>
            <w:shd w:val="clear" w:color="auto" w:fill="FFFFFF"/>
            <w:noWrap/>
            <w:tcMar>
              <w:top w:w="15" w:type="dxa"/>
              <w:left w:w="0" w:type="dxa"/>
              <w:bottom w:w="0" w:type="dxa"/>
              <w:right w:w="15" w:type="dxa"/>
            </w:tcMar>
            <w:vAlign w:val="bottom"/>
            <w:hideMark/>
          </w:tcPr>
          <w:p w14:paraId="69F93B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9694A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75111B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7C21B5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444AF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vAlign w:val="bottom"/>
            <w:hideMark/>
          </w:tcPr>
          <w:p w14:paraId="4A1EFD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1E9699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2858D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1,743</w:t>
            </w:r>
          </w:p>
        </w:tc>
        <w:tc>
          <w:tcPr>
            <w:tcW w:w="50" w:type="pct"/>
            <w:shd w:val="clear" w:color="auto" w:fill="FFFFFF"/>
            <w:noWrap/>
            <w:tcMar>
              <w:top w:w="15" w:type="dxa"/>
              <w:left w:w="0" w:type="dxa"/>
              <w:bottom w:w="0" w:type="dxa"/>
              <w:right w:w="15" w:type="dxa"/>
            </w:tcMar>
            <w:vAlign w:val="bottom"/>
            <w:hideMark/>
          </w:tcPr>
          <w:p w14:paraId="2898A6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33C0E6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2006E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558B38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5,357</w:t>
            </w:r>
          </w:p>
        </w:tc>
        <w:tc>
          <w:tcPr>
            <w:tcW w:w="50" w:type="pct"/>
            <w:shd w:val="clear" w:color="auto" w:fill="FFFFFF"/>
            <w:noWrap/>
            <w:tcMar>
              <w:top w:w="15" w:type="dxa"/>
              <w:left w:w="0" w:type="dxa"/>
              <w:bottom w:w="0" w:type="dxa"/>
              <w:right w:w="15" w:type="dxa"/>
            </w:tcMar>
            <w:vAlign w:val="bottom"/>
            <w:hideMark/>
          </w:tcPr>
          <w:p w14:paraId="5914AAA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8E3A3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00385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421A7F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D9B0A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vAlign w:val="bottom"/>
            <w:hideMark/>
          </w:tcPr>
          <w:p w14:paraId="0FF938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6FE45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3AF48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5,200</w:t>
            </w:r>
          </w:p>
        </w:tc>
        <w:tc>
          <w:tcPr>
            <w:tcW w:w="50" w:type="pct"/>
            <w:shd w:val="clear" w:color="auto" w:fill="FFFFFF"/>
            <w:noWrap/>
            <w:tcMar>
              <w:top w:w="15" w:type="dxa"/>
              <w:left w:w="0" w:type="dxa"/>
              <w:bottom w:w="0" w:type="dxa"/>
              <w:right w:w="15" w:type="dxa"/>
            </w:tcMar>
            <w:vAlign w:val="bottom"/>
            <w:hideMark/>
          </w:tcPr>
          <w:p w14:paraId="368E68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7BF8981" w14:textId="77777777">
        <w:tc>
          <w:tcPr>
            <w:tcW w:w="1688" w:type="pct"/>
            <w:shd w:val="clear" w:color="auto" w:fill="CFF0FC"/>
            <w:tcMar>
              <w:top w:w="15" w:type="dxa"/>
              <w:left w:w="0" w:type="dxa"/>
              <w:bottom w:w="0" w:type="dxa"/>
              <w:right w:w="15" w:type="dxa"/>
            </w:tcMar>
            <w:hideMark/>
          </w:tcPr>
          <w:p w14:paraId="4F014055"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vertAlign w:val="superscript"/>
              </w:rPr>
              <w:t>(2)</w:t>
            </w:r>
          </w:p>
        </w:tc>
        <w:tc>
          <w:tcPr>
            <w:tcW w:w="57" w:type="pct"/>
            <w:shd w:val="clear" w:color="auto" w:fill="CFF0FC"/>
            <w:tcMar>
              <w:top w:w="15" w:type="dxa"/>
              <w:left w:w="0" w:type="dxa"/>
              <w:bottom w:w="0" w:type="dxa"/>
              <w:right w:w="15" w:type="dxa"/>
            </w:tcMar>
            <w:vAlign w:val="bottom"/>
            <w:hideMark/>
          </w:tcPr>
          <w:p w14:paraId="7E0DDD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ED37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6DF7E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2,670</w:t>
            </w:r>
          </w:p>
        </w:tc>
        <w:tc>
          <w:tcPr>
            <w:tcW w:w="50" w:type="pct"/>
            <w:shd w:val="clear" w:color="auto" w:fill="CFF0FC"/>
            <w:noWrap/>
            <w:tcMar>
              <w:top w:w="15" w:type="dxa"/>
              <w:left w:w="0" w:type="dxa"/>
              <w:bottom w:w="0" w:type="dxa"/>
              <w:right w:w="15" w:type="dxa"/>
            </w:tcMar>
            <w:vAlign w:val="bottom"/>
            <w:hideMark/>
          </w:tcPr>
          <w:p w14:paraId="54CC4E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CF71D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F3E544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4534F5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BB0713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vAlign w:val="bottom"/>
            <w:hideMark/>
          </w:tcPr>
          <w:p w14:paraId="5AF4E9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A92A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D976F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2,597</w:t>
            </w:r>
          </w:p>
        </w:tc>
        <w:tc>
          <w:tcPr>
            <w:tcW w:w="50" w:type="pct"/>
            <w:shd w:val="clear" w:color="auto" w:fill="CFF0FC"/>
            <w:noWrap/>
            <w:tcMar>
              <w:top w:w="15" w:type="dxa"/>
              <w:left w:w="0" w:type="dxa"/>
              <w:bottom w:w="0" w:type="dxa"/>
              <w:right w:w="15" w:type="dxa"/>
            </w:tcMar>
            <w:vAlign w:val="bottom"/>
            <w:hideMark/>
          </w:tcPr>
          <w:p w14:paraId="55B5C7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9B598A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6AD56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EE32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8,025</w:t>
            </w:r>
          </w:p>
        </w:tc>
        <w:tc>
          <w:tcPr>
            <w:tcW w:w="50" w:type="pct"/>
            <w:shd w:val="clear" w:color="auto" w:fill="CFF0FC"/>
            <w:noWrap/>
            <w:tcMar>
              <w:top w:w="15" w:type="dxa"/>
              <w:left w:w="0" w:type="dxa"/>
              <w:bottom w:w="0" w:type="dxa"/>
              <w:right w:w="15" w:type="dxa"/>
            </w:tcMar>
            <w:vAlign w:val="bottom"/>
            <w:hideMark/>
          </w:tcPr>
          <w:p w14:paraId="472559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EE20A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0B594B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11170A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BE83DF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vAlign w:val="bottom"/>
            <w:hideMark/>
          </w:tcPr>
          <w:p w14:paraId="579E89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153E6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075C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7,726</w:t>
            </w:r>
          </w:p>
        </w:tc>
        <w:tc>
          <w:tcPr>
            <w:tcW w:w="50" w:type="pct"/>
            <w:shd w:val="clear" w:color="auto" w:fill="CFF0FC"/>
            <w:noWrap/>
            <w:tcMar>
              <w:top w:w="15" w:type="dxa"/>
              <w:left w:w="0" w:type="dxa"/>
              <w:bottom w:w="0" w:type="dxa"/>
              <w:right w:w="15" w:type="dxa"/>
            </w:tcMar>
            <w:vAlign w:val="bottom"/>
            <w:hideMark/>
          </w:tcPr>
          <w:p w14:paraId="4F67AF5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79F4373" w14:textId="77777777">
        <w:tc>
          <w:tcPr>
            <w:tcW w:w="1688" w:type="pct"/>
            <w:shd w:val="clear" w:color="auto" w:fill="FFFFFF"/>
            <w:tcMar>
              <w:top w:w="15" w:type="dxa"/>
              <w:left w:w="0" w:type="dxa"/>
              <w:bottom w:w="0" w:type="dxa"/>
              <w:right w:w="15" w:type="dxa"/>
            </w:tcMar>
            <w:hideMark/>
          </w:tcPr>
          <w:p w14:paraId="6A0B0A54"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7" w:type="pct"/>
            <w:shd w:val="clear" w:color="auto" w:fill="FFFFFF"/>
            <w:tcMar>
              <w:top w:w="15" w:type="dxa"/>
              <w:left w:w="0" w:type="dxa"/>
              <w:bottom w:w="0" w:type="dxa"/>
              <w:right w:w="15" w:type="dxa"/>
            </w:tcMar>
            <w:vAlign w:val="bottom"/>
            <w:hideMark/>
          </w:tcPr>
          <w:p w14:paraId="44982B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B6B4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2B3B5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5,247</w:t>
            </w:r>
          </w:p>
        </w:tc>
        <w:tc>
          <w:tcPr>
            <w:tcW w:w="50" w:type="pct"/>
            <w:shd w:val="clear" w:color="auto" w:fill="FFFFFF"/>
            <w:noWrap/>
            <w:tcMar>
              <w:top w:w="15" w:type="dxa"/>
              <w:left w:w="0" w:type="dxa"/>
              <w:bottom w:w="0" w:type="dxa"/>
              <w:right w:w="15" w:type="dxa"/>
            </w:tcMar>
            <w:vAlign w:val="bottom"/>
            <w:hideMark/>
          </w:tcPr>
          <w:p w14:paraId="1D90C2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572B0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BE5C37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2888B5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FB8FF9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17316B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E81B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74962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5,294</w:t>
            </w:r>
          </w:p>
        </w:tc>
        <w:tc>
          <w:tcPr>
            <w:tcW w:w="50" w:type="pct"/>
            <w:shd w:val="clear" w:color="auto" w:fill="FFFFFF"/>
            <w:noWrap/>
            <w:tcMar>
              <w:top w:w="15" w:type="dxa"/>
              <w:left w:w="0" w:type="dxa"/>
              <w:bottom w:w="0" w:type="dxa"/>
              <w:right w:w="15" w:type="dxa"/>
            </w:tcMar>
            <w:vAlign w:val="bottom"/>
            <w:hideMark/>
          </w:tcPr>
          <w:p w14:paraId="0FB24CE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63C62B4"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A35C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29DE8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15,234</w:t>
            </w:r>
          </w:p>
        </w:tc>
        <w:tc>
          <w:tcPr>
            <w:tcW w:w="50" w:type="pct"/>
            <w:shd w:val="clear" w:color="auto" w:fill="FFFFFF"/>
            <w:noWrap/>
            <w:tcMar>
              <w:top w:w="15" w:type="dxa"/>
              <w:left w:w="0" w:type="dxa"/>
              <w:bottom w:w="0" w:type="dxa"/>
              <w:right w:w="15" w:type="dxa"/>
            </w:tcMar>
            <w:vAlign w:val="bottom"/>
            <w:hideMark/>
          </w:tcPr>
          <w:p w14:paraId="5C4BDF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5C089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65A23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6B17E9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F5A81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1E14BD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ACA2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F163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15,292</w:t>
            </w:r>
          </w:p>
        </w:tc>
        <w:tc>
          <w:tcPr>
            <w:tcW w:w="50" w:type="pct"/>
            <w:shd w:val="clear" w:color="auto" w:fill="FFFFFF"/>
            <w:noWrap/>
            <w:tcMar>
              <w:top w:w="15" w:type="dxa"/>
              <w:left w:w="0" w:type="dxa"/>
              <w:bottom w:w="0" w:type="dxa"/>
              <w:right w:w="15" w:type="dxa"/>
            </w:tcMar>
            <w:vAlign w:val="bottom"/>
            <w:hideMark/>
          </w:tcPr>
          <w:p w14:paraId="388DEBE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8A7DC47" w14:textId="77777777">
        <w:tc>
          <w:tcPr>
            <w:tcW w:w="1688" w:type="pct"/>
            <w:shd w:val="clear" w:color="auto" w:fill="CFF0FC"/>
            <w:tcMar>
              <w:top w:w="15" w:type="dxa"/>
              <w:left w:w="0" w:type="dxa"/>
              <w:bottom w:w="0" w:type="dxa"/>
              <w:right w:w="15" w:type="dxa"/>
            </w:tcMar>
            <w:hideMark/>
          </w:tcPr>
          <w:p w14:paraId="73EB6066"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7" w:type="pct"/>
            <w:shd w:val="clear" w:color="auto" w:fill="CFF0FC"/>
            <w:tcMar>
              <w:top w:w="15" w:type="dxa"/>
              <w:left w:w="0" w:type="dxa"/>
              <w:bottom w:w="0" w:type="dxa"/>
              <w:right w:w="15" w:type="dxa"/>
            </w:tcMar>
            <w:vAlign w:val="bottom"/>
            <w:hideMark/>
          </w:tcPr>
          <w:p w14:paraId="27DE30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11EA0E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left w:w="0" w:type="dxa"/>
              <w:bottom w:w="0" w:type="dxa"/>
              <w:right w:w="15" w:type="dxa"/>
            </w:tcMar>
            <w:vAlign w:val="bottom"/>
            <w:hideMark/>
          </w:tcPr>
          <w:p w14:paraId="5B47998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4D8D6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DA741B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49181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D3000E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59EB2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443D132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w:t>
            </w:r>
          </w:p>
        </w:tc>
        <w:tc>
          <w:tcPr>
            <w:tcW w:w="50" w:type="pct"/>
            <w:shd w:val="clear" w:color="auto" w:fill="CFF0FC"/>
            <w:noWrap/>
            <w:tcMar>
              <w:top w:w="15" w:type="dxa"/>
              <w:left w:w="0" w:type="dxa"/>
              <w:bottom w:w="0" w:type="dxa"/>
              <w:right w:w="15" w:type="dxa"/>
            </w:tcMar>
            <w:vAlign w:val="bottom"/>
            <w:hideMark/>
          </w:tcPr>
          <w:p w14:paraId="76145B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60C7D5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2830651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w:t>
            </w:r>
          </w:p>
        </w:tc>
        <w:tc>
          <w:tcPr>
            <w:tcW w:w="50" w:type="pct"/>
            <w:shd w:val="clear" w:color="auto" w:fill="CFF0FC"/>
            <w:noWrap/>
            <w:tcMar>
              <w:top w:w="15" w:type="dxa"/>
              <w:left w:w="0" w:type="dxa"/>
              <w:bottom w:w="0" w:type="dxa"/>
              <w:right w:w="15" w:type="dxa"/>
            </w:tcMar>
            <w:vAlign w:val="bottom"/>
            <w:hideMark/>
          </w:tcPr>
          <w:p w14:paraId="63A212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BAA6E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44B57A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96FB2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D1863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BAC42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6A7CBE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left w:w="0" w:type="dxa"/>
              <w:bottom w:w="0" w:type="dxa"/>
              <w:right w:w="15" w:type="dxa"/>
            </w:tcMar>
            <w:vAlign w:val="bottom"/>
            <w:hideMark/>
          </w:tcPr>
          <w:p w14:paraId="4E9A18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91BE51D" w14:textId="77777777">
        <w:tc>
          <w:tcPr>
            <w:tcW w:w="1688" w:type="pct"/>
            <w:shd w:val="clear" w:color="auto" w:fill="FFFFFF"/>
            <w:tcMar>
              <w:top w:w="15" w:type="dxa"/>
              <w:left w:w="0" w:type="dxa"/>
              <w:bottom w:w="0" w:type="dxa"/>
              <w:right w:w="15" w:type="dxa"/>
            </w:tcMar>
            <w:hideMark/>
          </w:tcPr>
          <w:p w14:paraId="2ABA38A1"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57" w:type="pct"/>
            <w:shd w:val="clear" w:color="auto" w:fill="FFFFFF"/>
            <w:tcMar>
              <w:top w:w="15" w:type="dxa"/>
              <w:left w:w="0" w:type="dxa"/>
              <w:bottom w:w="0" w:type="dxa"/>
              <w:right w:w="15" w:type="dxa"/>
            </w:tcMar>
            <w:vAlign w:val="bottom"/>
            <w:hideMark/>
          </w:tcPr>
          <w:p w14:paraId="451B52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29929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09E8F7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5E86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A5FCB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802140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2C811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066D38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3CDB9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6002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1C43C05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36E1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A72532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EEC1F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636F74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D0C4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51B71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8D9357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FE5A6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823B9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DA177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6B48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4CCFDE3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8C44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DA9D966" w14:textId="77777777">
        <w:tc>
          <w:tcPr>
            <w:tcW w:w="1688" w:type="pct"/>
            <w:shd w:val="clear" w:color="auto" w:fill="CFF0FC"/>
            <w:tcMar>
              <w:top w:w="15" w:type="dxa"/>
              <w:left w:w="0" w:type="dxa"/>
              <w:bottom w:w="0" w:type="dxa"/>
              <w:right w:w="15" w:type="dxa"/>
            </w:tcMar>
            <w:hideMark/>
          </w:tcPr>
          <w:p w14:paraId="6E3178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CFF0FC"/>
            <w:tcMar>
              <w:top w:w="15" w:type="dxa"/>
              <w:left w:w="0" w:type="dxa"/>
              <w:bottom w:w="0" w:type="dxa"/>
              <w:right w:w="15" w:type="dxa"/>
            </w:tcMar>
            <w:vAlign w:val="bottom"/>
            <w:hideMark/>
          </w:tcPr>
          <w:p w14:paraId="7AE5E73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60E3AE9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left w:w="0" w:type="dxa"/>
              <w:bottom w:w="0" w:type="dxa"/>
              <w:right w:w="15" w:type="dxa"/>
            </w:tcMar>
            <w:vAlign w:val="bottom"/>
            <w:hideMark/>
          </w:tcPr>
          <w:p w14:paraId="19AE15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677C0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B219FA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3F7CF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4E3DD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4C684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EC4B93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left w:w="0" w:type="dxa"/>
              <w:bottom w:w="0" w:type="dxa"/>
              <w:right w:w="15" w:type="dxa"/>
            </w:tcMar>
            <w:vAlign w:val="bottom"/>
            <w:hideMark/>
          </w:tcPr>
          <w:p w14:paraId="7C0272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4F584A8"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6" w:type="pct"/>
            <w:gridSpan w:val="2"/>
            <w:shd w:val="clear" w:color="auto" w:fill="CFF0FC"/>
            <w:tcMar>
              <w:top w:w="15" w:type="dxa"/>
              <w:left w:w="0" w:type="dxa"/>
              <w:bottom w:w="0" w:type="dxa"/>
              <w:right w:w="15" w:type="dxa"/>
            </w:tcMar>
            <w:vAlign w:val="bottom"/>
            <w:hideMark/>
          </w:tcPr>
          <w:p w14:paraId="59EECA9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left w:w="0" w:type="dxa"/>
              <w:bottom w:w="0" w:type="dxa"/>
              <w:right w:w="15" w:type="dxa"/>
            </w:tcMar>
            <w:vAlign w:val="bottom"/>
            <w:hideMark/>
          </w:tcPr>
          <w:p w14:paraId="38DFE1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FECC7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9A9976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A210E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127A9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9A654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4D0690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w:t>
            </w:r>
          </w:p>
        </w:tc>
        <w:tc>
          <w:tcPr>
            <w:tcW w:w="50" w:type="pct"/>
            <w:shd w:val="clear" w:color="auto" w:fill="CFF0FC"/>
            <w:noWrap/>
            <w:tcMar>
              <w:top w:w="15" w:type="dxa"/>
              <w:left w:w="0" w:type="dxa"/>
              <w:bottom w:w="0" w:type="dxa"/>
              <w:right w:w="15" w:type="dxa"/>
            </w:tcMar>
            <w:vAlign w:val="bottom"/>
            <w:hideMark/>
          </w:tcPr>
          <w:p w14:paraId="0FD79C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A2301E1" w14:textId="77777777">
        <w:tc>
          <w:tcPr>
            <w:tcW w:w="1688" w:type="pct"/>
            <w:shd w:val="clear" w:color="auto" w:fill="FFFFFF"/>
            <w:tcMar>
              <w:top w:w="15" w:type="dxa"/>
              <w:left w:w="0" w:type="dxa"/>
              <w:bottom w:w="0" w:type="dxa"/>
              <w:right w:w="15" w:type="dxa"/>
            </w:tcMar>
            <w:hideMark/>
          </w:tcPr>
          <w:p w14:paraId="5805F55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57" w:type="pct"/>
            <w:shd w:val="clear" w:color="auto" w:fill="FFFFFF"/>
            <w:tcMar>
              <w:top w:w="15" w:type="dxa"/>
              <w:left w:w="0" w:type="dxa"/>
              <w:bottom w:w="0" w:type="dxa"/>
              <w:right w:w="15" w:type="dxa"/>
            </w:tcMar>
            <w:vAlign w:val="bottom"/>
            <w:hideMark/>
          </w:tcPr>
          <w:p w14:paraId="77A222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2209306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559254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9B718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046271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E5618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7F90E2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8A1A1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7BB2EF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1A9A31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868EF76"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6" w:type="pct"/>
            <w:gridSpan w:val="2"/>
            <w:shd w:val="clear" w:color="auto" w:fill="FFFFFF"/>
            <w:tcMar>
              <w:top w:w="15" w:type="dxa"/>
              <w:left w:w="0" w:type="dxa"/>
              <w:bottom w:w="0" w:type="dxa"/>
              <w:right w:w="15" w:type="dxa"/>
            </w:tcMar>
            <w:vAlign w:val="bottom"/>
            <w:hideMark/>
          </w:tcPr>
          <w:p w14:paraId="5CB7490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FFFFFF"/>
            <w:noWrap/>
            <w:tcMar>
              <w:top w:w="15" w:type="dxa"/>
              <w:left w:w="0" w:type="dxa"/>
              <w:bottom w:w="0" w:type="dxa"/>
              <w:right w:w="15" w:type="dxa"/>
            </w:tcMar>
            <w:vAlign w:val="bottom"/>
            <w:hideMark/>
          </w:tcPr>
          <w:p w14:paraId="7E7A40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30E30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25C6BA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E9A85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903B3D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E1826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5F8B3C4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7B940F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0918422" w14:textId="77777777">
        <w:tc>
          <w:tcPr>
            <w:tcW w:w="1688" w:type="pct"/>
            <w:shd w:val="clear" w:color="auto" w:fill="CFF0FC"/>
            <w:tcMar>
              <w:top w:w="15" w:type="dxa"/>
              <w:left w:w="0" w:type="dxa"/>
              <w:bottom w:w="0" w:type="dxa"/>
              <w:right w:w="15" w:type="dxa"/>
            </w:tcMar>
            <w:hideMark/>
          </w:tcPr>
          <w:p w14:paraId="2C0BFC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57" w:type="pct"/>
            <w:shd w:val="clear" w:color="auto" w:fill="CFF0FC"/>
            <w:tcMar>
              <w:top w:w="15" w:type="dxa"/>
              <w:left w:w="0" w:type="dxa"/>
              <w:bottom w:w="0" w:type="dxa"/>
              <w:right w:w="15" w:type="dxa"/>
            </w:tcMar>
            <w:vAlign w:val="bottom"/>
            <w:hideMark/>
          </w:tcPr>
          <w:p w14:paraId="62D1DE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2847774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58B752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BF360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2BC668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0B6F3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5A4C1D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CADF0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7DE5E5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68D5033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EE870BA"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6" w:type="pct"/>
            <w:gridSpan w:val="2"/>
            <w:shd w:val="clear" w:color="auto" w:fill="CFF0FC"/>
            <w:tcMar>
              <w:top w:w="15" w:type="dxa"/>
              <w:left w:w="0" w:type="dxa"/>
              <w:bottom w:w="0" w:type="dxa"/>
              <w:right w:w="15" w:type="dxa"/>
            </w:tcMar>
            <w:vAlign w:val="bottom"/>
            <w:hideMark/>
          </w:tcPr>
          <w:p w14:paraId="463968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2359F5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D1E63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1D3AF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0ED77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118F2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52B20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293116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2F0F7F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719E4DB" w14:textId="77777777">
        <w:tc>
          <w:tcPr>
            <w:tcW w:w="1688" w:type="pct"/>
            <w:shd w:val="clear" w:color="auto" w:fill="FFFFFF"/>
            <w:tcMar>
              <w:top w:w="15" w:type="dxa"/>
              <w:left w:w="0" w:type="dxa"/>
              <w:bottom w:w="0" w:type="dxa"/>
              <w:right w:w="15" w:type="dxa"/>
            </w:tcMar>
            <w:hideMark/>
          </w:tcPr>
          <w:p w14:paraId="6986C392"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Revenues by Offerings:</w:t>
            </w:r>
          </w:p>
        </w:tc>
        <w:tc>
          <w:tcPr>
            <w:tcW w:w="57" w:type="pct"/>
            <w:shd w:val="clear" w:color="auto" w:fill="FFFFFF"/>
            <w:tcMar>
              <w:top w:w="15" w:type="dxa"/>
              <w:left w:w="0" w:type="dxa"/>
              <w:bottom w:w="0" w:type="dxa"/>
              <w:right w:w="15" w:type="dxa"/>
            </w:tcMar>
            <w:vAlign w:val="bottom"/>
            <w:hideMark/>
          </w:tcPr>
          <w:p w14:paraId="7209B3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2D68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5E0811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8490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6AB1C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D70AD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6B028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F11AD9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43CCB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4E30D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21B472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A26CD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C364614"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2B3C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6AAFFB5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4AEC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14DF9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76A650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7B234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A91271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D9659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EAE4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6D52FD4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CAD3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B189950" w14:textId="77777777">
        <w:tc>
          <w:tcPr>
            <w:tcW w:w="1688" w:type="pct"/>
            <w:shd w:val="clear" w:color="auto" w:fill="CFF0FC"/>
            <w:tcMar>
              <w:top w:w="15" w:type="dxa"/>
              <w:left w:w="0" w:type="dxa"/>
              <w:bottom w:w="0" w:type="dxa"/>
              <w:right w:w="15" w:type="dxa"/>
            </w:tcMar>
            <w:hideMark/>
          </w:tcPr>
          <w:p w14:paraId="776D66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3B1148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049F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4972D62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6,666</w:t>
            </w:r>
          </w:p>
        </w:tc>
        <w:tc>
          <w:tcPr>
            <w:tcW w:w="50" w:type="pct"/>
            <w:shd w:val="clear" w:color="auto" w:fill="CFF0FC"/>
            <w:noWrap/>
            <w:tcMar>
              <w:top w:w="15" w:type="dxa"/>
              <w:left w:w="0" w:type="dxa"/>
              <w:bottom w:w="0" w:type="dxa"/>
              <w:right w:w="15" w:type="dxa"/>
            </w:tcMar>
            <w:vAlign w:val="bottom"/>
            <w:hideMark/>
          </w:tcPr>
          <w:p w14:paraId="558EAB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D4AA8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424BE1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609C7B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E472BD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3B6996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D092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488F9CD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6,592</w:t>
            </w:r>
          </w:p>
        </w:tc>
        <w:tc>
          <w:tcPr>
            <w:tcW w:w="50" w:type="pct"/>
            <w:shd w:val="clear" w:color="auto" w:fill="CFF0FC"/>
            <w:noWrap/>
            <w:tcMar>
              <w:top w:w="15" w:type="dxa"/>
              <w:left w:w="0" w:type="dxa"/>
              <w:bottom w:w="0" w:type="dxa"/>
              <w:right w:w="15" w:type="dxa"/>
            </w:tcMar>
            <w:vAlign w:val="bottom"/>
            <w:hideMark/>
          </w:tcPr>
          <w:p w14:paraId="488009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30B3539"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005CC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49837A5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19,925</w:t>
            </w:r>
          </w:p>
        </w:tc>
        <w:tc>
          <w:tcPr>
            <w:tcW w:w="50" w:type="pct"/>
            <w:shd w:val="clear" w:color="auto" w:fill="CFF0FC"/>
            <w:noWrap/>
            <w:tcMar>
              <w:top w:w="15" w:type="dxa"/>
              <w:left w:w="0" w:type="dxa"/>
              <w:bottom w:w="0" w:type="dxa"/>
              <w:right w:w="15" w:type="dxa"/>
            </w:tcMar>
            <w:vAlign w:val="bottom"/>
            <w:hideMark/>
          </w:tcPr>
          <w:p w14:paraId="53F9DA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34C2A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C0D921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7FA9C6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F2A862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0D68F6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BA35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18905AD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19,493</w:t>
            </w:r>
          </w:p>
        </w:tc>
        <w:tc>
          <w:tcPr>
            <w:tcW w:w="50" w:type="pct"/>
            <w:shd w:val="clear" w:color="auto" w:fill="CFF0FC"/>
            <w:noWrap/>
            <w:tcMar>
              <w:top w:w="15" w:type="dxa"/>
              <w:left w:w="0" w:type="dxa"/>
              <w:bottom w:w="0" w:type="dxa"/>
              <w:right w:w="15" w:type="dxa"/>
            </w:tcMar>
            <w:vAlign w:val="bottom"/>
            <w:hideMark/>
          </w:tcPr>
          <w:p w14:paraId="74F94D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3065B7C" w14:textId="77777777">
        <w:tc>
          <w:tcPr>
            <w:tcW w:w="1688" w:type="pct"/>
            <w:shd w:val="clear" w:color="auto" w:fill="FFFFFF"/>
            <w:tcMar>
              <w:top w:w="15" w:type="dxa"/>
              <w:left w:w="0" w:type="dxa"/>
              <w:bottom w:w="0" w:type="dxa"/>
              <w:right w:w="15" w:type="dxa"/>
            </w:tcMar>
            <w:hideMark/>
          </w:tcPr>
          <w:p w14:paraId="19BE47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57" w:type="pct"/>
            <w:shd w:val="clear" w:color="auto" w:fill="FFFFFF"/>
            <w:tcMar>
              <w:top w:w="15" w:type="dxa"/>
              <w:left w:w="0" w:type="dxa"/>
              <w:bottom w:w="0" w:type="dxa"/>
              <w:right w:w="15" w:type="dxa"/>
            </w:tcMar>
            <w:vAlign w:val="bottom"/>
            <w:hideMark/>
          </w:tcPr>
          <w:p w14:paraId="33B80E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7064E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7ECAB5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1,251</w:t>
            </w:r>
          </w:p>
        </w:tc>
        <w:tc>
          <w:tcPr>
            <w:tcW w:w="50" w:type="pct"/>
            <w:shd w:val="clear" w:color="auto" w:fill="FFFFFF"/>
            <w:noWrap/>
            <w:tcMar>
              <w:top w:w="15" w:type="dxa"/>
              <w:left w:w="0" w:type="dxa"/>
              <w:bottom w:w="0" w:type="dxa"/>
              <w:right w:w="15" w:type="dxa"/>
            </w:tcMar>
            <w:vAlign w:val="bottom"/>
            <w:hideMark/>
          </w:tcPr>
          <w:p w14:paraId="1D766DB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35CE7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E38F5C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vAlign w:val="bottom"/>
            <w:hideMark/>
          </w:tcPr>
          <w:p w14:paraId="6A3AFA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39CE4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64EA32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A2C2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A1498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1,299</w:t>
            </w:r>
          </w:p>
        </w:tc>
        <w:tc>
          <w:tcPr>
            <w:tcW w:w="50" w:type="pct"/>
            <w:shd w:val="clear" w:color="auto" w:fill="FFFFFF"/>
            <w:noWrap/>
            <w:tcMar>
              <w:top w:w="15" w:type="dxa"/>
              <w:left w:w="0" w:type="dxa"/>
              <w:bottom w:w="0" w:type="dxa"/>
              <w:right w:w="15" w:type="dxa"/>
            </w:tcMar>
            <w:vAlign w:val="bottom"/>
            <w:hideMark/>
          </w:tcPr>
          <w:p w14:paraId="5326C0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0AF9F89"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C8811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B05E7F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3,334</w:t>
            </w:r>
          </w:p>
        </w:tc>
        <w:tc>
          <w:tcPr>
            <w:tcW w:w="50" w:type="pct"/>
            <w:shd w:val="clear" w:color="auto" w:fill="FFFFFF"/>
            <w:noWrap/>
            <w:tcMar>
              <w:top w:w="15" w:type="dxa"/>
              <w:left w:w="0" w:type="dxa"/>
              <w:bottom w:w="0" w:type="dxa"/>
              <w:right w:w="15" w:type="dxa"/>
            </w:tcMar>
            <w:vAlign w:val="bottom"/>
            <w:hideMark/>
          </w:tcPr>
          <w:p w14:paraId="3CA0EB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4825D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85A3A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FFFFFF"/>
            <w:tcMar>
              <w:top w:w="15" w:type="dxa"/>
              <w:left w:w="0" w:type="dxa"/>
              <w:bottom w:w="0" w:type="dxa"/>
              <w:right w:w="15" w:type="dxa"/>
            </w:tcMar>
            <w:vAlign w:val="bottom"/>
            <w:hideMark/>
          </w:tcPr>
          <w:p w14:paraId="587475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6D6335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627BB2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7007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6ACD293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3,525</w:t>
            </w:r>
          </w:p>
        </w:tc>
        <w:tc>
          <w:tcPr>
            <w:tcW w:w="50" w:type="pct"/>
            <w:shd w:val="clear" w:color="auto" w:fill="FFFFFF"/>
            <w:noWrap/>
            <w:tcMar>
              <w:top w:w="15" w:type="dxa"/>
              <w:left w:w="0" w:type="dxa"/>
              <w:bottom w:w="0" w:type="dxa"/>
              <w:right w:w="15" w:type="dxa"/>
            </w:tcMar>
            <w:vAlign w:val="bottom"/>
            <w:hideMark/>
          </w:tcPr>
          <w:p w14:paraId="5BB3FD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07F958A" w14:textId="77777777">
        <w:tc>
          <w:tcPr>
            <w:tcW w:w="1688" w:type="pct"/>
            <w:shd w:val="clear" w:color="auto" w:fill="CFF0FC"/>
            <w:tcMar>
              <w:top w:w="15" w:type="dxa"/>
              <w:left w:w="0" w:type="dxa"/>
              <w:bottom w:w="0" w:type="dxa"/>
              <w:right w:w="15" w:type="dxa"/>
            </w:tcMar>
            <w:hideMark/>
          </w:tcPr>
          <w:p w14:paraId="45F06D7A"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33A4BB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B865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096C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7,917</w:t>
            </w:r>
          </w:p>
        </w:tc>
        <w:tc>
          <w:tcPr>
            <w:tcW w:w="50" w:type="pct"/>
            <w:shd w:val="clear" w:color="auto" w:fill="CFF0FC"/>
            <w:noWrap/>
            <w:tcMar>
              <w:top w:w="15" w:type="dxa"/>
              <w:left w:w="0" w:type="dxa"/>
              <w:bottom w:w="0" w:type="dxa"/>
              <w:right w:w="15" w:type="dxa"/>
            </w:tcMar>
            <w:vAlign w:val="bottom"/>
            <w:hideMark/>
          </w:tcPr>
          <w:p w14:paraId="46992C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D41F7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6C6619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639AA0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DF9A23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2CD07C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38E2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430C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7,891</w:t>
            </w:r>
          </w:p>
        </w:tc>
        <w:tc>
          <w:tcPr>
            <w:tcW w:w="50" w:type="pct"/>
            <w:shd w:val="clear" w:color="auto" w:fill="CFF0FC"/>
            <w:noWrap/>
            <w:tcMar>
              <w:top w:w="15" w:type="dxa"/>
              <w:left w:w="0" w:type="dxa"/>
              <w:bottom w:w="0" w:type="dxa"/>
              <w:right w:w="15" w:type="dxa"/>
            </w:tcMar>
            <w:vAlign w:val="bottom"/>
            <w:hideMark/>
          </w:tcPr>
          <w:p w14:paraId="614026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50C67D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F7D0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FF4BA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23,259</w:t>
            </w:r>
          </w:p>
        </w:tc>
        <w:tc>
          <w:tcPr>
            <w:tcW w:w="50" w:type="pct"/>
            <w:shd w:val="clear" w:color="auto" w:fill="CFF0FC"/>
            <w:noWrap/>
            <w:tcMar>
              <w:top w:w="15" w:type="dxa"/>
              <w:left w:w="0" w:type="dxa"/>
              <w:bottom w:w="0" w:type="dxa"/>
              <w:right w:w="15" w:type="dxa"/>
            </w:tcMar>
            <w:vAlign w:val="bottom"/>
            <w:hideMark/>
          </w:tcPr>
          <w:p w14:paraId="75052C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29232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DBAF62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2881A1F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02E4C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5B34F7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F6E1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40554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23,018</w:t>
            </w:r>
          </w:p>
        </w:tc>
        <w:tc>
          <w:tcPr>
            <w:tcW w:w="50" w:type="pct"/>
            <w:shd w:val="clear" w:color="auto" w:fill="CFF0FC"/>
            <w:noWrap/>
            <w:tcMar>
              <w:top w:w="15" w:type="dxa"/>
              <w:left w:w="0" w:type="dxa"/>
              <w:bottom w:w="0" w:type="dxa"/>
              <w:right w:w="15" w:type="dxa"/>
            </w:tcMar>
            <w:vAlign w:val="bottom"/>
            <w:hideMark/>
          </w:tcPr>
          <w:p w14:paraId="5214514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A4D9754" w14:textId="77777777">
        <w:tc>
          <w:tcPr>
            <w:tcW w:w="1688" w:type="pct"/>
            <w:shd w:val="clear" w:color="auto" w:fill="FFFFFF"/>
            <w:tcMar>
              <w:top w:w="15" w:type="dxa"/>
              <w:left w:w="0" w:type="dxa"/>
              <w:bottom w:w="0" w:type="dxa"/>
              <w:right w:w="15" w:type="dxa"/>
            </w:tcMar>
            <w:hideMark/>
          </w:tcPr>
          <w:p w14:paraId="6998D387"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Revenues by Ecosystem:</w:t>
            </w:r>
          </w:p>
        </w:tc>
        <w:tc>
          <w:tcPr>
            <w:tcW w:w="57" w:type="pct"/>
            <w:shd w:val="clear" w:color="auto" w:fill="FFFFFF"/>
            <w:tcMar>
              <w:top w:w="15" w:type="dxa"/>
              <w:left w:w="0" w:type="dxa"/>
              <w:bottom w:w="0" w:type="dxa"/>
              <w:right w:w="15" w:type="dxa"/>
            </w:tcMar>
            <w:vAlign w:val="bottom"/>
            <w:hideMark/>
          </w:tcPr>
          <w:p w14:paraId="26F7E0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E75DF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5AFE6D8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BC9A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78A89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8D3734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2FA2D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2A6F4D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A0CFC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F337A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44EF82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5FE8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16B5A21"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E6D52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1314C9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894E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19058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9AF9BE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0FDBB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0FCAC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87448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01DC2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double" w:sz="6" w:space="0" w:color="000000"/>
            </w:tcBorders>
            <w:shd w:val="clear" w:color="auto" w:fill="FFFFFF"/>
            <w:noWrap/>
            <w:tcMar>
              <w:top w:w="15" w:type="dxa"/>
              <w:left w:w="0" w:type="dxa"/>
              <w:bottom w:w="0" w:type="dxa"/>
              <w:right w:w="15" w:type="dxa"/>
            </w:tcMar>
            <w:vAlign w:val="bottom"/>
            <w:hideMark/>
          </w:tcPr>
          <w:p w14:paraId="40AE0B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0712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464FD5B" w14:textId="77777777">
        <w:tc>
          <w:tcPr>
            <w:tcW w:w="1688" w:type="pct"/>
            <w:shd w:val="clear" w:color="auto" w:fill="CFF0FC"/>
            <w:tcMar>
              <w:top w:w="15" w:type="dxa"/>
              <w:left w:w="0" w:type="dxa"/>
              <w:bottom w:w="0" w:type="dxa"/>
              <w:right w:w="15" w:type="dxa"/>
            </w:tcMar>
            <w:hideMark/>
          </w:tcPr>
          <w:p w14:paraId="6DB35A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Applications revenues</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149D99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24A0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013234A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2,845</w:t>
            </w:r>
          </w:p>
        </w:tc>
        <w:tc>
          <w:tcPr>
            <w:tcW w:w="50" w:type="pct"/>
            <w:shd w:val="clear" w:color="auto" w:fill="CFF0FC"/>
            <w:noWrap/>
            <w:tcMar>
              <w:top w:w="15" w:type="dxa"/>
              <w:left w:w="0" w:type="dxa"/>
              <w:bottom w:w="0" w:type="dxa"/>
              <w:right w:w="15" w:type="dxa"/>
            </w:tcMar>
            <w:vAlign w:val="bottom"/>
            <w:hideMark/>
          </w:tcPr>
          <w:p w14:paraId="7E1B86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10C31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BDB011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2BC55BC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D5F65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CFF0FC"/>
            <w:tcMar>
              <w:top w:w="15" w:type="dxa"/>
              <w:left w:w="0" w:type="dxa"/>
              <w:bottom w:w="0" w:type="dxa"/>
              <w:right w:w="15" w:type="dxa"/>
            </w:tcMar>
            <w:vAlign w:val="bottom"/>
            <w:hideMark/>
          </w:tcPr>
          <w:p w14:paraId="5FD4D2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9441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0C9D715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2,721</w:t>
            </w:r>
          </w:p>
        </w:tc>
        <w:tc>
          <w:tcPr>
            <w:tcW w:w="50" w:type="pct"/>
            <w:shd w:val="clear" w:color="auto" w:fill="CFF0FC"/>
            <w:noWrap/>
            <w:tcMar>
              <w:top w:w="15" w:type="dxa"/>
              <w:left w:w="0" w:type="dxa"/>
              <w:bottom w:w="0" w:type="dxa"/>
              <w:right w:w="15" w:type="dxa"/>
            </w:tcMar>
            <w:vAlign w:val="bottom"/>
            <w:hideMark/>
          </w:tcPr>
          <w:p w14:paraId="0F130D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8F5E240"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BF5AA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5AA9FC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8,426</w:t>
            </w:r>
          </w:p>
        </w:tc>
        <w:tc>
          <w:tcPr>
            <w:tcW w:w="50" w:type="pct"/>
            <w:shd w:val="clear" w:color="auto" w:fill="CFF0FC"/>
            <w:noWrap/>
            <w:tcMar>
              <w:top w:w="15" w:type="dxa"/>
              <w:left w:w="0" w:type="dxa"/>
              <w:bottom w:w="0" w:type="dxa"/>
              <w:right w:w="15" w:type="dxa"/>
            </w:tcMar>
            <w:vAlign w:val="bottom"/>
            <w:hideMark/>
          </w:tcPr>
          <w:p w14:paraId="4638E3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F7FB4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130158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1CB6236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278CD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vAlign w:val="bottom"/>
            <w:hideMark/>
          </w:tcPr>
          <w:p w14:paraId="3F748D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54DC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CFF0FC"/>
            <w:noWrap/>
            <w:tcMar>
              <w:top w:w="15" w:type="dxa"/>
              <w:left w:w="0" w:type="dxa"/>
              <w:bottom w:w="0" w:type="dxa"/>
              <w:right w:w="15" w:type="dxa"/>
            </w:tcMar>
            <w:vAlign w:val="bottom"/>
            <w:hideMark/>
          </w:tcPr>
          <w:p w14:paraId="53A003D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8,035</w:t>
            </w:r>
          </w:p>
        </w:tc>
        <w:tc>
          <w:tcPr>
            <w:tcW w:w="50" w:type="pct"/>
            <w:shd w:val="clear" w:color="auto" w:fill="CFF0FC"/>
            <w:noWrap/>
            <w:tcMar>
              <w:top w:w="15" w:type="dxa"/>
              <w:left w:w="0" w:type="dxa"/>
              <w:bottom w:w="0" w:type="dxa"/>
              <w:right w:w="15" w:type="dxa"/>
            </w:tcMar>
            <w:vAlign w:val="bottom"/>
            <w:hideMark/>
          </w:tcPr>
          <w:p w14:paraId="3CBF5D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A02CF09" w14:textId="77777777">
        <w:tc>
          <w:tcPr>
            <w:tcW w:w="1688" w:type="pct"/>
            <w:shd w:val="clear" w:color="auto" w:fill="FFFFFF"/>
            <w:tcMar>
              <w:top w:w="15" w:type="dxa"/>
              <w:left w:w="0" w:type="dxa"/>
              <w:bottom w:w="0" w:type="dxa"/>
              <w:right w:w="15" w:type="dxa"/>
            </w:tcMar>
            <w:hideMark/>
          </w:tcPr>
          <w:p w14:paraId="015846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Infrastructure revenues</w:t>
            </w:r>
            <w:r>
              <w:rPr>
                <w:rFonts w:ascii="Calibri" w:hAnsi="Calibri" w:cs="Calibri"/>
                <w:color w:val="000000"/>
                <w:sz w:val="17"/>
                <w:szCs w:val="17"/>
                <w:vertAlign w:val="superscript"/>
              </w:rPr>
              <w:t>(1)</w:t>
            </w:r>
          </w:p>
        </w:tc>
        <w:tc>
          <w:tcPr>
            <w:tcW w:w="57" w:type="pct"/>
            <w:shd w:val="clear" w:color="auto" w:fill="FFFFFF"/>
            <w:tcMar>
              <w:top w:w="15" w:type="dxa"/>
              <w:left w:w="0" w:type="dxa"/>
              <w:bottom w:w="0" w:type="dxa"/>
              <w:right w:w="15" w:type="dxa"/>
            </w:tcMar>
            <w:vAlign w:val="bottom"/>
            <w:hideMark/>
          </w:tcPr>
          <w:p w14:paraId="328CF0C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FECE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148BF0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5,072</w:t>
            </w:r>
          </w:p>
        </w:tc>
        <w:tc>
          <w:tcPr>
            <w:tcW w:w="50" w:type="pct"/>
            <w:shd w:val="clear" w:color="auto" w:fill="FFFFFF"/>
            <w:noWrap/>
            <w:tcMar>
              <w:top w:w="15" w:type="dxa"/>
              <w:left w:w="0" w:type="dxa"/>
              <w:bottom w:w="0" w:type="dxa"/>
              <w:right w:w="15" w:type="dxa"/>
            </w:tcMar>
            <w:vAlign w:val="bottom"/>
            <w:hideMark/>
          </w:tcPr>
          <w:p w14:paraId="1ED53F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5FFF6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7A7FC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029670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0768DA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3F255F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C4A0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6D4E1E7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5,170</w:t>
            </w:r>
          </w:p>
        </w:tc>
        <w:tc>
          <w:tcPr>
            <w:tcW w:w="50" w:type="pct"/>
            <w:shd w:val="clear" w:color="auto" w:fill="FFFFFF"/>
            <w:noWrap/>
            <w:tcMar>
              <w:top w:w="15" w:type="dxa"/>
              <w:left w:w="0" w:type="dxa"/>
              <w:bottom w:w="0" w:type="dxa"/>
              <w:right w:w="15" w:type="dxa"/>
            </w:tcMar>
            <w:vAlign w:val="bottom"/>
            <w:hideMark/>
          </w:tcPr>
          <w:p w14:paraId="68F2F45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B94DAC4"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9962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F5C05C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14,833</w:t>
            </w:r>
          </w:p>
        </w:tc>
        <w:tc>
          <w:tcPr>
            <w:tcW w:w="50" w:type="pct"/>
            <w:shd w:val="clear" w:color="auto" w:fill="FFFFFF"/>
            <w:noWrap/>
            <w:tcMar>
              <w:top w:w="15" w:type="dxa"/>
              <w:left w:w="0" w:type="dxa"/>
              <w:bottom w:w="0" w:type="dxa"/>
              <w:right w:w="15" w:type="dxa"/>
            </w:tcMar>
            <w:vAlign w:val="bottom"/>
            <w:hideMark/>
          </w:tcPr>
          <w:p w14:paraId="2857524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8FD43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703B1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13BD8E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A029A3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00E452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23657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9DAAD6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14,983</w:t>
            </w:r>
          </w:p>
        </w:tc>
        <w:tc>
          <w:tcPr>
            <w:tcW w:w="50" w:type="pct"/>
            <w:shd w:val="clear" w:color="auto" w:fill="FFFFFF"/>
            <w:noWrap/>
            <w:tcMar>
              <w:top w:w="15" w:type="dxa"/>
              <w:left w:w="0" w:type="dxa"/>
              <w:bottom w:w="0" w:type="dxa"/>
              <w:right w:w="15" w:type="dxa"/>
            </w:tcMar>
            <w:vAlign w:val="bottom"/>
            <w:hideMark/>
          </w:tcPr>
          <w:p w14:paraId="253C01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D7DF08C" w14:textId="77777777">
        <w:tc>
          <w:tcPr>
            <w:tcW w:w="1688" w:type="pct"/>
            <w:shd w:val="clear" w:color="auto" w:fill="CFF0FC"/>
            <w:tcMar>
              <w:top w:w="15" w:type="dxa"/>
              <w:left w:w="0" w:type="dxa"/>
              <w:bottom w:w="0" w:type="dxa"/>
              <w:right w:w="15" w:type="dxa"/>
            </w:tcMar>
            <w:hideMark/>
          </w:tcPr>
          <w:p w14:paraId="28CD538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680A31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29CF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1C67D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7,917</w:t>
            </w:r>
          </w:p>
        </w:tc>
        <w:tc>
          <w:tcPr>
            <w:tcW w:w="50" w:type="pct"/>
            <w:shd w:val="clear" w:color="auto" w:fill="CFF0FC"/>
            <w:noWrap/>
            <w:tcMar>
              <w:top w:w="15" w:type="dxa"/>
              <w:left w:w="0" w:type="dxa"/>
              <w:bottom w:w="0" w:type="dxa"/>
              <w:right w:w="15" w:type="dxa"/>
            </w:tcMar>
            <w:vAlign w:val="bottom"/>
            <w:hideMark/>
          </w:tcPr>
          <w:p w14:paraId="19C94C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A773C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B4A9AA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681CAC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F1CFE2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064FBA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B086C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3022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7,891</w:t>
            </w:r>
          </w:p>
        </w:tc>
        <w:tc>
          <w:tcPr>
            <w:tcW w:w="50" w:type="pct"/>
            <w:shd w:val="clear" w:color="auto" w:fill="CFF0FC"/>
            <w:noWrap/>
            <w:tcMar>
              <w:top w:w="15" w:type="dxa"/>
              <w:left w:w="0" w:type="dxa"/>
              <w:bottom w:w="0" w:type="dxa"/>
              <w:right w:w="15" w:type="dxa"/>
            </w:tcMar>
            <w:vAlign w:val="bottom"/>
            <w:hideMark/>
          </w:tcPr>
          <w:p w14:paraId="17B0A1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E3CB8F2" w14:textId="77777777" w:rsidR="00716E85" w:rsidRDefault="00716E8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901C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B31B4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23,259</w:t>
            </w:r>
          </w:p>
        </w:tc>
        <w:tc>
          <w:tcPr>
            <w:tcW w:w="50" w:type="pct"/>
            <w:shd w:val="clear" w:color="auto" w:fill="CFF0FC"/>
            <w:noWrap/>
            <w:tcMar>
              <w:top w:w="15" w:type="dxa"/>
              <w:left w:w="0" w:type="dxa"/>
              <w:bottom w:w="0" w:type="dxa"/>
              <w:right w:w="15" w:type="dxa"/>
            </w:tcMar>
            <w:vAlign w:val="bottom"/>
            <w:hideMark/>
          </w:tcPr>
          <w:p w14:paraId="732B12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6837E5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D92F67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5A0647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DE3F8F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6DD3AB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5E5A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B3377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23,018</w:t>
            </w:r>
          </w:p>
        </w:tc>
        <w:tc>
          <w:tcPr>
            <w:tcW w:w="50" w:type="pct"/>
            <w:shd w:val="clear" w:color="auto" w:fill="CFF0FC"/>
            <w:noWrap/>
            <w:tcMar>
              <w:top w:w="15" w:type="dxa"/>
              <w:left w:w="0" w:type="dxa"/>
              <w:bottom w:w="0" w:type="dxa"/>
              <w:right w:w="15" w:type="dxa"/>
            </w:tcMar>
            <w:vAlign w:val="bottom"/>
            <w:hideMark/>
          </w:tcPr>
          <w:p w14:paraId="4862B31B"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381E741" w14:textId="77777777" w:rsidR="00716E85" w:rsidRDefault="00716E85">
      <w:pPr>
        <w:pStyle w:val="a3"/>
        <w:pBdr>
          <w:bottom w:val="single" w:sz="6" w:space="1" w:color="auto"/>
        </w:pBdr>
        <w:spacing w:before="0" w:beforeAutospacing="0" w:after="0" w:afterAutospacing="0"/>
        <w:ind w:right="10477"/>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1EC50B69" w14:textId="77777777">
        <w:tc>
          <w:tcPr>
            <w:tcW w:w="192" w:type="pct"/>
            <w:noWrap/>
            <w:hideMark/>
          </w:tcPr>
          <w:p w14:paraId="19916B87"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7AD6D562"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color w:val="000000"/>
                <w:sz w:val="15"/>
                <w:szCs w:val="15"/>
              </w:rPr>
              <w:t>Includes cloud services and license support revenue adjustments related to certain cloud services and license support contracts that would have otherwise been recorded as revenues by the acquired businesses as independent entities but were not recognized in our GAAP-based condensed consolidated statements of operations for the periods presented due to business combination accounting requirements. Such revenue adjustments were included in our operating segment results for purposes of reporting to and review by our CODMs. See “Presentation of Operating Segment Results and Other Financial Information” above for additional information.</w:t>
            </w:r>
          </w:p>
        </w:tc>
      </w:tr>
    </w:tbl>
    <w:p w14:paraId="085389E6"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7FC9A682" w14:textId="77777777">
        <w:tc>
          <w:tcPr>
            <w:tcW w:w="192" w:type="pct"/>
            <w:noWrap/>
            <w:hideMark/>
          </w:tcPr>
          <w:p w14:paraId="07DDEC5D"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(2)</w:t>
            </w:r>
          </w:p>
        </w:tc>
        <w:tc>
          <w:tcPr>
            <w:tcW w:w="0" w:type="auto"/>
            <w:hideMark/>
          </w:tcPr>
          <w:p w14:paraId="67C15AEA"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Excludes stock-based compensation and certain allocations. Also excludes amortization of intangible assets and certain other GAAP-based expenses, which were not allocated to our operating segment results for purposes of reporting to and review by our CODMs, as further described under “Presentation of Operating Segment Results and Other Financial Information” above.</w:t>
            </w:r>
          </w:p>
        </w:tc>
      </w:tr>
    </w:tbl>
    <w:p w14:paraId="7605D1D1"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41</w:t>
      </w:r>
    </w:p>
    <w:p w14:paraId="584F4439" w14:textId="77777777" w:rsidR="00716E85" w:rsidRDefault="00716E85">
      <w:pPr>
        <w:rPr>
          <w:rFonts w:ascii="Times New Roman" w:eastAsia="Times New Roman" w:hAnsi="Times New Roman" w:cs="Times New Roman"/>
          <w:sz w:val="24"/>
          <w:szCs w:val="24"/>
        </w:rPr>
      </w:pPr>
      <w:r>
        <w:rPr>
          <w:rFonts w:eastAsia="Times New Roman"/>
        </w:rPr>
        <w:pict w14:anchorId="50CE36B9">
          <v:rect id="_x0000_i1067" style="width:415.3pt;height:1.5pt" o:hralign="center" o:hrstd="t" o:hr="t" fillcolor="#a0a0a0" stroked="f"/>
        </w:pict>
      </w:r>
    </w:p>
    <w:p w14:paraId="73F91DF0"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6FE7B38" w14:textId="77777777" w:rsidR="00716E85" w:rsidRDefault="00716E85">
      <w:pPr>
        <w:pStyle w:val="a3"/>
        <w:spacing w:before="0" w:beforeAutospacing="0" w:after="0" w:afterAutospacing="0"/>
        <w:rPr>
          <w:sz w:val="20"/>
          <w:szCs w:val="20"/>
        </w:rPr>
      </w:pPr>
      <w:r>
        <w:rPr>
          <w:sz w:val="20"/>
          <w:szCs w:val="20"/>
        </w:rPr>
        <w:t> </w:t>
      </w:r>
    </w:p>
    <w:p w14:paraId="5BC9F712" w14:textId="77777777" w:rsidR="00716E85" w:rsidRDefault="00716E85">
      <w:pPr>
        <w:pStyle w:val="a3"/>
        <w:spacing w:before="120" w:beforeAutospacing="0" w:after="0" w:afterAutospacing="0"/>
        <w:jc w:val="both"/>
        <w:rPr>
          <w:rFonts w:ascii="Calibri" w:hAnsi="Calibri" w:cs="Calibri"/>
          <w:sz w:val="20"/>
          <w:szCs w:val="20"/>
        </w:rPr>
      </w:pPr>
      <w:bookmarkStart w:id="51" w:name="_AEIOULastRenderedPageBreakAEIOU42"/>
      <w:bookmarkEnd w:id="51"/>
      <w:r>
        <w:rPr>
          <w:rFonts w:ascii="Calibri" w:hAnsi="Calibri" w:cs="Calibri"/>
          <w:sz w:val="20"/>
          <w:szCs w:val="20"/>
        </w:rPr>
        <w:t>Excluding the effects of currency rate fluctuations, total revenues from our cloud and license business increased in the fiscal 2019 periods presented, relative to the corresponding prior year periods, due to growth in our cloud services and license support revenues, which was primarily due to increased customer purchases of and renewals of cloud-based services and license support services in recent periods for which we delivered such services during the fiscal 2019 periods presented, and was also due to contributions from our recent acquisitions. In constant currency, our total applications revenues and our total infrastructure revenues each grew during the fiscal 2019 periods presented, each relative to the corresponding prior year periods, as customers continued to deploy our applications technologies and infrastructure technologies through a wide array of different deployment models that we offer to enable customer choice. The Americas region contributed 33% and 36%, respectively, the EMEA region contributed 34% and 34%, respectively, and the Asia Pacific region contributed 33% and 30%, respectively, of the constant currency revenues growth for this business during the third quarter and first nine months of fiscal 2019, respectively.</w:t>
      </w:r>
    </w:p>
    <w:p w14:paraId="6E1864A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In constant currency, total cloud and license expenses increased in the fiscal 2019 periods presented, relative to the corresponding prior year periods, due to higher sales and marketing expenses and higher cloud services and license support expenses, each of which increased primarily due to higher employee related expenses from higher headcount and due to higher technology infrastructure expenses.   </w:t>
      </w:r>
    </w:p>
    <w:p w14:paraId="38DB135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segment’s total margin increased during the fiscal 2019 periods presented, relative to the corresponding prior year periods, primarily due to the fiscal 2019 increases in revenues for this segment, while total fiscal 2019 margins as a percentage of revenues decreased slightly due to expenses growth for this segment.</w:t>
      </w:r>
    </w:p>
    <w:p w14:paraId="4781F05C"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Hardware Business</w:t>
      </w:r>
    </w:p>
    <w:p w14:paraId="5EEEC7A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hardware business’ revenues are generated from the sales of our Oracle Engineered Systems, server, storage, and industry-specific hardware. The hardware product and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is delivered to the customer and ownership is transferred to the customer. Our hardware business also earns revenues from the sale of hardware support contracts purchased by our customers at their option and are generally recognized as revenues ratably as the hardware support services are delivered over the contractual term, which is generally one year. The majority of our hardware products are sold through indirect channels such as independent distributors and value-added resellers and we also market and sell our hardware products through our direct sales force. Operating expenses associated with our hardware business include the cost of hardware products, which consists of expenses for materials and labor used to produce these products by our internal manufacturing operations or by third-party manufacturers, warranty expenses and the impact of periodic changes in inventory valuation, including the impact of inventory determined to be excess and obsolete; the cost of materials used to repair customer products; the cost of labor and infrastructure to provide support services; and sales and marketing expenses, which are largely personnel related and include variable compensation earned by our sales force for the sales of our hardware offerings.</w:t>
      </w:r>
    </w:p>
    <w:p w14:paraId="096DF710"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42</w:t>
      </w:r>
    </w:p>
    <w:p w14:paraId="5AABC66D" w14:textId="77777777" w:rsidR="00716E85" w:rsidRDefault="00716E85">
      <w:pPr>
        <w:rPr>
          <w:rFonts w:ascii="Times New Roman" w:eastAsia="Times New Roman" w:hAnsi="Times New Roman" w:cs="Times New Roman"/>
          <w:sz w:val="24"/>
          <w:szCs w:val="24"/>
        </w:rPr>
      </w:pPr>
      <w:r>
        <w:rPr>
          <w:rFonts w:eastAsia="Times New Roman"/>
        </w:rPr>
        <w:pict w14:anchorId="12164AC0">
          <v:rect id="_x0000_i1068" style="width:415.3pt;height:1.5pt" o:hralign="center" o:hrstd="t" o:hr="t" fillcolor="#a0a0a0" stroked="f"/>
        </w:pict>
      </w:r>
    </w:p>
    <w:p w14:paraId="0AE8247C"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06CC5735" w14:textId="77777777" w:rsidR="00716E85" w:rsidRDefault="00716E85">
      <w:pPr>
        <w:pStyle w:val="a3"/>
        <w:spacing w:before="0" w:beforeAutospacing="0" w:after="0" w:afterAutospacing="0"/>
        <w:rPr>
          <w:sz w:val="20"/>
          <w:szCs w:val="20"/>
        </w:rPr>
      </w:pPr>
      <w:r>
        <w:rPr>
          <w:sz w:val="20"/>
          <w:szCs w:val="20"/>
        </w:rPr>
        <w:t> </w:t>
      </w:r>
    </w:p>
    <w:p w14:paraId="683A3B88"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94"/>
        <w:gridCol w:w="83"/>
        <w:gridCol w:w="117"/>
        <w:gridCol w:w="413"/>
        <w:gridCol w:w="71"/>
        <w:gridCol w:w="83"/>
        <w:gridCol w:w="579"/>
        <w:gridCol w:w="83"/>
        <w:gridCol w:w="581"/>
        <w:gridCol w:w="83"/>
        <w:gridCol w:w="117"/>
        <w:gridCol w:w="417"/>
        <w:gridCol w:w="71"/>
        <w:gridCol w:w="83"/>
        <w:gridCol w:w="117"/>
        <w:gridCol w:w="471"/>
        <w:gridCol w:w="71"/>
        <w:gridCol w:w="83"/>
        <w:gridCol w:w="579"/>
        <w:gridCol w:w="84"/>
        <w:gridCol w:w="582"/>
        <w:gridCol w:w="84"/>
        <w:gridCol w:w="117"/>
        <w:gridCol w:w="471"/>
        <w:gridCol w:w="72"/>
      </w:tblGrid>
      <w:tr w:rsidR="00716E85" w14:paraId="1C6FAC8E" w14:textId="77777777">
        <w:tc>
          <w:tcPr>
            <w:tcW w:w="1688" w:type="pct"/>
            <w:shd w:val="clear" w:color="auto" w:fill="FFFFFF"/>
            <w:tcMar>
              <w:top w:w="15" w:type="dxa"/>
              <w:left w:w="0" w:type="dxa"/>
              <w:bottom w:w="0" w:type="dxa"/>
              <w:right w:w="15" w:type="dxa"/>
            </w:tcMar>
            <w:vAlign w:val="center"/>
            <w:hideMark/>
          </w:tcPr>
          <w:p w14:paraId="1D0AC1DA"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40BB7BD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738A06E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113776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7D1A67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60EB08B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33BAB2F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40FECC09" w14:textId="77777777">
        <w:tc>
          <w:tcPr>
            <w:tcW w:w="1688" w:type="pct"/>
            <w:shd w:val="clear" w:color="auto" w:fill="FFFFFF"/>
            <w:tcMar>
              <w:top w:w="15" w:type="dxa"/>
              <w:left w:w="0" w:type="dxa"/>
              <w:bottom w:w="0" w:type="dxa"/>
              <w:right w:w="15" w:type="dxa"/>
            </w:tcMar>
            <w:vAlign w:val="center"/>
            <w:hideMark/>
          </w:tcPr>
          <w:p w14:paraId="033B97B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038BA1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3B4830C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5B83BE5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82937F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1053DE7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8A1A6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5923AA7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484FC1B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36C6860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7911B05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6A79B2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56F7156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5FFE11F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105593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353BD32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1FEF3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0B28AA0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20EDBD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7F142A5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3A8E24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19316BBC"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09E65F3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65DFBB0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317445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3EA602B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center"/>
            <w:hideMark/>
          </w:tcPr>
          <w:p w14:paraId="01C408E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95F2C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0B90E33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68A02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center"/>
            <w:hideMark/>
          </w:tcPr>
          <w:p w14:paraId="58D59BD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15C94BF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6753FE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B20E7E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86CFC6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81BEED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2A54A8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29C46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7F60CB0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59D86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74CFFA3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9BE705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9E960B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F2B9A0C" w14:textId="77777777">
        <w:tc>
          <w:tcPr>
            <w:tcW w:w="1688" w:type="pct"/>
            <w:tcBorders>
              <w:top w:val="single" w:sz="6" w:space="0" w:color="000000"/>
            </w:tcBorders>
            <w:shd w:val="clear" w:color="auto" w:fill="CFF0FC"/>
            <w:tcMar>
              <w:top w:w="15" w:type="dxa"/>
              <w:left w:w="0" w:type="dxa"/>
              <w:bottom w:w="0" w:type="dxa"/>
              <w:right w:w="15" w:type="dxa"/>
            </w:tcMar>
            <w:hideMark/>
          </w:tcPr>
          <w:p w14:paraId="17FED7CD"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p>
        </w:tc>
        <w:tc>
          <w:tcPr>
            <w:tcW w:w="57" w:type="pct"/>
            <w:shd w:val="clear" w:color="auto" w:fill="CFF0FC"/>
            <w:tcMar>
              <w:top w:w="15" w:type="dxa"/>
              <w:left w:w="0" w:type="dxa"/>
              <w:bottom w:w="0" w:type="dxa"/>
              <w:right w:w="15" w:type="dxa"/>
            </w:tcMar>
            <w:hideMark/>
          </w:tcPr>
          <w:p w14:paraId="26A998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48AB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5F4493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A8B5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0E4B45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8A53D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62889F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0C419F9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4C9391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534F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B275A3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BD6F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316511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54C5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81F4C9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CAF7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0C7C58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96572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3F7ACC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FABC8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C46F6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676E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00862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BF3A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5F3E794" w14:textId="77777777">
        <w:tc>
          <w:tcPr>
            <w:tcW w:w="1688" w:type="pct"/>
            <w:shd w:val="clear" w:color="auto" w:fill="FFFFFF"/>
            <w:tcMar>
              <w:top w:w="15" w:type="dxa"/>
              <w:left w:w="0" w:type="dxa"/>
              <w:bottom w:w="0" w:type="dxa"/>
              <w:right w:w="15" w:type="dxa"/>
            </w:tcMar>
            <w:hideMark/>
          </w:tcPr>
          <w:p w14:paraId="06C199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FFFFFF"/>
            <w:tcMar>
              <w:top w:w="15" w:type="dxa"/>
              <w:left w:w="0" w:type="dxa"/>
              <w:bottom w:w="0" w:type="dxa"/>
              <w:right w:w="15" w:type="dxa"/>
            </w:tcMar>
            <w:hideMark/>
          </w:tcPr>
          <w:p w14:paraId="4C2C6B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3325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4843B03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452</w:t>
            </w:r>
          </w:p>
        </w:tc>
        <w:tc>
          <w:tcPr>
            <w:tcW w:w="50" w:type="pct"/>
            <w:shd w:val="clear" w:color="auto" w:fill="FFFFFF"/>
            <w:noWrap/>
            <w:tcMar>
              <w:top w:w="15" w:type="dxa"/>
              <w:left w:w="0" w:type="dxa"/>
              <w:bottom w:w="0" w:type="dxa"/>
              <w:right w:w="15" w:type="dxa"/>
            </w:tcMar>
            <w:vAlign w:val="bottom"/>
            <w:hideMark/>
          </w:tcPr>
          <w:p w14:paraId="67CD39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473604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E58D8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hideMark/>
          </w:tcPr>
          <w:p w14:paraId="31638F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379AD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hideMark/>
          </w:tcPr>
          <w:p w14:paraId="7DEF0D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F436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71E143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472</w:t>
            </w:r>
          </w:p>
        </w:tc>
        <w:tc>
          <w:tcPr>
            <w:tcW w:w="50" w:type="pct"/>
            <w:shd w:val="clear" w:color="auto" w:fill="FFFFFF"/>
            <w:noWrap/>
            <w:tcMar>
              <w:top w:w="15" w:type="dxa"/>
              <w:left w:w="0" w:type="dxa"/>
              <w:bottom w:w="0" w:type="dxa"/>
              <w:right w:w="15" w:type="dxa"/>
            </w:tcMar>
            <w:vAlign w:val="bottom"/>
            <w:hideMark/>
          </w:tcPr>
          <w:p w14:paraId="69F738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4C2D64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7345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554102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1,379</w:t>
            </w:r>
          </w:p>
        </w:tc>
        <w:tc>
          <w:tcPr>
            <w:tcW w:w="50" w:type="pct"/>
            <w:shd w:val="clear" w:color="auto" w:fill="FFFFFF"/>
            <w:noWrap/>
            <w:tcMar>
              <w:top w:w="15" w:type="dxa"/>
              <w:left w:w="0" w:type="dxa"/>
              <w:bottom w:w="0" w:type="dxa"/>
              <w:right w:w="15" w:type="dxa"/>
            </w:tcMar>
            <w:vAlign w:val="bottom"/>
            <w:hideMark/>
          </w:tcPr>
          <w:p w14:paraId="3A012A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59C90A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097723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hideMark/>
          </w:tcPr>
          <w:p w14:paraId="1D050E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601AE6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hideMark/>
          </w:tcPr>
          <w:p w14:paraId="698BB1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1FBC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6F7D862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1,440</w:t>
            </w:r>
          </w:p>
        </w:tc>
        <w:tc>
          <w:tcPr>
            <w:tcW w:w="50" w:type="pct"/>
            <w:shd w:val="clear" w:color="auto" w:fill="FFFFFF"/>
            <w:noWrap/>
            <w:tcMar>
              <w:top w:w="15" w:type="dxa"/>
              <w:left w:w="0" w:type="dxa"/>
              <w:bottom w:w="0" w:type="dxa"/>
              <w:right w:w="15" w:type="dxa"/>
            </w:tcMar>
            <w:vAlign w:val="bottom"/>
            <w:hideMark/>
          </w:tcPr>
          <w:p w14:paraId="3D905A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15576BB" w14:textId="77777777">
        <w:tc>
          <w:tcPr>
            <w:tcW w:w="1688" w:type="pct"/>
            <w:shd w:val="clear" w:color="auto" w:fill="CFF0FC"/>
            <w:tcMar>
              <w:top w:w="15" w:type="dxa"/>
              <w:left w:w="0" w:type="dxa"/>
              <w:bottom w:w="0" w:type="dxa"/>
              <w:right w:w="15" w:type="dxa"/>
            </w:tcMar>
            <w:hideMark/>
          </w:tcPr>
          <w:p w14:paraId="59080A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57" w:type="pct"/>
            <w:shd w:val="clear" w:color="auto" w:fill="CFF0FC"/>
            <w:tcMar>
              <w:top w:w="15" w:type="dxa"/>
              <w:left w:w="0" w:type="dxa"/>
              <w:bottom w:w="0" w:type="dxa"/>
              <w:right w:w="15" w:type="dxa"/>
            </w:tcMar>
            <w:hideMark/>
          </w:tcPr>
          <w:p w14:paraId="247C6D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77C32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1185C0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278</w:t>
            </w:r>
          </w:p>
        </w:tc>
        <w:tc>
          <w:tcPr>
            <w:tcW w:w="50" w:type="pct"/>
            <w:shd w:val="clear" w:color="auto" w:fill="CFF0FC"/>
            <w:noWrap/>
            <w:tcMar>
              <w:top w:w="15" w:type="dxa"/>
              <w:left w:w="0" w:type="dxa"/>
              <w:bottom w:w="0" w:type="dxa"/>
              <w:right w:w="15" w:type="dxa"/>
            </w:tcMar>
            <w:vAlign w:val="bottom"/>
            <w:hideMark/>
          </w:tcPr>
          <w:p w14:paraId="5336BD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60FB6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3C71A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7" w:type="pct"/>
            <w:shd w:val="clear" w:color="auto" w:fill="CFF0FC"/>
            <w:tcMar>
              <w:top w:w="15" w:type="dxa"/>
              <w:left w:w="0" w:type="dxa"/>
              <w:bottom w:w="0" w:type="dxa"/>
              <w:right w:w="15" w:type="dxa"/>
            </w:tcMar>
            <w:hideMark/>
          </w:tcPr>
          <w:p w14:paraId="183EAF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7EEE23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hideMark/>
          </w:tcPr>
          <w:p w14:paraId="62696C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65725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BE083B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324</w:t>
            </w:r>
          </w:p>
        </w:tc>
        <w:tc>
          <w:tcPr>
            <w:tcW w:w="50" w:type="pct"/>
            <w:shd w:val="clear" w:color="auto" w:fill="CFF0FC"/>
            <w:noWrap/>
            <w:tcMar>
              <w:top w:w="15" w:type="dxa"/>
              <w:left w:w="0" w:type="dxa"/>
              <w:bottom w:w="0" w:type="dxa"/>
              <w:right w:w="15" w:type="dxa"/>
            </w:tcMar>
            <w:vAlign w:val="bottom"/>
            <w:hideMark/>
          </w:tcPr>
          <w:p w14:paraId="5F2902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435009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91DD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6F76C1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796</w:t>
            </w:r>
          </w:p>
        </w:tc>
        <w:tc>
          <w:tcPr>
            <w:tcW w:w="50" w:type="pct"/>
            <w:shd w:val="clear" w:color="auto" w:fill="CFF0FC"/>
            <w:noWrap/>
            <w:tcMar>
              <w:top w:w="15" w:type="dxa"/>
              <w:left w:w="0" w:type="dxa"/>
              <w:bottom w:w="0" w:type="dxa"/>
              <w:right w:w="15" w:type="dxa"/>
            </w:tcMar>
            <w:vAlign w:val="bottom"/>
            <w:hideMark/>
          </w:tcPr>
          <w:p w14:paraId="7CF9E3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19AAD3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979B5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hideMark/>
          </w:tcPr>
          <w:p w14:paraId="5D45F7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042587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hideMark/>
          </w:tcPr>
          <w:p w14:paraId="6C4880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8151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018A5F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868</w:t>
            </w:r>
          </w:p>
        </w:tc>
        <w:tc>
          <w:tcPr>
            <w:tcW w:w="50" w:type="pct"/>
            <w:shd w:val="clear" w:color="auto" w:fill="CFF0FC"/>
            <w:noWrap/>
            <w:tcMar>
              <w:top w:w="15" w:type="dxa"/>
              <w:left w:w="0" w:type="dxa"/>
              <w:bottom w:w="0" w:type="dxa"/>
              <w:right w:w="15" w:type="dxa"/>
            </w:tcMar>
            <w:vAlign w:val="bottom"/>
            <w:hideMark/>
          </w:tcPr>
          <w:p w14:paraId="2CA357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DC96271" w14:textId="77777777">
        <w:tc>
          <w:tcPr>
            <w:tcW w:w="1688" w:type="pct"/>
            <w:shd w:val="clear" w:color="auto" w:fill="FFFFFF"/>
            <w:tcMar>
              <w:top w:w="15" w:type="dxa"/>
              <w:left w:w="0" w:type="dxa"/>
              <w:bottom w:w="0" w:type="dxa"/>
              <w:right w:w="15" w:type="dxa"/>
            </w:tcMar>
            <w:hideMark/>
          </w:tcPr>
          <w:p w14:paraId="16B89BA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57" w:type="pct"/>
            <w:shd w:val="clear" w:color="auto" w:fill="FFFFFF"/>
            <w:tcMar>
              <w:top w:w="15" w:type="dxa"/>
              <w:left w:w="0" w:type="dxa"/>
              <w:bottom w:w="0" w:type="dxa"/>
              <w:right w:w="15" w:type="dxa"/>
            </w:tcMar>
            <w:hideMark/>
          </w:tcPr>
          <w:p w14:paraId="433941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69087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19B143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left w:w="0" w:type="dxa"/>
              <w:bottom w:w="0" w:type="dxa"/>
              <w:right w:w="15" w:type="dxa"/>
            </w:tcMar>
            <w:vAlign w:val="bottom"/>
            <w:hideMark/>
          </w:tcPr>
          <w:p w14:paraId="65631E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269422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C0AEA4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hideMark/>
          </w:tcPr>
          <w:p w14:paraId="69CB80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F12BFF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hideMark/>
          </w:tcPr>
          <w:p w14:paraId="4D5A22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D8E1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3C464B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FFFFFF"/>
            <w:noWrap/>
            <w:tcMar>
              <w:top w:w="15" w:type="dxa"/>
              <w:left w:w="0" w:type="dxa"/>
              <w:bottom w:w="0" w:type="dxa"/>
              <w:right w:w="15" w:type="dxa"/>
            </w:tcMar>
            <w:vAlign w:val="bottom"/>
            <w:hideMark/>
          </w:tcPr>
          <w:p w14:paraId="6FCF87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077DB0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F68A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3C1987B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536</w:t>
            </w:r>
          </w:p>
        </w:tc>
        <w:tc>
          <w:tcPr>
            <w:tcW w:w="50" w:type="pct"/>
            <w:shd w:val="clear" w:color="auto" w:fill="FFFFFF"/>
            <w:noWrap/>
            <w:tcMar>
              <w:top w:w="15" w:type="dxa"/>
              <w:left w:w="0" w:type="dxa"/>
              <w:bottom w:w="0" w:type="dxa"/>
              <w:right w:w="15" w:type="dxa"/>
            </w:tcMar>
            <w:vAlign w:val="bottom"/>
            <w:hideMark/>
          </w:tcPr>
          <w:p w14:paraId="3A78E7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4B55054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7B8DD2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hideMark/>
          </w:tcPr>
          <w:p w14:paraId="2A08B8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B9CA01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hideMark/>
          </w:tcPr>
          <w:p w14:paraId="32B736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AFCE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89CD1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570</w:t>
            </w:r>
          </w:p>
        </w:tc>
        <w:tc>
          <w:tcPr>
            <w:tcW w:w="50" w:type="pct"/>
            <w:shd w:val="clear" w:color="auto" w:fill="FFFFFF"/>
            <w:noWrap/>
            <w:tcMar>
              <w:top w:w="15" w:type="dxa"/>
              <w:left w:w="0" w:type="dxa"/>
              <w:bottom w:w="0" w:type="dxa"/>
              <w:right w:w="15" w:type="dxa"/>
            </w:tcMar>
            <w:vAlign w:val="bottom"/>
            <w:hideMark/>
          </w:tcPr>
          <w:p w14:paraId="230BFBD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D2E5A7A" w14:textId="77777777">
        <w:tc>
          <w:tcPr>
            <w:tcW w:w="1688" w:type="pct"/>
            <w:shd w:val="clear" w:color="auto" w:fill="CFF0FC"/>
            <w:tcMar>
              <w:top w:w="15" w:type="dxa"/>
              <w:left w:w="0" w:type="dxa"/>
              <w:bottom w:w="0" w:type="dxa"/>
              <w:right w:w="15" w:type="dxa"/>
            </w:tcMar>
            <w:hideMark/>
          </w:tcPr>
          <w:p w14:paraId="51D23BC7"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7" w:type="pct"/>
            <w:shd w:val="clear" w:color="auto" w:fill="CFF0FC"/>
            <w:tcMar>
              <w:top w:w="15" w:type="dxa"/>
              <w:left w:w="0" w:type="dxa"/>
              <w:bottom w:w="0" w:type="dxa"/>
              <w:right w:w="15" w:type="dxa"/>
            </w:tcMar>
            <w:hideMark/>
          </w:tcPr>
          <w:p w14:paraId="094C1A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8E9A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4DBC0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915</w:t>
            </w:r>
          </w:p>
        </w:tc>
        <w:tc>
          <w:tcPr>
            <w:tcW w:w="50" w:type="pct"/>
            <w:shd w:val="clear" w:color="auto" w:fill="CFF0FC"/>
            <w:noWrap/>
            <w:tcMar>
              <w:top w:w="15" w:type="dxa"/>
              <w:left w:w="0" w:type="dxa"/>
              <w:bottom w:w="0" w:type="dxa"/>
              <w:right w:w="15" w:type="dxa"/>
            </w:tcMar>
            <w:vAlign w:val="bottom"/>
            <w:hideMark/>
          </w:tcPr>
          <w:p w14:paraId="3D69A0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183484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1DC1FE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hideMark/>
          </w:tcPr>
          <w:p w14:paraId="64C00C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6A2C35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hideMark/>
          </w:tcPr>
          <w:p w14:paraId="1D2D0DD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478C9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8C97AB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994</w:t>
            </w:r>
          </w:p>
        </w:tc>
        <w:tc>
          <w:tcPr>
            <w:tcW w:w="50" w:type="pct"/>
            <w:shd w:val="clear" w:color="auto" w:fill="CFF0FC"/>
            <w:noWrap/>
            <w:tcMar>
              <w:top w:w="15" w:type="dxa"/>
              <w:left w:w="0" w:type="dxa"/>
              <w:bottom w:w="0" w:type="dxa"/>
              <w:right w:w="15" w:type="dxa"/>
            </w:tcMar>
            <w:vAlign w:val="bottom"/>
            <w:hideMark/>
          </w:tcPr>
          <w:p w14:paraId="3474A1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964BD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C52B6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F1F495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2,711</w:t>
            </w:r>
          </w:p>
        </w:tc>
        <w:tc>
          <w:tcPr>
            <w:tcW w:w="50" w:type="pct"/>
            <w:shd w:val="clear" w:color="auto" w:fill="CFF0FC"/>
            <w:noWrap/>
            <w:tcMar>
              <w:top w:w="15" w:type="dxa"/>
              <w:left w:w="0" w:type="dxa"/>
              <w:bottom w:w="0" w:type="dxa"/>
              <w:right w:w="15" w:type="dxa"/>
            </w:tcMar>
            <w:vAlign w:val="bottom"/>
            <w:hideMark/>
          </w:tcPr>
          <w:p w14:paraId="5E4E56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E47B4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FF75BA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hideMark/>
          </w:tcPr>
          <w:p w14:paraId="6F84C8C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41828D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hideMark/>
          </w:tcPr>
          <w:p w14:paraId="3DE41F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86C4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43CB3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2,878</w:t>
            </w:r>
          </w:p>
        </w:tc>
        <w:tc>
          <w:tcPr>
            <w:tcW w:w="50" w:type="pct"/>
            <w:shd w:val="clear" w:color="auto" w:fill="CFF0FC"/>
            <w:noWrap/>
            <w:tcMar>
              <w:top w:w="15" w:type="dxa"/>
              <w:left w:w="0" w:type="dxa"/>
              <w:bottom w:w="0" w:type="dxa"/>
              <w:right w:w="15" w:type="dxa"/>
            </w:tcMar>
            <w:vAlign w:val="bottom"/>
            <w:hideMark/>
          </w:tcPr>
          <w:p w14:paraId="77C6B5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D81CA59" w14:textId="77777777">
        <w:tc>
          <w:tcPr>
            <w:tcW w:w="1688" w:type="pct"/>
            <w:shd w:val="clear" w:color="auto" w:fill="FFFFFF"/>
            <w:tcMar>
              <w:top w:w="15" w:type="dxa"/>
              <w:left w:w="0" w:type="dxa"/>
              <w:bottom w:w="0" w:type="dxa"/>
              <w:right w:w="15" w:type="dxa"/>
            </w:tcMar>
            <w:hideMark/>
          </w:tcPr>
          <w:p w14:paraId="1651C5C7"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Expenses:</w:t>
            </w:r>
          </w:p>
        </w:tc>
        <w:tc>
          <w:tcPr>
            <w:tcW w:w="57" w:type="pct"/>
            <w:shd w:val="clear" w:color="auto" w:fill="FFFFFF"/>
            <w:tcMar>
              <w:top w:w="15" w:type="dxa"/>
              <w:left w:w="0" w:type="dxa"/>
              <w:bottom w:w="0" w:type="dxa"/>
              <w:right w:w="15" w:type="dxa"/>
            </w:tcMar>
            <w:hideMark/>
          </w:tcPr>
          <w:p w14:paraId="5A1D13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7DFB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0415417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7D7C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6F174C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BEEF29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48DD8A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61B50F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10FE33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FE33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6D0D22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01FB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6326A5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AF61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4F3E276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7B6C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7FF28DB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73346E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2533BF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D5956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7751B3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5862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1DBBEE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AA68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67850BA" w14:textId="77777777">
        <w:tc>
          <w:tcPr>
            <w:tcW w:w="1688" w:type="pct"/>
            <w:shd w:val="clear" w:color="auto" w:fill="CFF0FC"/>
            <w:tcMar>
              <w:top w:w="15" w:type="dxa"/>
              <w:left w:w="0" w:type="dxa"/>
              <w:bottom w:w="0" w:type="dxa"/>
              <w:right w:w="15" w:type="dxa"/>
            </w:tcMar>
            <w:hideMark/>
          </w:tcPr>
          <w:p w14:paraId="173C73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hideMark/>
          </w:tcPr>
          <w:p w14:paraId="051789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FC24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4E1C725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331</w:t>
            </w:r>
          </w:p>
        </w:tc>
        <w:tc>
          <w:tcPr>
            <w:tcW w:w="50" w:type="pct"/>
            <w:shd w:val="clear" w:color="auto" w:fill="CFF0FC"/>
            <w:noWrap/>
            <w:tcMar>
              <w:top w:w="15" w:type="dxa"/>
              <w:left w:w="0" w:type="dxa"/>
              <w:bottom w:w="0" w:type="dxa"/>
              <w:right w:w="15" w:type="dxa"/>
            </w:tcMar>
            <w:vAlign w:val="bottom"/>
            <w:hideMark/>
          </w:tcPr>
          <w:p w14:paraId="345A36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03EC01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FFFF8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7" w:type="pct"/>
            <w:shd w:val="clear" w:color="auto" w:fill="CFF0FC"/>
            <w:tcMar>
              <w:top w:w="15" w:type="dxa"/>
              <w:left w:w="0" w:type="dxa"/>
              <w:bottom w:w="0" w:type="dxa"/>
              <w:right w:w="15" w:type="dxa"/>
            </w:tcMar>
            <w:hideMark/>
          </w:tcPr>
          <w:p w14:paraId="69E6BC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3CC235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w:t>
            </w:r>
          </w:p>
        </w:tc>
        <w:tc>
          <w:tcPr>
            <w:tcW w:w="57" w:type="pct"/>
            <w:shd w:val="clear" w:color="auto" w:fill="CFF0FC"/>
            <w:tcMar>
              <w:top w:w="15" w:type="dxa"/>
              <w:left w:w="0" w:type="dxa"/>
              <w:bottom w:w="0" w:type="dxa"/>
              <w:right w:w="15" w:type="dxa"/>
            </w:tcMar>
            <w:hideMark/>
          </w:tcPr>
          <w:p w14:paraId="59759D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3279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B6B91F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387</w:t>
            </w:r>
          </w:p>
        </w:tc>
        <w:tc>
          <w:tcPr>
            <w:tcW w:w="50" w:type="pct"/>
            <w:shd w:val="clear" w:color="auto" w:fill="CFF0FC"/>
            <w:noWrap/>
            <w:tcMar>
              <w:top w:w="15" w:type="dxa"/>
              <w:left w:w="0" w:type="dxa"/>
              <w:bottom w:w="0" w:type="dxa"/>
              <w:right w:w="15" w:type="dxa"/>
            </w:tcMar>
            <w:vAlign w:val="bottom"/>
            <w:hideMark/>
          </w:tcPr>
          <w:p w14:paraId="68CB9D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669F3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C013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8BCFD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973</w:t>
            </w:r>
          </w:p>
        </w:tc>
        <w:tc>
          <w:tcPr>
            <w:tcW w:w="50" w:type="pct"/>
            <w:shd w:val="clear" w:color="auto" w:fill="CFF0FC"/>
            <w:noWrap/>
            <w:tcMar>
              <w:top w:w="15" w:type="dxa"/>
              <w:left w:w="0" w:type="dxa"/>
              <w:bottom w:w="0" w:type="dxa"/>
              <w:right w:w="15" w:type="dxa"/>
            </w:tcMar>
            <w:vAlign w:val="bottom"/>
            <w:hideMark/>
          </w:tcPr>
          <w:p w14:paraId="75632D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8E1AF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5211A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w:t>
            </w:r>
          </w:p>
        </w:tc>
        <w:tc>
          <w:tcPr>
            <w:tcW w:w="57" w:type="pct"/>
            <w:shd w:val="clear" w:color="auto" w:fill="CFF0FC"/>
            <w:tcMar>
              <w:top w:w="15" w:type="dxa"/>
              <w:left w:w="0" w:type="dxa"/>
              <w:bottom w:w="0" w:type="dxa"/>
              <w:right w:w="15" w:type="dxa"/>
            </w:tcMar>
            <w:hideMark/>
          </w:tcPr>
          <w:p w14:paraId="620ACB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33F119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hideMark/>
          </w:tcPr>
          <w:p w14:paraId="35922E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12FA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71A325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1,094</w:t>
            </w:r>
          </w:p>
        </w:tc>
        <w:tc>
          <w:tcPr>
            <w:tcW w:w="50" w:type="pct"/>
            <w:shd w:val="clear" w:color="auto" w:fill="CFF0FC"/>
            <w:noWrap/>
            <w:tcMar>
              <w:top w:w="15" w:type="dxa"/>
              <w:left w:w="0" w:type="dxa"/>
              <w:bottom w:w="0" w:type="dxa"/>
              <w:right w:w="15" w:type="dxa"/>
            </w:tcMar>
            <w:vAlign w:val="bottom"/>
            <w:hideMark/>
          </w:tcPr>
          <w:p w14:paraId="33094A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242E9FE" w14:textId="77777777">
        <w:tc>
          <w:tcPr>
            <w:tcW w:w="1688" w:type="pct"/>
            <w:shd w:val="clear" w:color="auto" w:fill="FFFFFF"/>
            <w:tcMar>
              <w:top w:w="15" w:type="dxa"/>
              <w:left w:w="0" w:type="dxa"/>
              <w:bottom w:w="0" w:type="dxa"/>
              <w:right w:w="15" w:type="dxa"/>
            </w:tcMar>
            <w:hideMark/>
          </w:tcPr>
          <w:p w14:paraId="50BD93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vertAlign w:val="superscript"/>
              </w:rPr>
              <w:t>(1)</w:t>
            </w:r>
          </w:p>
        </w:tc>
        <w:tc>
          <w:tcPr>
            <w:tcW w:w="57" w:type="pct"/>
            <w:shd w:val="clear" w:color="auto" w:fill="FFFFFF"/>
            <w:tcMar>
              <w:top w:w="15" w:type="dxa"/>
              <w:left w:w="0" w:type="dxa"/>
              <w:bottom w:w="0" w:type="dxa"/>
              <w:right w:w="15" w:type="dxa"/>
            </w:tcMar>
            <w:hideMark/>
          </w:tcPr>
          <w:p w14:paraId="13E30F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C449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6D3BD21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123</w:t>
            </w:r>
          </w:p>
        </w:tc>
        <w:tc>
          <w:tcPr>
            <w:tcW w:w="50" w:type="pct"/>
            <w:shd w:val="clear" w:color="auto" w:fill="FFFFFF"/>
            <w:noWrap/>
            <w:tcMar>
              <w:top w:w="15" w:type="dxa"/>
              <w:left w:w="0" w:type="dxa"/>
              <w:bottom w:w="0" w:type="dxa"/>
              <w:right w:w="15" w:type="dxa"/>
            </w:tcMar>
            <w:vAlign w:val="bottom"/>
            <w:hideMark/>
          </w:tcPr>
          <w:p w14:paraId="2AF726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66862F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4C8951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7" w:type="pct"/>
            <w:shd w:val="clear" w:color="auto" w:fill="FFFFFF"/>
            <w:tcMar>
              <w:top w:w="15" w:type="dxa"/>
              <w:left w:w="0" w:type="dxa"/>
              <w:bottom w:w="0" w:type="dxa"/>
              <w:right w:w="15" w:type="dxa"/>
            </w:tcMar>
            <w:hideMark/>
          </w:tcPr>
          <w:p w14:paraId="5E0D4F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FB4A2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w:t>
            </w:r>
          </w:p>
        </w:tc>
        <w:tc>
          <w:tcPr>
            <w:tcW w:w="57" w:type="pct"/>
            <w:shd w:val="clear" w:color="auto" w:fill="FFFFFF"/>
            <w:tcMar>
              <w:top w:w="15" w:type="dxa"/>
              <w:left w:w="0" w:type="dxa"/>
              <w:bottom w:w="0" w:type="dxa"/>
              <w:right w:w="15" w:type="dxa"/>
            </w:tcMar>
            <w:hideMark/>
          </w:tcPr>
          <w:p w14:paraId="0FB834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CB32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656EFA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155</w:t>
            </w:r>
          </w:p>
        </w:tc>
        <w:tc>
          <w:tcPr>
            <w:tcW w:w="50" w:type="pct"/>
            <w:shd w:val="clear" w:color="auto" w:fill="FFFFFF"/>
            <w:noWrap/>
            <w:tcMar>
              <w:top w:w="15" w:type="dxa"/>
              <w:left w:w="0" w:type="dxa"/>
              <w:bottom w:w="0" w:type="dxa"/>
              <w:right w:w="15" w:type="dxa"/>
            </w:tcMar>
            <w:vAlign w:val="bottom"/>
            <w:hideMark/>
          </w:tcPr>
          <w:p w14:paraId="203393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75B0A4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B2DE2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D00520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381</w:t>
            </w:r>
          </w:p>
        </w:tc>
        <w:tc>
          <w:tcPr>
            <w:tcW w:w="50" w:type="pct"/>
            <w:shd w:val="clear" w:color="auto" w:fill="FFFFFF"/>
            <w:noWrap/>
            <w:tcMar>
              <w:top w:w="15" w:type="dxa"/>
              <w:left w:w="0" w:type="dxa"/>
              <w:bottom w:w="0" w:type="dxa"/>
              <w:right w:w="15" w:type="dxa"/>
            </w:tcMar>
            <w:vAlign w:val="bottom"/>
            <w:hideMark/>
          </w:tcPr>
          <w:p w14:paraId="0058DA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6BC40EA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B743E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w:t>
            </w:r>
          </w:p>
        </w:tc>
        <w:tc>
          <w:tcPr>
            <w:tcW w:w="57" w:type="pct"/>
            <w:shd w:val="clear" w:color="auto" w:fill="FFFFFF"/>
            <w:tcMar>
              <w:top w:w="15" w:type="dxa"/>
              <w:left w:w="0" w:type="dxa"/>
              <w:bottom w:w="0" w:type="dxa"/>
              <w:right w:w="15" w:type="dxa"/>
            </w:tcMar>
            <w:hideMark/>
          </w:tcPr>
          <w:p w14:paraId="1598E2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53E1D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57" w:type="pct"/>
            <w:shd w:val="clear" w:color="auto" w:fill="FFFFFF"/>
            <w:tcMar>
              <w:top w:w="15" w:type="dxa"/>
              <w:left w:w="0" w:type="dxa"/>
              <w:bottom w:w="0" w:type="dxa"/>
              <w:right w:w="15" w:type="dxa"/>
            </w:tcMar>
            <w:hideMark/>
          </w:tcPr>
          <w:p w14:paraId="5AEF8F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5FAF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8D6275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487</w:t>
            </w:r>
          </w:p>
        </w:tc>
        <w:tc>
          <w:tcPr>
            <w:tcW w:w="50" w:type="pct"/>
            <w:shd w:val="clear" w:color="auto" w:fill="FFFFFF"/>
            <w:noWrap/>
            <w:tcMar>
              <w:top w:w="15" w:type="dxa"/>
              <w:left w:w="0" w:type="dxa"/>
              <w:bottom w:w="0" w:type="dxa"/>
              <w:right w:w="15" w:type="dxa"/>
            </w:tcMar>
            <w:vAlign w:val="bottom"/>
            <w:hideMark/>
          </w:tcPr>
          <w:p w14:paraId="4AAF4DA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584C403" w14:textId="77777777">
        <w:tc>
          <w:tcPr>
            <w:tcW w:w="1688" w:type="pct"/>
            <w:shd w:val="clear" w:color="auto" w:fill="CFF0FC"/>
            <w:tcMar>
              <w:top w:w="15" w:type="dxa"/>
              <w:left w:w="0" w:type="dxa"/>
              <w:bottom w:w="0" w:type="dxa"/>
              <w:right w:w="15" w:type="dxa"/>
            </w:tcMar>
            <w:hideMark/>
          </w:tcPr>
          <w:p w14:paraId="1C178573"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hideMark/>
          </w:tcPr>
          <w:p w14:paraId="4D674D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23F7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1E445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454</w:t>
            </w:r>
          </w:p>
        </w:tc>
        <w:tc>
          <w:tcPr>
            <w:tcW w:w="50" w:type="pct"/>
            <w:shd w:val="clear" w:color="auto" w:fill="CFF0FC"/>
            <w:noWrap/>
            <w:tcMar>
              <w:top w:w="15" w:type="dxa"/>
              <w:left w:w="0" w:type="dxa"/>
              <w:bottom w:w="0" w:type="dxa"/>
              <w:right w:w="15" w:type="dxa"/>
            </w:tcMar>
            <w:vAlign w:val="bottom"/>
            <w:hideMark/>
          </w:tcPr>
          <w:p w14:paraId="5D3849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537308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F097DE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7" w:type="pct"/>
            <w:shd w:val="clear" w:color="auto" w:fill="CFF0FC"/>
            <w:tcMar>
              <w:top w:w="15" w:type="dxa"/>
              <w:left w:w="0" w:type="dxa"/>
              <w:bottom w:w="0" w:type="dxa"/>
              <w:right w:w="15" w:type="dxa"/>
            </w:tcMar>
            <w:hideMark/>
          </w:tcPr>
          <w:p w14:paraId="2A2F8E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D7A12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7" w:type="pct"/>
            <w:shd w:val="clear" w:color="auto" w:fill="CFF0FC"/>
            <w:tcMar>
              <w:top w:w="15" w:type="dxa"/>
              <w:left w:w="0" w:type="dxa"/>
              <w:bottom w:w="0" w:type="dxa"/>
              <w:right w:w="15" w:type="dxa"/>
            </w:tcMar>
            <w:hideMark/>
          </w:tcPr>
          <w:p w14:paraId="4F19F31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909A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389702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542</w:t>
            </w:r>
          </w:p>
        </w:tc>
        <w:tc>
          <w:tcPr>
            <w:tcW w:w="50" w:type="pct"/>
            <w:shd w:val="clear" w:color="auto" w:fill="CFF0FC"/>
            <w:noWrap/>
            <w:tcMar>
              <w:top w:w="15" w:type="dxa"/>
              <w:left w:w="0" w:type="dxa"/>
              <w:bottom w:w="0" w:type="dxa"/>
              <w:right w:w="15" w:type="dxa"/>
            </w:tcMar>
            <w:vAlign w:val="bottom"/>
            <w:hideMark/>
          </w:tcPr>
          <w:p w14:paraId="1A9F60B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F4DB4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3128D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9DADD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1,354</w:t>
            </w:r>
          </w:p>
        </w:tc>
        <w:tc>
          <w:tcPr>
            <w:tcW w:w="50" w:type="pct"/>
            <w:shd w:val="clear" w:color="auto" w:fill="CFF0FC"/>
            <w:noWrap/>
            <w:tcMar>
              <w:top w:w="15" w:type="dxa"/>
              <w:left w:w="0" w:type="dxa"/>
              <w:bottom w:w="0" w:type="dxa"/>
              <w:right w:w="15" w:type="dxa"/>
            </w:tcMar>
            <w:vAlign w:val="bottom"/>
            <w:hideMark/>
          </w:tcPr>
          <w:p w14:paraId="6C6D07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DB5160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71AF85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7" w:type="pct"/>
            <w:shd w:val="clear" w:color="auto" w:fill="CFF0FC"/>
            <w:tcMar>
              <w:top w:w="15" w:type="dxa"/>
              <w:left w:w="0" w:type="dxa"/>
              <w:bottom w:w="0" w:type="dxa"/>
              <w:right w:w="15" w:type="dxa"/>
            </w:tcMar>
            <w:hideMark/>
          </w:tcPr>
          <w:p w14:paraId="00B4F2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8D63E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w:t>
            </w:r>
          </w:p>
        </w:tc>
        <w:tc>
          <w:tcPr>
            <w:tcW w:w="57" w:type="pct"/>
            <w:shd w:val="clear" w:color="auto" w:fill="CFF0FC"/>
            <w:tcMar>
              <w:top w:w="15" w:type="dxa"/>
              <w:left w:w="0" w:type="dxa"/>
              <w:bottom w:w="0" w:type="dxa"/>
              <w:right w:w="15" w:type="dxa"/>
            </w:tcMar>
            <w:hideMark/>
          </w:tcPr>
          <w:p w14:paraId="0E3197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F8C04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98EAD0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1,581</w:t>
            </w:r>
          </w:p>
        </w:tc>
        <w:tc>
          <w:tcPr>
            <w:tcW w:w="50" w:type="pct"/>
            <w:shd w:val="clear" w:color="auto" w:fill="CFF0FC"/>
            <w:noWrap/>
            <w:tcMar>
              <w:top w:w="15" w:type="dxa"/>
              <w:left w:w="0" w:type="dxa"/>
              <w:bottom w:w="0" w:type="dxa"/>
              <w:right w:w="15" w:type="dxa"/>
            </w:tcMar>
            <w:vAlign w:val="bottom"/>
            <w:hideMark/>
          </w:tcPr>
          <w:p w14:paraId="5191E8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CDBDB1C" w14:textId="77777777">
        <w:tc>
          <w:tcPr>
            <w:tcW w:w="1688" w:type="pct"/>
            <w:shd w:val="clear" w:color="auto" w:fill="FFFFFF"/>
            <w:tcMar>
              <w:top w:w="15" w:type="dxa"/>
              <w:left w:w="0" w:type="dxa"/>
              <w:bottom w:w="0" w:type="dxa"/>
              <w:right w:w="15" w:type="dxa"/>
            </w:tcMar>
            <w:hideMark/>
          </w:tcPr>
          <w:p w14:paraId="316093BD"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7" w:type="pct"/>
            <w:shd w:val="clear" w:color="auto" w:fill="FFFFFF"/>
            <w:tcMar>
              <w:top w:w="15" w:type="dxa"/>
              <w:left w:w="0" w:type="dxa"/>
              <w:bottom w:w="0" w:type="dxa"/>
              <w:right w:w="15" w:type="dxa"/>
            </w:tcMar>
            <w:hideMark/>
          </w:tcPr>
          <w:p w14:paraId="61107BA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6550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C6532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461</w:t>
            </w:r>
          </w:p>
        </w:tc>
        <w:tc>
          <w:tcPr>
            <w:tcW w:w="50" w:type="pct"/>
            <w:shd w:val="clear" w:color="auto" w:fill="FFFFFF"/>
            <w:noWrap/>
            <w:tcMar>
              <w:top w:w="15" w:type="dxa"/>
              <w:left w:w="0" w:type="dxa"/>
              <w:bottom w:w="0" w:type="dxa"/>
              <w:right w:w="15" w:type="dxa"/>
            </w:tcMar>
            <w:vAlign w:val="bottom"/>
            <w:hideMark/>
          </w:tcPr>
          <w:p w14:paraId="28707C9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7E69B2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7FF664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hideMark/>
          </w:tcPr>
          <w:p w14:paraId="5C02BE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057F95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FFFFFF"/>
            <w:tcMar>
              <w:top w:w="15" w:type="dxa"/>
              <w:left w:w="0" w:type="dxa"/>
              <w:bottom w:w="0" w:type="dxa"/>
              <w:right w:w="15" w:type="dxa"/>
            </w:tcMar>
            <w:hideMark/>
          </w:tcPr>
          <w:p w14:paraId="7A0614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425B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AC9A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452</w:t>
            </w:r>
          </w:p>
        </w:tc>
        <w:tc>
          <w:tcPr>
            <w:tcW w:w="50" w:type="pct"/>
            <w:shd w:val="clear" w:color="auto" w:fill="FFFFFF"/>
            <w:noWrap/>
            <w:tcMar>
              <w:top w:w="15" w:type="dxa"/>
              <w:left w:w="0" w:type="dxa"/>
              <w:bottom w:w="0" w:type="dxa"/>
              <w:right w:w="15" w:type="dxa"/>
            </w:tcMar>
            <w:vAlign w:val="bottom"/>
            <w:hideMark/>
          </w:tcPr>
          <w:p w14:paraId="5AA96B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30965E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B6A9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9768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1,357</w:t>
            </w:r>
          </w:p>
        </w:tc>
        <w:tc>
          <w:tcPr>
            <w:tcW w:w="50" w:type="pct"/>
            <w:shd w:val="clear" w:color="auto" w:fill="FFFFFF"/>
            <w:noWrap/>
            <w:tcMar>
              <w:top w:w="15" w:type="dxa"/>
              <w:left w:w="0" w:type="dxa"/>
              <w:bottom w:w="0" w:type="dxa"/>
              <w:right w:w="15" w:type="dxa"/>
            </w:tcMar>
            <w:vAlign w:val="bottom"/>
            <w:hideMark/>
          </w:tcPr>
          <w:p w14:paraId="0899611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7F2F82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CB0667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FFFFFF"/>
            <w:tcMar>
              <w:top w:w="15" w:type="dxa"/>
              <w:left w:w="0" w:type="dxa"/>
              <w:bottom w:w="0" w:type="dxa"/>
              <w:right w:w="15" w:type="dxa"/>
            </w:tcMar>
            <w:hideMark/>
          </w:tcPr>
          <w:p w14:paraId="7656C3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9935C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FFFFFF"/>
            <w:tcMar>
              <w:top w:w="15" w:type="dxa"/>
              <w:left w:w="0" w:type="dxa"/>
              <w:bottom w:w="0" w:type="dxa"/>
              <w:right w:w="15" w:type="dxa"/>
            </w:tcMar>
            <w:hideMark/>
          </w:tcPr>
          <w:p w14:paraId="25420E7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31D9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6472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1,297</w:t>
            </w:r>
          </w:p>
        </w:tc>
        <w:tc>
          <w:tcPr>
            <w:tcW w:w="50" w:type="pct"/>
            <w:shd w:val="clear" w:color="auto" w:fill="FFFFFF"/>
            <w:noWrap/>
            <w:tcMar>
              <w:top w:w="15" w:type="dxa"/>
              <w:left w:w="0" w:type="dxa"/>
              <w:bottom w:w="0" w:type="dxa"/>
              <w:right w:w="15" w:type="dxa"/>
            </w:tcMar>
            <w:vAlign w:val="bottom"/>
            <w:hideMark/>
          </w:tcPr>
          <w:p w14:paraId="118B6CD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3938D02" w14:textId="77777777">
        <w:tc>
          <w:tcPr>
            <w:tcW w:w="1688" w:type="pct"/>
            <w:shd w:val="clear" w:color="auto" w:fill="CFF0FC"/>
            <w:tcMar>
              <w:top w:w="15" w:type="dxa"/>
              <w:left w:w="0" w:type="dxa"/>
              <w:bottom w:w="0" w:type="dxa"/>
              <w:right w:w="15" w:type="dxa"/>
            </w:tcMar>
            <w:hideMark/>
          </w:tcPr>
          <w:p w14:paraId="09719AF1"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7" w:type="pct"/>
            <w:shd w:val="clear" w:color="auto" w:fill="CFF0FC"/>
            <w:tcMar>
              <w:top w:w="15" w:type="dxa"/>
              <w:left w:w="0" w:type="dxa"/>
              <w:bottom w:w="0" w:type="dxa"/>
              <w:right w:w="15" w:type="dxa"/>
            </w:tcMar>
            <w:hideMark/>
          </w:tcPr>
          <w:p w14:paraId="6651B3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676F0F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2AAC4A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EB139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00267E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5757DB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08824B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1F5E3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312600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CFF0FC"/>
            <w:noWrap/>
            <w:tcMar>
              <w:top w:w="15" w:type="dxa"/>
              <w:left w:w="0" w:type="dxa"/>
              <w:bottom w:w="0" w:type="dxa"/>
              <w:right w:w="15" w:type="dxa"/>
            </w:tcMar>
            <w:vAlign w:val="bottom"/>
            <w:hideMark/>
          </w:tcPr>
          <w:p w14:paraId="19F45F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4EEFB2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5C9E6E4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44F954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C2FD5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20DB2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27F59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AA5993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0DF2C6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CFF0FC"/>
            <w:tcMar>
              <w:top w:w="15" w:type="dxa"/>
              <w:left w:w="0" w:type="dxa"/>
              <w:bottom w:w="0" w:type="dxa"/>
              <w:right w:w="15" w:type="dxa"/>
            </w:tcMar>
            <w:vAlign w:val="bottom"/>
            <w:hideMark/>
          </w:tcPr>
          <w:p w14:paraId="35BE33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CFF0FC"/>
            <w:noWrap/>
            <w:tcMar>
              <w:top w:w="15" w:type="dxa"/>
              <w:left w:w="0" w:type="dxa"/>
              <w:bottom w:w="0" w:type="dxa"/>
              <w:right w:w="15" w:type="dxa"/>
            </w:tcMar>
            <w:vAlign w:val="bottom"/>
            <w:hideMark/>
          </w:tcPr>
          <w:p w14:paraId="5CBC01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7BCFDB8" w14:textId="77777777">
        <w:tc>
          <w:tcPr>
            <w:tcW w:w="1688" w:type="pct"/>
            <w:shd w:val="clear" w:color="auto" w:fill="FFFFFF"/>
            <w:tcMar>
              <w:top w:w="15" w:type="dxa"/>
              <w:left w:w="0" w:type="dxa"/>
              <w:bottom w:w="0" w:type="dxa"/>
              <w:right w:w="15" w:type="dxa"/>
            </w:tcMar>
            <w:hideMark/>
          </w:tcPr>
          <w:p w14:paraId="3E954DF5"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57" w:type="pct"/>
            <w:shd w:val="clear" w:color="auto" w:fill="FFFFFF"/>
            <w:tcMar>
              <w:top w:w="15" w:type="dxa"/>
              <w:left w:w="0" w:type="dxa"/>
              <w:bottom w:w="0" w:type="dxa"/>
              <w:right w:w="15" w:type="dxa"/>
            </w:tcMar>
            <w:hideMark/>
          </w:tcPr>
          <w:p w14:paraId="00DC8D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366E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4B36C1C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B502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513BBB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B8ED7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31E9E88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58B3F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7A0315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5182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48FF802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E573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59823D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908B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684CDA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7687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493104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88BCA7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25E3FF1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6BEF65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56FD5C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D7F52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07E43FB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6C4C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82AECE8" w14:textId="77777777">
        <w:tc>
          <w:tcPr>
            <w:tcW w:w="1688" w:type="pct"/>
            <w:shd w:val="clear" w:color="auto" w:fill="CFF0FC"/>
            <w:tcMar>
              <w:top w:w="15" w:type="dxa"/>
              <w:left w:w="0" w:type="dxa"/>
              <w:bottom w:w="0" w:type="dxa"/>
              <w:right w:w="15" w:type="dxa"/>
            </w:tcMar>
            <w:hideMark/>
          </w:tcPr>
          <w:p w14:paraId="785E22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CFF0FC"/>
            <w:tcMar>
              <w:top w:w="15" w:type="dxa"/>
              <w:left w:w="0" w:type="dxa"/>
              <w:bottom w:w="0" w:type="dxa"/>
              <w:right w:w="15" w:type="dxa"/>
            </w:tcMar>
            <w:hideMark/>
          </w:tcPr>
          <w:p w14:paraId="4E6184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0E22EC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6CE4F5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6B3E9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F218D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54D8C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B21F21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50516D9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5EE52E4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CFF0FC"/>
            <w:noWrap/>
            <w:tcMar>
              <w:top w:w="15" w:type="dxa"/>
              <w:left w:w="0" w:type="dxa"/>
              <w:bottom w:w="0" w:type="dxa"/>
              <w:right w:w="15" w:type="dxa"/>
            </w:tcMar>
            <w:vAlign w:val="bottom"/>
            <w:hideMark/>
          </w:tcPr>
          <w:p w14:paraId="192CB1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29BE0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0FD61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6386FD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4CAAA5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9933BA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306566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D18BE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94DEA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D38BC0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4492A0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9D44B1A" w14:textId="77777777">
        <w:tc>
          <w:tcPr>
            <w:tcW w:w="1688" w:type="pct"/>
            <w:shd w:val="clear" w:color="auto" w:fill="FFFFFF"/>
            <w:tcMar>
              <w:top w:w="15" w:type="dxa"/>
              <w:left w:w="0" w:type="dxa"/>
              <w:bottom w:w="0" w:type="dxa"/>
              <w:right w:w="15" w:type="dxa"/>
            </w:tcMar>
            <w:hideMark/>
          </w:tcPr>
          <w:p w14:paraId="31CF54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57" w:type="pct"/>
            <w:shd w:val="clear" w:color="auto" w:fill="FFFFFF"/>
            <w:tcMar>
              <w:top w:w="15" w:type="dxa"/>
              <w:left w:w="0" w:type="dxa"/>
              <w:bottom w:w="0" w:type="dxa"/>
              <w:right w:w="15" w:type="dxa"/>
            </w:tcMar>
            <w:hideMark/>
          </w:tcPr>
          <w:p w14:paraId="79F7F1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80B3DD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225148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234757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2E3462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6406CAA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399B1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6A431D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2BE20D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1A1BE1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3AA0F8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4C6C6F0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76EB1FC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352FDC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82283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2F2390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26C090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hideMark/>
          </w:tcPr>
          <w:p w14:paraId="05A2E2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54D17E5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03E9C2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5CFAAF7" w14:textId="77777777">
        <w:tc>
          <w:tcPr>
            <w:tcW w:w="1688" w:type="pct"/>
            <w:shd w:val="clear" w:color="auto" w:fill="CFF0FC"/>
            <w:tcMar>
              <w:top w:w="15" w:type="dxa"/>
              <w:left w:w="0" w:type="dxa"/>
              <w:bottom w:w="0" w:type="dxa"/>
              <w:right w:w="15" w:type="dxa"/>
            </w:tcMar>
            <w:hideMark/>
          </w:tcPr>
          <w:p w14:paraId="2052022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57" w:type="pct"/>
            <w:shd w:val="clear" w:color="auto" w:fill="CFF0FC"/>
            <w:tcMar>
              <w:top w:w="15" w:type="dxa"/>
              <w:left w:w="0" w:type="dxa"/>
              <w:bottom w:w="0" w:type="dxa"/>
              <w:right w:w="15" w:type="dxa"/>
            </w:tcMar>
            <w:hideMark/>
          </w:tcPr>
          <w:p w14:paraId="052A817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4AB59B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341B85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1EE006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36591B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3A9435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2D1B06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2168F5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52AB5F0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1369F6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6312F36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691073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372B37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0FF5B4A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0214F0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78E194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1199E0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hideMark/>
          </w:tcPr>
          <w:p w14:paraId="4ED0838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3052BE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71535ACF"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ADE91A2" w14:textId="77777777" w:rsidR="00716E85" w:rsidRDefault="00716E85">
      <w:pPr>
        <w:pStyle w:val="a3"/>
        <w:pBdr>
          <w:bottom w:val="single" w:sz="6" w:space="1" w:color="auto"/>
        </w:pBdr>
        <w:spacing w:before="0" w:beforeAutospacing="0" w:after="0" w:afterAutospacing="0"/>
        <w:ind w:right="10477"/>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111423BE" w14:textId="77777777">
        <w:tc>
          <w:tcPr>
            <w:tcW w:w="192" w:type="pct"/>
            <w:noWrap/>
            <w:hideMark/>
          </w:tcPr>
          <w:p w14:paraId="3785CDC4"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2333B0D8"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Excludes stock-based compensation and certain allocations. Also excludes amortization of intangible assets and certain other GAAP-based expenses, which were not allocated to our operating segment results for purposes of reporting to and review by our CODMs, as further described under “Presentation of Operating Segments and Other Financial Information” above.</w:t>
            </w:r>
          </w:p>
        </w:tc>
      </w:tr>
    </w:tbl>
    <w:p w14:paraId="4CABD842"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Excluding the effects of currency rate fluctuations, total hardware revenues decreased in the fiscal 2019 periods presented, relative to the corresponding prior year periods, due to lower hardware products revenues and, to a lesser extent, lower hardware support revenues. The decreases in hardware products revenues in the fiscal 2019 periods presented, relative to the fiscal 2018 periods presented, were primarily attributable to our continued emphasis on the marketing and sale of our cloud-based infrastructure technologies, which resulted in reduced sales volumes of certain of our hardware product lines and also impacted the volume of hardware support contracts sold in recent periods. These constant currency fiscal 2019 hardware revenues decreases were partially offset by certain fiscal 2019 hardware revenues increases related to our Oracle Engineered Systems offerings, primarily Oracle Exadata. </w:t>
      </w:r>
    </w:p>
    <w:p w14:paraId="77944A9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Excluding the effects of currency rate fluctuations, total hardware expenses decreased in the fiscal 2019 periods presented, relative to the corresponding prior year periods, primarily due to lower hardware products and support costs and lower sales and marketing employee related expenses, all of which aligned to lower hardware revenues.</w:t>
      </w:r>
    </w:p>
    <w:p w14:paraId="0EFDA0C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constant currency, total margin and total margin as percentage of revenues for our hardware segment increased during the fiscal 2019 periods presented, relative to the corresponding prior year periods, due to lower expenses.</w:t>
      </w:r>
    </w:p>
    <w:p w14:paraId="330DAEC3"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Services Business</w:t>
      </w:r>
    </w:p>
    <w:p w14:paraId="2EF638B8"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We offer services to customers and partners to help to maximize the performance of their investments in Oracle applications and infrastructure technologies. Services revenues are generally recognized over time as the services are performed. The cost of providing our services consists primarily of personnel related expenses, technology infrastructure expenditures, facilities expenses and external contractor expenses. </w:t>
      </w:r>
    </w:p>
    <w:p w14:paraId="36EAC86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43</w:t>
      </w:r>
    </w:p>
    <w:p w14:paraId="6817F8C7" w14:textId="77777777" w:rsidR="00716E85" w:rsidRDefault="00716E85">
      <w:pPr>
        <w:rPr>
          <w:rFonts w:ascii="Times New Roman" w:eastAsia="Times New Roman" w:hAnsi="Times New Roman" w:cs="Times New Roman"/>
          <w:sz w:val="24"/>
          <w:szCs w:val="24"/>
        </w:rPr>
      </w:pPr>
      <w:r>
        <w:rPr>
          <w:rFonts w:eastAsia="Times New Roman"/>
        </w:rPr>
        <w:pict w14:anchorId="7C3E5EAB">
          <v:rect id="_x0000_i1069" style="width:415.3pt;height:1.5pt" o:hralign="center" o:hrstd="t" o:hr="t" fillcolor="#a0a0a0" stroked="f"/>
        </w:pict>
      </w:r>
    </w:p>
    <w:p w14:paraId="7AAFDBCE"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47907528" w14:textId="77777777" w:rsidR="00716E85" w:rsidRDefault="00716E85">
      <w:pPr>
        <w:pStyle w:val="a3"/>
        <w:spacing w:before="0" w:beforeAutospacing="0" w:after="0" w:afterAutospacing="0"/>
        <w:rPr>
          <w:sz w:val="20"/>
          <w:szCs w:val="20"/>
        </w:rPr>
      </w:pPr>
      <w:r>
        <w:rPr>
          <w:sz w:val="20"/>
          <w:szCs w:val="20"/>
        </w:rPr>
        <w:t> </w:t>
      </w:r>
    </w:p>
    <w:p w14:paraId="0BEB5B2C"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94"/>
        <w:gridCol w:w="83"/>
        <w:gridCol w:w="117"/>
        <w:gridCol w:w="413"/>
        <w:gridCol w:w="71"/>
        <w:gridCol w:w="83"/>
        <w:gridCol w:w="579"/>
        <w:gridCol w:w="83"/>
        <w:gridCol w:w="581"/>
        <w:gridCol w:w="83"/>
        <w:gridCol w:w="117"/>
        <w:gridCol w:w="417"/>
        <w:gridCol w:w="71"/>
        <w:gridCol w:w="83"/>
        <w:gridCol w:w="117"/>
        <w:gridCol w:w="471"/>
        <w:gridCol w:w="71"/>
        <w:gridCol w:w="83"/>
        <w:gridCol w:w="579"/>
        <w:gridCol w:w="84"/>
        <w:gridCol w:w="582"/>
        <w:gridCol w:w="84"/>
        <w:gridCol w:w="117"/>
        <w:gridCol w:w="471"/>
        <w:gridCol w:w="72"/>
      </w:tblGrid>
      <w:tr w:rsidR="00716E85" w14:paraId="38BF801A" w14:textId="77777777">
        <w:tc>
          <w:tcPr>
            <w:tcW w:w="1688" w:type="pct"/>
            <w:shd w:val="clear" w:color="auto" w:fill="FFFFFF"/>
            <w:tcMar>
              <w:top w:w="15" w:type="dxa"/>
              <w:left w:w="0" w:type="dxa"/>
              <w:bottom w:w="0" w:type="dxa"/>
              <w:right w:w="15" w:type="dxa"/>
            </w:tcMar>
            <w:vAlign w:val="center"/>
            <w:hideMark/>
          </w:tcPr>
          <w:p w14:paraId="5F156014"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5213C8D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5C0CB75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6EE1AF1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307BB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3AB8F66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64D0C91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768B6BB" w14:textId="77777777">
        <w:tc>
          <w:tcPr>
            <w:tcW w:w="1688" w:type="pct"/>
            <w:shd w:val="clear" w:color="auto" w:fill="FFFFFF"/>
            <w:tcMar>
              <w:top w:w="15" w:type="dxa"/>
              <w:left w:w="0" w:type="dxa"/>
              <w:bottom w:w="0" w:type="dxa"/>
              <w:right w:w="15" w:type="dxa"/>
            </w:tcMar>
            <w:vAlign w:val="center"/>
            <w:hideMark/>
          </w:tcPr>
          <w:p w14:paraId="25A22BE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97A26A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3E2B008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12BF5B8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522673B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283276D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051E5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666AF24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FDEABB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0C6DB43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7A67E2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7943CEB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395EA6D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7F34385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1162231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7CE9204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87B4A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6F2A76D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B1EA9F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726C479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3F046A2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4CEDA3FF"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7736DAA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0E6E434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3716FCB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7E8D13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center"/>
            <w:hideMark/>
          </w:tcPr>
          <w:p w14:paraId="09B0012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2A0A6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27DD7F8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718E9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center"/>
            <w:hideMark/>
          </w:tcPr>
          <w:p w14:paraId="5A792EE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609E06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3F208D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749CFB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5B1539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EE10B6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A7FE4D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7B8F5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A37822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89FCA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3EAF23C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FFC8CA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6AC596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20E38A6" w14:textId="77777777">
        <w:tc>
          <w:tcPr>
            <w:tcW w:w="1688" w:type="pct"/>
            <w:tcBorders>
              <w:top w:val="single" w:sz="6" w:space="0" w:color="000000"/>
            </w:tcBorders>
            <w:shd w:val="clear" w:color="auto" w:fill="CFF0FC"/>
            <w:tcMar>
              <w:top w:w="15" w:type="dxa"/>
              <w:left w:w="0" w:type="dxa"/>
              <w:bottom w:w="0" w:type="dxa"/>
              <w:right w:w="15" w:type="dxa"/>
            </w:tcMar>
            <w:hideMark/>
          </w:tcPr>
          <w:p w14:paraId="53B94BAC"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p>
        </w:tc>
        <w:tc>
          <w:tcPr>
            <w:tcW w:w="57" w:type="pct"/>
            <w:shd w:val="clear" w:color="auto" w:fill="CFF0FC"/>
            <w:tcMar>
              <w:top w:w="15" w:type="dxa"/>
              <w:left w:w="0" w:type="dxa"/>
              <w:bottom w:w="0" w:type="dxa"/>
              <w:right w:w="15" w:type="dxa"/>
            </w:tcMar>
            <w:vAlign w:val="bottom"/>
            <w:hideMark/>
          </w:tcPr>
          <w:p w14:paraId="0698DDC1"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7FE7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2E27C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C8DB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5AB5B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9EA2B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79F841C" w14:textId="77777777" w:rsidR="00716E85" w:rsidRDefault="00716E85">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D9BEC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1D965D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25E2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64645FC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BA27A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59143B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E0512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895EE2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DE35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9BFAEBB" w14:textId="77777777" w:rsidR="00716E85" w:rsidRDefault="00716E85">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99F226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8F8E8BF" w14:textId="77777777" w:rsidR="00716E85" w:rsidRDefault="00716E85">
            <w:pPr>
              <w:pStyle w:val="a3"/>
              <w:spacing w:before="0" w:beforeAutospacing="0" w:after="0" w:afterAutospacing="0"/>
              <w:jc w:val="center"/>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005BAD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6DE4A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E5ECB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7B6B08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9DE2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EF5CD86" w14:textId="77777777">
        <w:tc>
          <w:tcPr>
            <w:tcW w:w="1688" w:type="pct"/>
            <w:shd w:val="clear" w:color="auto" w:fill="FFFFFF"/>
            <w:tcMar>
              <w:top w:w="15" w:type="dxa"/>
              <w:left w:w="0" w:type="dxa"/>
              <w:bottom w:w="0" w:type="dxa"/>
              <w:right w:w="15" w:type="dxa"/>
            </w:tcMar>
            <w:hideMark/>
          </w:tcPr>
          <w:p w14:paraId="26A039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FFFFFF"/>
            <w:tcMar>
              <w:top w:w="15" w:type="dxa"/>
              <w:left w:w="0" w:type="dxa"/>
              <w:bottom w:w="0" w:type="dxa"/>
              <w:right w:w="15" w:type="dxa"/>
            </w:tcMar>
            <w:vAlign w:val="bottom"/>
            <w:hideMark/>
          </w:tcPr>
          <w:p w14:paraId="6BD582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03ED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26AB39B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374</w:t>
            </w:r>
          </w:p>
        </w:tc>
        <w:tc>
          <w:tcPr>
            <w:tcW w:w="50" w:type="pct"/>
            <w:shd w:val="clear" w:color="auto" w:fill="FFFFFF"/>
            <w:noWrap/>
            <w:tcMar>
              <w:top w:w="15" w:type="dxa"/>
              <w:left w:w="0" w:type="dxa"/>
              <w:bottom w:w="0" w:type="dxa"/>
              <w:right w:w="15" w:type="dxa"/>
            </w:tcMar>
            <w:vAlign w:val="bottom"/>
            <w:hideMark/>
          </w:tcPr>
          <w:p w14:paraId="11D2CB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EE5E2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42BF9D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161D68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1469D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0D2573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CAE1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3230AE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385</w:t>
            </w:r>
          </w:p>
        </w:tc>
        <w:tc>
          <w:tcPr>
            <w:tcW w:w="50" w:type="pct"/>
            <w:shd w:val="clear" w:color="auto" w:fill="FFFFFF"/>
            <w:noWrap/>
            <w:tcMar>
              <w:top w:w="15" w:type="dxa"/>
              <w:left w:w="0" w:type="dxa"/>
              <w:bottom w:w="0" w:type="dxa"/>
              <w:right w:w="15" w:type="dxa"/>
            </w:tcMar>
            <w:vAlign w:val="bottom"/>
            <w:hideMark/>
          </w:tcPr>
          <w:p w14:paraId="10A54C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06E55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CF72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186DBA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1,177</w:t>
            </w:r>
          </w:p>
        </w:tc>
        <w:tc>
          <w:tcPr>
            <w:tcW w:w="50" w:type="pct"/>
            <w:shd w:val="clear" w:color="auto" w:fill="FFFFFF"/>
            <w:noWrap/>
            <w:tcMar>
              <w:top w:w="15" w:type="dxa"/>
              <w:left w:w="0" w:type="dxa"/>
              <w:bottom w:w="0" w:type="dxa"/>
              <w:right w:w="15" w:type="dxa"/>
            </w:tcMar>
            <w:vAlign w:val="bottom"/>
            <w:hideMark/>
          </w:tcPr>
          <w:p w14:paraId="44A107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09942C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2A30B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vAlign w:val="bottom"/>
            <w:hideMark/>
          </w:tcPr>
          <w:p w14:paraId="03EB03C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9FDBDC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4665F0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C578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shd w:val="clear" w:color="auto" w:fill="FFFFFF"/>
            <w:noWrap/>
            <w:tcMar>
              <w:top w:w="15" w:type="dxa"/>
              <w:left w:w="0" w:type="dxa"/>
              <w:bottom w:w="0" w:type="dxa"/>
              <w:right w:w="15" w:type="dxa"/>
            </w:tcMar>
            <w:vAlign w:val="bottom"/>
            <w:hideMark/>
          </w:tcPr>
          <w:p w14:paraId="65B9918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1,226</w:t>
            </w:r>
          </w:p>
        </w:tc>
        <w:tc>
          <w:tcPr>
            <w:tcW w:w="50" w:type="pct"/>
            <w:shd w:val="clear" w:color="auto" w:fill="FFFFFF"/>
            <w:noWrap/>
            <w:tcMar>
              <w:top w:w="15" w:type="dxa"/>
              <w:left w:w="0" w:type="dxa"/>
              <w:bottom w:w="0" w:type="dxa"/>
              <w:right w:w="15" w:type="dxa"/>
            </w:tcMar>
            <w:vAlign w:val="bottom"/>
            <w:hideMark/>
          </w:tcPr>
          <w:p w14:paraId="1B1064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383B863" w14:textId="77777777">
        <w:tc>
          <w:tcPr>
            <w:tcW w:w="1688" w:type="pct"/>
            <w:shd w:val="clear" w:color="auto" w:fill="CFF0FC"/>
            <w:tcMar>
              <w:top w:w="15" w:type="dxa"/>
              <w:left w:w="0" w:type="dxa"/>
              <w:bottom w:w="0" w:type="dxa"/>
              <w:right w:w="15" w:type="dxa"/>
            </w:tcMar>
            <w:hideMark/>
          </w:tcPr>
          <w:p w14:paraId="16DA7B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57" w:type="pct"/>
            <w:shd w:val="clear" w:color="auto" w:fill="CFF0FC"/>
            <w:tcMar>
              <w:top w:w="15" w:type="dxa"/>
              <w:left w:w="0" w:type="dxa"/>
              <w:bottom w:w="0" w:type="dxa"/>
              <w:right w:w="15" w:type="dxa"/>
            </w:tcMar>
            <w:vAlign w:val="bottom"/>
            <w:hideMark/>
          </w:tcPr>
          <w:p w14:paraId="56B628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4ECE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5B568E8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245</w:t>
            </w:r>
          </w:p>
        </w:tc>
        <w:tc>
          <w:tcPr>
            <w:tcW w:w="50" w:type="pct"/>
            <w:shd w:val="clear" w:color="auto" w:fill="CFF0FC"/>
            <w:noWrap/>
            <w:tcMar>
              <w:top w:w="15" w:type="dxa"/>
              <w:left w:w="0" w:type="dxa"/>
              <w:bottom w:w="0" w:type="dxa"/>
              <w:right w:w="15" w:type="dxa"/>
            </w:tcMar>
            <w:vAlign w:val="bottom"/>
            <w:hideMark/>
          </w:tcPr>
          <w:p w14:paraId="22A697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C08338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1AD9CD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4C675D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46B2B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0E7FE9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3370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3C5CA3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48E6A35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3147C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0A28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4D104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760</w:t>
            </w:r>
          </w:p>
        </w:tc>
        <w:tc>
          <w:tcPr>
            <w:tcW w:w="50" w:type="pct"/>
            <w:shd w:val="clear" w:color="auto" w:fill="CFF0FC"/>
            <w:noWrap/>
            <w:tcMar>
              <w:top w:w="15" w:type="dxa"/>
              <w:left w:w="0" w:type="dxa"/>
              <w:bottom w:w="0" w:type="dxa"/>
              <w:right w:w="15" w:type="dxa"/>
            </w:tcMar>
            <w:vAlign w:val="bottom"/>
            <w:hideMark/>
          </w:tcPr>
          <w:p w14:paraId="019B459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CCA622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B23CB3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6737842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7D6769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599104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60EE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40993E2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771</w:t>
            </w:r>
          </w:p>
        </w:tc>
        <w:tc>
          <w:tcPr>
            <w:tcW w:w="50" w:type="pct"/>
            <w:shd w:val="clear" w:color="auto" w:fill="CFF0FC"/>
            <w:noWrap/>
            <w:tcMar>
              <w:top w:w="15" w:type="dxa"/>
              <w:left w:w="0" w:type="dxa"/>
              <w:bottom w:w="0" w:type="dxa"/>
              <w:right w:w="15" w:type="dxa"/>
            </w:tcMar>
            <w:vAlign w:val="bottom"/>
            <w:hideMark/>
          </w:tcPr>
          <w:p w14:paraId="51F1C79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50B3CD9" w14:textId="77777777">
        <w:tc>
          <w:tcPr>
            <w:tcW w:w="1688" w:type="pct"/>
            <w:shd w:val="clear" w:color="auto" w:fill="FFFFFF"/>
            <w:tcMar>
              <w:top w:w="15" w:type="dxa"/>
              <w:left w:w="0" w:type="dxa"/>
              <w:bottom w:w="0" w:type="dxa"/>
              <w:right w:w="15" w:type="dxa"/>
            </w:tcMar>
            <w:hideMark/>
          </w:tcPr>
          <w:p w14:paraId="2F458C7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57" w:type="pct"/>
            <w:shd w:val="clear" w:color="auto" w:fill="FFFFFF"/>
            <w:tcMar>
              <w:top w:w="15" w:type="dxa"/>
              <w:left w:w="0" w:type="dxa"/>
              <w:bottom w:w="0" w:type="dxa"/>
              <w:right w:w="15" w:type="dxa"/>
            </w:tcMar>
            <w:vAlign w:val="bottom"/>
            <w:hideMark/>
          </w:tcPr>
          <w:p w14:paraId="1A29F3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6EE8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7E73F3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167</w:t>
            </w:r>
          </w:p>
        </w:tc>
        <w:tc>
          <w:tcPr>
            <w:tcW w:w="50" w:type="pct"/>
            <w:shd w:val="clear" w:color="auto" w:fill="FFFFFF"/>
            <w:noWrap/>
            <w:tcMar>
              <w:top w:w="15" w:type="dxa"/>
              <w:left w:w="0" w:type="dxa"/>
              <w:bottom w:w="0" w:type="dxa"/>
              <w:right w:w="15" w:type="dxa"/>
            </w:tcMar>
            <w:vAlign w:val="bottom"/>
            <w:hideMark/>
          </w:tcPr>
          <w:p w14:paraId="7D7038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53E2AF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D0414E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FFFFFF"/>
            <w:tcMar>
              <w:top w:w="15" w:type="dxa"/>
              <w:left w:w="0" w:type="dxa"/>
              <w:bottom w:w="0" w:type="dxa"/>
              <w:right w:w="15" w:type="dxa"/>
            </w:tcMar>
            <w:vAlign w:val="bottom"/>
            <w:hideMark/>
          </w:tcPr>
          <w:p w14:paraId="30A20E4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40B5E8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7" w:type="pct"/>
            <w:shd w:val="clear" w:color="auto" w:fill="FFFFFF"/>
            <w:tcMar>
              <w:top w:w="15" w:type="dxa"/>
              <w:left w:w="0" w:type="dxa"/>
              <w:bottom w:w="0" w:type="dxa"/>
              <w:right w:w="15" w:type="dxa"/>
            </w:tcMar>
            <w:vAlign w:val="bottom"/>
            <w:hideMark/>
          </w:tcPr>
          <w:p w14:paraId="5336A1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D730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677F12D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161</w:t>
            </w:r>
          </w:p>
        </w:tc>
        <w:tc>
          <w:tcPr>
            <w:tcW w:w="50" w:type="pct"/>
            <w:shd w:val="clear" w:color="auto" w:fill="FFFFFF"/>
            <w:noWrap/>
            <w:tcMar>
              <w:top w:w="15" w:type="dxa"/>
              <w:left w:w="0" w:type="dxa"/>
              <w:bottom w:w="0" w:type="dxa"/>
              <w:right w:w="15" w:type="dxa"/>
            </w:tcMar>
            <w:vAlign w:val="bottom"/>
            <w:hideMark/>
          </w:tcPr>
          <w:p w14:paraId="110337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369589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B79B5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72E7B7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479</w:t>
            </w:r>
          </w:p>
        </w:tc>
        <w:tc>
          <w:tcPr>
            <w:tcW w:w="50" w:type="pct"/>
            <w:shd w:val="clear" w:color="auto" w:fill="FFFFFF"/>
            <w:noWrap/>
            <w:tcMar>
              <w:top w:w="15" w:type="dxa"/>
              <w:left w:w="0" w:type="dxa"/>
              <w:bottom w:w="0" w:type="dxa"/>
              <w:right w:w="15" w:type="dxa"/>
            </w:tcMar>
            <w:vAlign w:val="bottom"/>
            <w:hideMark/>
          </w:tcPr>
          <w:p w14:paraId="5D4321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37592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07622E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FFFFFF"/>
            <w:tcMar>
              <w:top w:w="15" w:type="dxa"/>
              <w:left w:w="0" w:type="dxa"/>
              <w:bottom w:w="0" w:type="dxa"/>
              <w:right w:w="15" w:type="dxa"/>
            </w:tcMar>
            <w:vAlign w:val="bottom"/>
            <w:hideMark/>
          </w:tcPr>
          <w:p w14:paraId="4F263F0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94BD49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3D2798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08783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66F97D5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515</w:t>
            </w:r>
          </w:p>
        </w:tc>
        <w:tc>
          <w:tcPr>
            <w:tcW w:w="50" w:type="pct"/>
            <w:shd w:val="clear" w:color="auto" w:fill="FFFFFF"/>
            <w:noWrap/>
            <w:tcMar>
              <w:top w:w="15" w:type="dxa"/>
              <w:left w:w="0" w:type="dxa"/>
              <w:bottom w:w="0" w:type="dxa"/>
              <w:right w:w="15" w:type="dxa"/>
            </w:tcMar>
            <w:vAlign w:val="bottom"/>
            <w:hideMark/>
          </w:tcPr>
          <w:p w14:paraId="0C4A9A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CFE1F28" w14:textId="77777777">
        <w:tc>
          <w:tcPr>
            <w:tcW w:w="1688" w:type="pct"/>
            <w:shd w:val="clear" w:color="auto" w:fill="CFF0FC"/>
            <w:tcMar>
              <w:top w:w="15" w:type="dxa"/>
              <w:left w:w="0" w:type="dxa"/>
              <w:bottom w:w="0" w:type="dxa"/>
              <w:right w:w="15" w:type="dxa"/>
            </w:tcMar>
            <w:hideMark/>
          </w:tcPr>
          <w:p w14:paraId="3B2A16E4"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57" w:type="pct"/>
            <w:shd w:val="clear" w:color="auto" w:fill="CFF0FC"/>
            <w:tcMar>
              <w:top w:w="15" w:type="dxa"/>
              <w:left w:w="0" w:type="dxa"/>
              <w:bottom w:w="0" w:type="dxa"/>
              <w:right w:w="15" w:type="dxa"/>
            </w:tcMar>
            <w:vAlign w:val="bottom"/>
            <w:hideMark/>
          </w:tcPr>
          <w:p w14:paraId="58BCFC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27D6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467BB6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786</w:t>
            </w:r>
          </w:p>
        </w:tc>
        <w:tc>
          <w:tcPr>
            <w:tcW w:w="50" w:type="pct"/>
            <w:shd w:val="clear" w:color="auto" w:fill="CFF0FC"/>
            <w:noWrap/>
            <w:tcMar>
              <w:top w:w="15" w:type="dxa"/>
              <w:left w:w="0" w:type="dxa"/>
              <w:bottom w:w="0" w:type="dxa"/>
              <w:right w:w="15" w:type="dxa"/>
            </w:tcMar>
            <w:vAlign w:val="bottom"/>
            <w:hideMark/>
          </w:tcPr>
          <w:p w14:paraId="5A8E3F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E2EC6F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392CA4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31666DD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18FBFF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42C46D2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9C45C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A2D267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796</w:t>
            </w:r>
          </w:p>
        </w:tc>
        <w:tc>
          <w:tcPr>
            <w:tcW w:w="50" w:type="pct"/>
            <w:shd w:val="clear" w:color="auto" w:fill="CFF0FC"/>
            <w:noWrap/>
            <w:tcMar>
              <w:top w:w="15" w:type="dxa"/>
              <w:left w:w="0" w:type="dxa"/>
              <w:bottom w:w="0" w:type="dxa"/>
              <w:right w:w="15" w:type="dxa"/>
            </w:tcMar>
            <w:vAlign w:val="bottom"/>
            <w:hideMark/>
          </w:tcPr>
          <w:p w14:paraId="3128F7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B9C548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63556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8CEFC4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2,416</w:t>
            </w:r>
          </w:p>
        </w:tc>
        <w:tc>
          <w:tcPr>
            <w:tcW w:w="50" w:type="pct"/>
            <w:shd w:val="clear" w:color="auto" w:fill="CFF0FC"/>
            <w:noWrap/>
            <w:tcMar>
              <w:top w:w="15" w:type="dxa"/>
              <w:left w:w="0" w:type="dxa"/>
              <w:bottom w:w="0" w:type="dxa"/>
              <w:right w:w="15" w:type="dxa"/>
            </w:tcMar>
            <w:vAlign w:val="bottom"/>
            <w:hideMark/>
          </w:tcPr>
          <w:p w14:paraId="07B1C0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93F815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4510DB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5488FB8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6264B2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261DDA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49D2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52582A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2,512</w:t>
            </w:r>
          </w:p>
        </w:tc>
        <w:tc>
          <w:tcPr>
            <w:tcW w:w="50" w:type="pct"/>
            <w:shd w:val="clear" w:color="auto" w:fill="CFF0FC"/>
            <w:noWrap/>
            <w:tcMar>
              <w:top w:w="15" w:type="dxa"/>
              <w:left w:w="0" w:type="dxa"/>
              <w:bottom w:w="0" w:type="dxa"/>
              <w:right w:w="15" w:type="dxa"/>
            </w:tcMar>
            <w:vAlign w:val="bottom"/>
            <w:hideMark/>
          </w:tcPr>
          <w:p w14:paraId="4B1342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AF6FA73" w14:textId="77777777">
        <w:tc>
          <w:tcPr>
            <w:tcW w:w="1688" w:type="pct"/>
            <w:shd w:val="clear" w:color="auto" w:fill="FFFFFF"/>
            <w:tcMar>
              <w:top w:w="15" w:type="dxa"/>
              <w:left w:w="0" w:type="dxa"/>
              <w:bottom w:w="0" w:type="dxa"/>
              <w:right w:w="15" w:type="dxa"/>
            </w:tcMar>
            <w:hideMark/>
          </w:tcPr>
          <w:p w14:paraId="7BFE184B"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Expenses</w:t>
            </w:r>
            <w:r>
              <w:rPr>
                <w:rFonts w:ascii="Calibri" w:hAnsi="Calibri" w:cs="Calibri"/>
                <w:color w:val="000000"/>
                <w:sz w:val="17"/>
                <w:szCs w:val="17"/>
                <w:vertAlign w:val="superscript"/>
              </w:rPr>
              <w:t>(1)</w:t>
            </w:r>
          </w:p>
        </w:tc>
        <w:tc>
          <w:tcPr>
            <w:tcW w:w="57" w:type="pct"/>
            <w:shd w:val="clear" w:color="auto" w:fill="FFFFFF"/>
            <w:tcMar>
              <w:top w:w="15" w:type="dxa"/>
              <w:left w:w="0" w:type="dxa"/>
              <w:bottom w:w="0" w:type="dxa"/>
              <w:right w:w="15" w:type="dxa"/>
            </w:tcMar>
            <w:vAlign w:val="bottom"/>
            <w:hideMark/>
          </w:tcPr>
          <w:p w14:paraId="5DF702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82738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39D04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662</w:t>
            </w:r>
          </w:p>
        </w:tc>
        <w:tc>
          <w:tcPr>
            <w:tcW w:w="50" w:type="pct"/>
            <w:shd w:val="clear" w:color="auto" w:fill="FFFFFF"/>
            <w:noWrap/>
            <w:tcMar>
              <w:top w:w="15" w:type="dxa"/>
              <w:left w:w="0" w:type="dxa"/>
              <w:bottom w:w="0" w:type="dxa"/>
              <w:right w:w="15" w:type="dxa"/>
            </w:tcMar>
            <w:vAlign w:val="bottom"/>
            <w:hideMark/>
          </w:tcPr>
          <w:p w14:paraId="79AFCC0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832A8F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A89F5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19A40E0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5B9E9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084167A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031D8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35991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673</w:t>
            </w:r>
          </w:p>
        </w:tc>
        <w:tc>
          <w:tcPr>
            <w:tcW w:w="50" w:type="pct"/>
            <w:shd w:val="clear" w:color="auto" w:fill="FFFFFF"/>
            <w:noWrap/>
            <w:tcMar>
              <w:top w:w="15" w:type="dxa"/>
              <w:left w:w="0" w:type="dxa"/>
              <w:bottom w:w="0" w:type="dxa"/>
              <w:right w:w="15" w:type="dxa"/>
            </w:tcMar>
            <w:vAlign w:val="bottom"/>
            <w:hideMark/>
          </w:tcPr>
          <w:p w14:paraId="3E39F33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034EE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BE17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C8F75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2,015</w:t>
            </w:r>
          </w:p>
        </w:tc>
        <w:tc>
          <w:tcPr>
            <w:tcW w:w="50" w:type="pct"/>
            <w:shd w:val="clear" w:color="auto" w:fill="FFFFFF"/>
            <w:noWrap/>
            <w:tcMar>
              <w:top w:w="15" w:type="dxa"/>
              <w:left w:w="0" w:type="dxa"/>
              <w:bottom w:w="0" w:type="dxa"/>
              <w:right w:w="15" w:type="dxa"/>
            </w:tcMar>
            <w:vAlign w:val="bottom"/>
            <w:hideMark/>
          </w:tcPr>
          <w:p w14:paraId="169B9B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AAE00B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05E8A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FFFFFF"/>
            <w:tcMar>
              <w:top w:w="15" w:type="dxa"/>
              <w:left w:w="0" w:type="dxa"/>
              <w:bottom w:w="0" w:type="dxa"/>
              <w:right w:w="15" w:type="dxa"/>
            </w:tcMar>
            <w:vAlign w:val="bottom"/>
            <w:hideMark/>
          </w:tcPr>
          <w:p w14:paraId="35F453C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93EB5C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75CFC3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9447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598ADB9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2,015</w:t>
            </w:r>
          </w:p>
        </w:tc>
        <w:tc>
          <w:tcPr>
            <w:tcW w:w="50" w:type="pct"/>
            <w:shd w:val="clear" w:color="auto" w:fill="FFFFFF"/>
            <w:noWrap/>
            <w:tcMar>
              <w:top w:w="15" w:type="dxa"/>
              <w:left w:w="0" w:type="dxa"/>
              <w:bottom w:w="0" w:type="dxa"/>
              <w:right w:w="15" w:type="dxa"/>
            </w:tcMar>
            <w:vAlign w:val="bottom"/>
            <w:hideMark/>
          </w:tcPr>
          <w:p w14:paraId="3F17467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186EBDDB" w14:textId="77777777">
        <w:tc>
          <w:tcPr>
            <w:tcW w:w="1688" w:type="pct"/>
            <w:shd w:val="clear" w:color="auto" w:fill="CFF0FC"/>
            <w:tcMar>
              <w:top w:w="15" w:type="dxa"/>
              <w:left w:w="0" w:type="dxa"/>
              <w:bottom w:w="0" w:type="dxa"/>
              <w:right w:w="15" w:type="dxa"/>
            </w:tcMar>
            <w:hideMark/>
          </w:tcPr>
          <w:p w14:paraId="6FF308F5"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57" w:type="pct"/>
            <w:shd w:val="clear" w:color="auto" w:fill="CFF0FC"/>
            <w:tcMar>
              <w:top w:w="15" w:type="dxa"/>
              <w:left w:w="0" w:type="dxa"/>
              <w:bottom w:w="0" w:type="dxa"/>
              <w:right w:w="15" w:type="dxa"/>
            </w:tcMar>
            <w:vAlign w:val="bottom"/>
            <w:hideMark/>
          </w:tcPr>
          <w:p w14:paraId="59AB9085"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D41F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C37B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CFF0FC"/>
            <w:noWrap/>
            <w:tcMar>
              <w:top w:w="15" w:type="dxa"/>
              <w:left w:w="0" w:type="dxa"/>
              <w:bottom w:w="0" w:type="dxa"/>
              <w:right w:w="15" w:type="dxa"/>
            </w:tcMar>
            <w:vAlign w:val="bottom"/>
            <w:hideMark/>
          </w:tcPr>
          <w:p w14:paraId="4770C1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BC707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D84E2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CFF0FC"/>
            <w:tcMar>
              <w:top w:w="15" w:type="dxa"/>
              <w:left w:w="0" w:type="dxa"/>
              <w:bottom w:w="0" w:type="dxa"/>
              <w:right w:w="15" w:type="dxa"/>
            </w:tcMar>
            <w:vAlign w:val="bottom"/>
            <w:hideMark/>
          </w:tcPr>
          <w:p w14:paraId="5DFCC90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5B9F2F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09AB59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D8DE2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2A8D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123</w:t>
            </w:r>
          </w:p>
        </w:tc>
        <w:tc>
          <w:tcPr>
            <w:tcW w:w="50" w:type="pct"/>
            <w:shd w:val="clear" w:color="auto" w:fill="CFF0FC"/>
            <w:noWrap/>
            <w:tcMar>
              <w:top w:w="15" w:type="dxa"/>
              <w:left w:w="0" w:type="dxa"/>
              <w:bottom w:w="0" w:type="dxa"/>
              <w:right w:w="15" w:type="dxa"/>
            </w:tcMar>
            <w:vAlign w:val="bottom"/>
            <w:hideMark/>
          </w:tcPr>
          <w:p w14:paraId="56908B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251479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3444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2911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401</w:t>
            </w:r>
          </w:p>
        </w:tc>
        <w:tc>
          <w:tcPr>
            <w:tcW w:w="50" w:type="pct"/>
            <w:shd w:val="clear" w:color="auto" w:fill="CFF0FC"/>
            <w:noWrap/>
            <w:tcMar>
              <w:top w:w="15" w:type="dxa"/>
              <w:left w:w="0" w:type="dxa"/>
              <w:bottom w:w="0" w:type="dxa"/>
              <w:right w:w="15" w:type="dxa"/>
            </w:tcMar>
            <w:vAlign w:val="bottom"/>
            <w:hideMark/>
          </w:tcPr>
          <w:p w14:paraId="4DA180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7D7AE5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847C36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w:t>
            </w:r>
          </w:p>
        </w:tc>
        <w:tc>
          <w:tcPr>
            <w:tcW w:w="57" w:type="pct"/>
            <w:shd w:val="clear" w:color="auto" w:fill="CFF0FC"/>
            <w:tcMar>
              <w:top w:w="15" w:type="dxa"/>
              <w:left w:w="0" w:type="dxa"/>
              <w:bottom w:w="0" w:type="dxa"/>
              <w:right w:w="15" w:type="dxa"/>
            </w:tcMar>
            <w:vAlign w:val="bottom"/>
            <w:hideMark/>
          </w:tcPr>
          <w:p w14:paraId="342110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384D6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w:t>
            </w:r>
          </w:p>
        </w:tc>
        <w:tc>
          <w:tcPr>
            <w:tcW w:w="57" w:type="pct"/>
            <w:shd w:val="clear" w:color="auto" w:fill="CFF0FC"/>
            <w:tcMar>
              <w:top w:w="15" w:type="dxa"/>
              <w:left w:w="0" w:type="dxa"/>
              <w:bottom w:w="0" w:type="dxa"/>
              <w:right w:w="15" w:type="dxa"/>
            </w:tcMar>
            <w:vAlign w:val="bottom"/>
            <w:hideMark/>
          </w:tcPr>
          <w:p w14:paraId="4A3522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68272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B332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497</w:t>
            </w:r>
          </w:p>
        </w:tc>
        <w:tc>
          <w:tcPr>
            <w:tcW w:w="50" w:type="pct"/>
            <w:shd w:val="clear" w:color="auto" w:fill="CFF0FC"/>
            <w:noWrap/>
            <w:tcMar>
              <w:top w:w="15" w:type="dxa"/>
              <w:left w:w="0" w:type="dxa"/>
              <w:bottom w:w="0" w:type="dxa"/>
              <w:right w:w="15" w:type="dxa"/>
            </w:tcMar>
            <w:vAlign w:val="bottom"/>
            <w:hideMark/>
          </w:tcPr>
          <w:p w14:paraId="5EB673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98E8C21" w14:textId="77777777">
        <w:tc>
          <w:tcPr>
            <w:tcW w:w="1688" w:type="pct"/>
            <w:shd w:val="clear" w:color="auto" w:fill="FFFFFF"/>
            <w:tcMar>
              <w:top w:w="15" w:type="dxa"/>
              <w:left w:w="0" w:type="dxa"/>
              <w:bottom w:w="0" w:type="dxa"/>
              <w:right w:w="15" w:type="dxa"/>
            </w:tcMar>
            <w:hideMark/>
          </w:tcPr>
          <w:p w14:paraId="6B7628DD"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57" w:type="pct"/>
            <w:shd w:val="clear" w:color="auto" w:fill="FFFFFF"/>
            <w:tcMar>
              <w:top w:w="15" w:type="dxa"/>
              <w:left w:w="0" w:type="dxa"/>
              <w:bottom w:w="0" w:type="dxa"/>
              <w:right w:w="15" w:type="dxa"/>
            </w:tcMar>
            <w:vAlign w:val="bottom"/>
            <w:hideMark/>
          </w:tcPr>
          <w:p w14:paraId="2F0A89DE"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4257CC8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3D4F6B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AE1E07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66D76F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07AE3D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583625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C6120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751CB7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69AC9F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E7F37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1179BC1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17%</w:t>
            </w:r>
          </w:p>
        </w:tc>
        <w:tc>
          <w:tcPr>
            <w:tcW w:w="50" w:type="pct"/>
            <w:shd w:val="clear" w:color="auto" w:fill="FFFFFF"/>
            <w:noWrap/>
            <w:tcMar>
              <w:top w:w="15" w:type="dxa"/>
              <w:left w:w="0" w:type="dxa"/>
              <w:bottom w:w="0" w:type="dxa"/>
              <w:right w:w="15" w:type="dxa"/>
            </w:tcMar>
            <w:vAlign w:val="bottom"/>
            <w:hideMark/>
          </w:tcPr>
          <w:p w14:paraId="0631E2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2C088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F30A21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7C7CC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70CDE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3B0CA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00631D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757877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9DE3C3D" w14:textId="77777777">
        <w:tc>
          <w:tcPr>
            <w:tcW w:w="1688" w:type="pct"/>
            <w:shd w:val="clear" w:color="auto" w:fill="CFF0FC"/>
            <w:tcMar>
              <w:top w:w="15" w:type="dxa"/>
              <w:left w:w="0" w:type="dxa"/>
              <w:bottom w:w="0" w:type="dxa"/>
              <w:right w:w="15" w:type="dxa"/>
            </w:tcMar>
            <w:hideMark/>
          </w:tcPr>
          <w:p w14:paraId="5CA28941"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p>
        </w:tc>
        <w:tc>
          <w:tcPr>
            <w:tcW w:w="57" w:type="pct"/>
            <w:shd w:val="clear" w:color="auto" w:fill="CFF0FC"/>
            <w:tcMar>
              <w:top w:w="15" w:type="dxa"/>
              <w:left w:w="0" w:type="dxa"/>
              <w:bottom w:w="0" w:type="dxa"/>
              <w:right w:w="15" w:type="dxa"/>
            </w:tcMar>
            <w:vAlign w:val="bottom"/>
            <w:hideMark/>
          </w:tcPr>
          <w:p w14:paraId="62787673"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6512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3A94500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CE60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64E627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8236CE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216C5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E96F33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FFE453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B282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33CF78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F185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09029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A37E9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1C3C6F9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922D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3E6920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F7E17E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367B33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C53049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7E41D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4204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70A13EB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F082F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C6CFC04" w14:textId="77777777">
        <w:tc>
          <w:tcPr>
            <w:tcW w:w="1688" w:type="pct"/>
            <w:shd w:val="clear" w:color="auto" w:fill="FFFFFF"/>
            <w:tcMar>
              <w:top w:w="15" w:type="dxa"/>
              <w:left w:w="0" w:type="dxa"/>
              <w:bottom w:w="0" w:type="dxa"/>
              <w:right w:w="15" w:type="dxa"/>
            </w:tcMar>
            <w:hideMark/>
          </w:tcPr>
          <w:p w14:paraId="6DB9D4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Americas</w:t>
            </w:r>
          </w:p>
        </w:tc>
        <w:tc>
          <w:tcPr>
            <w:tcW w:w="57" w:type="pct"/>
            <w:shd w:val="clear" w:color="auto" w:fill="FFFFFF"/>
            <w:tcMar>
              <w:top w:w="15" w:type="dxa"/>
              <w:left w:w="0" w:type="dxa"/>
              <w:bottom w:w="0" w:type="dxa"/>
              <w:right w:w="15" w:type="dxa"/>
            </w:tcMar>
            <w:vAlign w:val="bottom"/>
            <w:hideMark/>
          </w:tcPr>
          <w:p w14:paraId="0D1F61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07E4E35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left w:w="0" w:type="dxa"/>
              <w:bottom w:w="0" w:type="dxa"/>
              <w:right w:w="15" w:type="dxa"/>
            </w:tcMar>
            <w:vAlign w:val="bottom"/>
            <w:hideMark/>
          </w:tcPr>
          <w:p w14:paraId="72F2AA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27FAF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76D13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E9D380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07C146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32695E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2A5239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50" w:type="pct"/>
            <w:shd w:val="clear" w:color="auto" w:fill="FFFFFF"/>
            <w:noWrap/>
            <w:tcMar>
              <w:top w:w="15" w:type="dxa"/>
              <w:left w:w="0" w:type="dxa"/>
              <w:bottom w:w="0" w:type="dxa"/>
              <w:right w:w="15" w:type="dxa"/>
            </w:tcMar>
            <w:vAlign w:val="bottom"/>
            <w:hideMark/>
          </w:tcPr>
          <w:p w14:paraId="2F76C6B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AB140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7D0184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3E41C9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CD16D2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954EB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9D4A2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D7274D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AF803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17AAA78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08E9CD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9C172EC" w14:textId="77777777">
        <w:tc>
          <w:tcPr>
            <w:tcW w:w="1688" w:type="pct"/>
            <w:shd w:val="clear" w:color="auto" w:fill="CFF0FC"/>
            <w:tcMar>
              <w:top w:w="15" w:type="dxa"/>
              <w:left w:w="0" w:type="dxa"/>
              <w:bottom w:w="0" w:type="dxa"/>
              <w:right w:w="15" w:type="dxa"/>
            </w:tcMar>
            <w:hideMark/>
          </w:tcPr>
          <w:p w14:paraId="4C0CDC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EMEA</w:t>
            </w:r>
          </w:p>
        </w:tc>
        <w:tc>
          <w:tcPr>
            <w:tcW w:w="57" w:type="pct"/>
            <w:shd w:val="clear" w:color="auto" w:fill="CFF0FC"/>
            <w:tcMar>
              <w:top w:w="15" w:type="dxa"/>
              <w:left w:w="0" w:type="dxa"/>
              <w:bottom w:w="0" w:type="dxa"/>
              <w:right w:w="15" w:type="dxa"/>
            </w:tcMar>
            <w:vAlign w:val="bottom"/>
            <w:hideMark/>
          </w:tcPr>
          <w:p w14:paraId="2463AE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F31F52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5A9690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D3C808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51A8B6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6631DF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381C9C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526957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444186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20E0D8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CE47A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431CA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553A27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31381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E5772E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BDEF94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40D127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48985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6AD20F3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179E2A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C1F2136" w14:textId="77777777">
        <w:tc>
          <w:tcPr>
            <w:tcW w:w="1688" w:type="pct"/>
            <w:shd w:val="clear" w:color="auto" w:fill="FFFFFF"/>
            <w:tcMar>
              <w:top w:w="15" w:type="dxa"/>
              <w:left w:w="0" w:type="dxa"/>
              <w:bottom w:w="0" w:type="dxa"/>
              <w:right w:w="15" w:type="dxa"/>
            </w:tcMar>
            <w:hideMark/>
          </w:tcPr>
          <w:p w14:paraId="7D6294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Asia Pacific</w:t>
            </w:r>
          </w:p>
        </w:tc>
        <w:tc>
          <w:tcPr>
            <w:tcW w:w="57" w:type="pct"/>
            <w:shd w:val="clear" w:color="auto" w:fill="FFFFFF"/>
            <w:tcMar>
              <w:top w:w="15" w:type="dxa"/>
              <w:left w:w="0" w:type="dxa"/>
              <w:bottom w:w="0" w:type="dxa"/>
              <w:right w:w="15" w:type="dxa"/>
            </w:tcMar>
            <w:vAlign w:val="bottom"/>
            <w:hideMark/>
          </w:tcPr>
          <w:p w14:paraId="49F78B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8C008D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left w:w="0" w:type="dxa"/>
              <w:bottom w:w="0" w:type="dxa"/>
              <w:right w:w="15" w:type="dxa"/>
            </w:tcMar>
            <w:vAlign w:val="bottom"/>
            <w:hideMark/>
          </w:tcPr>
          <w:p w14:paraId="3A2029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ED4993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D07A3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9093D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276A61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CCF49F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7755D26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3276EB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73A4A5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242D70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4940F9B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CB7F1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7BFC6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32E127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987E2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D0B54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76BC4AA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308A139C"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149F0C8" w14:textId="77777777" w:rsidR="00716E85" w:rsidRDefault="00716E85">
      <w:pPr>
        <w:pStyle w:val="a3"/>
        <w:pBdr>
          <w:bottom w:val="single" w:sz="6" w:space="1" w:color="auto"/>
        </w:pBdr>
        <w:spacing w:before="0" w:beforeAutospacing="0" w:after="0" w:afterAutospacing="0"/>
        <w:ind w:right="10477"/>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5B97022B" w14:textId="77777777">
        <w:tc>
          <w:tcPr>
            <w:tcW w:w="192" w:type="pct"/>
            <w:noWrap/>
            <w:hideMark/>
          </w:tcPr>
          <w:p w14:paraId="5CA6EC2A"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0ABEFA5A"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Excludes stock-based compensation and certain allocations. Also excludes certain other GAAP-based expenses, which were not allocated to our operating segment results for purposes of reporting to and review by our CODMs, as further described under “Presentation of Operating Segments and Other Financial Information” above.</w:t>
            </w:r>
          </w:p>
        </w:tc>
      </w:tr>
    </w:tbl>
    <w:p w14:paraId="4B3B23A8"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Fiscal Third Quarter 2019 Compared to Fiscal Third Quarter 2018</w:t>
      </w:r>
      <w:r>
        <w:rPr>
          <w:rFonts w:ascii="Calibri" w:hAnsi="Calibri" w:cs="Calibri"/>
          <w:sz w:val="20"/>
          <w:szCs w:val="20"/>
        </w:rPr>
        <w:t>: Excluding the effects of currency rate fluctuations, our total services revenues increased during the third quarter of fiscal 2019 primarily due to an increase in our consulting revenues. On a constant currency basis, total services revenues growth during the third quarter of fiscal 2019 was attributable to the EMEA and Asia Pacific regions.</w:t>
      </w:r>
    </w:p>
    <w:p w14:paraId="36D3BD6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constant currency, total services expenses increased during the third quarter of fiscal 2019 relative to the corresponding prior year period primarily due to an increase in employee related expenses and external contractor expenses associated with our consulting offerings. In constant currency, total margin increased slightly during the third quarter of fiscal 2019 relative to the corresponding prior year period, while total margin as a percentage of total services revenues was constant during the third quarter of fiscal 2019.</w:t>
      </w:r>
    </w:p>
    <w:p w14:paraId="7416A675"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 xml:space="preserve">First Nine Months Fiscal 2019 Compared to First Nine Months Fiscal 2018: </w:t>
      </w:r>
      <w:r>
        <w:rPr>
          <w:rFonts w:ascii="Calibri" w:hAnsi="Calibri" w:cs="Calibri"/>
          <w:sz w:val="20"/>
          <w:szCs w:val="20"/>
        </w:rPr>
        <w:t>Excluding the effects of currency rate fluctuations, our total services revenues decreased in the first nine months of fiscal 2019 due to revenue declines in our consulting services and education services. Constant currency increases in our services revenues in the EMEA region were offset by constant currency services revenues decreases in the Americas and Asia Pacific regions.</w:t>
      </w:r>
    </w:p>
    <w:p w14:paraId="23FCC89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constant currency, total services expenses increased during the first nine months of fiscal 2019 relative to the corresponding prior year period primarily due to similar reasons as noted above. In constant currency, total margin and total margin as a percentage of total services revenues decreased during the first nine months of fiscal 2019 due to the decreases in revenues and increased expenses for this business.</w:t>
      </w:r>
    </w:p>
    <w:p w14:paraId="33A947D1"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Research and Development Expenses:</w:t>
      </w:r>
      <w:r>
        <w:rPr>
          <w:rFonts w:ascii="Calibri" w:hAnsi="Calibri" w:cs="Calibri"/>
          <w:sz w:val="20"/>
          <w:szCs w:val="20"/>
        </w:rPr>
        <w:t>   Research and development expenses consist primarily of personnel related expenditures. We intend to continue to invest significantly in our research and development efforts because, in our judgment, they are essential to maintaining our competitive position.</w:t>
      </w:r>
    </w:p>
    <w:p w14:paraId="0034DE6B"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87"/>
        <w:gridCol w:w="76"/>
        <w:gridCol w:w="117"/>
        <w:gridCol w:w="471"/>
        <w:gridCol w:w="64"/>
        <w:gridCol w:w="76"/>
        <w:gridCol w:w="572"/>
        <w:gridCol w:w="76"/>
        <w:gridCol w:w="575"/>
        <w:gridCol w:w="77"/>
        <w:gridCol w:w="117"/>
        <w:gridCol w:w="471"/>
        <w:gridCol w:w="65"/>
        <w:gridCol w:w="77"/>
        <w:gridCol w:w="117"/>
        <w:gridCol w:w="471"/>
        <w:gridCol w:w="65"/>
        <w:gridCol w:w="77"/>
        <w:gridCol w:w="573"/>
        <w:gridCol w:w="77"/>
        <w:gridCol w:w="575"/>
        <w:gridCol w:w="77"/>
        <w:gridCol w:w="117"/>
        <w:gridCol w:w="471"/>
        <w:gridCol w:w="65"/>
      </w:tblGrid>
      <w:tr w:rsidR="00716E85" w14:paraId="4BD28918" w14:textId="77777777">
        <w:tc>
          <w:tcPr>
            <w:tcW w:w="1688" w:type="pct"/>
            <w:shd w:val="clear" w:color="auto" w:fill="FFFFFF"/>
            <w:tcMar>
              <w:top w:w="15" w:type="dxa"/>
              <w:left w:w="0" w:type="dxa"/>
              <w:bottom w:w="0" w:type="dxa"/>
              <w:right w:w="15" w:type="dxa"/>
            </w:tcMar>
            <w:vAlign w:val="center"/>
            <w:hideMark/>
          </w:tcPr>
          <w:p w14:paraId="074558E9"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0A70924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1BA969E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4D50C0F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E0805A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04CD681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571E98A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2B2D7B7" w14:textId="77777777">
        <w:tc>
          <w:tcPr>
            <w:tcW w:w="1688" w:type="pct"/>
            <w:shd w:val="clear" w:color="auto" w:fill="FFFFFF"/>
            <w:tcMar>
              <w:top w:w="15" w:type="dxa"/>
              <w:left w:w="0" w:type="dxa"/>
              <w:bottom w:w="0" w:type="dxa"/>
              <w:right w:w="15" w:type="dxa"/>
            </w:tcMar>
            <w:vAlign w:val="center"/>
            <w:hideMark/>
          </w:tcPr>
          <w:p w14:paraId="66E23C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035123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5F08A20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693D669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7394E2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31BF655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9E6F5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5721A50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40C4201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3F10989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7ABB424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7CE9B08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C26CB4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6751CD6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48416AA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10A5E6D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95428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442559D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F4FE3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3CC9BE7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29D2C2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70FAFF36"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220A464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7F36A72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EB744B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07D4916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center"/>
            <w:hideMark/>
          </w:tcPr>
          <w:p w14:paraId="00D9E8D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C564B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29B531D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470D3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center"/>
            <w:hideMark/>
          </w:tcPr>
          <w:p w14:paraId="6BD271E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0367DDD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2B5785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6D74EA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4CF1C98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2CCAD2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11BE06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7D8A0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C2596A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1213B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6589FA30"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94FE69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94D2E6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FBCF951" w14:textId="77777777">
        <w:tc>
          <w:tcPr>
            <w:tcW w:w="1688" w:type="pct"/>
            <w:tcBorders>
              <w:top w:val="single" w:sz="6" w:space="0" w:color="000000"/>
            </w:tcBorders>
            <w:shd w:val="clear" w:color="auto" w:fill="CFF0FC"/>
            <w:tcMar>
              <w:top w:w="15" w:type="dxa"/>
              <w:left w:w="0" w:type="dxa"/>
              <w:bottom w:w="0" w:type="dxa"/>
              <w:right w:w="15" w:type="dxa"/>
            </w:tcMar>
            <w:hideMark/>
          </w:tcPr>
          <w:p w14:paraId="681D9E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Research and development</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5364AC5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34BC4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A27E9D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1,172</w:t>
            </w:r>
          </w:p>
        </w:tc>
        <w:tc>
          <w:tcPr>
            <w:tcW w:w="50" w:type="pct"/>
            <w:shd w:val="clear" w:color="auto" w:fill="CFF0FC"/>
            <w:noWrap/>
            <w:tcMar>
              <w:top w:w="15" w:type="dxa"/>
              <w:left w:w="0" w:type="dxa"/>
              <w:bottom w:w="0" w:type="dxa"/>
              <w:right w:w="15" w:type="dxa"/>
            </w:tcMar>
            <w:vAlign w:val="bottom"/>
            <w:hideMark/>
          </w:tcPr>
          <w:p w14:paraId="684325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312540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12F72F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7" w:type="pct"/>
            <w:shd w:val="clear" w:color="auto" w:fill="CFF0FC"/>
            <w:tcMar>
              <w:top w:w="15" w:type="dxa"/>
              <w:left w:w="0" w:type="dxa"/>
              <w:bottom w:w="0" w:type="dxa"/>
              <w:right w:w="15" w:type="dxa"/>
            </w:tcMar>
            <w:vAlign w:val="bottom"/>
            <w:hideMark/>
          </w:tcPr>
          <w:p w14:paraId="3459DAC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62AB97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CFF0FC"/>
            <w:tcMar>
              <w:top w:w="15" w:type="dxa"/>
              <w:left w:w="0" w:type="dxa"/>
              <w:bottom w:w="0" w:type="dxa"/>
              <w:right w:w="15" w:type="dxa"/>
            </w:tcMar>
            <w:vAlign w:val="bottom"/>
            <w:hideMark/>
          </w:tcPr>
          <w:p w14:paraId="601AEF4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59CB1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03D1CEF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1,275</w:t>
            </w:r>
          </w:p>
        </w:tc>
        <w:tc>
          <w:tcPr>
            <w:tcW w:w="50" w:type="pct"/>
            <w:shd w:val="clear" w:color="auto" w:fill="CFF0FC"/>
            <w:noWrap/>
            <w:tcMar>
              <w:top w:w="15" w:type="dxa"/>
              <w:left w:w="0" w:type="dxa"/>
              <w:bottom w:w="0" w:type="dxa"/>
              <w:right w:w="15" w:type="dxa"/>
            </w:tcMar>
            <w:vAlign w:val="bottom"/>
            <w:hideMark/>
          </w:tcPr>
          <w:p w14:paraId="22FE5C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33F157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2625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3075D7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3,732</w:t>
            </w:r>
          </w:p>
        </w:tc>
        <w:tc>
          <w:tcPr>
            <w:tcW w:w="50" w:type="pct"/>
            <w:shd w:val="clear" w:color="auto" w:fill="CFF0FC"/>
            <w:noWrap/>
            <w:tcMar>
              <w:top w:w="15" w:type="dxa"/>
              <w:left w:w="0" w:type="dxa"/>
              <w:bottom w:w="0" w:type="dxa"/>
              <w:right w:w="15" w:type="dxa"/>
            </w:tcMar>
            <w:vAlign w:val="bottom"/>
            <w:hideMark/>
          </w:tcPr>
          <w:p w14:paraId="33E0F4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81D13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E8A8E9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548C8C9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EFA92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5DCCD5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2349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62CB5E7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3,848</w:t>
            </w:r>
          </w:p>
        </w:tc>
        <w:tc>
          <w:tcPr>
            <w:tcW w:w="50" w:type="pct"/>
            <w:shd w:val="clear" w:color="auto" w:fill="CFF0FC"/>
            <w:noWrap/>
            <w:tcMar>
              <w:top w:w="15" w:type="dxa"/>
              <w:left w:w="0" w:type="dxa"/>
              <w:bottom w:w="0" w:type="dxa"/>
              <w:right w:w="15" w:type="dxa"/>
            </w:tcMar>
            <w:vAlign w:val="bottom"/>
            <w:hideMark/>
          </w:tcPr>
          <w:p w14:paraId="2EF45D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745EE7C" w14:textId="77777777">
        <w:tc>
          <w:tcPr>
            <w:tcW w:w="1688" w:type="pct"/>
            <w:shd w:val="clear" w:color="auto" w:fill="FFFFFF"/>
            <w:tcMar>
              <w:top w:w="15" w:type="dxa"/>
              <w:left w:w="0" w:type="dxa"/>
              <w:bottom w:w="0" w:type="dxa"/>
              <w:right w:w="15" w:type="dxa"/>
            </w:tcMar>
            <w:hideMark/>
          </w:tcPr>
          <w:p w14:paraId="3FB59A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7" w:type="pct"/>
            <w:shd w:val="clear" w:color="auto" w:fill="FFFFFF"/>
            <w:tcMar>
              <w:top w:w="15" w:type="dxa"/>
              <w:left w:w="0" w:type="dxa"/>
              <w:bottom w:w="0" w:type="dxa"/>
              <w:right w:w="15" w:type="dxa"/>
            </w:tcMar>
            <w:vAlign w:val="bottom"/>
            <w:hideMark/>
          </w:tcPr>
          <w:p w14:paraId="34F7E6E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560E15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0B08D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254</w:t>
            </w:r>
          </w:p>
        </w:tc>
        <w:tc>
          <w:tcPr>
            <w:tcW w:w="50" w:type="pct"/>
            <w:shd w:val="clear" w:color="auto" w:fill="FFFFFF"/>
            <w:noWrap/>
            <w:tcMar>
              <w:top w:w="15" w:type="dxa"/>
              <w:left w:w="0" w:type="dxa"/>
              <w:bottom w:w="0" w:type="dxa"/>
              <w:right w:w="15" w:type="dxa"/>
            </w:tcMar>
            <w:vAlign w:val="bottom"/>
            <w:hideMark/>
          </w:tcPr>
          <w:p w14:paraId="6040E0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40220F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0B886E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7" w:type="pct"/>
            <w:shd w:val="clear" w:color="auto" w:fill="FFFFFF"/>
            <w:tcMar>
              <w:top w:w="15" w:type="dxa"/>
              <w:left w:w="0" w:type="dxa"/>
              <w:bottom w:w="0" w:type="dxa"/>
              <w:right w:w="15" w:type="dxa"/>
            </w:tcMar>
            <w:vAlign w:val="bottom"/>
            <w:hideMark/>
          </w:tcPr>
          <w:p w14:paraId="521BB1C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B7F9D5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7" w:type="pct"/>
            <w:shd w:val="clear" w:color="auto" w:fill="FFFFFF"/>
            <w:tcMar>
              <w:top w:w="15" w:type="dxa"/>
              <w:left w:w="0" w:type="dxa"/>
              <w:bottom w:w="0" w:type="dxa"/>
              <w:right w:w="15" w:type="dxa"/>
            </w:tcMar>
            <w:vAlign w:val="bottom"/>
            <w:hideMark/>
          </w:tcPr>
          <w:p w14:paraId="39C41D7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AA8E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3129E0E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221</w:t>
            </w:r>
          </w:p>
        </w:tc>
        <w:tc>
          <w:tcPr>
            <w:tcW w:w="50" w:type="pct"/>
            <w:shd w:val="clear" w:color="auto" w:fill="FFFFFF"/>
            <w:noWrap/>
            <w:tcMar>
              <w:top w:w="15" w:type="dxa"/>
              <w:left w:w="0" w:type="dxa"/>
              <w:bottom w:w="0" w:type="dxa"/>
              <w:right w:w="15" w:type="dxa"/>
            </w:tcMar>
            <w:vAlign w:val="bottom"/>
            <w:hideMark/>
          </w:tcPr>
          <w:p w14:paraId="2EA4CE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39069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1C7F5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E4EA46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732</w:t>
            </w:r>
          </w:p>
        </w:tc>
        <w:tc>
          <w:tcPr>
            <w:tcW w:w="50" w:type="pct"/>
            <w:shd w:val="clear" w:color="auto" w:fill="FFFFFF"/>
            <w:noWrap/>
            <w:tcMar>
              <w:top w:w="15" w:type="dxa"/>
              <w:left w:w="0" w:type="dxa"/>
              <w:bottom w:w="0" w:type="dxa"/>
              <w:right w:w="15" w:type="dxa"/>
            </w:tcMar>
            <w:vAlign w:val="bottom"/>
            <w:hideMark/>
          </w:tcPr>
          <w:p w14:paraId="4A0584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0B7B7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316D74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vAlign w:val="bottom"/>
            <w:hideMark/>
          </w:tcPr>
          <w:p w14:paraId="0E4CDD9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5DE935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57" w:type="pct"/>
            <w:shd w:val="clear" w:color="auto" w:fill="FFFFFF"/>
            <w:tcMar>
              <w:top w:w="15" w:type="dxa"/>
              <w:left w:w="0" w:type="dxa"/>
              <w:bottom w:w="0" w:type="dxa"/>
              <w:right w:w="15" w:type="dxa"/>
            </w:tcMar>
            <w:vAlign w:val="bottom"/>
            <w:hideMark/>
          </w:tcPr>
          <w:p w14:paraId="36C68EF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A67CCA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B233FF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693</w:t>
            </w:r>
          </w:p>
        </w:tc>
        <w:tc>
          <w:tcPr>
            <w:tcW w:w="50" w:type="pct"/>
            <w:shd w:val="clear" w:color="auto" w:fill="FFFFFF"/>
            <w:noWrap/>
            <w:tcMar>
              <w:top w:w="15" w:type="dxa"/>
              <w:left w:w="0" w:type="dxa"/>
              <w:bottom w:w="0" w:type="dxa"/>
              <w:right w:w="15" w:type="dxa"/>
            </w:tcMar>
            <w:vAlign w:val="bottom"/>
            <w:hideMark/>
          </w:tcPr>
          <w:p w14:paraId="1258E4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6106A6E7" w14:textId="77777777">
        <w:tc>
          <w:tcPr>
            <w:tcW w:w="1688" w:type="pct"/>
            <w:shd w:val="clear" w:color="auto" w:fill="CFF0FC"/>
            <w:tcMar>
              <w:top w:w="15" w:type="dxa"/>
              <w:left w:w="0" w:type="dxa"/>
              <w:bottom w:w="0" w:type="dxa"/>
              <w:right w:w="15" w:type="dxa"/>
            </w:tcMar>
            <w:hideMark/>
          </w:tcPr>
          <w:p w14:paraId="50DAFA64"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7" w:type="pct"/>
            <w:shd w:val="clear" w:color="auto" w:fill="CFF0FC"/>
            <w:tcMar>
              <w:top w:w="15" w:type="dxa"/>
              <w:left w:w="0" w:type="dxa"/>
              <w:bottom w:w="0" w:type="dxa"/>
              <w:right w:w="15" w:type="dxa"/>
            </w:tcMar>
            <w:vAlign w:val="bottom"/>
            <w:hideMark/>
          </w:tcPr>
          <w:p w14:paraId="7BC4A5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01507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78CA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1,426</w:t>
            </w:r>
          </w:p>
        </w:tc>
        <w:tc>
          <w:tcPr>
            <w:tcW w:w="50" w:type="pct"/>
            <w:shd w:val="clear" w:color="auto" w:fill="CFF0FC"/>
            <w:noWrap/>
            <w:tcMar>
              <w:top w:w="15" w:type="dxa"/>
              <w:left w:w="0" w:type="dxa"/>
              <w:bottom w:w="0" w:type="dxa"/>
              <w:right w:w="15" w:type="dxa"/>
            </w:tcMar>
            <w:vAlign w:val="bottom"/>
            <w:hideMark/>
          </w:tcPr>
          <w:p w14:paraId="7FF054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1D613D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CC365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7F07ECD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E1728B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0981B82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8217D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D8857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1,496</w:t>
            </w:r>
          </w:p>
        </w:tc>
        <w:tc>
          <w:tcPr>
            <w:tcW w:w="50" w:type="pct"/>
            <w:shd w:val="clear" w:color="auto" w:fill="CFF0FC"/>
            <w:noWrap/>
            <w:tcMar>
              <w:top w:w="15" w:type="dxa"/>
              <w:left w:w="0" w:type="dxa"/>
              <w:bottom w:w="0" w:type="dxa"/>
              <w:right w:w="15" w:type="dxa"/>
            </w:tcMar>
            <w:vAlign w:val="bottom"/>
            <w:hideMark/>
          </w:tcPr>
          <w:p w14:paraId="728601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9E408A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2BA9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24E37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4,464</w:t>
            </w:r>
          </w:p>
        </w:tc>
        <w:tc>
          <w:tcPr>
            <w:tcW w:w="50" w:type="pct"/>
            <w:shd w:val="clear" w:color="auto" w:fill="CFF0FC"/>
            <w:noWrap/>
            <w:tcMar>
              <w:top w:w="15" w:type="dxa"/>
              <w:left w:w="0" w:type="dxa"/>
              <w:bottom w:w="0" w:type="dxa"/>
              <w:right w:w="15" w:type="dxa"/>
            </w:tcMar>
            <w:vAlign w:val="bottom"/>
            <w:hideMark/>
          </w:tcPr>
          <w:p w14:paraId="2C3637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6EAAEC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43F3B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68E5A3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CAFEE4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0%</w:t>
            </w:r>
          </w:p>
        </w:tc>
        <w:tc>
          <w:tcPr>
            <w:tcW w:w="57" w:type="pct"/>
            <w:shd w:val="clear" w:color="auto" w:fill="CFF0FC"/>
            <w:tcMar>
              <w:top w:w="15" w:type="dxa"/>
              <w:left w:w="0" w:type="dxa"/>
              <w:bottom w:w="0" w:type="dxa"/>
              <w:right w:w="15" w:type="dxa"/>
            </w:tcMar>
            <w:vAlign w:val="bottom"/>
            <w:hideMark/>
          </w:tcPr>
          <w:p w14:paraId="1455B4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EBF3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E112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4,541</w:t>
            </w:r>
          </w:p>
        </w:tc>
        <w:tc>
          <w:tcPr>
            <w:tcW w:w="50" w:type="pct"/>
            <w:shd w:val="clear" w:color="auto" w:fill="CFF0FC"/>
            <w:noWrap/>
            <w:tcMar>
              <w:top w:w="15" w:type="dxa"/>
              <w:left w:w="0" w:type="dxa"/>
              <w:bottom w:w="0" w:type="dxa"/>
              <w:right w:w="15" w:type="dxa"/>
            </w:tcMar>
            <w:vAlign w:val="bottom"/>
            <w:hideMark/>
          </w:tcPr>
          <w:p w14:paraId="198366A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55F6DC4" w14:textId="77777777">
        <w:tc>
          <w:tcPr>
            <w:tcW w:w="1688" w:type="pct"/>
            <w:shd w:val="clear" w:color="auto" w:fill="FFFFFF"/>
            <w:tcMar>
              <w:top w:w="15" w:type="dxa"/>
              <w:left w:w="0" w:type="dxa"/>
              <w:bottom w:w="0" w:type="dxa"/>
              <w:right w:w="15" w:type="dxa"/>
            </w:tcMar>
            <w:hideMark/>
          </w:tcPr>
          <w:p w14:paraId="573DE4A0"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7" w:type="pct"/>
            <w:shd w:val="clear" w:color="auto" w:fill="FFFFFF"/>
            <w:tcMar>
              <w:top w:w="15" w:type="dxa"/>
              <w:left w:w="0" w:type="dxa"/>
              <w:bottom w:w="0" w:type="dxa"/>
              <w:right w:w="15" w:type="dxa"/>
            </w:tcMar>
            <w:vAlign w:val="bottom"/>
            <w:hideMark/>
          </w:tcPr>
          <w:p w14:paraId="7C78BFDD"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3F65772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3298BC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8714BF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D7C98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004880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8E3680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719EB0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285AE86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429378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E9072E7"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7694DFB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485804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3B6DD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9519E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B455F2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F606F1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1921B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5D2936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1124A1CA"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902D88F" w14:textId="77777777" w:rsidR="00716E85" w:rsidRDefault="00716E85">
      <w:pPr>
        <w:pStyle w:val="a3"/>
        <w:pBdr>
          <w:bottom w:val="single" w:sz="6" w:space="1" w:color="auto"/>
        </w:pBdr>
        <w:spacing w:before="0" w:beforeAutospacing="0" w:after="0" w:afterAutospacing="0"/>
        <w:ind w:right="10477"/>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29570F67" w14:textId="77777777">
        <w:tc>
          <w:tcPr>
            <w:tcW w:w="192" w:type="pct"/>
            <w:noWrap/>
            <w:hideMark/>
          </w:tcPr>
          <w:p w14:paraId="7D3AD66A"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55409312"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Excluding stock-based compensation</w:t>
            </w:r>
          </w:p>
        </w:tc>
      </w:tr>
    </w:tbl>
    <w:p w14:paraId="0BF6B18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44</w:t>
      </w:r>
    </w:p>
    <w:p w14:paraId="1205F425" w14:textId="77777777" w:rsidR="00716E85" w:rsidRDefault="00716E85">
      <w:pPr>
        <w:rPr>
          <w:rFonts w:ascii="Times New Roman" w:eastAsia="Times New Roman" w:hAnsi="Times New Roman" w:cs="Times New Roman"/>
          <w:sz w:val="24"/>
          <w:szCs w:val="24"/>
        </w:rPr>
      </w:pPr>
      <w:r>
        <w:rPr>
          <w:rFonts w:eastAsia="Times New Roman"/>
        </w:rPr>
        <w:pict w14:anchorId="7FC2CBCA">
          <v:rect id="_x0000_i1070" style="width:415.3pt;height:1.5pt" o:hralign="center" o:hrstd="t" o:hr="t" fillcolor="#a0a0a0" stroked="f"/>
        </w:pict>
      </w:r>
    </w:p>
    <w:p w14:paraId="0973F055"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FD7ABE5" w14:textId="77777777" w:rsidR="00716E85" w:rsidRDefault="00716E85">
      <w:pPr>
        <w:pStyle w:val="a3"/>
        <w:spacing w:before="0" w:beforeAutospacing="0" w:after="0" w:afterAutospacing="0"/>
        <w:rPr>
          <w:sz w:val="20"/>
          <w:szCs w:val="20"/>
        </w:rPr>
      </w:pPr>
      <w:r>
        <w:rPr>
          <w:sz w:val="20"/>
          <w:szCs w:val="20"/>
        </w:rPr>
        <w:t> </w:t>
      </w:r>
    </w:p>
    <w:p w14:paraId="4FEA40D0" w14:textId="77777777" w:rsidR="00716E85" w:rsidRDefault="00716E85">
      <w:pPr>
        <w:pStyle w:val="a3"/>
        <w:spacing w:before="120" w:beforeAutospacing="0" w:after="0" w:afterAutospacing="0"/>
        <w:jc w:val="both"/>
        <w:rPr>
          <w:rFonts w:ascii="Calibri" w:hAnsi="Calibri" w:cs="Calibri"/>
          <w:sz w:val="20"/>
          <w:szCs w:val="20"/>
        </w:rPr>
      </w:pPr>
      <w:bookmarkStart w:id="52" w:name="_AEIOULastRenderedPageBreakAEIOU43"/>
      <w:bookmarkEnd w:id="52"/>
      <w:r>
        <w:rPr>
          <w:rFonts w:ascii="Calibri" w:hAnsi="Calibri" w:cs="Calibri"/>
          <w:sz w:val="20"/>
          <w:szCs w:val="20"/>
        </w:rPr>
        <w:t xml:space="preserve">On a constant currency basis, total research and development expenses decreased during the fiscal 2019 periods presented primarily due to lower employee related expenses including lower variable compensation, partially offset by an increase in stock-based compensation expenses. </w:t>
      </w:r>
    </w:p>
    <w:p w14:paraId="68C5567C"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General and Administrative Expenses:  </w:t>
      </w:r>
      <w:r>
        <w:rPr>
          <w:rFonts w:ascii="Calibri" w:hAnsi="Calibri" w:cs="Calibri"/>
          <w:sz w:val="20"/>
          <w:szCs w:val="20"/>
        </w:rPr>
        <w:t xml:space="preserve"> General and administrative expenses primarily consist of personnel related expenditures for IT, finance, legal and human resources support functions.</w:t>
      </w:r>
    </w:p>
    <w:p w14:paraId="7593B49A" w14:textId="77777777" w:rsidR="00716E85" w:rsidRDefault="00716E85">
      <w:pPr>
        <w:pStyle w:val="a3"/>
        <w:spacing w:before="0" w:beforeAutospacing="0" w:after="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2799"/>
        <w:gridCol w:w="88"/>
        <w:gridCol w:w="117"/>
        <w:gridCol w:w="418"/>
        <w:gridCol w:w="76"/>
        <w:gridCol w:w="88"/>
        <w:gridCol w:w="584"/>
        <w:gridCol w:w="88"/>
        <w:gridCol w:w="586"/>
        <w:gridCol w:w="88"/>
        <w:gridCol w:w="117"/>
        <w:gridCol w:w="422"/>
        <w:gridCol w:w="77"/>
        <w:gridCol w:w="89"/>
        <w:gridCol w:w="117"/>
        <w:gridCol w:w="419"/>
        <w:gridCol w:w="77"/>
        <w:gridCol w:w="89"/>
        <w:gridCol w:w="585"/>
        <w:gridCol w:w="89"/>
        <w:gridCol w:w="587"/>
        <w:gridCol w:w="89"/>
        <w:gridCol w:w="117"/>
        <w:gridCol w:w="423"/>
        <w:gridCol w:w="77"/>
      </w:tblGrid>
      <w:tr w:rsidR="00716E85" w14:paraId="4BBFD67B" w14:textId="77777777">
        <w:tc>
          <w:tcPr>
            <w:tcW w:w="1688" w:type="pct"/>
            <w:shd w:val="clear" w:color="auto" w:fill="FFFFFF"/>
            <w:tcMar>
              <w:top w:w="15" w:type="dxa"/>
              <w:left w:w="0" w:type="dxa"/>
              <w:bottom w:w="0" w:type="dxa"/>
              <w:right w:w="15" w:type="dxa"/>
            </w:tcMar>
            <w:vAlign w:val="center"/>
            <w:hideMark/>
          </w:tcPr>
          <w:p w14:paraId="3E8464D1"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781C7CE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77F118C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7750D9E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73C4F2C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65A361A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47E588D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0EFC068" w14:textId="77777777">
        <w:tc>
          <w:tcPr>
            <w:tcW w:w="1688" w:type="pct"/>
            <w:shd w:val="clear" w:color="auto" w:fill="FFFFFF"/>
            <w:tcMar>
              <w:top w:w="15" w:type="dxa"/>
              <w:left w:w="0" w:type="dxa"/>
              <w:bottom w:w="0" w:type="dxa"/>
              <w:right w:w="15" w:type="dxa"/>
            </w:tcMar>
            <w:vAlign w:val="center"/>
            <w:hideMark/>
          </w:tcPr>
          <w:p w14:paraId="19940AD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F71CCD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BCC97B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62E637F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4FE578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1C6F8FA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E6144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5BA53DF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6D45FF1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3159276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444A281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BF0A34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9B4484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6445F79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B38BC0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7A92B77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94C5A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0B6FF39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0E0796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1E9DB82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23ADE32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18507BDE"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68B537E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0B2FCA1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43683D9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10F283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center"/>
            <w:hideMark/>
          </w:tcPr>
          <w:p w14:paraId="0D868A7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7AD1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center"/>
            <w:hideMark/>
          </w:tcPr>
          <w:p w14:paraId="6BD02FE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CB20E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center"/>
            <w:hideMark/>
          </w:tcPr>
          <w:p w14:paraId="07BA830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194285F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819C1A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7F25E4B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BC57A7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1F8AD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0C2CB75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8191F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47C98E04"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5A0EC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0BF52A7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76B69C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EC5E0D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56F1A74" w14:textId="77777777">
        <w:tc>
          <w:tcPr>
            <w:tcW w:w="1688" w:type="pct"/>
            <w:tcBorders>
              <w:top w:val="single" w:sz="6" w:space="0" w:color="000000"/>
            </w:tcBorders>
            <w:shd w:val="clear" w:color="auto" w:fill="CFF0FC"/>
            <w:tcMar>
              <w:top w:w="15" w:type="dxa"/>
              <w:left w:w="0" w:type="dxa"/>
              <w:bottom w:w="0" w:type="dxa"/>
              <w:right w:w="15" w:type="dxa"/>
            </w:tcMar>
            <w:hideMark/>
          </w:tcPr>
          <w:p w14:paraId="62ACB7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vertAlign w:val="superscript"/>
              </w:rPr>
              <w:t>(1)</w:t>
            </w:r>
          </w:p>
        </w:tc>
        <w:tc>
          <w:tcPr>
            <w:tcW w:w="57" w:type="pct"/>
            <w:shd w:val="clear" w:color="auto" w:fill="CFF0FC"/>
            <w:tcMar>
              <w:top w:w="15" w:type="dxa"/>
              <w:left w:w="0" w:type="dxa"/>
              <w:bottom w:w="0" w:type="dxa"/>
              <w:right w:w="15" w:type="dxa"/>
            </w:tcMar>
            <w:vAlign w:val="bottom"/>
            <w:hideMark/>
          </w:tcPr>
          <w:p w14:paraId="170CABD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2964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3B126BD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272</w:t>
            </w:r>
          </w:p>
        </w:tc>
        <w:tc>
          <w:tcPr>
            <w:tcW w:w="50" w:type="pct"/>
            <w:shd w:val="clear" w:color="auto" w:fill="CFF0FC"/>
            <w:noWrap/>
            <w:tcMar>
              <w:top w:w="15" w:type="dxa"/>
              <w:left w:w="0" w:type="dxa"/>
              <w:bottom w:w="0" w:type="dxa"/>
              <w:right w:w="15" w:type="dxa"/>
            </w:tcMar>
            <w:vAlign w:val="bottom"/>
            <w:hideMark/>
          </w:tcPr>
          <w:p w14:paraId="4CBFB5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18FAD0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FEE7C5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CFF0FC"/>
            <w:tcMar>
              <w:top w:w="15" w:type="dxa"/>
              <w:left w:w="0" w:type="dxa"/>
              <w:bottom w:w="0" w:type="dxa"/>
              <w:right w:w="15" w:type="dxa"/>
            </w:tcMar>
            <w:vAlign w:val="bottom"/>
            <w:hideMark/>
          </w:tcPr>
          <w:p w14:paraId="6B255E3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39B3A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453111C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8404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1AE142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294</w:t>
            </w:r>
          </w:p>
        </w:tc>
        <w:tc>
          <w:tcPr>
            <w:tcW w:w="50" w:type="pct"/>
            <w:shd w:val="clear" w:color="auto" w:fill="CFF0FC"/>
            <w:noWrap/>
            <w:tcMar>
              <w:top w:w="15" w:type="dxa"/>
              <w:left w:w="0" w:type="dxa"/>
              <w:bottom w:w="0" w:type="dxa"/>
              <w:right w:w="15" w:type="dxa"/>
            </w:tcMar>
            <w:vAlign w:val="bottom"/>
            <w:hideMark/>
          </w:tcPr>
          <w:p w14:paraId="5E47A1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D026E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5C5C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F46447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804</w:t>
            </w:r>
          </w:p>
        </w:tc>
        <w:tc>
          <w:tcPr>
            <w:tcW w:w="50" w:type="pct"/>
            <w:shd w:val="clear" w:color="auto" w:fill="CFF0FC"/>
            <w:noWrap/>
            <w:tcMar>
              <w:top w:w="15" w:type="dxa"/>
              <w:left w:w="0" w:type="dxa"/>
              <w:bottom w:w="0" w:type="dxa"/>
              <w:right w:w="15" w:type="dxa"/>
            </w:tcMar>
            <w:vAlign w:val="bottom"/>
            <w:hideMark/>
          </w:tcPr>
          <w:p w14:paraId="35BD35B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6C3697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01B160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0CC2B04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3F1742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0101DD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9253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6BA8BC9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842</w:t>
            </w:r>
          </w:p>
        </w:tc>
        <w:tc>
          <w:tcPr>
            <w:tcW w:w="50" w:type="pct"/>
            <w:shd w:val="clear" w:color="auto" w:fill="CFF0FC"/>
            <w:noWrap/>
            <w:tcMar>
              <w:top w:w="15" w:type="dxa"/>
              <w:left w:w="0" w:type="dxa"/>
              <w:bottom w:w="0" w:type="dxa"/>
              <w:right w:w="15" w:type="dxa"/>
            </w:tcMar>
            <w:vAlign w:val="bottom"/>
            <w:hideMark/>
          </w:tcPr>
          <w:p w14:paraId="4357AC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7D311A60" w14:textId="77777777">
        <w:tc>
          <w:tcPr>
            <w:tcW w:w="1688" w:type="pct"/>
            <w:shd w:val="clear" w:color="auto" w:fill="FFFFFF"/>
            <w:tcMar>
              <w:top w:w="15" w:type="dxa"/>
              <w:left w:w="0" w:type="dxa"/>
              <w:bottom w:w="0" w:type="dxa"/>
              <w:right w:w="15" w:type="dxa"/>
            </w:tcMar>
            <w:hideMark/>
          </w:tcPr>
          <w:p w14:paraId="625697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7" w:type="pct"/>
            <w:shd w:val="clear" w:color="auto" w:fill="FFFFFF"/>
            <w:tcMar>
              <w:top w:w="15" w:type="dxa"/>
              <w:left w:w="0" w:type="dxa"/>
              <w:bottom w:w="0" w:type="dxa"/>
              <w:right w:w="15" w:type="dxa"/>
            </w:tcMar>
            <w:vAlign w:val="bottom"/>
            <w:hideMark/>
          </w:tcPr>
          <w:p w14:paraId="2EFC0E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CFF4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2F16C7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44</w:t>
            </w:r>
          </w:p>
        </w:tc>
        <w:tc>
          <w:tcPr>
            <w:tcW w:w="50" w:type="pct"/>
            <w:shd w:val="clear" w:color="auto" w:fill="FFFFFF"/>
            <w:noWrap/>
            <w:tcMar>
              <w:top w:w="15" w:type="dxa"/>
              <w:left w:w="0" w:type="dxa"/>
              <w:bottom w:w="0" w:type="dxa"/>
              <w:right w:w="15" w:type="dxa"/>
            </w:tcMar>
            <w:vAlign w:val="bottom"/>
            <w:hideMark/>
          </w:tcPr>
          <w:p w14:paraId="42DB1B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ABCAF8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3A7074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19CE962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562C62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FFFFFF"/>
            <w:tcMar>
              <w:top w:w="15" w:type="dxa"/>
              <w:left w:w="0" w:type="dxa"/>
              <w:bottom w:w="0" w:type="dxa"/>
              <w:right w:w="15" w:type="dxa"/>
            </w:tcMar>
            <w:vAlign w:val="bottom"/>
            <w:hideMark/>
          </w:tcPr>
          <w:p w14:paraId="5957E52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BFE40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40E0D2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0" w:type="pct"/>
            <w:shd w:val="clear" w:color="auto" w:fill="FFFFFF"/>
            <w:noWrap/>
            <w:tcMar>
              <w:top w:w="15" w:type="dxa"/>
              <w:left w:w="0" w:type="dxa"/>
              <w:bottom w:w="0" w:type="dxa"/>
              <w:right w:w="15" w:type="dxa"/>
            </w:tcMar>
            <w:vAlign w:val="bottom"/>
            <w:hideMark/>
          </w:tcPr>
          <w:p w14:paraId="2A1A91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85D94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05BE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C5E473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131</w:t>
            </w:r>
          </w:p>
        </w:tc>
        <w:tc>
          <w:tcPr>
            <w:tcW w:w="50" w:type="pct"/>
            <w:shd w:val="clear" w:color="auto" w:fill="FFFFFF"/>
            <w:noWrap/>
            <w:tcMar>
              <w:top w:w="15" w:type="dxa"/>
              <w:left w:w="0" w:type="dxa"/>
              <w:bottom w:w="0" w:type="dxa"/>
              <w:right w:w="15" w:type="dxa"/>
            </w:tcMar>
            <w:vAlign w:val="bottom"/>
            <w:hideMark/>
          </w:tcPr>
          <w:p w14:paraId="17DF455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B7459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9A99BF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2AD1B45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A00445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074BD7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392D9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33BCD88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FFFFFF"/>
            <w:noWrap/>
            <w:tcMar>
              <w:top w:w="15" w:type="dxa"/>
              <w:left w:w="0" w:type="dxa"/>
              <w:bottom w:w="0" w:type="dxa"/>
              <w:right w:w="15" w:type="dxa"/>
            </w:tcMar>
            <w:vAlign w:val="bottom"/>
            <w:hideMark/>
          </w:tcPr>
          <w:p w14:paraId="6ECB02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E39C39C" w14:textId="77777777">
        <w:tc>
          <w:tcPr>
            <w:tcW w:w="1688" w:type="pct"/>
            <w:shd w:val="clear" w:color="auto" w:fill="CFF0FC"/>
            <w:tcMar>
              <w:top w:w="15" w:type="dxa"/>
              <w:left w:w="0" w:type="dxa"/>
              <w:bottom w:w="0" w:type="dxa"/>
              <w:right w:w="15" w:type="dxa"/>
            </w:tcMar>
            <w:hideMark/>
          </w:tcPr>
          <w:p w14:paraId="5FCDDC1E"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57" w:type="pct"/>
            <w:shd w:val="clear" w:color="auto" w:fill="CFF0FC"/>
            <w:tcMar>
              <w:top w:w="15" w:type="dxa"/>
              <w:left w:w="0" w:type="dxa"/>
              <w:bottom w:w="0" w:type="dxa"/>
              <w:right w:w="15" w:type="dxa"/>
            </w:tcMar>
            <w:vAlign w:val="bottom"/>
            <w:hideMark/>
          </w:tcPr>
          <w:p w14:paraId="778265D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8A5F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71E1F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316</w:t>
            </w:r>
          </w:p>
        </w:tc>
        <w:tc>
          <w:tcPr>
            <w:tcW w:w="50" w:type="pct"/>
            <w:shd w:val="clear" w:color="auto" w:fill="CFF0FC"/>
            <w:noWrap/>
            <w:tcMar>
              <w:top w:w="15" w:type="dxa"/>
              <w:left w:w="0" w:type="dxa"/>
              <w:bottom w:w="0" w:type="dxa"/>
              <w:right w:w="15" w:type="dxa"/>
            </w:tcMar>
            <w:vAlign w:val="bottom"/>
            <w:hideMark/>
          </w:tcPr>
          <w:p w14:paraId="26F5B4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B2A51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175E89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CFF0FC"/>
            <w:tcMar>
              <w:top w:w="15" w:type="dxa"/>
              <w:left w:w="0" w:type="dxa"/>
              <w:bottom w:w="0" w:type="dxa"/>
              <w:right w:w="15" w:type="dxa"/>
            </w:tcMar>
            <w:vAlign w:val="bottom"/>
            <w:hideMark/>
          </w:tcPr>
          <w:p w14:paraId="036A12F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766B3E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5A1139E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E827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30901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339</w:t>
            </w:r>
          </w:p>
        </w:tc>
        <w:tc>
          <w:tcPr>
            <w:tcW w:w="50" w:type="pct"/>
            <w:shd w:val="clear" w:color="auto" w:fill="CFF0FC"/>
            <w:noWrap/>
            <w:tcMar>
              <w:top w:w="15" w:type="dxa"/>
              <w:left w:w="0" w:type="dxa"/>
              <w:bottom w:w="0" w:type="dxa"/>
              <w:right w:w="15" w:type="dxa"/>
            </w:tcMar>
            <w:vAlign w:val="bottom"/>
            <w:hideMark/>
          </w:tcPr>
          <w:p w14:paraId="3C13DF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18160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6CA2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B20B0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935</w:t>
            </w:r>
          </w:p>
        </w:tc>
        <w:tc>
          <w:tcPr>
            <w:tcW w:w="50" w:type="pct"/>
            <w:shd w:val="clear" w:color="auto" w:fill="CFF0FC"/>
            <w:noWrap/>
            <w:tcMar>
              <w:top w:w="15" w:type="dxa"/>
              <w:left w:w="0" w:type="dxa"/>
              <w:bottom w:w="0" w:type="dxa"/>
              <w:right w:w="15" w:type="dxa"/>
            </w:tcMar>
            <w:vAlign w:val="bottom"/>
            <w:hideMark/>
          </w:tcPr>
          <w:p w14:paraId="365DCB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74A7F6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006A4F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69F3EFB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E4165E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7" w:type="pct"/>
            <w:shd w:val="clear" w:color="auto" w:fill="CFF0FC"/>
            <w:tcMar>
              <w:top w:w="15" w:type="dxa"/>
              <w:left w:w="0" w:type="dxa"/>
              <w:bottom w:w="0" w:type="dxa"/>
              <w:right w:w="15" w:type="dxa"/>
            </w:tcMar>
            <w:vAlign w:val="bottom"/>
            <w:hideMark/>
          </w:tcPr>
          <w:p w14:paraId="3DF012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FE18E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80E7E4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977</w:t>
            </w:r>
          </w:p>
        </w:tc>
        <w:tc>
          <w:tcPr>
            <w:tcW w:w="50" w:type="pct"/>
            <w:shd w:val="clear" w:color="auto" w:fill="CFF0FC"/>
            <w:noWrap/>
            <w:tcMar>
              <w:top w:w="15" w:type="dxa"/>
              <w:left w:w="0" w:type="dxa"/>
              <w:bottom w:w="0" w:type="dxa"/>
              <w:right w:w="15" w:type="dxa"/>
            </w:tcMar>
            <w:vAlign w:val="bottom"/>
            <w:hideMark/>
          </w:tcPr>
          <w:p w14:paraId="3F0F6F9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39593116" w14:textId="77777777">
        <w:tc>
          <w:tcPr>
            <w:tcW w:w="1688" w:type="pct"/>
            <w:shd w:val="clear" w:color="auto" w:fill="FFFFFF"/>
            <w:tcMar>
              <w:top w:w="15" w:type="dxa"/>
              <w:left w:w="0" w:type="dxa"/>
              <w:bottom w:w="0" w:type="dxa"/>
              <w:right w:w="15" w:type="dxa"/>
            </w:tcMar>
            <w:hideMark/>
          </w:tcPr>
          <w:p w14:paraId="19120EE4"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of Total Revenues</w:t>
            </w:r>
          </w:p>
        </w:tc>
        <w:tc>
          <w:tcPr>
            <w:tcW w:w="57" w:type="pct"/>
            <w:shd w:val="clear" w:color="auto" w:fill="FFFFFF"/>
            <w:tcMar>
              <w:top w:w="15" w:type="dxa"/>
              <w:left w:w="0" w:type="dxa"/>
              <w:bottom w:w="0" w:type="dxa"/>
              <w:right w:w="15" w:type="dxa"/>
            </w:tcMar>
            <w:vAlign w:val="bottom"/>
            <w:hideMark/>
          </w:tcPr>
          <w:p w14:paraId="64D204C9" w14:textId="77777777" w:rsidR="00716E85" w:rsidRDefault="00716E85">
            <w:pPr>
              <w:pStyle w:val="a3"/>
              <w:spacing w:before="0" w:beforeAutospacing="0" w:after="0" w:afterAutospacing="0"/>
              <w:rPr>
                <w:rFonts w:ascii="Calibri" w:hAnsi="Calibri" w:cs="Calibri"/>
                <w:b/>
                <w:bCs/>
                <w:i/>
                <w:iCs/>
                <w:color w:val="000000"/>
                <w:sz w:val="20"/>
                <w:szCs w:val="20"/>
              </w:rPr>
            </w:pPr>
            <w:r>
              <w:rPr>
                <w:rFonts w:ascii="Calibri" w:hAnsi="Calibri" w:cs="Calibri"/>
                <w:b/>
                <w:bCs/>
                <w:i/>
                <w:iCs/>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680E89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10BFF4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F02DD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C01398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609E8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52E65D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005E4F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4D2D94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68B7F11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3A9C0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524215F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4C52A6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9BA7A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200184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8B0642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1FF693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E7421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282C458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45751FFE"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2DBCDC5B" w14:textId="77777777" w:rsidR="00716E85" w:rsidRDefault="00716E85">
      <w:pPr>
        <w:pStyle w:val="a3"/>
        <w:pBdr>
          <w:bottom w:val="single" w:sz="6" w:space="1" w:color="auto"/>
        </w:pBdr>
        <w:spacing w:before="0" w:beforeAutospacing="0" w:after="0" w:afterAutospacing="0"/>
        <w:ind w:right="10477"/>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1CB564EF" w14:textId="77777777">
        <w:tc>
          <w:tcPr>
            <w:tcW w:w="192" w:type="pct"/>
            <w:noWrap/>
            <w:hideMark/>
          </w:tcPr>
          <w:p w14:paraId="415E4DD9"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(1)</w:t>
            </w:r>
          </w:p>
        </w:tc>
        <w:tc>
          <w:tcPr>
            <w:tcW w:w="0" w:type="auto"/>
            <w:hideMark/>
          </w:tcPr>
          <w:p w14:paraId="59DD5FE9"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75EDDEE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 xml:space="preserve">On a constant currency basis, total general and administrative expenses decreased during the fiscal 2019 periods presented primarily due to lower employee related expenses including lower variable compensation, partially offset by an increase in professional fees. </w:t>
      </w:r>
    </w:p>
    <w:p w14:paraId="418CC844"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Amortization of Intangible Assets:</w:t>
      </w:r>
      <w:r>
        <w:rPr>
          <w:rFonts w:ascii="Calibri" w:hAnsi="Calibri" w:cs="Calibri"/>
          <w:sz w:val="20"/>
          <w:szCs w:val="20"/>
        </w:rPr>
        <w:t>   Substantially all of our intangible assets were acquired through our business combinations. We amortize our intangible assets over, and monitor the appropriateness of, the estimated useful lives of these assets. We also periodically review these intangible assets for potential impairment based upon relevant facts and circumstances. Note 4 of Notes to Condensed Consolidated Financial Statements included elsewhere in this Quarterly Report has additional information regarding our intangible assets and related amortization.</w:t>
      </w:r>
    </w:p>
    <w:p w14:paraId="50EBA0DC"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94"/>
        <w:gridCol w:w="83"/>
        <w:gridCol w:w="117"/>
        <w:gridCol w:w="413"/>
        <w:gridCol w:w="71"/>
        <w:gridCol w:w="83"/>
        <w:gridCol w:w="579"/>
        <w:gridCol w:w="83"/>
        <w:gridCol w:w="581"/>
        <w:gridCol w:w="83"/>
        <w:gridCol w:w="117"/>
        <w:gridCol w:w="417"/>
        <w:gridCol w:w="71"/>
        <w:gridCol w:w="83"/>
        <w:gridCol w:w="117"/>
        <w:gridCol w:w="471"/>
        <w:gridCol w:w="71"/>
        <w:gridCol w:w="83"/>
        <w:gridCol w:w="579"/>
        <w:gridCol w:w="84"/>
        <w:gridCol w:w="582"/>
        <w:gridCol w:w="84"/>
        <w:gridCol w:w="117"/>
        <w:gridCol w:w="471"/>
        <w:gridCol w:w="72"/>
      </w:tblGrid>
      <w:tr w:rsidR="00716E85" w14:paraId="6B00C075" w14:textId="77777777">
        <w:tc>
          <w:tcPr>
            <w:tcW w:w="1688" w:type="pct"/>
            <w:shd w:val="clear" w:color="auto" w:fill="FFFFFF"/>
            <w:tcMar>
              <w:top w:w="15" w:type="dxa"/>
              <w:left w:w="0" w:type="dxa"/>
              <w:bottom w:w="0" w:type="dxa"/>
              <w:right w:w="15" w:type="dxa"/>
            </w:tcMar>
            <w:vAlign w:val="center"/>
            <w:hideMark/>
          </w:tcPr>
          <w:p w14:paraId="7A86EEB0"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257FBCD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307B608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083353F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4290FA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264A939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160C255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C329974" w14:textId="77777777">
        <w:tc>
          <w:tcPr>
            <w:tcW w:w="1688" w:type="pct"/>
            <w:shd w:val="clear" w:color="auto" w:fill="FFFFFF"/>
            <w:tcMar>
              <w:top w:w="15" w:type="dxa"/>
              <w:left w:w="0" w:type="dxa"/>
              <w:bottom w:w="0" w:type="dxa"/>
              <w:right w:w="15" w:type="dxa"/>
            </w:tcMar>
            <w:vAlign w:val="center"/>
            <w:hideMark/>
          </w:tcPr>
          <w:p w14:paraId="16E44A8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F0B166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7767113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480CFDE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574FE9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4582D9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D8E26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C7345C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3D4845B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18A6A12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4B81D0D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E361A0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C92634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66F76C9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D0EAA5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76AA77C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C18D1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04DB08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F7ACFDE"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7585256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0FF9C621"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259AC816"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3C36038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7F3347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D52E4E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023B54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4EF26E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B48D9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AA9991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64395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2AF89AD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1E591AF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B6BA4E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BA14C5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05F98D9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1B92B8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7C89052"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557A4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E418DA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E403A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5D6C07A9"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146EC5E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8A9CFE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6600AA5" w14:textId="77777777">
        <w:tc>
          <w:tcPr>
            <w:tcW w:w="1688" w:type="pct"/>
            <w:tcBorders>
              <w:top w:val="single" w:sz="6" w:space="0" w:color="000000"/>
            </w:tcBorders>
            <w:shd w:val="clear" w:color="auto" w:fill="CFF0FC"/>
            <w:tcMar>
              <w:top w:w="15" w:type="dxa"/>
              <w:left w:w="0" w:type="dxa"/>
              <w:bottom w:w="0" w:type="dxa"/>
              <w:right w:w="15" w:type="dxa"/>
            </w:tcMar>
            <w:hideMark/>
          </w:tcPr>
          <w:p w14:paraId="3DFAB9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Developed technology</w:t>
            </w:r>
          </w:p>
        </w:tc>
        <w:tc>
          <w:tcPr>
            <w:tcW w:w="57" w:type="pct"/>
            <w:shd w:val="clear" w:color="auto" w:fill="CFF0FC"/>
            <w:tcMar>
              <w:top w:w="15" w:type="dxa"/>
              <w:left w:w="0" w:type="dxa"/>
              <w:bottom w:w="0" w:type="dxa"/>
              <w:right w:w="15" w:type="dxa"/>
            </w:tcMar>
            <w:vAlign w:val="bottom"/>
            <w:hideMark/>
          </w:tcPr>
          <w:p w14:paraId="56B4D8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EA8F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B8CB26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216</w:t>
            </w:r>
          </w:p>
        </w:tc>
        <w:tc>
          <w:tcPr>
            <w:tcW w:w="50" w:type="pct"/>
            <w:shd w:val="clear" w:color="auto" w:fill="CFF0FC"/>
            <w:noWrap/>
            <w:tcMar>
              <w:top w:w="15" w:type="dxa"/>
              <w:left w:w="0" w:type="dxa"/>
              <w:bottom w:w="0" w:type="dxa"/>
              <w:right w:w="15" w:type="dxa"/>
            </w:tcMar>
            <w:vAlign w:val="bottom"/>
            <w:hideMark/>
          </w:tcPr>
          <w:p w14:paraId="4FA595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E6CE446"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27E08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w:t>
            </w:r>
          </w:p>
        </w:tc>
        <w:tc>
          <w:tcPr>
            <w:tcW w:w="57" w:type="pct"/>
            <w:shd w:val="clear" w:color="auto" w:fill="CFF0FC"/>
            <w:tcMar>
              <w:top w:w="15" w:type="dxa"/>
              <w:left w:w="0" w:type="dxa"/>
              <w:bottom w:w="0" w:type="dxa"/>
              <w:right w:w="15" w:type="dxa"/>
            </w:tcMar>
            <w:vAlign w:val="bottom"/>
            <w:hideMark/>
          </w:tcPr>
          <w:p w14:paraId="481EC3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F3E5D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w:t>
            </w:r>
          </w:p>
        </w:tc>
        <w:tc>
          <w:tcPr>
            <w:tcW w:w="57" w:type="pct"/>
            <w:shd w:val="clear" w:color="auto" w:fill="CFF0FC"/>
            <w:tcMar>
              <w:top w:w="15" w:type="dxa"/>
              <w:left w:w="0" w:type="dxa"/>
              <w:bottom w:w="0" w:type="dxa"/>
              <w:right w:w="15" w:type="dxa"/>
            </w:tcMar>
            <w:vAlign w:val="bottom"/>
            <w:hideMark/>
          </w:tcPr>
          <w:p w14:paraId="76983E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99B88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2949F12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184</w:t>
            </w:r>
          </w:p>
        </w:tc>
        <w:tc>
          <w:tcPr>
            <w:tcW w:w="50" w:type="pct"/>
            <w:shd w:val="clear" w:color="auto" w:fill="CFF0FC"/>
            <w:noWrap/>
            <w:tcMar>
              <w:top w:w="15" w:type="dxa"/>
              <w:left w:w="0" w:type="dxa"/>
              <w:bottom w:w="0" w:type="dxa"/>
              <w:right w:w="15" w:type="dxa"/>
            </w:tcMar>
            <w:vAlign w:val="bottom"/>
            <w:hideMark/>
          </w:tcPr>
          <w:p w14:paraId="14B66A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5205C7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588CC6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5C1741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640</w:t>
            </w:r>
          </w:p>
        </w:tc>
        <w:tc>
          <w:tcPr>
            <w:tcW w:w="50" w:type="pct"/>
            <w:shd w:val="clear" w:color="auto" w:fill="CFF0FC"/>
            <w:noWrap/>
            <w:tcMar>
              <w:top w:w="15" w:type="dxa"/>
              <w:left w:w="0" w:type="dxa"/>
              <w:bottom w:w="0" w:type="dxa"/>
              <w:right w:w="15" w:type="dxa"/>
            </w:tcMar>
            <w:vAlign w:val="bottom"/>
            <w:hideMark/>
          </w:tcPr>
          <w:p w14:paraId="03292B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D6B62E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BBDF8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7" w:type="pct"/>
            <w:shd w:val="clear" w:color="auto" w:fill="CFF0FC"/>
            <w:tcMar>
              <w:top w:w="15" w:type="dxa"/>
              <w:left w:w="0" w:type="dxa"/>
              <w:bottom w:w="0" w:type="dxa"/>
              <w:right w:w="15" w:type="dxa"/>
            </w:tcMar>
            <w:vAlign w:val="bottom"/>
            <w:hideMark/>
          </w:tcPr>
          <w:p w14:paraId="41FEF3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CC572E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57" w:type="pct"/>
            <w:shd w:val="clear" w:color="auto" w:fill="CFF0FC"/>
            <w:tcMar>
              <w:top w:w="15" w:type="dxa"/>
              <w:left w:w="0" w:type="dxa"/>
              <w:bottom w:w="0" w:type="dxa"/>
              <w:right w:w="15" w:type="dxa"/>
            </w:tcMar>
            <w:vAlign w:val="bottom"/>
            <w:hideMark/>
          </w:tcPr>
          <w:p w14:paraId="6DD5CD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31E4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B1BDBD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562</w:t>
            </w:r>
          </w:p>
        </w:tc>
        <w:tc>
          <w:tcPr>
            <w:tcW w:w="50" w:type="pct"/>
            <w:shd w:val="clear" w:color="auto" w:fill="CFF0FC"/>
            <w:noWrap/>
            <w:tcMar>
              <w:top w:w="15" w:type="dxa"/>
              <w:left w:w="0" w:type="dxa"/>
              <w:bottom w:w="0" w:type="dxa"/>
              <w:right w:w="15" w:type="dxa"/>
            </w:tcMar>
            <w:vAlign w:val="bottom"/>
            <w:hideMark/>
          </w:tcPr>
          <w:p w14:paraId="16CE60B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159DE12" w14:textId="77777777">
        <w:tc>
          <w:tcPr>
            <w:tcW w:w="1688" w:type="pct"/>
            <w:shd w:val="clear" w:color="auto" w:fill="FFFFFF"/>
            <w:tcMar>
              <w:top w:w="15" w:type="dxa"/>
              <w:left w:w="0" w:type="dxa"/>
              <w:bottom w:w="0" w:type="dxa"/>
              <w:right w:w="15" w:type="dxa"/>
            </w:tcMar>
            <w:hideMark/>
          </w:tcPr>
          <w:p w14:paraId="2D85131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Cloud services and license support agreements and related relationships</w:t>
            </w:r>
          </w:p>
        </w:tc>
        <w:tc>
          <w:tcPr>
            <w:tcW w:w="57" w:type="pct"/>
            <w:shd w:val="clear" w:color="auto" w:fill="FFFFFF"/>
            <w:tcMar>
              <w:top w:w="15" w:type="dxa"/>
              <w:left w:w="0" w:type="dxa"/>
              <w:bottom w:w="0" w:type="dxa"/>
              <w:right w:w="15" w:type="dxa"/>
            </w:tcMar>
            <w:vAlign w:val="bottom"/>
            <w:hideMark/>
          </w:tcPr>
          <w:p w14:paraId="653A273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FEEB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089E7A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163</w:t>
            </w:r>
          </w:p>
        </w:tc>
        <w:tc>
          <w:tcPr>
            <w:tcW w:w="50" w:type="pct"/>
            <w:shd w:val="clear" w:color="auto" w:fill="FFFFFF"/>
            <w:noWrap/>
            <w:tcMar>
              <w:top w:w="15" w:type="dxa"/>
              <w:left w:w="0" w:type="dxa"/>
              <w:bottom w:w="0" w:type="dxa"/>
              <w:right w:w="15" w:type="dxa"/>
            </w:tcMar>
            <w:vAlign w:val="bottom"/>
            <w:hideMark/>
          </w:tcPr>
          <w:p w14:paraId="42D32B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A2AB479"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56" w:type="pct"/>
            <w:shd w:val="clear" w:color="auto" w:fill="FFFFFF"/>
            <w:tcMar>
              <w:top w:w="15" w:type="dxa"/>
              <w:left w:w="0" w:type="dxa"/>
              <w:bottom w:w="0" w:type="dxa"/>
              <w:right w:w="15" w:type="dxa"/>
            </w:tcMar>
            <w:vAlign w:val="bottom"/>
            <w:hideMark/>
          </w:tcPr>
          <w:p w14:paraId="135A5D8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7" w:type="pct"/>
            <w:shd w:val="clear" w:color="auto" w:fill="FFFFFF"/>
            <w:tcMar>
              <w:top w:w="15" w:type="dxa"/>
              <w:left w:w="0" w:type="dxa"/>
              <w:bottom w:w="0" w:type="dxa"/>
              <w:right w:w="15" w:type="dxa"/>
            </w:tcMar>
            <w:vAlign w:val="bottom"/>
            <w:hideMark/>
          </w:tcPr>
          <w:p w14:paraId="0CC3AA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976F75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7" w:type="pct"/>
            <w:shd w:val="clear" w:color="auto" w:fill="FFFFFF"/>
            <w:tcMar>
              <w:top w:w="15" w:type="dxa"/>
              <w:left w:w="0" w:type="dxa"/>
              <w:bottom w:w="0" w:type="dxa"/>
              <w:right w:w="15" w:type="dxa"/>
            </w:tcMar>
            <w:vAlign w:val="bottom"/>
            <w:hideMark/>
          </w:tcPr>
          <w:p w14:paraId="73FB14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4E5B2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130C9DC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180</w:t>
            </w:r>
          </w:p>
        </w:tc>
        <w:tc>
          <w:tcPr>
            <w:tcW w:w="50" w:type="pct"/>
            <w:shd w:val="clear" w:color="auto" w:fill="FFFFFF"/>
            <w:noWrap/>
            <w:tcMar>
              <w:top w:w="15" w:type="dxa"/>
              <w:left w:w="0" w:type="dxa"/>
              <w:bottom w:w="0" w:type="dxa"/>
              <w:right w:w="15" w:type="dxa"/>
            </w:tcMar>
            <w:vAlign w:val="bottom"/>
            <w:hideMark/>
          </w:tcPr>
          <w:p w14:paraId="660C7E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85A3A5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87CFE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3E3418D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539</w:t>
            </w:r>
          </w:p>
        </w:tc>
        <w:tc>
          <w:tcPr>
            <w:tcW w:w="50" w:type="pct"/>
            <w:shd w:val="clear" w:color="auto" w:fill="FFFFFF"/>
            <w:noWrap/>
            <w:tcMar>
              <w:top w:w="15" w:type="dxa"/>
              <w:left w:w="0" w:type="dxa"/>
              <w:bottom w:w="0" w:type="dxa"/>
              <w:right w:w="15" w:type="dxa"/>
            </w:tcMar>
            <w:vAlign w:val="bottom"/>
            <w:hideMark/>
          </w:tcPr>
          <w:p w14:paraId="6FA93C7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A820E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A7CD47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21EF7E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BCB068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7" w:type="pct"/>
            <w:shd w:val="clear" w:color="auto" w:fill="FFFFFF"/>
            <w:tcMar>
              <w:top w:w="15" w:type="dxa"/>
              <w:left w:w="0" w:type="dxa"/>
              <w:bottom w:w="0" w:type="dxa"/>
              <w:right w:w="15" w:type="dxa"/>
            </w:tcMar>
            <w:vAlign w:val="bottom"/>
            <w:hideMark/>
          </w:tcPr>
          <w:p w14:paraId="36C692D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FBBF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26FF036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543</w:t>
            </w:r>
          </w:p>
        </w:tc>
        <w:tc>
          <w:tcPr>
            <w:tcW w:w="50" w:type="pct"/>
            <w:shd w:val="clear" w:color="auto" w:fill="FFFFFF"/>
            <w:noWrap/>
            <w:tcMar>
              <w:top w:w="15" w:type="dxa"/>
              <w:left w:w="0" w:type="dxa"/>
              <w:bottom w:w="0" w:type="dxa"/>
              <w:right w:w="15" w:type="dxa"/>
            </w:tcMar>
            <w:vAlign w:val="bottom"/>
            <w:hideMark/>
          </w:tcPr>
          <w:p w14:paraId="203236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8B85A82" w14:textId="77777777">
        <w:tc>
          <w:tcPr>
            <w:tcW w:w="1688" w:type="pct"/>
            <w:shd w:val="clear" w:color="auto" w:fill="CFF0FC"/>
            <w:tcMar>
              <w:top w:w="15" w:type="dxa"/>
              <w:left w:w="0" w:type="dxa"/>
              <w:bottom w:w="0" w:type="dxa"/>
              <w:right w:w="15" w:type="dxa"/>
            </w:tcMar>
            <w:hideMark/>
          </w:tcPr>
          <w:p w14:paraId="2FA937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w:t>
            </w:r>
          </w:p>
        </w:tc>
        <w:tc>
          <w:tcPr>
            <w:tcW w:w="57" w:type="pct"/>
            <w:shd w:val="clear" w:color="auto" w:fill="CFF0FC"/>
            <w:tcMar>
              <w:top w:w="15" w:type="dxa"/>
              <w:left w:w="0" w:type="dxa"/>
              <w:bottom w:w="0" w:type="dxa"/>
              <w:right w:w="15" w:type="dxa"/>
            </w:tcMar>
            <w:vAlign w:val="bottom"/>
            <w:hideMark/>
          </w:tcPr>
          <w:p w14:paraId="09D33B5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9853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CFF0FC"/>
            <w:noWrap/>
            <w:tcMar>
              <w:top w:w="15" w:type="dxa"/>
              <w:left w:w="0" w:type="dxa"/>
              <w:bottom w:w="0" w:type="dxa"/>
              <w:right w:w="15" w:type="dxa"/>
            </w:tcMar>
            <w:vAlign w:val="bottom"/>
            <w:hideMark/>
          </w:tcPr>
          <w:p w14:paraId="79D92E7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28</w:t>
            </w:r>
          </w:p>
        </w:tc>
        <w:tc>
          <w:tcPr>
            <w:tcW w:w="50" w:type="pct"/>
            <w:shd w:val="clear" w:color="auto" w:fill="CFF0FC"/>
            <w:noWrap/>
            <w:tcMar>
              <w:top w:w="15" w:type="dxa"/>
              <w:left w:w="0" w:type="dxa"/>
              <w:bottom w:w="0" w:type="dxa"/>
              <w:right w:w="15" w:type="dxa"/>
            </w:tcMar>
            <w:vAlign w:val="bottom"/>
            <w:hideMark/>
          </w:tcPr>
          <w:p w14:paraId="1BD9B8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A7C2BF6"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56" w:type="pct"/>
            <w:shd w:val="clear" w:color="auto" w:fill="CFF0FC"/>
            <w:tcMar>
              <w:top w:w="15" w:type="dxa"/>
              <w:left w:w="0" w:type="dxa"/>
              <w:bottom w:w="0" w:type="dxa"/>
              <w:right w:w="15" w:type="dxa"/>
            </w:tcMar>
            <w:vAlign w:val="bottom"/>
            <w:hideMark/>
          </w:tcPr>
          <w:p w14:paraId="58AF2F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7" w:type="pct"/>
            <w:shd w:val="clear" w:color="auto" w:fill="CFF0FC"/>
            <w:tcMar>
              <w:top w:w="15" w:type="dxa"/>
              <w:left w:w="0" w:type="dxa"/>
              <w:bottom w:w="0" w:type="dxa"/>
              <w:right w:w="15" w:type="dxa"/>
            </w:tcMar>
            <w:vAlign w:val="bottom"/>
            <w:hideMark/>
          </w:tcPr>
          <w:p w14:paraId="53ABA49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AD508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7" w:type="pct"/>
            <w:shd w:val="clear" w:color="auto" w:fill="CFF0FC"/>
            <w:tcMar>
              <w:top w:w="15" w:type="dxa"/>
              <w:left w:w="0" w:type="dxa"/>
              <w:bottom w:w="0" w:type="dxa"/>
              <w:right w:w="15" w:type="dxa"/>
            </w:tcMar>
            <w:vAlign w:val="bottom"/>
            <w:hideMark/>
          </w:tcPr>
          <w:p w14:paraId="59BA789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B105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CFF0FC"/>
            <w:noWrap/>
            <w:tcMar>
              <w:top w:w="15" w:type="dxa"/>
              <w:left w:w="0" w:type="dxa"/>
              <w:bottom w:w="0" w:type="dxa"/>
              <w:right w:w="15" w:type="dxa"/>
            </w:tcMar>
            <w:vAlign w:val="bottom"/>
            <w:hideMark/>
          </w:tcPr>
          <w:p w14:paraId="5F1BDFD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4B685C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DB2A42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5112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CFF0FC"/>
            <w:noWrap/>
            <w:tcMar>
              <w:top w:w="15" w:type="dxa"/>
              <w:left w:w="0" w:type="dxa"/>
              <w:bottom w:w="0" w:type="dxa"/>
              <w:right w:w="15" w:type="dxa"/>
            </w:tcMar>
            <w:vAlign w:val="bottom"/>
            <w:hideMark/>
          </w:tcPr>
          <w:p w14:paraId="464D6AE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86</w:t>
            </w:r>
          </w:p>
        </w:tc>
        <w:tc>
          <w:tcPr>
            <w:tcW w:w="50" w:type="pct"/>
            <w:shd w:val="clear" w:color="auto" w:fill="CFF0FC"/>
            <w:noWrap/>
            <w:tcMar>
              <w:top w:w="15" w:type="dxa"/>
              <w:left w:w="0" w:type="dxa"/>
              <w:bottom w:w="0" w:type="dxa"/>
              <w:right w:w="15" w:type="dxa"/>
            </w:tcMar>
            <w:vAlign w:val="bottom"/>
            <w:hideMark/>
          </w:tcPr>
          <w:p w14:paraId="230ABF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E5D1D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550A75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7" w:type="pct"/>
            <w:shd w:val="clear" w:color="auto" w:fill="CFF0FC"/>
            <w:tcMar>
              <w:top w:w="15" w:type="dxa"/>
              <w:left w:w="0" w:type="dxa"/>
              <w:bottom w:w="0" w:type="dxa"/>
              <w:right w:w="15" w:type="dxa"/>
            </w:tcMar>
            <w:vAlign w:val="bottom"/>
            <w:hideMark/>
          </w:tcPr>
          <w:p w14:paraId="02319E9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449DA76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w:t>
            </w:r>
          </w:p>
        </w:tc>
        <w:tc>
          <w:tcPr>
            <w:tcW w:w="57" w:type="pct"/>
            <w:shd w:val="clear" w:color="auto" w:fill="CFF0FC"/>
            <w:tcMar>
              <w:top w:w="15" w:type="dxa"/>
              <w:left w:w="0" w:type="dxa"/>
              <w:bottom w:w="0" w:type="dxa"/>
              <w:right w:w="15" w:type="dxa"/>
            </w:tcMar>
            <w:vAlign w:val="bottom"/>
            <w:hideMark/>
          </w:tcPr>
          <w:p w14:paraId="6F2AE1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B110B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CFF0FC"/>
            <w:noWrap/>
            <w:tcMar>
              <w:top w:w="15" w:type="dxa"/>
              <w:left w:w="0" w:type="dxa"/>
              <w:bottom w:w="0" w:type="dxa"/>
              <w:right w:w="15" w:type="dxa"/>
            </w:tcMar>
            <w:vAlign w:val="bottom"/>
            <w:hideMark/>
          </w:tcPr>
          <w:p w14:paraId="37EA7C5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50" w:type="pct"/>
            <w:shd w:val="clear" w:color="auto" w:fill="CFF0FC"/>
            <w:noWrap/>
            <w:tcMar>
              <w:top w:w="15" w:type="dxa"/>
              <w:left w:w="0" w:type="dxa"/>
              <w:bottom w:w="0" w:type="dxa"/>
              <w:right w:w="15" w:type="dxa"/>
            </w:tcMar>
            <w:vAlign w:val="bottom"/>
            <w:hideMark/>
          </w:tcPr>
          <w:p w14:paraId="39B0A5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EF8AA8E" w14:textId="77777777">
        <w:tc>
          <w:tcPr>
            <w:tcW w:w="1688" w:type="pct"/>
            <w:shd w:val="clear" w:color="auto" w:fill="FFFFFF"/>
            <w:tcMar>
              <w:top w:w="15" w:type="dxa"/>
              <w:left w:w="0" w:type="dxa"/>
              <w:bottom w:w="0" w:type="dxa"/>
              <w:right w:w="15" w:type="dxa"/>
            </w:tcMar>
            <w:hideMark/>
          </w:tcPr>
          <w:p w14:paraId="6374F9F4"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amortization of intangible assets</w:t>
            </w:r>
          </w:p>
        </w:tc>
        <w:tc>
          <w:tcPr>
            <w:tcW w:w="57" w:type="pct"/>
            <w:shd w:val="clear" w:color="auto" w:fill="FFFFFF"/>
            <w:tcMar>
              <w:top w:w="15" w:type="dxa"/>
              <w:left w:w="0" w:type="dxa"/>
              <w:bottom w:w="0" w:type="dxa"/>
              <w:right w:w="15" w:type="dxa"/>
            </w:tcMar>
            <w:vAlign w:val="bottom"/>
            <w:hideMark/>
          </w:tcPr>
          <w:p w14:paraId="19A5DF7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7B435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D3D37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407</w:t>
            </w:r>
          </w:p>
        </w:tc>
        <w:tc>
          <w:tcPr>
            <w:tcW w:w="50" w:type="pct"/>
            <w:shd w:val="clear" w:color="auto" w:fill="FFFFFF"/>
            <w:noWrap/>
            <w:tcMar>
              <w:top w:w="15" w:type="dxa"/>
              <w:left w:w="0" w:type="dxa"/>
              <w:bottom w:w="0" w:type="dxa"/>
              <w:right w:w="15" w:type="dxa"/>
            </w:tcMar>
            <w:vAlign w:val="bottom"/>
            <w:hideMark/>
          </w:tcPr>
          <w:p w14:paraId="6363B1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28A3F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CA42DE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1180CB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15028E7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FFFFFF"/>
            <w:tcMar>
              <w:top w:w="15" w:type="dxa"/>
              <w:left w:w="0" w:type="dxa"/>
              <w:bottom w:w="0" w:type="dxa"/>
              <w:right w:w="15" w:type="dxa"/>
            </w:tcMar>
            <w:vAlign w:val="bottom"/>
            <w:hideMark/>
          </w:tcPr>
          <w:p w14:paraId="1E2135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FF06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B926B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394</w:t>
            </w:r>
          </w:p>
        </w:tc>
        <w:tc>
          <w:tcPr>
            <w:tcW w:w="50" w:type="pct"/>
            <w:shd w:val="clear" w:color="auto" w:fill="FFFFFF"/>
            <w:noWrap/>
            <w:tcMar>
              <w:top w:w="15" w:type="dxa"/>
              <w:left w:w="0" w:type="dxa"/>
              <w:bottom w:w="0" w:type="dxa"/>
              <w:right w:w="15" w:type="dxa"/>
            </w:tcMar>
            <w:vAlign w:val="bottom"/>
            <w:hideMark/>
          </w:tcPr>
          <w:p w14:paraId="6E1046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1724EC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44FC7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952DD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1,265</w:t>
            </w:r>
          </w:p>
        </w:tc>
        <w:tc>
          <w:tcPr>
            <w:tcW w:w="50" w:type="pct"/>
            <w:shd w:val="clear" w:color="auto" w:fill="FFFFFF"/>
            <w:noWrap/>
            <w:tcMar>
              <w:top w:w="15" w:type="dxa"/>
              <w:left w:w="0" w:type="dxa"/>
              <w:bottom w:w="0" w:type="dxa"/>
              <w:right w:w="15" w:type="dxa"/>
            </w:tcMar>
            <w:vAlign w:val="bottom"/>
            <w:hideMark/>
          </w:tcPr>
          <w:p w14:paraId="240CEF6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F4843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23F48A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FFFFFF"/>
            <w:tcMar>
              <w:top w:w="15" w:type="dxa"/>
              <w:left w:w="0" w:type="dxa"/>
              <w:bottom w:w="0" w:type="dxa"/>
              <w:right w:w="15" w:type="dxa"/>
            </w:tcMar>
            <w:vAlign w:val="bottom"/>
            <w:hideMark/>
          </w:tcPr>
          <w:p w14:paraId="40D220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83DF4F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FFFFFF"/>
            <w:tcMar>
              <w:top w:w="15" w:type="dxa"/>
              <w:left w:w="0" w:type="dxa"/>
              <w:bottom w:w="0" w:type="dxa"/>
              <w:right w:w="15" w:type="dxa"/>
            </w:tcMar>
            <w:vAlign w:val="bottom"/>
            <w:hideMark/>
          </w:tcPr>
          <w:p w14:paraId="5BEBA0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6E3A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D33F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1,205</w:t>
            </w:r>
          </w:p>
        </w:tc>
        <w:tc>
          <w:tcPr>
            <w:tcW w:w="50" w:type="pct"/>
            <w:shd w:val="clear" w:color="auto" w:fill="FFFFFF"/>
            <w:noWrap/>
            <w:tcMar>
              <w:top w:w="15" w:type="dxa"/>
              <w:left w:w="0" w:type="dxa"/>
              <w:bottom w:w="0" w:type="dxa"/>
              <w:right w:w="15" w:type="dxa"/>
            </w:tcMar>
            <w:vAlign w:val="bottom"/>
            <w:hideMark/>
          </w:tcPr>
          <w:p w14:paraId="0742F689"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14B3D9B0" w14:textId="77777777" w:rsidR="00716E85" w:rsidRDefault="00716E85">
      <w:pPr>
        <w:pStyle w:val="a3"/>
        <w:spacing w:before="0" w:beforeAutospacing="0" w:after="0" w:afterAutospacing="0"/>
        <w:jc w:val="both"/>
        <w:rPr>
          <w:sz w:val="12"/>
          <w:szCs w:val="12"/>
        </w:rPr>
      </w:pPr>
      <w:r>
        <w:rPr>
          <w:sz w:val="12"/>
          <w:szCs w:val="12"/>
        </w:rPr>
        <w:t> </w:t>
      </w:r>
    </w:p>
    <w:p w14:paraId="52B2EF15"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Amortization of intangible assets increased during the fiscal 2019 periods presented, relative to the corresponding prior year periods, due to additional amortization from intangible assets, primarily developed technology, that we acquired in connection with our recent acquisitions, partially offset by a reduction in expenses associated with certain of our intangible assets that became fully amortized.  </w:t>
      </w:r>
    </w:p>
    <w:p w14:paraId="358AD0A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45</w:t>
      </w:r>
    </w:p>
    <w:p w14:paraId="29741A5F" w14:textId="77777777" w:rsidR="00716E85" w:rsidRDefault="00716E85">
      <w:pPr>
        <w:rPr>
          <w:rFonts w:ascii="Times New Roman" w:eastAsia="Times New Roman" w:hAnsi="Times New Roman" w:cs="Times New Roman"/>
          <w:sz w:val="24"/>
          <w:szCs w:val="24"/>
        </w:rPr>
      </w:pPr>
      <w:r>
        <w:rPr>
          <w:rFonts w:eastAsia="Times New Roman"/>
        </w:rPr>
        <w:pict w14:anchorId="6F110661">
          <v:rect id="_x0000_i1071" style="width:415.3pt;height:1.5pt" o:hralign="center" o:hrstd="t" o:hr="t" fillcolor="#a0a0a0" stroked="f"/>
        </w:pict>
      </w:r>
    </w:p>
    <w:p w14:paraId="662477B7"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0119314" w14:textId="77777777" w:rsidR="00716E85" w:rsidRDefault="00716E85">
      <w:pPr>
        <w:pStyle w:val="a3"/>
        <w:spacing w:before="0" w:beforeAutospacing="0" w:after="0" w:afterAutospacing="0"/>
        <w:rPr>
          <w:sz w:val="20"/>
          <w:szCs w:val="20"/>
        </w:rPr>
      </w:pPr>
      <w:r>
        <w:rPr>
          <w:sz w:val="20"/>
          <w:szCs w:val="20"/>
        </w:rPr>
        <w:t> </w:t>
      </w:r>
    </w:p>
    <w:p w14:paraId="5D4439CF" w14:textId="77777777" w:rsidR="00716E85" w:rsidRDefault="00716E85">
      <w:pPr>
        <w:pStyle w:val="a3"/>
        <w:spacing w:before="120" w:beforeAutospacing="0" w:after="0" w:afterAutospacing="0"/>
        <w:jc w:val="both"/>
        <w:rPr>
          <w:rFonts w:ascii="Calibri" w:hAnsi="Calibri" w:cs="Calibri"/>
          <w:b/>
          <w:bCs/>
          <w:i/>
          <w:iCs/>
          <w:sz w:val="20"/>
          <w:szCs w:val="20"/>
        </w:rPr>
      </w:pPr>
      <w:bookmarkStart w:id="53" w:name="_AEIOULastRenderedPageBreakAEIOU44"/>
      <w:bookmarkEnd w:id="53"/>
      <w:r>
        <w:rPr>
          <w:rFonts w:ascii="Calibri" w:hAnsi="Calibri" w:cs="Calibri"/>
          <w:b/>
          <w:bCs/>
          <w:i/>
          <w:iCs/>
          <w:sz w:val="20"/>
          <w:szCs w:val="20"/>
        </w:rPr>
        <w:t>Acquisition Related and Other Expenses:</w:t>
      </w:r>
      <w:r>
        <w:rPr>
          <w:rFonts w:ascii="Calibri" w:hAnsi="Calibri" w:cs="Calibri"/>
          <w:sz w:val="20"/>
          <w:szCs w:val="20"/>
        </w:rPr>
        <w:t>   Acquisition related and other expenses consist of personnel related costs and stock-based compensation for transitional and certain other employees, integration related professional services, and certain business combination adjustments including certain adjustments after the measurement period has ended and certain other operating items, net. Stock-based compensation expenses included in acquisition related and other expenses resulted from unvested restricted stock-based awards and stock options assumed from acquisitions whereby vesting was accelerated generally upon termination of the employees pursuant to the original terms of those restricted stock-based awards and stock options.</w:t>
      </w:r>
    </w:p>
    <w:p w14:paraId="1D6AA859"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3712"/>
        <w:gridCol w:w="58"/>
        <w:gridCol w:w="109"/>
        <w:gridCol w:w="258"/>
        <w:gridCol w:w="71"/>
        <w:gridCol w:w="57"/>
        <w:gridCol w:w="57"/>
        <w:gridCol w:w="622"/>
        <w:gridCol w:w="70"/>
        <w:gridCol w:w="57"/>
        <w:gridCol w:w="57"/>
        <w:gridCol w:w="622"/>
        <w:gridCol w:w="70"/>
        <w:gridCol w:w="57"/>
        <w:gridCol w:w="110"/>
        <w:gridCol w:w="248"/>
        <w:gridCol w:w="71"/>
        <w:gridCol w:w="53"/>
        <w:gridCol w:w="109"/>
        <w:gridCol w:w="258"/>
        <w:gridCol w:w="71"/>
        <w:gridCol w:w="57"/>
        <w:gridCol w:w="427"/>
        <w:gridCol w:w="57"/>
        <w:gridCol w:w="529"/>
        <w:gridCol w:w="57"/>
        <w:gridCol w:w="109"/>
        <w:gridCol w:w="202"/>
        <w:gridCol w:w="71"/>
      </w:tblGrid>
      <w:tr w:rsidR="00716E85" w14:paraId="5B25A567" w14:textId="77777777">
        <w:tc>
          <w:tcPr>
            <w:tcW w:w="1688" w:type="pct"/>
            <w:shd w:val="clear" w:color="auto" w:fill="FFFFFF"/>
            <w:tcMar>
              <w:top w:w="15" w:type="dxa"/>
              <w:left w:w="0" w:type="dxa"/>
              <w:bottom w:w="0" w:type="dxa"/>
              <w:right w:w="15" w:type="dxa"/>
            </w:tcMar>
            <w:vAlign w:val="center"/>
            <w:hideMark/>
          </w:tcPr>
          <w:p w14:paraId="1FC91242"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7FCE431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4"/>
            <w:tcBorders>
              <w:bottom w:val="single" w:sz="6" w:space="0" w:color="000000"/>
            </w:tcBorders>
            <w:shd w:val="clear" w:color="auto" w:fill="FFFFFF"/>
            <w:tcMar>
              <w:top w:w="15" w:type="dxa"/>
              <w:left w:w="0" w:type="dxa"/>
              <w:bottom w:w="0" w:type="dxa"/>
              <w:right w:w="15" w:type="dxa"/>
            </w:tcMar>
            <w:vAlign w:val="bottom"/>
            <w:hideMark/>
          </w:tcPr>
          <w:p w14:paraId="26F0D6B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006B2DF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ACE0DC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3DF370F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3F41D21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6FB5AA4" w14:textId="77777777">
        <w:tc>
          <w:tcPr>
            <w:tcW w:w="1688" w:type="pct"/>
            <w:shd w:val="clear" w:color="auto" w:fill="FFFFFF"/>
            <w:tcMar>
              <w:top w:w="15" w:type="dxa"/>
              <w:left w:w="0" w:type="dxa"/>
              <w:bottom w:w="0" w:type="dxa"/>
              <w:right w:w="15" w:type="dxa"/>
            </w:tcMar>
            <w:vAlign w:val="center"/>
            <w:hideMark/>
          </w:tcPr>
          <w:p w14:paraId="4E47539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15E5BF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3BF9D3B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7A3CD36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0A87C74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5F5B29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2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CFECC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0" w:type="pct"/>
            <w:shd w:val="clear" w:color="auto" w:fill="FFFFFF"/>
            <w:noWrap/>
            <w:tcMar>
              <w:top w:w="15" w:type="dxa"/>
              <w:left w:w="0" w:type="dxa"/>
              <w:bottom w:w="0" w:type="dxa"/>
              <w:right w:w="15" w:type="dxa"/>
            </w:tcMar>
            <w:vAlign w:val="bottom"/>
            <w:hideMark/>
          </w:tcPr>
          <w:p w14:paraId="7CBB0CB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2EE3CFC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74A7C71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638E5CA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784763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FB7DAC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B5099A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4E23463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3A49FF8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43DBC8F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B8673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7A5BB1F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AC84C6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6127808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37B947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2C0FA884"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23D1356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2BF957A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17A468D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9573C1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2A9812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CD32A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shd w:val="clear" w:color="auto" w:fill="FFFFFF"/>
            <w:noWrap/>
            <w:tcMar>
              <w:top w:w="15" w:type="dxa"/>
              <w:left w:w="0" w:type="dxa"/>
              <w:bottom w:w="0" w:type="dxa"/>
              <w:right w:w="15" w:type="dxa"/>
            </w:tcMar>
            <w:vAlign w:val="bottom"/>
            <w:hideMark/>
          </w:tcPr>
          <w:p w14:paraId="0A1CF6F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43AB0C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9D913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0" w:type="pct"/>
            <w:shd w:val="clear" w:color="auto" w:fill="FFFFFF"/>
            <w:noWrap/>
            <w:tcMar>
              <w:top w:w="15" w:type="dxa"/>
              <w:left w:w="0" w:type="dxa"/>
              <w:bottom w:w="0" w:type="dxa"/>
              <w:right w:w="15" w:type="dxa"/>
            </w:tcMar>
            <w:vAlign w:val="bottom"/>
            <w:hideMark/>
          </w:tcPr>
          <w:p w14:paraId="79D90EF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7213DE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1519F8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63614C7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6BE5B9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FCCE08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1CECD7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5AC7AFD"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4F6F6F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16CCD9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175F9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69B9E503"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1B938BC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666AD3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63272ABA" w14:textId="77777777">
        <w:tc>
          <w:tcPr>
            <w:tcW w:w="1688" w:type="pct"/>
            <w:tcBorders>
              <w:top w:val="single" w:sz="6" w:space="0" w:color="000000"/>
            </w:tcBorders>
            <w:shd w:val="clear" w:color="auto" w:fill="CFF0FC"/>
            <w:tcMar>
              <w:top w:w="15" w:type="dxa"/>
              <w:left w:w="0" w:type="dxa"/>
              <w:bottom w:w="0" w:type="dxa"/>
              <w:right w:w="15" w:type="dxa"/>
            </w:tcMar>
            <w:hideMark/>
          </w:tcPr>
          <w:p w14:paraId="6FC096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57" w:type="pct"/>
            <w:shd w:val="clear" w:color="auto" w:fill="CFF0FC"/>
            <w:tcMar>
              <w:top w:w="15" w:type="dxa"/>
              <w:left w:w="0" w:type="dxa"/>
              <w:bottom w:w="0" w:type="dxa"/>
              <w:right w:w="15" w:type="dxa"/>
            </w:tcMar>
            <w:vAlign w:val="bottom"/>
            <w:hideMark/>
          </w:tcPr>
          <w:p w14:paraId="4A64834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0CAC0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3A3091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CFF0FC"/>
            <w:noWrap/>
            <w:tcMar>
              <w:top w:w="15" w:type="dxa"/>
              <w:left w:w="0" w:type="dxa"/>
              <w:bottom w:w="0" w:type="dxa"/>
              <w:right w:w="15" w:type="dxa"/>
            </w:tcMar>
            <w:vAlign w:val="bottom"/>
            <w:hideMark/>
          </w:tcPr>
          <w:p w14:paraId="7439EAB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CEDD7B3"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06" w:type="pct"/>
            <w:gridSpan w:val="2"/>
            <w:tcBorders>
              <w:top w:val="single" w:sz="6" w:space="0" w:color="000000"/>
            </w:tcBorders>
            <w:shd w:val="clear" w:color="auto" w:fill="CFF0FC"/>
            <w:tcMar>
              <w:top w:w="15" w:type="dxa"/>
              <w:left w:w="0" w:type="dxa"/>
              <w:bottom w:w="0" w:type="dxa"/>
              <w:right w:w="15" w:type="dxa"/>
            </w:tcMar>
            <w:vAlign w:val="bottom"/>
            <w:hideMark/>
          </w:tcPr>
          <w:p w14:paraId="7B78E5D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50" w:type="pct"/>
            <w:shd w:val="clear" w:color="auto" w:fill="CFF0FC"/>
            <w:noWrap/>
            <w:tcMar>
              <w:top w:w="15" w:type="dxa"/>
              <w:left w:w="0" w:type="dxa"/>
              <w:bottom w:w="0" w:type="dxa"/>
              <w:right w:w="15" w:type="dxa"/>
            </w:tcMar>
            <w:vAlign w:val="bottom"/>
            <w:hideMark/>
          </w:tcPr>
          <w:p w14:paraId="68162D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5E2B4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single" w:sz="6" w:space="0" w:color="000000"/>
            </w:tcBorders>
            <w:shd w:val="clear" w:color="auto" w:fill="CFF0FC"/>
            <w:tcMar>
              <w:top w:w="15" w:type="dxa"/>
              <w:left w:w="0" w:type="dxa"/>
              <w:bottom w:w="0" w:type="dxa"/>
              <w:right w:w="15" w:type="dxa"/>
            </w:tcMar>
            <w:vAlign w:val="bottom"/>
            <w:hideMark/>
          </w:tcPr>
          <w:p w14:paraId="552F2DC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w:t>
            </w:r>
          </w:p>
        </w:tc>
        <w:tc>
          <w:tcPr>
            <w:tcW w:w="50" w:type="pct"/>
            <w:shd w:val="clear" w:color="auto" w:fill="CFF0FC"/>
            <w:noWrap/>
            <w:tcMar>
              <w:top w:w="15" w:type="dxa"/>
              <w:left w:w="0" w:type="dxa"/>
              <w:bottom w:w="0" w:type="dxa"/>
              <w:right w:w="15" w:type="dxa"/>
            </w:tcMar>
            <w:vAlign w:val="bottom"/>
            <w:hideMark/>
          </w:tcPr>
          <w:p w14:paraId="0DFD0A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F8DB7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CC44F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97F48E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331D43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4A9CC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28C3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13E584D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39</w:t>
            </w:r>
          </w:p>
        </w:tc>
        <w:tc>
          <w:tcPr>
            <w:tcW w:w="50" w:type="pct"/>
            <w:shd w:val="clear" w:color="auto" w:fill="CFF0FC"/>
            <w:noWrap/>
            <w:tcMar>
              <w:top w:w="15" w:type="dxa"/>
              <w:left w:w="0" w:type="dxa"/>
              <w:bottom w:w="0" w:type="dxa"/>
              <w:right w:w="15" w:type="dxa"/>
            </w:tcMar>
            <w:vAlign w:val="bottom"/>
            <w:hideMark/>
          </w:tcPr>
          <w:p w14:paraId="672579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3A8A4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7CD4F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w:t>
            </w:r>
          </w:p>
        </w:tc>
        <w:tc>
          <w:tcPr>
            <w:tcW w:w="57" w:type="pct"/>
            <w:shd w:val="clear" w:color="auto" w:fill="CFF0FC"/>
            <w:tcMar>
              <w:top w:w="15" w:type="dxa"/>
              <w:left w:w="0" w:type="dxa"/>
              <w:bottom w:w="0" w:type="dxa"/>
              <w:right w:w="15" w:type="dxa"/>
            </w:tcMar>
            <w:vAlign w:val="bottom"/>
            <w:hideMark/>
          </w:tcPr>
          <w:p w14:paraId="3A691AD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D367A7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7" w:type="pct"/>
            <w:shd w:val="clear" w:color="auto" w:fill="CFF0FC"/>
            <w:tcMar>
              <w:top w:w="15" w:type="dxa"/>
              <w:left w:w="0" w:type="dxa"/>
              <w:bottom w:w="0" w:type="dxa"/>
              <w:right w:w="15" w:type="dxa"/>
            </w:tcMar>
            <w:vAlign w:val="bottom"/>
            <w:hideMark/>
          </w:tcPr>
          <w:p w14:paraId="5E0556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DF4D5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AA6C0C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7A3F22C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3BBC55B" w14:textId="77777777">
        <w:tc>
          <w:tcPr>
            <w:tcW w:w="1688" w:type="pct"/>
            <w:shd w:val="clear" w:color="auto" w:fill="FFFFFF"/>
            <w:tcMar>
              <w:top w:w="15" w:type="dxa"/>
              <w:left w:w="0" w:type="dxa"/>
              <w:bottom w:w="0" w:type="dxa"/>
              <w:right w:w="15" w:type="dxa"/>
            </w:tcMar>
            <w:hideMark/>
          </w:tcPr>
          <w:p w14:paraId="709EFF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57" w:type="pct"/>
            <w:shd w:val="clear" w:color="auto" w:fill="FFFFFF"/>
            <w:tcMar>
              <w:top w:w="15" w:type="dxa"/>
              <w:left w:w="0" w:type="dxa"/>
              <w:bottom w:w="0" w:type="dxa"/>
              <w:right w:w="15" w:type="dxa"/>
            </w:tcMar>
            <w:vAlign w:val="bottom"/>
            <w:hideMark/>
          </w:tcPr>
          <w:p w14:paraId="1EA9B69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CF52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7F91F6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D9C04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554BCF2"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1EE14F4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4AC30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1CCB0F0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FFFFFF"/>
            <w:tcMar>
              <w:top w:w="15" w:type="dxa"/>
              <w:left w:w="0" w:type="dxa"/>
              <w:bottom w:w="0" w:type="dxa"/>
              <w:right w:w="15" w:type="dxa"/>
            </w:tcMar>
            <w:vAlign w:val="bottom"/>
            <w:hideMark/>
          </w:tcPr>
          <w:p w14:paraId="350B7C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4BF530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0AE056B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6B35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3AF2F7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60940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7BEF9C1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24422D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7AF8FE3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D3EB1E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93C681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D727E3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57" w:type="pct"/>
            <w:shd w:val="clear" w:color="auto" w:fill="FFFFFF"/>
            <w:tcMar>
              <w:top w:w="15" w:type="dxa"/>
              <w:left w:w="0" w:type="dxa"/>
              <w:bottom w:w="0" w:type="dxa"/>
              <w:right w:w="15" w:type="dxa"/>
            </w:tcMar>
            <w:vAlign w:val="bottom"/>
            <w:hideMark/>
          </w:tcPr>
          <w:p w14:paraId="7C60FC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FD09D6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57" w:type="pct"/>
            <w:shd w:val="clear" w:color="auto" w:fill="FFFFFF"/>
            <w:tcMar>
              <w:top w:w="15" w:type="dxa"/>
              <w:left w:w="0" w:type="dxa"/>
              <w:bottom w:w="0" w:type="dxa"/>
              <w:right w:w="15" w:type="dxa"/>
            </w:tcMar>
            <w:vAlign w:val="bottom"/>
            <w:hideMark/>
          </w:tcPr>
          <w:p w14:paraId="7133FF7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DD54A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3005300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52117B8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A82EDF2" w14:textId="77777777">
        <w:tc>
          <w:tcPr>
            <w:tcW w:w="1688" w:type="pct"/>
            <w:shd w:val="clear" w:color="auto" w:fill="CFF0FC"/>
            <w:tcMar>
              <w:top w:w="15" w:type="dxa"/>
              <w:left w:w="0" w:type="dxa"/>
              <w:bottom w:w="0" w:type="dxa"/>
              <w:right w:w="15" w:type="dxa"/>
            </w:tcMar>
            <w:hideMark/>
          </w:tcPr>
          <w:p w14:paraId="558EDE1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Professional fees and other, net</w:t>
            </w:r>
          </w:p>
        </w:tc>
        <w:tc>
          <w:tcPr>
            <w:tcW w:w="57" w:type="pct"/>
            <w:shd w:val="clear" w:color="auto" w:fill="CFF0FC"/>
            <w:tcMar>
              <w:top w:w="15" w:type="dxa"/>
              <w:left w:w="0" w:type="dxa"/>
              <w:bottom w:w="0" w:type="dxa"/>
              <w:right w:w="15" w:type="dxa"/>
            </w:tcMar>
            <w:vAlign w:val="bottom"/>
            <w:hideMark/>
          </w:tcPr>
          <w:p w14:paraId="64EB14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875E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49364FB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439D740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A79FCA1"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04DD61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143%</w:t>
            </w:r>
          </w:p>
        </w:tc>
        <w:tc>
          <w:tcPr>
            <w:tcW w:w="50" w:type="pct"/>
            <w:shd w:val="clear" w:color="auto" w:fill="CFF0FC"/>
            <w:noWrap/>
            <w:tcMar>
              <w:top w:w="15" w:type="dxa"/>
              <w:left w:w="0" w:type="dxa"/>
              <w:bottom w:w="0" w:type="dxa"/>
              <w:right w:w="15" w:type="dxa"/>
            </w:tcMar>
            <w:vAlign w:val="bottom"/>
            <w:hideMark/>
          </w:tcPr>
          <w:p w14:paraId="3BE5565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82DDF0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42D316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143%</w:t>
            </w:r>
          </w:p>
        </w:tc>
        <w:tc>
          <w:tcPr>
            <w:tcW w:w="50" w:type="pct"/>
            <w:shd w:val="clear" w:color="auto" w:fill="CFF0FC"/>
            <w:noWrap/>
            <w:tcMar>
              <w:top w:w="15" w:type="dxa"/>
              <w:left w:w="0" w:type="dxa"/>
              <w:bottom w:w="0" w:type="dxa"/>
              <w:right w:w="15" w:type="dxa"/>
            </w:tcMar>
            <w:vAlign w:val="bottom"/>
            <w:hideMark/>
          </w:tcPr>
          <w:p w14:paraId="37197E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80D5F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0919D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4C31147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11E9E38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CFF0FC"/>
            <w:tcMar>
              <w:top w:w="15" w:type="dxa"/>
              <w:left w:w="0" w:type="dxa"/>
              <w:bottom w:w="0" w:type="dxa"/>
              <w:right w:w="15" w:type="dxa"/>
            </w:tcMar>
            <w:vAlign w:val="bottom"/>
            <w:hideMark/>
          </w:tcPr>
          <w:p w14:paraId="54CA9FE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C64AC3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3D30AC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0F482D2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EF90F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13DD354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793%</w:t>
            </w:r>
          </w:p>
        </w:tc>
        <w:tc>
          <w:tcPr>
            <w:tcW w:w="57" w:type="pct"/>
            <w:shd w:val="clear" w:color="auto" w:fill="CFF0FC"/>
            <w:tcMar>
              <w:top w:w="15" w:type="dxa"/>
              <w:left w:w="0" w:type="dxa"/>
              <w:bottom w:w="0" w:type="dxa"/>
              <w:right w:w="15" w:type="dxa"/>
            </w:tcMar>
            <w:vAlign w:val="bottom"/>
            <w:hideMark/>
          </w:tcPr>
          <w:p w14:paraId="2850BA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C11BF6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685%</w:t>
            </w:r>
          </w:p>
        </w:tc>
        <w:tc>
          <w:tcPr>
            <w:tcW w:w="57" w:type="pct"/>
            <w:shd w:val="clear" w:color="auto" w:fill="CFF0FC"/>
            <w:tcMar>
              <w:top w:w="15" w:type="dxa"/>
              <w:left w:w="0" w:type="dxa"/>
              <w:bottom w:w="0" w:type="dxa"/>
              <w:right w:w="15" w:type="dxa"/>
            </w:tcMar>
            <w:vAlign w:val="bottom"/>
            <w:hideMark/>
          </w:tcPr>
          <w:p w14:paraId="0FE9199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8714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53C05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4A9F40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37954F3C" w14:textId="77777777">
        <w:tc>
          <w:tcPr>
            <w:tcW w:w="1688" w:type="pct"/>
            <w:shd w:val="clear" w:color="auto" w:fill="FFFFFF"/>
            <w:tcMar>
              <w:top w:w="15" w:type="dxa"/>
              <w:left w:w="0" w:type="dxa"/>
              <w:bottom w:w="0" w:type="dxa"/>
              <w:right w:w="15" w:type="dxa"/>
            </w:tcMar>
            <w:hideMark/>
          </w:tcPr>
          <w:p w14:paraId="6BEF36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57" w:type="pct"/>
            <w:shd w:val="clear" w:color="auto" w:fill="FFFFFF"/>
            <w:tcMar>
              <w:top w:w="15" w:type="dxa"/>
              <w:left w:w="0" w:type="dxa"/>
              <w:bottom w:w="0" w:type="dxa"/>
              <w:right w:w="15" w:type="dxa"/>
            </w:tcMar>
            <w:vAlign w:val="bottom"/>
            <w:hideMark/>
          </w:tcPr>
          <w:p w14:paraId="530E9C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28533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7B1A74F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4105FA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1D6E9BB0" w14:textId="77777777" w:rsidR="00716E85" w:rsidRDefault="00716E85">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5764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2EB4EA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-1,424%</w:t>
            </w:r>
          </w:p>
        </w:tc>
        <w:tc>
          <w:tcPr>
            <w:tcW w:w="50" w:type="pct"/>
            <w:shd w:val="clear" w:color="auto" w:fill="FFFFFF"/>
            <w:noWrap/>
            <w:tcMar>
              <w:top w:w="15" w:type="dxa"/>
              <w:left w:w="0" w:type="dxa"/>
              <w:bottom w:w="0" w:type="dxa"/>
              <w:right w:w="15" w:type="dxa"/>
            </w:tcMar>
            <w:vAlign w:val="bottom"/>
            <w:hideMark/>
          </w:tcPr>
          <w:p w14:paraId="6D9C3F25" w14:textId="77777777" w:rsidR="00716E85" w:rsidRDefault="00716E85">
            <w:pPr>
              <w:pStyle w:val="a3"/>
              <w:spacing w:before="0" w:beforeAutospacing="0" w:after="0" w:afterAutospacing="0"/>
            </w:pPr>
            <w:r>
              <w:t> </w:t>
            </w:r>
          </w:p>
        </w:tc>
        <w:tc>
          <w:tcPr>
            <w:tcW w:w="57" w:type="pct"/>
            <w:shd w:val="clear" w:color="auto" w:fill="FFFFFF"/>
            <w:tcMar>
              <w:top w:w="15" w:type="dxa"/>
              <w:left w:w="0" w:type="dxa"/>
              <w:bottom w:w="0" w:type="dxa"/>
              <w:right w:w="15" w:type="dxa"/>
            </w:tcMar>
            <w:vAlign w:val="bottom"/>
            <w:hideMark/>
          </w:tcPr>
          <w:p w14:paraId="1E2F6D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7B04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365FD77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-1,460%</w:t>
            </w:r>
          </w:p>
        </w:tc>
        <w:tc>
          <w:tcPr>
            <w:tcW w:w="50" w:type="pct"/>
            <w:shd w:val="clear" w:color="auto" w:fill="FFFFFF"/>
            <w:noWrap/>
            <w:tcMar>
              <w:top w:w="15" w:type="dxa"/>
              <w:left w:w="0" w:type="dxa"/>
              <w:bottom w:w="0" w:type="dxa"/>
              <w:right w:w="15" w:type="dxa"/>
            </w:tcMar>
            <w:vAlign w:val="bottom"/>
            <w:hideMark/>
          </w:tcPr>
          <w:p w14:paraId="15DA72A9" w14:textId="77777777" w:rsidR="00716E85" w:rsidRDefault="00716E85">
            <w:pPr>
              <w:pStyle w:val="a3"/>
              <w:spacing w:before="0" w:beforeAutospacing="0" w:after="0" w:afterAutospacing="0"/>
            </w:pPr>
            <w:r>
              <w:t> </w:t>
            </w:r>
          </w:p>
        </w:tc>
        <w:tc>
          <w:tcPr>
            <w:tcW w:w="57" w:type="pct"/>
            <w:shd w:val="clear" w:color="auto" w:fill="FFFFFF"/>
            <w:tcMar>
              <w:top w:w="15" w:type="dxa"/>
              <w:left w:w="0" w:type="dxa"/>
              <w:bottom w:w="0" w:type="dxa"/>
              <w:right w:w="15" w:type="dxa"/>
            </w:tcMar>
            <w:vAlign w:val="bottom"/>
            <w:hideMark/>
          </w:tcPr>
          <w:p w14:paraId="786D83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502D0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4ADB264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5457498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3ABB50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D4D8FB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38FFB3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45A601C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0C9E954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AD236F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2D9357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08949F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48C2D0F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D854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2A201DC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D23202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E0B182A" w14:textId="77777777">
        <w:tc>
          <w:tcPr>
            <w:tcW w:w="1688" w:type="pct"/>
            <w:shd w:val="clear" w:color="auto" w:fill="CFF0FC"/>
            <w:tcMar>
              <w:top w:w="15" w:type="dxa"/>
              <w:left w:w="0" w:type="dxa"/>
              <w:bottom w:w="0" w:type="dxa"/>
              <w:right w:w="15" w:type="dxa"/>
            </w:tcMar>
            <w:hideMark/>
          </w:tcPr>
          <w:p w14:paraId="760D8D2E"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57" w:type="pct"/>
            <w:shd w:val="clear" w:color="auto" w:fill="CFF0FC"/>
            <w:tcMar>
              <w:top w:w="15" w:type="dxa"/>
              <w:left w:w="0" w:type="dxa"/>
              <w:bottom w:w="0" w:type="dxa"/>
              <w:right w:w="15" w:type="dxa"/>
            </w:tcMar>
            <w:vAlign w:val="bottom"/>
            <w:hideMark/>
          </w:tcPr>
          <w:p w14:paraId="00EE1C7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C7CE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3BEFA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left w:w="0" w:type="dxa"/>
              <w:bottom w:w="0" w:type="dxa"/>
              <w:right w:w="15" w:type="dxa"/>
            </w:tcMar>
            <w:vAlign w:val="bottom"/>
            <w:hideMark/>
          </w:tcPr>
          <w:p w14:paraId="4366B8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CFF0FC"/>
            <w:tcMar>
              <w:top w:w="15" w:type="dxa"/>
              <w:left w:w="0" w:type="dxa"/>
              <w:bottom w:w="0" w:type="dxa"/>
              <w:right w:w="15" w:type="dxa"/>
            </w:tcMar>
            <w:vAlign w:val="bottom"/>
            <w:hideMark/>
          </w:tcPr>
          <w:p w14:paraId="56CBB0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5F4FD0A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-208%</w:t>
            </w:r>
          </w:p>
        </w:tc>
        <w:tc>
          <w:tcPr>
            <w:tcW w:w="50" w:type="pct"/>
            <w:shd w:val="clear" w:color="auto" w:fill="CFF0FC"/>
            <w:noWrap/>
            <w:tcMar>
              <w:top w:w="15" w:type="dxa"/>
              <w:left w:w="0" w:type="dxa"/>
              <w:bottom w:w="0" w:type="dxa"/>
              <w:right w:w="15" w:type="dxa"/>
            </w:tcMar>
            <w:vAlign w:val="bottom"/>
            <w:hideMark/>
          </w:tcPr>
          <w:p w14:paraId="1405C03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BAAB9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shd w:val="clear" w:color="auto" w:fill="CFF0FC"/>
            <w:tcMar>
              <w:top w:w="15" w:type="dxa"/>
              <w:left w:w="0" w:type="dxa"/>
              <w:bottom w:w="0" w:type="dxa"/>
              <w:right w:w="15" w:type="dxa"/>
            </w:tcMar>
            <w:vAlign w:val="bottom"/>
            <w:hideMark/>
          </w:tcPr>
          <w:p w14:paraId="1F9BF31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-217%</w:t>
            </w:r>
          </w:p>
        </w:tc>
        <w:tc>
          <w:tcPr>
            <w:tcW w:w="50" w:type="pct"/>
            <w:shd w:val="clear" w:color="auto" w:fill="CFF0FC"/>
            <w:noWrap/>
            <w:tcMar>
              <w:top w:w="15" w:type="dxa"/>
              <w:left w:w="0" w:type="dxa"/>
              <w:bottom w:w="0" w:type="dxa"/>
              <w:right w:w="15" w:type="dxa"/>
            </w:tcMar>
            <w:vAlign w:val="bottom"/>
            <w:hideMark/>
          </w:tcPr>
          <w:p w14:paraId="3CCA8A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1316BE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06723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5858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0257AD9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8AAAC74"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A6C5F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0688C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20B901A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481E7B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6A4501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w:t>
            </w:r>
          </w:p>
        </w:tc>
        <w:tc>
          <w:tcPr>
            <w:tcW w:w="57" w:type="pct"/>
            <w:shd w:val="clear" w:color="auto" w:fill="CFF0FC"/>
            <w:tcMar>
              <w:top w:w="15" w:type="dxa"/>
              <w:left w:w="0" w:type="dxa"/>
              <w:bottom w:w="0" w:type="dxa"/>
              <w:right w:w="15" w:type="dxa"/>
            </w:tcMar>
            <w:vAlign w:val="bottom"/>
            <w:hideMark/>
          </w:tcPr>
          <w:p w14:paraId="58A099A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4348B9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w:t>
            </w:r>
          </w:p>
        </w:tc>
        <w:tc>
          <w:tcPr>
            <w:tcW w:w="57" w:type="pct"/>
            <w:shd w:val="clear" w:color="auto" w:fill="CFF0FC"/>
            <w:tcMar>
              <w:top w:w="15" w:type="dxa"/>
              <w:left w:w="0" w:type="dxa"/>
              <w:bottom w:w="0" w:type="dxa"/>
              <w:right w:w="15" w:type="dxa"/>
            </w:tcMar>
            <w:vAlign w:val="bottom"/>
            <w:hideMark/>
          </w:tcPr>
          <w:p w14:paraId="0EDB0D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B3CA3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60B7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32</w:t>
            </w:r>
          </w:p>
        </w:tc>
        <w:tc>
          <w:tcPr>
            <w:tcW w:w="50" w:type="pct"/>
            <w:shd w:val="clear" w:color="auto" w:fill="CFF0FC"/>
            <w:noWrap/>
            <w:tcMar>
              <w:top w:w="15" w:type="dxa"/>
              <w:left w:w="0" w:type="dxa"/>
              <w:bottom w:w="0" w:type="dxa"/>
              <w:right w:w="15" w:type="dxa"/>
            </w:tcMar>
            <w:vAlign w:val="bottom"/>
            <w:hideMark/>
          </w:tcPr>
          <w:p w14:paraId="19708E2D"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AAAAD7F" w14:textId="77777777" w:rsidR="00716E85" w:rsidRDefault="00716E85">
      <w:pPr>
        <w:pStyle w:val="a3"/>
        <w:pBdr>
          <w:bottom w:val="single" w:sz="6" w:space="1" w:color="auto"/>
        </w:pBdr>
        <w:spacing w:before="0" w:beforeAutospacing="0" w:after="0" w:afterAutospacing="0"/>
        <w:ind w:right="10477"/>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30BCC840" w14:textId="77777777">
        <w:tc>
          <w:tcPr>
            <w:tcW w:w="192" w:type="pct"/>
            <w:noWrap/>
            <w:hideMark/>
          </w:tcPr>
          <w:p w14:paraId="60CED3E8"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3"/>
                <w:szCs w:val="13"/>
                <w:vertAlign w:val="superscript"/>
              </w:rPr>
              <w:t>*</w:t>
            </w:r>
          </w:p>
        </w:tc>
        <w:tc>
          <w:tcPr>
            <w:tcW w:w="0" w:type="auto"/>
            <w:hideMark/>
          </w:tcPr>
          <w:p w14:paraId="79A45779" w14:textId="77777777" w:rsidR="00716E85" w:rsidRDefault="00716E85">
            <w:pPr>
              <w:pStyle w:val="a3"/>
              <w:spacing w:before="40" w:beforeAutospacing="0" w:after="0" w:afterAutospacing="0"/>
              <w:jc w:val="both"/>
              <w:rPr>
                <w:rFonts w:ascii="Calibri" w:hAnsi="Calibri" w:cs="Calibri"/>
                <w:sz w:val="15"/>
                <w:szCs w:val="15"/>
              </w:rPr>
            </w:pPr>
            <w:r>
              <w:rPr>
                <w:rFonts w:ascii="Calibri" w:hAnsi="Calibri" w:cs="Calibri"/>
                <w:sz w:val="15"/>
                <w:szCs w:val="15"/>
              </w:rPr>
              <w:t>Not meaningful</w:t>
            </w:r>
          </w:p>
        </w:tc>
      </w:tr>
    </w:tbl>
    <w:p w14:paraId="555B0C80"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On a constant currency basis, acquisition related and other expenses decreased in the fiscal 2019 periods presented, relative to the corresponding prior year periods, primarily due to certain favorable business combination adjustments that were recorded in the third quarter of fiscal 2019.</w:t>
      </w:r>
    </w:p>
    <w:p w14:paraId="20FB6EC2"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 xml:space="preserve">Restructuring Expenses: </w:t>
      </w:r>
      <w:r>
        <w:rPr>
          <w:rFonts w:ascii="Calibri" w:hAnsi="Calibri" w:cs="Calibri"/>
          <w:sz w:val="20"/>
          <w:szCs w:val="20"/>
        </w:rPr>
        <w:t>Restructuring expenses resulted from the execution of management approved restructuring plans that were generally developed to improve our cost structure and/or operations, often in conjunction with our acquisition integration strategies. Restructuring expenses consist of employee severance costs and may also include charges for duplicate facilities and other contract termination costs to improve our cost structure prospectively. For additional information regarding our restructuring plans, see Note 5 of Notes to Condensed Consolidated Financial Statements included elsewhere in this Quarterly Report and Note 8 of Notes to Consolidated Financial Statements included in our Annual Report on Form 10-K for the fiscal year ended May 31, 2018.</w:t>
      </w:r>
    </w:p>
    <w:p w14:paraId="68D4BD4D"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99"/>
        <w:gridCol w:w="88"/>
        <w:gridCol w:w="117"/>
        <w:gridCol w:w="418"/>
        <w:gridCol w:w="76"/>
        <w:gridCol w:w="88"/>
        <w:gridCol w:w="584"/>
        <w:gridCol w:w="88"/>
        <w:gridCol w:w="586"/>
        <w:gridCol w:w="88"/>
        <w:gridCol w:w="117"/>
        <w:gridCol w:w="422"/>
        <w:gridCol w:w="77"/>
        <w:gridCol w:w="89"/>
        <w:gridCol w:w="117"/>
        <w:gridCol w:w="419"/>
        <w:gridCol w:w="77"/>
        <w:gridCol w:w="89"/>
        <w:gridCol w:w="585"/>
        <w:gridCol w:w="89"/>
        <w:gridCol w:w="587"/>
        <w:gridCol w:w="89"/>
        <w:gridCol w:w="117"/>
        <w:gridCol w:w="423"/>
        <w:gridCol w:w="77"/>
      </w:tblGrid>
      <w:tr w:rsidR="00716E85" w14:paraId="020B8FDA" w14:textId="77777777">
        <w:tc>
          <w:tcPr>
            <w:tcW w:w="1688" w:type="pct"/>
            <w:shd w:val="clear" w:color="auto" w:fill="FFFFFF"/>
            <w:tcMar>
              <w:top w:w="15" w:type="dxa"/>
              <w:left w:w="0" w:type="dxa"/>
              <w:bottom w:w="0" w:type="dxa"/>
              <w:right w:w="15" w:type="dxa"/>
            </w:tcMar>
            <w:vAlign w:val="bottom"/>
            <w:hideMark/>
          </w:tcPr>
          <w:p w14:paraId="446F0EFC"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739EB57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2AA52B0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1D7011B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F6399F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5B15F9A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7516AD8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1068CDB" w14:textId="77777777">
        <w:tc>
          <w:tcPr>
            <w:tcW w:w="1688" w:type="pct"/>
            <w:shd w:val="clear" w:color="auto" w:fill="FFFFFF"/>
            <w:tcMar>
              <w:top w:w="15" w:type="dxa"/>
              <w:left w:w="0" w:type="dxa"/>
              <w:bottom w:w="0" w:type="dxa"/>
              <w:right w:w="15" w:type="dxa"/>
            </w:tcMar>
            <w:vAlign w:val="bottom"/>
            <w:hideMark/>
          </w:tcPr>
          <w:p w14:paraId="109A4B1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0A3F108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06A598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7AFA1A6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7D4241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50790FD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62BA7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998935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D59533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36DA19F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8228F9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0EB678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F061F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6DEA2C9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BBDBF7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49667EE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1F8C3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152A5B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AD57C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270DE48F" w14:textId="77777777" w:rsidR="00716E85" w:rsidRDefault="00716E85">
            <w:pPr>
              <w:pStyle w:val="a3"/>
              <w:spacing w:before="0" w:beforeAutospacing="0" w:after="0" w:afterAutospacing="0"/>
              <w:jc w:val="center"/>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B06054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070A5C8A"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4356694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651199B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F42E1E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3E19F1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1A0B0C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AAE5D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434116C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13422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04DCDF8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28781B5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2BD44D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2062E4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22AAC5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4A226F2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6100EE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19846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5AF9F36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1FBC44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72A4EBE5" w14:textId="77777777" w:rsidR="00716E85" w:rsidRDefault="00716E85">
            <w:pPr>
              <w:pStyle w:val="a3"/>
              <w:spacing w:before="0" w:beforeAutospacing="0" w:after="0" w:afterAutospacing="0"/>
              <w:jc w:val="center"/>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3BFA9A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81209B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E32985F" w14:textId="77777777">
        <w:tc>
          <w:tcPr>
            <w:tcW w:w="1688" w:type="pct"/>
            <w:tcBorders>
              <w:top w:val="single" w:sz="6" w:space="0" w:color="000000"/>
            </w:tcBorders>
            <w:shd w:val="clear" w:color="auto" w:fill="CFF0FC"/>
            <w:tcMar>
              <w:top w:w="15" w:type="dxa"/>
              <w:left w:w="0" w:type="dxa"/>
              <w:bottom w:w="0" w:type="dxa"/>
              <w:right w:w="15" w:type="dxa"/>
            </w:tcMar>
            <w:hideMark/>
          </w:tcPr>
          <w:p w14:paraId="338CC5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57" w:type="pct"/>
            <w:shd w:val="clear" w:color="auto" w:fill="CFF0FC"/>
            <w:tcMar>
              <w:top w:w="15" w:type="dxa"/>
              <w:left w:w="0" w:type="dxa"/>
              <w:bottom w:w="0" w:type="dxa"/>
              <w:right w:w="15" w:type="dxa"/>
            </w:tcMar>
            <w:vAlign w:val="bottom"/>
            <w:hideMark/>
          </w:tcPr>
          <w:p w14:paraId="3A70FA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3700D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27688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43</w:t>
            </w:r>
          </w:p>
        </w:tc>
        <w:tc>
          <w:tcPr>
            <w:tcW w:w="50" w:type="pct"/>
            <w:shd w:val="clear" w:color="auto" w:fill="CFF0FC"/>
            <w:noWrap/>
            <w:tcMar>
              <w:top w:w="15" w:type="dxa"/>
              <w:left w:w="0" w:type="dxa"/>
              <w:bottom w:w="0" w:type="dxa"/>
              <w:right w:w="15" w:type="dxa"/>
            </w:tcMar>
            <w:vAlign w:val="bottom"/>
            <w:hideMark/>
          </w:tcPr>
          <w:p w14:paraId="0AE206F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C3313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E704AD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w:t>
            </w:r>
          </w:p>
        </w:tc>
        <w:tc>
          <w:tcPr>
            <w:tcW w:w="57" w:type="pct"/>
            <w:shd w:val="clear" w:color="auto" w:fill="CFF0FC"/>
            <w:tcMar>
              <w:top w:w="15" w:type="dxa"/>
              <w:left w:w="0" w:type="dxa"/>
              <w:bottom w:w="0" w:type="dxa"/>
              <w:right w:w="15" w:type="dxa"/>
            </w:tcMar>
            <w:vAlign w:val="bottom"/>
            <w:hideMark/>
          </w:tcPr>
          <w:p w14:paraId="64F52DF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CF15E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-51%</w:t>
            </w:r>
          </w:p>
        </w:tc>
        <w:tc>
          <w:tcPr>
            <w:tcW w:w="57" w:type="pct"/>
            <w:shd w:val="clear" w:color="auto" w:fill="CFF0FC"/>
            <w:tcMar>
              <w:top w:w="15" w:type="dxa"/>
              <w:left w:w="0" w:type="dxa"/>
              <w:bottom w:w="0" w:type="dxa"/>
              <w:right w:w="15" w:type="dxa"/>
            </w:tcMar>
            <w:vAlign w:val="bottom"/>
            <w:hideMark/>
          </w:tcPr>
          <w:p w14:paraId="42CC0B6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DDE4E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A3492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91</w:t>
            </w:r>
          </w:p>
        </w:tc>
        <w:tc>
          <w:tcPr>
            <w:tcW w:w="50" w:type="pct"/>
            <w:shd w:val="clear" w:color="auto" w:fill="CFF0FC"/>
            <w:noWrap/>
            <w:tcMar>
              <w:top w:w="15" w:type="dxa"/>
              <w:left w:w="0" w:type="dxa"/>
              <w:bottom w:w="0" w:type="dxa"/>
              <w:right w:w="15" w:type="dxa"/>
            </w:tcMar>
            <w:vAlign w:val="bottom"/>
            <w:hideMark/>
          </w:tcPr>
          <w:p w14:paraId="0A3987A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5C16C80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044F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62C42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275</w:t>
            </w:r>
          </w:p>
        </w:tc>
        <w:tc>
          <w:tcPr>
            <w:tcW w:w="50" w:type="pct"/>
            <w:shd w:val="clear" w:color="auto" w:fill="CFF0FC"/>
            <w:noWrap/>
            <w:tcMar>
              <w:top w:w="15" w:type="dxa"/>
              <w:left w:w="0" w:type="dxa"/>
              <w:bottom w:w="0" w:type="dxa"/>
              <w:right w:w="15" w:type="dxa"/>
            </w:tcMar>
            <w:vAlign w:val="bottom"/>
            <w:hideMark/>
          </w:tcPr>
          <w:p w14:paraId="610C69E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3446C8C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A919E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-46%</w:t>
            </w:r>
          </w:p>
        </w:tc>
        <w:tc>
          <w:tcPr>
            <w:tcW w:w="57" w:type="pct"/>
            <w:shd w:val="clear" w:color="auto" w:fill="CFF0FC"/>
            <w:tcMar>
              <w:top w:w="15" w:type="dxa"/>
              <w:left w:w="0" w:type="dxa"/>
              <w:bottom w:w="0" w:type="dxa"/>
              <w:right w:w="15" w:type="dxa"/>
            </w:tcMar>
            <w:vAlign w:val="bottom"/>
            <w:hideMark/>
          </w:tcPr>
          <w:p w14:paraId="5F67AE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279E8DC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w:t>
            </w:r>
          </w:p>
        </w:tc>
        <w:tc>
          <w:tcPr>
            <w:tcW w:w="57" w:type="pct"/>
            <w:shd w:val="clear" w:color="auto" w:fill="CFF0FC"/>
            <w:tcMar>
              <w:top w:w="15" w:type="dxa"/>
              <w:left w:w="0" w:type="dxa"/>
              <w:bottom w:w="0" w:type="dxa"/>
              <w:right w:w="15" w:type="dxa"/>
            </w:tcMar>
            <w:vAlign w:val="bottom"/>
            <w:hideMark/>
          </w:tcPr>
          <w:p w14:paraId="08B158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912E4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A9823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506</w:t>
            </w:r>
          </w:p>
        </w:tc>
        <w:tc>
          <w:tcPr>
            <w:tcW w:w="50" w:type="pct"/>
            <w:shd w:val="clear" w:color="auto" w:fill="CFF0FC"/>
            <w:noWrap/>
            <w:tcMar>
              <w:top w:w="15" w:type="dxa"/>
              <w:left w:w="0" w:type="dxa"/>
              <w:bottom w:w="0" w:type="dxa"/>
              <w:right w:w="15" w:type="dxa"/>
            </w:tcMar>
            <w:vAlign w:val="bottom"/>
            <w:hideMark/>
          </w:tcPr>
          <w:p w14:paraId="33F5F7DD"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760C7277" w14:textId="77777777" w:rsidR="00716E85" w:rsidRDefault="00716E85">
      <w:pPr>
        <w:pStyle w:val="a3"/>
        <w:spacing w:before="0" w:beforeAutospacing="0" w:after="0" w:afterAutospacing="0"/>
        <w:jc w:val="both"/>
        <w:rPr>
          <w:sz w:val="12"/>
          <w:szCs w:val="12"/>
        </w:rPr>
      </w:pPr>
      <w:r>
        <w:rPr>
          <w:sz w:val="12"/>
          <w:szCs w:val="12"/>
        </w:rPr>
        <w:t> </w:t>
      </w:r>
    </w:p>
    <w:p w14:paraId="5690261B"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 xml:space="preserve">Restructuring expenses in the fiscal 2019 periods presented primarily related to our 2019 Restructuring Plan. Restructuring expenses in the fiscal 2018 periods presented primarily related to our 2017 Restructuring Plan, which is substantially complete. Our management approved, committed to and initiated these plans in order to restructure and further improve efficiencies in our operations. The total estimated restructuring costs associated with the 2019 Restructuring Plan are up to $432 million, of which approximately $135 million were remaining as of February 28, 2019, and will be recorded to the restructuring expense line item within our condensed consolidated statements of operations as they are incurred through an expected end date of fiscal 2020. Our estimated costs are subject to change in future periods. </w:t>
      </w:r>
    </w:p>
    <w:p w14:paraId="7312C2C8" w14:textId="77777777" w:rsidR="00716E85" w:rsidRDefault="00716E85">
      <w:pPr>
        <w:pStyle w:val="a3"/>
        <w:spacing w:before="240" w:beforeAutospacing="0" w:after="0" w:afterAutospacing="0"/>
        <w:jc w:val="both"/>
        <w:rPr>
          <w:rFonts w:ascii="Calibri" w:hAnsi="Calibri" w:cs="Calibri"/>
          <w:b/>
          <w:bCs/>
          <w:i/>
          <w:iCs/>
          <w:sz w:val="20"/>
          <w:szCs w:val="20"/>
        </w:rPr>
      </w:pPr>
      <w:r>
        <w:rPr>
          <w:rFonts w:ascii="Calibri" w:hAnsi="Calibri" w:cs="Calibri"/>
          <w:b/>
          <w:bCs/>
          <w:i/>
          <w:iCs/>
          <w:sz w:val="20"/>
          <w:szCs w:val="20"/>
        </w:rPr>
        <w:t>Interest Expense:</w:t>
      </w:r>
    </w:p>
    <w:p w14:paraId="31C75EDB"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94"/>
        <w:gridCol w:w="83"/>
        <w:gridCol w:w="117"/>
        <w:gridCol w:w="413"/>
        <w:gridCol w:w="71"/>
        <w:gridCol w:w="83"/>
        <w:gridCol w:w="579"/>
        <w:gridCol w:w="83"/>
        <w:gridCol w:w="581"/>
        <w:gridCol w:w="83"/>
        <w:gridCol w:w="117"/>
        <w:gridCol w:w="417"/>
        <w:gridCol w:w="71"/>
        <w:gridCol w:w="83"/>
        <w:gridCol w:w="117"/>
        <w:gridCol w:w="471"/>
        <w:gridCol w:w="71"/>
        <w:gridCol w:w="83"/>
        <w:gridCol w:w="579"/>
        <w:gridCol w:w="84"/>
        <w:gridCol w:w="582"/>
        <w:gridCol w:w="84"/>
        <w:gridCol w:w="117"/>
        <w:gridCol w:w="471"/>
        <w:gridCol w:w="72"/>
      </w:tblGrid>
      <w:tr w:rsidR="00716E85" w14:paraId="326E6D10" w14:textId="77777777">
        <w:tc>
          <w:tcPr>
            <w:tcW w:w="1688" w:type="pct"/>
            <w:shd w:val="clear" w:color="auto" w:fill="FFFFFF"/>
            <w:tcMar>
              <w:top w:w="15" w:type="dxa"/>
              <w:left w:w="0" w:type="dxa"/>
              <w:bottom w:w="0" w:type="dxa"/>
              <w:right w:w="15" w:type="dxa"/>
            </w:tcMar>
            <w:vAlign w:val="center"/>
            <w:hideMark/>
          </w:tcPr>
          <w:p w14:paraId="488EB620"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25EDB6C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2B8AB3C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031EF8C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63B12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3347967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5C6539F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4E35DE7E" w14:textId="77777777">
        <w:tc>
          <w:tcPr>
            <w:tcW w:w="1688" w:type="pct"/>
            <w:shd w:val="clear" w:color="auto" w:fill="FFFFFF"/>
            <w:tcMar>
              <w:top w:w="15" w:type="dxa"/>
              <w:left w:w="0" w:type="dxa"/>
              <w:bottom w:w="0" w:type="dxa"/>
              <w:right w:w="15" w:type="dxa"/>
            </w:tcMar>
            <w:vAlign w:val="center"/>
            <w:hideMark/>
          </w:tcPr>
          <w:p w14:paraId="515AC39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20E94A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46AB7B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2D16E5E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27DF95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5D3BAE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B5F52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D8AACB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C10B05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7749B47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19E637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45BE69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24AAE8F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4BB7C34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63CACD6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763625F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5AFD6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BB8F4C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1930FE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41D688D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E4D154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2D274C4E"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03A56D3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7C5C21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584373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C465B1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221912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CA01C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2CB3C24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310F7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002AEA6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096F1E4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06EA424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63FC3DA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ED6D56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72C625F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6AB422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14DE4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29F3D87"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083CA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310CDAD8"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5345F1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552FFDC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0028EAA2" w14:textId="77777777">
        <w:tc>
          <w:tcPr>
            <w:tcW w:w="1688" w:type="pct"/>
            <w:tcBorders>
              <w:top w:val="single" w:sz="6" w:space="0" w:color="000000"/>
            </w:tcBorders>
            <w:shd w:val="clear" w:color="auto" w:fill="CFF0FC"/>
            <w:tcMar>
              <w:top w:w="15" w:type="dxa"/>
              <w:left w:w="0" w:type="dxa"/>
              <w:bottom w:w="0" w:type="dxa"/>
              <w:right w:w="15" w:type="dxa"/>
            </w:tcMar>
            <w:hideMark/>
          </w:tcPr>
          <w:p w14:paraId="57A708B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Interest expense</w:t>
            </w:r>
          </w:p>
        </w:tc>
        <w:tc>
          <w:tcPr>
            <w:tcW w:w="57" w:type="pct"/>
            <w:shd w:val="clear" w:color="auto" w:fill="CFF0FC"/>
            <w:tcMar>
              <w:top w:w="15" w:type="dxa"/>
              <w:left w:w="0" w:type="dxa"/>
              <w:bottom w:w="0" w:type="dxa"/>
              <w:right w:w="15" w:type="dxa"/>
            </w:tcMar>
            <w:vAlign w:val="bottom"/>
            <w:hideMark/>
          </w:tcPr>
          <w:p w14:paraId="3E06B0D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BB302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3402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509</w:t>
            </w:r>
          </w:p>
        </w:tc>
        <w:tc>
          <w:tcPr>
            <w:tcW w:w="50" w:type="pct"/>
            <w:shd w:val="clear" w:color="auto" w:fill="CFF0FC"/>
            <w:noWrap/>
            <w:tcMar>
              <w:top w:w="15" w:type="dxa"/>
              <w:left w:w="0" w:type="dxa"/>
              <w:bottom w:w="0" w:type="dxa"/>
              <w:right w:w="15" w:type="dxa"/>
            </w:tcMar>
            <w:vAlign w:val="bottom"/>
            <w:hideMark/>
          </w:tcPr>
          <w:p w14:paraId="575BF46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DBCA2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48B055F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2FDDBB5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6867F82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77A8C9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5306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3BC92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533</w:t>
            </w:r>
          </w:p>
        </w:tc>
        <w:tc>
          <w:tcPr>
            <w:tcW w:w="50" w:type="pct"/>
            <w:shd w:val="clear" w:color="auto" w:fill="CFF0FC"/>
            <w:noWrap/>
            <w:tcMar>
              <w:top w:w="15" w:type="dxa"/>
              <w:left w:w="0" w:type="dxa"/>
              <w:bottom w:w="0" w:type="dxa"/>
              <w:right w:w="15" w:type="dxa"/>
            </w:tcMar>
            <w:vAlign w:val="bottom"/>
            <w:hideMark/>
          </w:tcPr>
          <w:p w14:paraId="55A151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8CF2E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27B3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1BF1C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1,557</w:t>
            </w:r>
          </w:p>
        </w:tc>
        <w:tc>
          <w:tcPr>
            <w:tcW w:w="50" w:type="pct"/>
            <w:shd w:val="clear" w:color="auto" w:fill="CFF0FC"/>
            <w:noWrap/>
            <w:tcMar>
              <w:top w:w="15" w:type="dxa"/>
              <w:left w:w="0" w:type="dxa"/>
              <w:bottom w:w="0" w:type="dxa"/>
              <w:right w:w="15" w:type="dxa"/>
            </w:tcMar>
            <w:vAlign w:val="bottom"/>
            <w:hideMark/>
          </w:tcPr>
          <w:p w14:paraId="4816750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09511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1CC06B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5B2A06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64CFC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028ADB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0CE8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3D7F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1,477</w:t>
            </w:r>
          </w:p>
        </w:tc>
        <w:tc>
          <w:tcPr>
            <w:tcW w:w="50" w:type="pct"/>
            <w:shd w:val="clear" w:color="auto" w:fill="CFF0FC"/>
            <w:noWrap/>
            <w:tcMar>
              <w:top w:w="15" w:type="dxa"/>
              <w:left w:w="0" w:type="dxa"/>
              <w:bottom w:w="0" w:type="dxa"/>
              <w:right w:w="15" w:type="dxa"/>
            </w:tcMar>
            <w:vAlign w:val="bottom"/>
            <w:hideMark/>
          </w:tcPr>
          <w:p w14:paraId="3849BEC9"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CBDF283" w14:textId="77777777" w:rsidR="00716E85" w:rsidRDefault="00716E85">
      <w:pPr>
        <w:pStyle w:val="a3"/>
        <w:spacing w:before="0" w:beforeAutospacing="0" w:after="0" w:afterAutospacing="0"/>
        <w:rPr>
          <w:sz w:val="12"/>
          <w:szCs w:val="12"/>
        </w:rPr>
      </w:pPr>
      <w:r>
        <w:rPr>
          <w:sz w:val="12"/>
          <w:szCs w:val="12"/>
        </w:rPr>
        <w:t> </w:t>
      </w:r>
    </w:p>
    <w:p w14:paraId="5E0D6521"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Fiscal Third Quarter 2019 Compared to Fiscal Third Quarter 2018</w:t>
      </w:r>
      <w:r>
        <w:rPr>
          <w:rFonts w:ascii="Calibri" w:hAnsi="Calibri" w:cs="Calibri"/>
          <w:sz w:val="20"/>
          <w:szCs w:val="20"/>
        </w:rPr>
        <w:t>:  Interest expense decreased due to lower average borrowings during the third quarter of fiscal 2019 relative to the prior year period primarily due to the maturities and repayments of $2.5 billion of senior notes during the last half of fiscal 2018 and $2.0 billion of senior notes in the first nine months of fiscal 2019.</w:t>
      </w:r>
    </w:p>
    <w:p w14:paraId="42ED8D89"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46</w:t>
      </w:r>
    </w:p>
    <w:p w14:paraId="2E5BA5D9" w14:textId="77777777" w:rsidR="00716E85" w:rsidRDefault="00716E85">
      <w:pPr>
        <w:rPr>
          <w:rFonts w:ascii="Times New Roman" w:eastAsia="Times New Roman" w:hAnsi="Times New Roman" w:cs="Times New Roman"/>
          <w:sz w:val="24"/>
          <w:szCs w:val="24"/>
        </w:rPr>
      </w:pPr>
      <w:r>
        <w:rPr>
          <w:rFonts w:eastAsia="Times New Roman"/>
        </w:rPr>
        <w:pict w14:anchorId="7B2EBD22">
          <v:rect id="_x0000_i1072" style="width:415.3pt;height:1.5pt" o:hralign="center" o:hrstd="t" o:hr="t" fillcolor="#a0a0a0" stroked="f"/>
        </w:pict>
      </w:r>
    </w:p>
    <w:p w14:paraId="0CF650F3"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608C28F5" w14:textId="77777777" w:rsidR="00716E85" w:rsidRDefault="00716E85">
      <w:pPr>
        <w:pStyle w:val="a3"/>
        <w:spacing w:before="0" w:beforeAutospacing="0" w:after="0" w:afterAutospacing="0"/>
        <w:rPr>
          <w:sz w:val="20"/>
          <w:szCs w:val="20"/>
        </w:rPr>
      </w:pPr>
      <w:r>
        <w:rPr>
          <w:sz w:val="20"/>
          <w:szCs w:val="20"/>
        </w:rPr>
        <w:t> </w:t>
      </w:r>
    </w:p>
    <w:p w14:paraId="7C0C1F0F" w14:textId="77777777" w:rsidR="00716E85" w:rsidRDefault="00716E85">
      <w:pPr>
        <w:pStyle w:val="a3"/>
        <w:spacing w:before="120" w:beforeAutospacing="0" w:after="0" w:afterAutospacing="0"/>
        <w:jc w:val="both"/>
        <w:rPr>
          <w:rFonts w:ascii="Calibri" w:hAnsi="Calibri" w:cs="Calibri"/>
          <w:b/>
          <w:bCs/>
          <w:sz w:val="20"/>
          <w:szCs w:val="20"/>
        </w:rPr>
      </w:pPr>
      <w:bookmarkStart w:id="54" w:name="_AEIOULastRenderedPageBreakAEIOU45"/>
      <w:bookmarkEnd w:id="54"/>
      <w:r>
        <w:rPr>
          <w:rFonts w:ascii="Calibri" w:hAnsi="Calibri" w:cs="Calibri"/>
          <w:b/>
          <w:bCs/>
          <w:sz w:val="20"/>
          <w:szCs w:val="20"/>
        </w:rPr>
        <w:t>First Nine Months Fiscal 2019 Compared to First Nine Months Fiscal 2018</w:t>
      </w:r>
      <w:r>
        <w:rPr>
          <w:rFonts w:ascii="Calibri" w:hAnsi="Calibri" w:cs="Calibri"/>
          <w:sz w:val="20"/>
          <w:szCs w:val="20"/>
        </w:rPr>
        <w:t xml:space="preserve">:   Interest expense increased in the first nine months of fiscal 2019 relative to the corresponding prior year period, primarily due to higher average borrowings resulting from our issuance of $10.0 billion of senior notes in November 2017, which was partially offset by a reduction in interest expense resulting primarily from the maturities and repayments of $2.0 billion of senior notes during the first nine months of fiscal 2019 and $6.0 billion of senior notes during fiscal 2018. </w:t>
      </w:r>
    </w:p>
    <w:p w14:paraId="78107D67" w14:textId="77777777" w:rsidR="00716E85" w:rsidRDefault="00716E85">
      <w:pPr>
        <w:pStyle w:val="a3"/>
        <w:spacing w:before="0" w:beforeAutospacing="0" w:after="0" w:afterAutospacing="0"/>
        <w:jc w:val="both"/>
        <w:rPr>
          <w:b/>
          <w:bCs/>
          <w:sz w:val="12"/>
          <w:szCs w:val="12"/>
        </w:rPr>
      </w:pPr>
      <w:r>
        <w:rPr>
          <w:b/>
          <w:bCs/>
          <w:sz w:val="12"/>
          <w:szCs w:val="12"/>
        </w:rPr>
        <w:t> </w:t>
      </w:r>
    </w:p>
    <w:p w14:paraId="2BA7DB78" w14:textId="77777777" w:rsidR="00716E85" w:rsidRDefault="00716E85">
      <w:pPr>
        <w:pStyle w:val="a3"/>
        <w:spacing w:before="0" w:beforeAutospacing="0" w:after="0" w:afterAutospacing="0"/>
        <w:jc w:val="both"/>
        <w:rPr>
          <w:rFonts w:ascii="Calibri" w:hAnsi="Calibri" w:cs="Calibri"/>
          <w:b/>
          <w:bCs/>
          <w:i/>
          <w:iCs/>
          <w:sz w:val="20"/>
          <w:szCs w:val="20"/>
        </w:rPr>
      </w:pPr>
      <w:r>
        <w:rPr>
          <w:rFonts w:ascii="Calibri" w:hAnsi="Calibri" w:cs="Calibri"/>
          <w:b/>
          <w:bCs/>
          <w:i/>
          <w:iCs/>
          <w:sz w:val="20"/>
          <w:szCs w:val="20"/>
        </w:rPr>
        <w:t>Non-Operating Income, net:</w:t>
      </w:r>
      <w:r>
        <w:rPr>
          <w:rFonts w:ascii="Calibri" w:hAnsi="Calibri" w:cs="Calibri"/>
          <w:sz w:val="20"/>
          <w:szCs w:val="20"/>
        </w:rPr>
        <w:t>   Non-operating income, net consists primarily of interest income, net foreign currency exchange gains (losses), the noncontrolling interests in the net profits of our majority-owned subsidiaries (primarily Oracle Financial Services Software Limited and Oracle Corporation Japan) and net other income (losses), including net realized gains and losses related to all of our investments, net unrealized gains and losses related to the small portion of our investment portfolio related to our deferred compensation plan and non-service net periodic pension income (losses).</w:t>
      </w:r>
    </w:p>
    <w:p w14:paraId="619B5898"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99"/>
        <w:gridCol w:w="88"/>
        <w:gridCol w:w="117"/>
        <w:gridCol w:w="418"/>
        <w:gridCol w:w="76"/>
        <w:gridCol w:w="88"/>
        <w:gridCol w:w="584"/>
        <w:gridCol w:w="88"/>
        <w:gridCol w:w="586"/>
        <w:gridCol w:w="88"/>
        <w:gridCol w:w="117"/>
        <w:gridCol w:w="422"/>
        <w:gridCol w:w="77"/>
        <w:gridCol w:w="89"/>
        <w:gridCol w:w="117"/>
        <w:gridCol w:w="419"/>
        <w:gridCol w:w="77"/>
        <w:gridCol w:w="89"/>
        <w:gridCol w:w="585"/>
        <w:gridCol w:w="89"/>
        <w:gridCol w:w="587"/>
        <w:gridCol w:w="89"/>
        <w:gridCol w:w="117"/>
        <w:gridCol w:w="423"/>
        <w:gridCol w:w="77"/>
      </w:tblGrid>
      <w:tr w:rsidR="00716E85" w14:paraId="3FC3C22D" w14:textId="77777777">
        <w:tc>
          <w:tcPr>
            <w:tcW w:w="1688" w:type="pct"/>
            <w:shd w:val="clear" w:color="auto" w:fill="FFFFFF"/>
            <w:tcMar>
              <w:top w:w="15" w:type="dxa"/>
              <w:left w:w="0" w:type="dxa"/>
              <w:bottom w:w="0" w:type="dxa"/>
              <w:right w:w="15" w:type="dxa"/>
            </w:tcMar>
            <w:vAlign w:val="center"/>
            <w:hideMark/>
          </w:tcPr>
          <w:p w14:paraId="1FA29C6F"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3C58004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171069B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6BB50A0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B4E288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20766EA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7A80F1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BBB6D73" w14:textId="77777777">
        <w:tc>
          <w:tcPr>
            <w:tcW w:w="1688" w:type="pct"/>
            <w:shd w:val="clear" w:color="auto" w:fill="FFFFFF"/>
            <w:tcMar>
              <w:top w:w="15" w:type="dxa"/>
              <w:left w:w="0" w:type="dxa"/>
              <w:bottom w:w="0" w:type="dxa"/>
              <w:right w:w="15" w:type="dxa"/>
            </w:tcMar>
            <w:vAlign w:val="center"/>
            <w:hideMark/>
          </w:tcPr>
          <w:p w14:paraId="53FD13D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EEECA4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19D25E2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3672FB0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7413FA0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3D6ACB6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09525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1A857A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0237742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2470489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029CF6A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AAF984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14:paraId="1D7177F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center"/>
            <w:hideMark/>
          </w:tcPr>
          <w:p w14:paraId="25143AF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center"/>
            <w:hideMark/>
          </w:tcPr>
          <w:p w14:paraId="1426CF5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2FED7D5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ED938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941424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797E23B"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68CE956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8464B16"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r>
      <w:tr w:rsidR="00716E85" w14:paraId="369C9356"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0062A22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62F48A8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A73A31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2144216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DC2AF9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0D7AD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2D3402F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62A7F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46D3116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2A4EEE9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122DDD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1A608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79A8BBA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934D75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5B35988A"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29DCF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B0EF315"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90301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5190C1EF"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396CCBC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1DD2AF5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94AEC07" w14:textId="77777777">
        <w:tc>
          <w:tcPr>
            <w:tcW w:w="1688" w:type="pct"/>
            <w:tcBorders>
              <w:top w:val="single" w:sz="6" w:space="0" w:color="000000"/>
            </w:tcBorders>
            <w:shd w:val="clear" w:color="auto" w:fill="CFF0FC"/>
            <w:tcMar>
              <w:top w:w="15" w:type="dxa"/>
              <w:left w:w="0" w:type="dxa"/>
              <w:bottom w:w="0" w:type="dxa"/>
              <w:right w:w="15" w:type="dxa"/>
            </w:tcMar>
            <w:hideMark/>
          </w:tcPr>
          <w:p w14:paraId="2FCD2D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Interest income</w:t>
            </w:r>
          </w:p>
        </w:tc>
        <w:tc>
          <w:tcPr>
            <w:tcW w:w="57" w:type="pct"/>
            <w:shd w:val="clear" w:color="auto" w:fill="CFF0FC"/>
            <w:tcMar>
              <w:top w:w="15" w:type="dxa"/>
              <w:left w:w="0" w:type="dxa"/>
              <w:bottom w:w="0" w:type="dxa"/>
              <w:right w:w="15" w:type="dxa"/>
            </w:tcMar>
            <w:vAlign w:val="bottom"/>
            <w:hideMark/>
          </w:tcPr>
          <w:p w14:paraId="6D46FB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36053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4E73F0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246</w:t>
            </w:r>
          </w:p>
        </w:tc>
        <w:tc>
          <w:tcPr>
            <w:tcW w:w="50" w:type="pct"/>
            <w:shd w:val="clear" w:color="auto" w:fill="CFF0FC"/>
            <w:noWrap/>
            <w:tcMar>
              <w:top w:w="15" w:type="dxa"/>
              <w:left w:w="0" w:type="dxa"/>
              <w:bottom w:w="0" w:type="dxa"/>
              <w:right w:w="15" w:type="dxa"/>
            </w:tcMar>
            <w:vAlign w:val="bottom"/>
            <w:hideMark/>
          </w:tcPr>
          <w:p w14:paraId="50DB0AF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E418F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341C010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7" w:type="pct"/>
            <w:shd w:val="clear" w:color="auto" w:fill="CFF0FC"/>
            <w:tcMar>
              <w:top w:w="15" w:type="dxa"/>
              <w:left w:w="0" w:type="dxa"/>
              <w:bottom w:w="0" w:type="dxa"/>
              <w:right w:w="15" w:type="dxa"/>
            </w:tcMar>
            <w:vAlign w:val="bottom"/>
            <w:hideMark/>
          </w:tcPr>
          <w:p w14:paraId="3160846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EC4E80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-21%</w:t>
            </w:r>
          </w:p>
        </w:tc>
        <w:tc>
          <w:tcPr>
            <w:tcW w:w="57" w:type="pct"/>
            <w:shd w:val="clear" w:color="auto" w:fill="CFF0FC"/>
            <w:tcMar>
              <w:top w:w="15" w:type="dxa"/>
              <w:left w:w="0" w:type="dxa"/>
              <w:bottom w:w="0" w:type="dxa"/>
              <w:right w:w="15" w:type="dxa"/>
            </w:tcMar>
            <w:vAlign w:val="bottom"/>
            <w:hideMark/>
          </w:tcPr>
          <w:p w14:paraId="4305D7E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390C8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1A1FBF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313</w:t>
            </w:r>
          </w:p>
        </w:tc>
        <w:tc>
          <w:tcPr>
            <w:tcW w:w="50" w:type="pct"/>
            <w:shd w:val="clear" w:color="auto" w:fill="CFF0FC"/>
            <w:noWrap/>
            <w:tcMar>
              <w:top w:w="15" w:type="dxa"/>
              <w:left w:w="0" w:type="dxa"/>
              <w:bottom w:w="0" w:type="dxa"/>
              <w:right w:w="15" w:type="dxa"/>
            </w:tcMar>
            <w:vAlign w:val="bottom"/>
            <w:hideMark/>
          </w:tcPr>
          <w:p w14:paraId="6E4D29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13EC30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CD03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770CB13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890</w:t>
            </w:r>
          </w:p>
        </w:tc>
        <w:tc>
          <w:tcPr>
            <w:tcW w:w="50" w:type="pct"/>
            <w:shd w:val="clear" w:color="auto" w:fill="CFF0FC"/>
            <w:noWrap/>
            <w:tcMar>
              <w:top w:w="15" w:type="dxa"/>
              <w:left w:w="0" w:type="dxa"/>
              <w:bottom w:w="0" w:type="dxa"/>
              <w:right w:w="15" w:type="dxa"/>
            </w:tcMar>
            <w:vAlign w:val="bottom"/>
            <w:hideMark/>
          </w:tcPr>
          <w:p w14:paraId="3CF7C2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07F27C2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C907EB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4E5AEB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107B66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w:t>
            </w:r>
          </w:p>
        </w:tc>
        <w:tc>
          <w:tcPr>
            <w:tcW w:w="57" w:type="pct"/>
            <w:shd w:val="clear" w:color="auto" w:fill="CFF0FC"/>
            <w:tcMar>
              <w:top w:w="15" w:type="dxa"/>
              <w:left w:w="0" w:type="dxa"/>
              <w:bottom w:w="0" w:type="dxa"/>
              <w:right w:w="15" w:type="dxa"/>
            </w:tcMar>
            <w:vAlign w:val="bottom"/>
            <w:hideMark/>
          </w:tcPr>
          <w:p w14:paraId="6FED71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28EEE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tcBorders>
            <w:shd w:val="clear" w:color="auto" w:fill="CFF0FC"/>
            <w:noWrap/>
            <w:tcMar>
              <w:top w:w="15" w:type="dxa"/>
              <w:left w:w="0" w:type="dxa"/>
              <w:bottom w:w="0" w:type="dxa"/>
              <w:right w:w="15" w:type="dxa"/>
            </w:tcMar>
            <w:vAlign w:val="bottom"/>
            <w:hideMark/>
          </w:tcPr>
          <w:p w14:paraId="546304C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852</w:t>
            </w:r>
          </w:p>
        </w:tc>
        <w:tc>
          <w:tcPr>
            <w:tcW w:w="50" w:type="pct"/>
            <w:shd w:val="clear" w:color="auto" w:fill="CFF0FC"/>
            <w:noWrap/>
            <w:tcMar>
              <w:top w:w="15" w:type="dxa"/>
              <w:left w:w="0" w:type="dxa"/>
              <w:bottom w:w="0" w:type="dxa"/>
              <w:right w:w="15" w:type="dxa"/>
            </w:tcMar>
            <w:vAlign w:val="bottom"/>
            <w:hideMark/>
          </w:tcPr>
          <w:p w14:paraId="75BB9B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4FD4001" w14:textId="77777777">
        <w:tc>
          <w:tcPr>
            <w:tcW w:w="1688" w:type="pct"/>
            <w:shd w:val="clear" w:color="auto" w:fill="FFFFFF"/>
            <w:tcMar>
              <w:top w:w="15" w:type="dxa"/>
              <w:left w:w="0" w:type="dxa"/>
              <w:bottom w:w="0" w:type="dxa"/>
              <w:right w:w="15" w:type="dxa"/>
            </w:tcMar>
            <w:hideMark/>
          </w:tcPr>
          <w:p w14:paraId="0A4D9B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57" w:type="pct"/>
            <w:shd w:val="clear" w:color="auto" w:fill="FFFFFF"/>
            <w:tcMar>
              <w:top w:w="15" w:type="dxa"/>
              <w:left w:w="0" w:type="dxa"/>
              <w:bottom w:w="0" w:type="dxa"/>
              <w:right w:w="15" w:type="dxa"/>
            </w:tcMar>
            <w:vAlign w:val="bottom"/>
            <w:hideMark/>
          </w:tcPr>
          <w:p w14:paraId="5E5E66A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94FF7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7D1865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2C0146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47F0420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6722561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-63%</w:t>
            </w:r>
          </w:p>
        </w:tc>
        <w:tc>
          <w:tcPr>
            <w:tcW w:w="57" w:type="pct"/>
            <w:shd w:val="clear" w:color="auto" w:fill="FFFFFF"/>
            <w:tcMar>
              <w:top w:w="15" w:type="dxa"/>
              <w:left w:w="0" w:type="dxa"/>
              <w:bottom w:w="0" w:type="dxa"/>
              <w:right w:w="15" w:type="dxa"/>
            </w:tcMar>
            <w:vAlign w:val="bottom"/>
            <w:hideMark/>
          </w:tcPr>
          <w:p w14:paraId="2B4DB6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5F4FE60D"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-54%</w:t>
            </w:r>
          </w:p>
        </w:tc>
        <w:tc>
          <w:tcPr>
            <w:tcW w:w="57" w:type="pct"/>
            <w:shd w:val="clear" w:color="auto" w:fill="FFFFFF"/>
            <w:tcMar>
              <w:top w:w="15" w:type="dxa"/>
              <w:left w:w="0" w:type="dxa"/>
              <w:bottom w:w="0" w:type="dxa"/>
              <w:right w:w="15" w:type="dxa"/>
            </w:tcMar>
            <w:vAlign w:val="bottom"/>
            <w:hideMark/>
          </w:tcPr>
          <w:p w14:paraId="17395C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8D956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68A93DB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3FB2C47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482801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D3C67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7470E36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w:t>
            </w:r>
          </w:p>
        </w:tc>
        <w:tc>
          <w:tcPr>
            <w:tcW w:w="50" w:type="pct"/>
            <w:shd w:val="clear" w:color="auto" w:fill="FFFFFF"/>
            <w:noWrap/>
            <w:tcMar>
              <w:top w:w="15" w:type="dxa"/>
              <w:left w:w="0" w:type="dxa"/>
              <w:bottom w:w="0" w:type="dxa"/>
              <w:right w:w="15" w:type="dxa"/>
            </w:tcMar>
            <w:vAlign w:val="bottom"/>
            <w:hideMark/>
          </w:tcPr>
          <w:p w14:paraId="29D08DA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40D82CF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041067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49%</w:t>
            </w:r>
          </w:p>
        </w:tc>
        <w:tc>
          <w:tcPr>
            <w:tcW w:w="57" w:type="pct"/>
            <w:shd w:val="clear" w:color="auto" w:fill="FFFFFF"/>
            <w:tcMar>
              <w:top w:w="15" w:type="dxa"/>
              <w:left w:w="0" w:type="dxa"/>
              <w:bottom w:w="0" w:type="dxa"/>
              <w:right w:w="15" w:type="dxa"/>
            </w:tcMar>
            <w:vAlign w:val="bottom"/>
            <w:hideMark/>
          </w:tcPr>
          <w:p w14:paraId="19A314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2043F48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w:t>
            </w:r>
          </w:p>
        </w:tc>
        <w:tc>
          <w:tcPr>
            <w:tcW w:w="57" w:type="pct"/>
            <w:shd w:val="clear" w:color="auto" w:fill="FFFFFF"/>
            <w:tcMar>
              <w:top w:w="15" w:type="dxa"/>
              <w:left w:w="0" w:type="dxa"/>
              <w:bottom w:w="0" w:type="dxa"/>
              <w:right w:w="15" w:type="dxa"/>
            </w:tcMar>
            <w:vAlign w:val="bottom"/>
            <w:hideMark/>
          </w:tcPr>
          <w:p w14:paraId="6A08004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FEC66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FFFFFF"/>
            <w:noWrap/>
            <w:tcMar>
              <w:top w:w="15" w:type="dxa"/>
              <w:left w:w="0" w:type="dxa"/>
              <w:bottom w:w="0" w:type="dxa"/>
              <w:right w:w="15" w:type="dxa"/>
            </w:tcMar>
            <w:vAlign w:val="bottom"/>
            <w:hideMark/>
          </w:tcPr>
          <w:p w14:paraId="7C0F5D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(46</w:t>
            </w:r>
          </w:p>
        </w:tc>
        <w:tc>
          <w:tcPr>
            <w:tcW w:w="50" w:type="pct"/>
            <w:shd w:val="clear" w:color="auto" w:fill="FFFFFF"/>
            <w:noWrap/>
            <w:tcMar>
              <w:top w:w="15" w:type="dxa"/>
              <w:left w:w="0" w:type="dxa"/>
              <w:bottom w:w="0" w:type="dxa"/>
              <w:right w:w="15" w:type="dxa"/>
            </w:tcMar>
            <w:vAlign w:val="bottom"/>
            <w:hideMark/>
          </w:tcPr>
          <w:p w14:paraId="748B74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00439643" w14:textId="77777777">
        <w:tc>
          <w:tcPr>
            <w:tcW w:w="1688" w:type="pct"/>
            <w:shd w:val="clear" w:color="auto" w:fill="CFF0FC"/>
            <w:tcMar>
              <w:top w:w="15" w:type="dxa"/>
              <w:left w:w="0" w:type="dxa"/>
              <w:bottom w:w="0" w:type="dxa"/>
              <w:right w:w="15" w:type="dxa"/>
            </w:tcMar>
            <w:hideMark/>
          </w:tcPr>
          <w:p w14:paraId="228D1CD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57" w:type="pct"/>
            <w:shd w:val="clear" w:color="auto" w:fill="CFF0FC"/>
            <w:tcMar>
              <w:top w:w="15" w:type="dxa"/>
              <w:left w:w="0" w:type="dxa"/>
              <w:bottom w:w="0" w:type="dxa"/>
              <w:right w:w="15" w:type="dxa"/>
            </w:tcMar>
            <w:vAlign w:val="bottom"/>
            <w:hideMark/>
          </w:tcPr>
          <w:p w14:paraId="1A98199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1B1D4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3403CE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left w:w="0" w:type="dxa"/>
              <w:bottom w:w="0" w:type="dxa"/>
              <w:right w:w="15" w:type="dxa"/>
            </w:tcMar>
            <w:vAlign w:val="bottom"/>
            <w:hideMark/>
          </w:tcPr>
          <w:p w14:paraId="726D8E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CFF0FC"/>
            <w:tcMar>
              <w:top w:w="15" w:type="dxa"/>
              <w:left w:w="0" w:type="dxa"/>
              <w:bottom w:w="0" w:type="dxa"/>
              <w:right w:w="15" w:type="dxa"/>
            </w:tcMar>
            <w:vAlign w:val="bottom"/>
            <w:hideMark/>
          </w:tcPr>
          <w:p w14:paraId="7013394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C8A449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4F7569C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6668083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57" w:type="pct"/>
            <w:shd w:val="clear" w:color="auto" w:fill="CFF0FC"/>
            <w:tcMar>
              <w:top w:w="15" w:type="dxa"/>
              <w:left w:w="0" w:type="dxa"/>
              <w:bottom w:w="0" w:type="dxa"/>
              <w:right w:w="15" w:type="dxa"/>
            </w:tcMar>
            <w:vAlign w:val="bottom"/>
            <w:hideMark/>
          </w:tcPr>
          <w:p w14:paraId="400F97F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45E03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60B7264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left w:w="0" w:type="dxa"/>
              <w:bottom w:w="0" w:type="dxa"/>
              <w:right w:w="15" w:type="dxa"/>
            </w:tcMar>
            <w:vAlign w:val="bottom"/>
            <w:hideMark/>
          </w:tcPr>
          <w:p w14:paraId="6D4511A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CFF0FC"/>
            <w:tcMar>
              <w:top w:w="15" w:type="dxa"/>
              <w:left w:w="0" w:type="dxa"/>
              <w:bottom w:w="0" w:type="dxa"/>
              <w:right w:w="15" w:type="dxa"/>
            </w:tcMar>
            <w:vAlign w:val="bottom"/>
            <w:hideMark/>
          </w:tcPr>
          <w:p w14:paraId="0DC3A1B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1FC6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4F022D8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(106</w:t>
            </w:r>
          </w:p>
        </w:tc>
        <w:tc>
          <w:tcPr>
            <w:tcW w:w="50" w:type="pct"/>
            <w:shd w:val="clear" w:color="auto" w:fill="CFF0FC"/>
            <w:noWrap/>
            <w:tcMar>
              <w:top w:w="15" w:type="dxa"/>
              <w:left w:w="0" w:type="dxa"/>
              <w:bottom w:w="0" w:type="dxa"/>
              <w:right w:w="15" w:type="dxa"/>
            </w:tcMar>
            <w:vAlign w:val="bottom"/>
            <w:hideMark/>
          </w:tcPr>
          <w:p w14:paraId="219A2A1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CFF0FC"/>
            <w:tcMar>
              <w:top w:w="15" w:type="dxa"/>
              <w:left w:w="0" w:type="dxa"/>
              <w:bottom w:w="0" w:type="dxa"/>
              <w:right w:w="15" w:type="dxa"/>
            </w:tcMar>
            <w:vAlign w:val="bottom"/>
            <w:hideMark/>
          </w:tcPr>
          <w:p w14:paraId="324E03E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75F8BAA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621DEE5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14E41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w:t>
            </w:r>
          </w:p>
        </w:tc>
        <w:tc>
          <w:tcPr>
            <w:tcW w:w="57" w:type="pct"/>
            <w:shd w:val="clear" w:color="auto" w:fill="CFF0FC"/>
            <w:tcMar>
              <w:top w:w="15" w:type="dxa"/>
              <w:left w:w="0" w:type="dxa"/>
              <w:bottom w:w="0" w:type="dxa"/>
              <w:right w:w="15" w:type="dxa"/>
            </w:tcMar>
            <w:vAlign w:val="bottom"/>
            <w:hideMark/>
          </w:tcPr>
          <w:p w14:paraId="22252C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1DE7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shd w:val="clear" w:color="auto" w:fill="CFF0FC"/>
            <w:noWrap/>
            <w:tcMar>
              <w:top w:w="15" w:type="dxa"/>
              <w:left w:w="0" w:type="dxa"/>
              <w:bottom w:w="0" w:type="dxa"/>
              <w:right w:w="15" w:type="dxa"/>
            </w:tcMar>
            <w:vAlign w:val="bottom"/>
            <w:hideMark/>
          </w:tcPr>
          <w:p w14:paraId="213FBDC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CFF0FC"/>
            <w:noWrap/>
            <w:tcMar>
              <w:top w:w="15" w:type="dxa"/>
              <w:left w:w="0" w:type="dxa"/>
              <w:bottom w:w="0" w:type="dxa"/>
              <w:right w:w="15" w:type="dxa"/>
            </w:tcMar>
            <w:vAlign w:val="bottom"/>
            <w:hideMark/>
          </w:tcPr>
          <w:p w14:paraId="256073B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3E794D3C" w14:textId="77777777">
        <w:tc>
          <w:tcPr>
            <w:tcW w:w="1688" w:type="pct"/>
            <w:shd w:val="clear" w:color="auto" w:fill="FFFFFF"/>
            <w:tcMar>
              <w:top w:w="15" w:type="dxa"/>
              <w:left w:w="0" w:type="dxa"/>
              <w:bottom w:w="0" w:type="dxa"/>
              <w:right w:w="15" w:type="dxa"/>
            </w:tcMar>
            <w:hideMark/>
          </w:tcPr>
          <w:p w14:paraId="3BE841F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Other (loss) income, net</w:t>
            </w:r>
          </w:p>
        </w:tc>
        <w:tc>
          <w:tcPr>
            <w:tcW w:w="57" w:type="pct"/>
            <w:shd w:val="clear" w:color="auto" w:fill="FFFFFF"/>
            <w:tcMar>
              <w:top w:w="15" w:type="dxa"/>
              <w:left w:w="0" w:type="dxa"/>
              <w:bottom w:w="0" w:type="dxa"/>
              <w:right w:w="15" w:type="dxa"/>
            </w:tcMar>
            <w:vAlign w:val="bottom"/>
            <w:hideMark/>
          </w:tcPr>
          <w:p w14:paraId="583747F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BD1CA6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1A4E467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7F2A29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25466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AF6C32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57" w:type="pct"/>
            <w:shd w:val="clear" w:color="auto" w:fill="FFFFFF"/>
            <w:tcMar>
              <w:top w:w="15" w:type="dxa"/>
              <w:left w:w="0" w:type="dxa"/>
              <w:bottom w:w="0" w:type="dxa"/>
              <w:right w:w="15" w:type="dxa"/>
            </w:tcMar>
            <w:vAlign w:val="bottom"/>
            <w:hideMark/>
          </w:tcPr>
          <w:p w14:paraId="27AA26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58B73F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-100%</w:t>
            </w:r>
          </w:p>
        </w:tc>
        <w:tc>
          <w:tcPr>
            <w:tcW w:w="57" w:type="pct"/>
            <w:shd w:val="clear" w:color="auto" w:fill="FFFFFF"/>
            <w:tcMar>
              <w:top w:w="15" w:type="dxa"/>
              <w:left w:w="0" w:type="dxa"/>
              <w:bottom w:w="0" w:type="dxa"/>
              <w:right w:w="15" w:type="dxa"/>
            </w:tcMar>
            <w:vAlign w:val="bottom"/>
            <w:hideMark/>
          </w:tcPr>
          <w:p w14:paraId="11EBD1F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E2124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61E2D2D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168</w:t>
            </w:r>
          </w:p>
        </w:tc>
        <w:tc>
          <w:tcPr>
            <w:tcW w:w="50" w:type="pct"/>
            <w:shd w:val="clear" w:color="auto" w:fill="FFFFFF"/>
            <w:noWrap/>
            <w:tcMar>
              <w:top w:w="15" w:type="dxa"/>
              <w:left w:w="0" w:type="dxa"/>
              <w:bottom w:w="0" w:type="dxa"/>
              <w:right w:w="15" w:type="dxa"/>
            </w:tcMar>
            <w:vAlign w:val="bottom"/>
            <w:hideMark/>
          </w:tcPr>
          <w:p w14:paraId="55BFD87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BE08DA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0A6DE2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0CA5C85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4F02F48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7" w:type="pct"/>
            <w:shd w:val="clear" w:color="auto" w:fill="FFFFFF"/>
            <w:tcMar>
              <w:top w:w="15" w:type="dxa"/>
              <w:left w:w="0" w:type="dxa"/>
              <w:bottom w:w="0" w:type="dxa"/>
              <w:right w:w="15" w:type="dxa"/>
            </w:tcMar>
            <w:vAlign w:val="bottom"/>
            <w:hideMark/>
          </w:tcPr>
          <w:p w14:paraId="3F6C2A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3A9239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w:t>
            </w:r>
          </w:p>
        </w:tc>
        <w:tc>
          <w:tcPr>
            <w:tcW w:w="57" w:type="pct"/>
            <w:shd w:val="clear" w:color="auto" w:fill="FFFFFF"/>
            <w:tcMar>
              <w:top w:w="15" w:type="dxa"/>
              <w:left w:w="0" w:type="dxa"/>
              <w:bottom w:w="0" w:type="dxa"/>
              <w:right w:w="15" w:type="dxa"/>
            </w:tcMar>
            <w:vAlign w:val="bottom"/>
            <w:hideMark/>
          </w:tcPr>
          <w:p w14:paraId="7AC70C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135AB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-118%</w:t>
            </w:r>
          </w:p>
        </w:tc>
        <w:tc>
          <w:tcPr>
            <w:tcW w:w="57" w:type="pct"/>
            <w:shd w:val="clear" w:color="auto" w:fill="FFFFFF"/>
            <w:tcMar>
              <w:top w:w="15" w:type="dxa"/>
              <w:left w:w="0" w:type="dxa"/>
              <w:bottom w:w="0" w:type="dxa"/>
              <w:right w:w="15" w:type="dxa"/>
            </w:tcMar>
            <w:vAlign w:val="bottom"/>
            <w:hideMark/>
          </w:tcPr>
          <w:p w14:paraId="4305680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1756F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256" w:type="pct"/>
            <w:tcBorders>
              <w:bottom w:val="single" w:sz="6" w:space="0" w:color="000000"/>
            </w:tcBorders>
            <w:shd w:val="clear" w:color="auto" w:fill="FFFFFF"/>
            <w:noWrap/>
            <w:tcMar>
              <w:top w:w="15" w:type="dxa"/>
              <w:left w:w="0" w:type="dxa"/>
              <w:bottom w:w="0" w:type="dxa"/>
              <w:right w:w="15" w:type="dxa"/>
            </w:tcMar>
            <w:vAlign w:val="bottom"/>
            <w:hideMark/>
          </w:tcPr>
          <w:p w14:paraId="5136CA8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196</w:t>
            </w:r>
          </w:p>
        </w:tc>
        <w:tc>
          <w:tcPr>
            <w:tcW w:w="50" w:type="pct"/>
            <w:shd w:val="clear" w:color="auto" w:fill="FFFFFF"/>
            <w:noWrap/>
            <w:tcMar>
              <w:top w:w="15" w:type="dxa"/>
              <w:left w:w="0" w:type="dxa"/>
              <w:bottom w:w="0" w:type="dxa"/>
              <w:right w:w="15" w:type="dxa"/>
            </w:tcMar>
            <w:vAlign w:val="bottom"/>
            <w:hideMark/>
          </w:tcPr>
          <w:p w14:paraId="3E041A7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AD23E8A" w14:textId="77777777">
        <w:tc>
          <w:tcPr>
            <w:tcW w:w="1688" w:type="pct"/>
            <w:shd w:val="clear" w:color="auto" w:fill="CFF0FC"/>
            <w:tcMar>
              <w:top w:w="15" w:type="dxa"/>
              <w:left w:w="0" w:type="dxa"/>
              <w:bottom w:w="0" w:type="dxa"/>
              <w:right w:w="15" w:type="dxa"/>
            </w:tcMar>
            <w:hideMark/>
          </w:tcPr>
          <w:p w14:paraId="4E94BB22" w14:textId="77777777" w:rsidR="00716E85" w:rsidRDefault="00716E85">
            <w:pPr>
              <w:pStyle w:val="a3"/>
              <w:spacing w:before="0" w:beforeAutospacing="0" w:after="0" w:afterAutospacing="0"/>
              <w:ind w:left="410"/>
              <w:rPr>
                <w:rFonts w:ascii="Calibri" w:hAnsi="Calibri" w:cs="Calibri"/>
                <w:color w:val="000000"/>
                <w:sz w:val="20"/>
                <w:szCs w:val="20"/>
              </w:rPr>
            </w:pPr>
            <w:r>
              <w:rPr>
                <w:rFonts w:ascii="Calibri" w:hAnsi="Calibri" w:cs="Calibri"/>
                <w:color w:val="000000"/>
                <w:sz w:val="20"/>
                <w:szCs w:val="20"/>
              </w:rPr>
              <w:t>Total non-operating income, net</w:t>
            </w:r>
          </w:p>
        </w:tc>
        <w:tc>
          <w:tcPr>
            <w:tcW w:w="57" w:type="pct"/>
            <w:shd w:val="clear" w:color="auto" w:fill="CFF0FC"/>
            <w:tcMar>
              <w:top w:w="15" w:type="dxa"/>
              <w:left w:w="0" w:type="dxa"/>
              <w:bottom w:w="0" w:type="dxa"/>
              <w:right w:w="15" w:type="dxa"/>
            </w:tcMar>
            <w:vAlign w:val="bottom"/>
            <w:hideMark/>
          </w:tcPr>
          <w:p w14:paraId="3ADBD40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60FD3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DFBC9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198</w:t>
            </w:r>
          </w:p>
        </w:tc>
        <w:tc>
          <w:tcPr>
            <w:tcW w:w="50" w:type="pct"/>
            <w:shd w:val="clear" w:color="auto" w:fill="CFF0FC"/>
            <w:noWrap/>
            <w:tcMar>
              <w:top w:w="15" w:type="dxa"/>
              <w:left w:w="0" w:type="dxa"/>
              <w:bottom w:w="0" w:type="dxa"/>
              <w:right w:w="15" w:type="dxa"/>
            </w:tcMar>
            <w:vAlign w:val="bottom"/>
            <w:hideMark/>
          </w:tcPr>
          <w:p w14:paraId="6752C5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6D7DCD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0E4B6BD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7" w:type="pct"/>
            <w:shd w:val="clear" w:color="auto" w:fill="CFF0FC"/>
            <w:tcMar>
              <w:top w:w="15" w:type="dxa"/>
              <w:left w:w="0" w:type="dxa"/>
              <w:bottom w:w="0" w:type="dxa"/>
              <w:right w:w="15" w:type="dxa"/>
            </w:tcMar>
            <w:vAlign w:val="bottom"/>
            <w:hideMark/>
          </w:tcPr>
          <w:p w14:paraId="7E74BAF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5F36A2B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-52%</w:t>
            </w:r>
          </w:p>
        </w:tc>
        <w:tc>
          <w:tcPr>
            <w:tcW w:w="57" w:type="pct"/>
            <w:shd w:val="clear" w:color="auto" w:fill="CFF0FC"/>
            <w:tcMar>
              <w:top w:w="15" w:type="dxa"/>
              <w:left w:w="0" w:type="dxa"/>
              <w:bottom w:w="0" w:type="dxa"/>
              <w:right w:w="15" w:type="dxa"/>
            </w:tcMar>
            <w:vAlign w:val="bottom"/>
            <w:hideMark/>
          </w:tcPr>
          <w:p w14:paraId="4E0C93C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8D2E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2D7C5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409</w:t>
            </w:r>
          </w:p>
        </w:tc>
        <w:tc>
          <w:tcPr>
            <w:tcW w:w="50" w:type="pct"/>
            <w:shd w:val="clear" w:color="auto" w:fill="CFF0FC"/>
            <w:noWrap/>
            <w:tcMar>
              <w:top w:w="15" w:type="dxa"/>
              <w:left w:w="0" w:type="dxa"/>
              <w:bottom w:w="0" w:type="dxa"/>
              <w:right w:w="15" w:type="dxa"/>
            </w:tcMar>
            <w:vAlign w:val="bottom"/>
            <w:hideMark/>
          </w:tcPr>
          <w:p w14:paraId="6E0930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1A26F6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98CC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EA8E7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681</w:t>
            </w:r>
          </w:p>
        </w:tc>
        <w:tc>
          <w:tcPr>
            <w:tcW w:w="50" w:type="pct"/>
            <w:shd w:val="clear" w:color="auto" w:fill="CFF0FC"/>
            <w:noWrap/>
            <w:tcMar>
              <w:top w:w="15" w:type="dxa"/>
              <w:left w:w="0" w:type="dxa"/>
              <w:bottom w:w="0" w:type="dxa"/>
              <w:right w:w="15" w:type="dxa"/>
            </w:tcMar>
            <w:vAlign w:val="bottom"/>
            <w:hideMark/>
          </w:tcPr>
          <w:p w14:paraId="786738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2AE4E5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2A3AF27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-23%</w:t>
            </w:r>
          </w:p>
        </w:tc>
        <w:tc>
          <w:tcPr>
            <w:tcW w:w="57" w:type="pct"/>
            <w:shd w:val="clear" w:color="auto" w:fill="CFF0FC"/>
            <w:tcMar>
              <w:top w:w="15" w:type="dxa"/>
              <w:left w:w="0" w:type="dxa"/>
              <w:bottom w:w="0" w:type="dxa"/>
              <w:right w:w="15" w:type="dxa"/>
            </w:tcMar>
            <w:vAlign w:val="bottom"/>
            <w:hideMark/>
          </w:tcPr>
          <w:p w14:paraId="32744D2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CFF0FC"/>
            <w:tcMar>
              <w:top w:w="15" w:type="dxa"/>
              <w:left w:w="0" w:type="dxa"/>
              <w:bottom w:w="0" w:type="dxa"/>
              <w:right w:w="15" w:type="dxa"/>
            </w:tcMar>
            <w:vAlign w:val="bottom"/>
            <w:hideMark/>
          </w:tcPr>
          <w:p w14:paraId="32C13C3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-24%</w:t>
            </w:r>
          </w:p>
        </w:tc>
        <w:tc>
          <w:tcPr>
            <w:tcW w:w="57" w:type="pct"/>
            <w:shd w:val="clear" w:color="auto" w:fill="CFF0FC"/>
            <w:tcMar>
              <w:top w:w="15" w:type="dxa"/>
              <w:left w:w="0" w:type="dxa"/>
              <w:bottom w:w="0" w:type="dxa"/>
              <w:right w:w="15" w:type="dxa"/>
            </w:tcMar>
            <w:vAlign w:val="bottom"/>
            <w:hideMark/>
          </w:tcPr>
          <w:p w14:paraId="3A3002C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E6EB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E74B9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891</w:t>
            </w:r>
          </w:p>
        </w:tc>
        <w:tc>
          <w:tcPr>
            <w:tcW w:w="50" w:type="pct"/>
            <w:shd w:val="clear" w:color="auto" w:fill="CFF0FC"/>
            <w:noWrap/>
            <w:tcMar>
              <w:top w:w="15" w:type="dxa"/>
              <w:left w:w="0" w:type="dxa"/>
              <w:bottom w:w="0" w:type="dxa"/>
              <w:right w:w="15" w:type="dxa"/>
            </w:tcMar>
            <w:vAlign w:val="bottom"/>
            <w:hideMark/>
          </w:tcPr>
          <w:p w14:paraId="534C2272"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EB606C7" w14:textId="77777777" w:rsidR="00716E85" w:rsidRDefault="00716E85">
      <w:pPr>
        <w:pStyle w:val="a3"/>
        <w:spacing w:before="0" w:beforeAutospacing="0" w:after="0" w:afterAutospacing="0"/>
        <w:rPr>
          <w:sz w:val="12"/>
          <w:szCs w:val="12"/>
        </w:rPr>
      </w:pPr>
      <w:r>
        <w:rPr>
          <w:sz w:val="12"/>
          <w:szCs w:val="12"/>
        </w:rPr>
        <w:t> </w:t>
      </w:r>
    </w:p>
    <w:p w14:paraId="082EE78C"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On a constant currency basis, our non-operating income, net decreased during the fiscal 2019 periods presented, relative to the fiscal 2018 periods presented, primarily due to decreases in other income, net, which was primarily attributable to certain realized gains on the sale of certain marketable securities during the third quarter of fiscal 2018.</w:t>
      </w:r>
    </w:p>
    <w:p w14:paraId="0A75A4E1" w14:textId="77777777" w:rsidR="00716E85" w:rsidRDefault="00716E85">
      <w:pPr>
        <w:pStyle w:val="a3"/>
        <w:spacing w:before="0" w:beforeAutospacing="0" w:after="0" w:afterAutospacing="0"/>
        <w:jc w:val="both"/>
        <w:rPr>
          <w:sz w:val="12"/>
          <w:szCs w:val="12"/>
        </w:rPr>
      </w:pPr>
      <w:r>
        <w:rPr>
          <w:sz w:val="12"/>
          <w:szCs w:val="12"/>
        </w:rPr>
        <w:t> </w:t>
      </w:r>
    </w:p>
    <w:p w14:paraId="5E42F5FF" w14:textId="77777777" w:rsidR="00716E85" w:rsidRDefault="00716E85">
      <w:pPr>
        <w:pStyle w:val="a3"/>
        <w:spacing w:before="0" w:beforeAutospacing="0" w:after="0" w:afterAutospacing="0"/>
        <w:jc w:val="both"/>
        <w:rPr>
          <w:rFonts w:ascii="Calibri" w:hAnsi="Calibri" w:cs="Calibri"/>
          <w:b/>
          <w:bCs/>
          <w:i/>
          <w:iCs/>
          <w:sz w:val="20"/>
          <w:szCs w:val="20"/>
        </w:rPr>
      </w:pPr>
      <w:r>
        <w:rPr>
          <w:rFonts w:ascii="Calibri" w:hAnsi="Calibri" w:cs="Calibri"/>
          <w:b/>
          <w:bCs/>
          <w:i/>
          <w:iCs/>
          <w:sz w:val="20"/>
          <w:szCs w:val="20"/>
        </w:rPr>
        <w:t>Provision for Income Taxes:</w:t>
      </w:r>
      <w:r>
        <w:rPr>
          <w:rFonts w:ascii="Calibri" w:hAnsi="Calibri" w:cs="Calibri"/>
          <w:sz w:val="20"/>
          <w:szCs w:val="20"/>
        </w:rPr>
        <w:t>   Our effective tax rates for each of the periods presented were the result of the mix of income earned in various tax jurisdictions that apply a broad range of income tax rates. In our third quarter of fiscal 2018, the Tax Act was signed into law. The more significant provisions of the Tax Act as applicable to us are described in Note 1 of Notes to Condensed Consolidated Financial Statements included elsewhere in this Quarterly Report and are also described in our Annual Report on Form 10-K for the fiscal year ended May 31, 2018. Our provision for income taxes for the fiscal 2019 periods presented varied from the 21% U.S. statutory rate imposed by the Tax Act due primarily to earnings in foreign operations, state taxes, the U.S. research and development tax credit, settlements with tax authorities, the tax effects of stock-based compensation, the Foreign Derived Intangible Income deduction, the tax effect of Global Intangible Low-Taxed Income, and a reduction to our transition tax recorded consistent with the provisions of SAB 118. Our provision for income taxes for the fiscal 2018 periods presented varied from the 21% U.S. statutory rate imposed by the Tax Act primarily due to the impacts of the Tax Act upon adoption, state taxes, the U.S. research and development tax credit, settlements with tax authorities, the tax effects of stock-based compensation, and the U.S. domestic production activity deduction. Future effective tax rates could be adversely affected by an unfavorable shift of earnings weighted to jurisdictions with higher tax rates, by unfavorable changes in tax laws and regulations, by adverse rulings in tax related litigation, or by shortfalls in stock-based compensation realized by employees relative to stock-based compensation that was recorded for book purposes, among others.</w:t>
      </w:r>
    </w:p>
    <w:p w14:paraId="49E4228F"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787"/>
        <w:gridCol w:w="76"/>
        <w:gridCol w:w="118"/>
        <w:gridCol w:w="429"/>
        <w:gridCol w:w="64"/>
        <w:gridCol w:w="76"/>
        <w:gridCol w:w="572"/>
        <w:gridCol w:w="76"/>
        <w:gridCol w:w="574"/>
        <w:gridCol w:w="76"/>
        <w:gridCol w:w="118"/>
        <w:gridCol w:w="514"/>
        <w:gridCol w:w="64"/>
        <w:gridCol w:w="77"/>
        <w:gridCol w:w="117"/>
        <w:gridCol w:w="471"/>
        <w:gridCol w:w="65"/>
        <w:gridCol w:w="77"/>
        <w:gridCol w:w="573"/>
        <w:gridCol w:w="77"/>
        <w:gridCol w:w="575"/>
        <w:gridCol w:w="77"/>
        <w:gridCol w:w="117"/>
        <w:gridCol w:w="471"/>
        <w:gridCol w:w="65"/>
      </w:tblGrid>
      <w:tr w:rsidR="00716E85" w14:paraId="3DEC2FD6" w14:textId="77777777">
        <w:tc>
          <w:tcPr>
            <w:tcW w:w="1688" w:type="pct"/>
            <w:shd w:val="clear" w:color="auto" w:fill="FFFFFF"/>
            <w:tcMar>
              <w:top w:w="15" w:type="dxa"/>
              <w:left w:w="0" w:type="dxa"/>
              <w:bottom w:w="0" w:type="dxa"/>
              <w:right w:w="15" w:type="dxa"/>
            </w:tcMar>
            <w:vAlign w:val="bottom"/>
            <w:hideMark/>
          </w:tcPr>
          <w:p w14:paraId="500EA981" w14:textId="77777777" w:rsidR="00716E85" w:rsidRDefault="00716E85">
            <w:pPr>
              <w:pStyle w:val="a3"/>
              <w:spacing w:before="0" w:beforeAutospacing="0" w:after="0" w:afterAutospacing="0"/>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14:paraId="5D89A6B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04CE513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Three Months Ended February 28,</w:t>
            </w:r>
          </w:p>
        </w:tc>
        <w:tc>
          <w:tcPr>
            <w:tcW w:w="50" w:type="pct"/>
            <w:shd w:val="clear" w:color="auto" w:fill="FFFFFF"/>
            <w:noWrap/>
            <w:tcMar>
              <w:top w:w="15" w:type="dxa"/>
              <w:left w:w="0" w:type="dxa"/>
              <w:bottom w:w="0" w:type="dxa"/>
              <w:right w:w="15" w:type="dxa"/>
            </w:tcMar>
            <w:vAlign w:val="bottom"/>
            <w:hideMark/>
          </w:tcPr>
          <w:p w14:paraId="7A0E796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1855519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1548" w:type="pct"/>
            <w:gridSpan w:val="10"/>
            <w:tcBorders>
              <w:bottom w:val="single" w:sz="6" w:space="0" w:color="000000"/>
            </w:tcBorders>
            <w:shd w:val="clear" w:color="auto" w:fill="FFFFFF"/>
            <w:tcMar>
              <w:top w:w="15" w:type="dxa"/>
              <w:left w:w="0" w:type="dxa"/>
              <w:bottom w:w="0" w:type="dxa"/>
              <w:right w:w="15" w:type="dxa"/>
            </w:tcMar>
            <w:vAlign w:val="bottom"/>
            <w:hideMark/>
          </w:tcPr>
          <w:p w14:paraId="1C29008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6C06049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EAED155" w14:textId="77777777">
        <w:tc>
          <w:tcPr>
            <w:tcW w:w="1688" w:type="pct"/>
            <w:shd w:val="clear" w:color="auto" w:fill="FFFFFF"/>
            <w:tcMar>
              <w:top w:w="15" w:type="dxa"/>
              <w:left w:w="0" w:type="dxa"/>
              <w:bottom w:w="0" w:type="dxa"/>
              <w:right w:w="15" w:type="dxa"/>
            </w:tcMar>
            <w:vAlign w:val="bottom"/>
            <w:hideMark/>
          </w:tcPr>
          <w:p w14:paraId="28F40A1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53517E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0E2240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0E8CDBB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4CD6A82B"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1FE508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648C9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507210C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2FAD52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2BCFDC6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604683A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0C36692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E6CC6D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4E14555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7D1A7F0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7C8952D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0" w:type="pct"/>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3BEDA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518062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5B065F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56" w:type="pct"/>
            <w:tcBorders>
              <w:top w:val="single" w:sz="6" w:space="0" w:color="000000"/>
            </w:tcBorders>
            <w:shd w:val="clear" w:color="auto" w:fill="FFFFFF"/>
            <w:noWrap/>
            <w:tcMar>
              <w:top w:w="15" w:type="dxa"/>
              <w:left w:w="0" w:type="dxa"/>
              <w:bottom w:w="0" w:type="dxa"/>
              <w:right w:w="15" w:type="dxa"/>
            </w:tcMar>
            <w:vAlign w:val="bottom"/>
            <w:hideMark/>
          </w:tcPr>
          <w:p w14:paraId="5B43F11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left w:w="0" w:type="dxa"/>
              <w:bottom w:w="0" w:type="dxa"/>
              <w:right w:w="15" w:type="dxa"/>
            </w:tcMar>
            <w:vAlign w:val="bottom"/>
            <w:hideMark/>
          </w:tcPr>
          <w:p w14:paraId="5884188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289791F0" w14:textId="77777777">
        <w:tc>
          <w:tcPr>
            <w:tcW w:w="1688" w:type="pct"/>
            <w:tcBorders>
              <w:bottom w:val="single" w:sz="6" w:space="0" w:color="000000"/>
            </w:tcBorders>
            <w:shd w:val="clear" w:color="auto" w:fill="FFFFFF"/>
            <w:tcMar>
              <w:top w:w="15" w:type="dxa"/>
              <w:left w:w="0" w:type="dxa"/>
              <w:bottom w:w="0" w:type="dxa"/>
              <w:right w:w="15" w:type="dxa"/>
            </w:tcMar>
            <w:vAlign w:val="bottom"/>
            <w:hideMark/>
          </w:tcPr>
          <w:p w14:paraId="73A18A3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57" w:type="pct"/>
            <w:shd w:val="clear" w:color="auto" w:fill="FFFFFF"/>
            <w:tcMar>
              <w:top w:w="15" w:type="dxa"/>
              <w:left w:w="0" w:type="dxa"/>
              <w:bottom w:w="0" w:type="dxa"/>
              <w:right w:w="15" w:type="dxa"/>
            </w:tcMar>
            <w:vAlign w:val="bottom"/>
            <w:hideMark/>
          </w:tcPr>
          <w:p w14:paraId="1741104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3619CCE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6D6AF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451F7AE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BB1369"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1AE48A0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8FCAB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4360B3B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6FDB0FCD"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41FA1EA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3376341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58B9779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E2E2496"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57" w:type="pct"/>
            <w:shd w:val="clear" w:color="auto" w:fill="FFFFFF"/>
            <w:tcMar>
              <w:top w:w="15" w:type="dxa"/>
              <w:left w:w="0" w:type="dxa"/>
              <w:bottom w:w="0" w:type="dxa"/>
              <w:right w:w="15" w:type="dxa"/>
            </w:tcMar>
            <w:vAlign w:val="bottom"/>
            <w:hideMark/>
          </w:tcPr>
          <w:p w14:paraId="2B3E7FE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BECDD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DEA842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5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DD5D2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57" w:type="pct"/>
            <w:shd w:val="clear" w:color="auto" w:fill="FFFFFF"/>
            <w:tcMar>
              <w:top w:w="15" w:type="dxa"/>
              <w:left w:w="0" w:type="dxa"/>
              <w:bottom w:w="0" w:type="dxa"/>
              <w:right w:w="15" w:type="dxa"/>
            </w:tcMar>
            <w:vAlign w:val="bottom"/>
            <w:hideMark/>
          </w:tcPr>
          <w:p w14:paraId="5F4AB05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306" w:type="pct"/>
            <w:gridSpan w:val="2"/>
            <w:tcBorders>
              <w:bottom w:val="single" w:sz="6" w:space="0" w:color="000000"/>
            </w:tcBorders>
            <w:shd w:val="clear" w:color="auto" w:fill="FFFFFF"/>
            <w:tcMar>
              <w:top w:w="15" w:type="dxa"/>
              <w:left w:w="0" w:type="dxa"/>
              <w:bottom w:w="0" w:type="dxa"/>
              <w:right w:w="15" w:type="dxa"/>
            </w:tcMar>
            <w:vAlign w:val="bottom"/>
            <w:hideMark/>
          </w:tcPr>
          <w:p w14:paraId="4F5B4B6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C6778F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E19C3FA" w14:textId="77777777">
        <w:tc>
          <w:tcPr>
            <w:tcW w:w="1688" w:type="pct"/>
            <w:tcBorders>
              <w:top w:val="single" w:sz="6" w:space="0" w:color="000000"/>
            </w:tcBorders>
            <w:shd w:val="clear" w:color="auto" w:fill="CFF0FC"/>
            <w:tcMar>
              <w:top w:w="15" w:type="dxa"/>
              <w:left w:w="0" w:type="dxa"/>
              <w:bottom w:w="0" w:type="dxa"/>
              <w:right w:w="15" w:type="dxa"/>
            </w:tcMar>
            <w:hideMark/>
          </w:tcPr>
          <w:p w14:paraId="59C67CA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57" w:type="pct"/>
            <w:shd w:val="clear" w:color="auto" w:fill="CFF0FC"/>
            <w:tcMar>
              <w:top w:w="15" w:type="dxa"/>
              <w:left w:w="0" w:type="dxa"/>
              <w:bottom w:w="0" w:type="dxa"/>
              <w:right w:w="15" w:type="dxa"/>
            </w:tcMar>
            <w:vAlign w:val="bottom"/>
            <w:hideMark/>
          </w:tcPr>
          <w:p w14:paraId="2EA9E68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FE395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EA861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343</w:t>
            </w:r>
          </w:p>
        </w:tc>
        <w:tc>
          <w:tcPr>
            <w:tcW w:w="50" w:type="pct"/>
            <w:shd w:val="clear" w:color="auto" w:fill="CFF0FC"/>
            <w:noWrap/>
            <w:tcMar>
              <w:top w:w="15" w:type="dxa"/>
              <w:left w:w="0" w:type="dxa"/>
              <w:bottom w:w="0" w:type="dxa"/>
              <w:right w:w="15" w:type="dxa"/>
            </w:tcMar>
            <w:vAlign w:val="bottom"/>
            <w:hideMark/>
          </w:tcPr>
          <w:p w14:paraId="3D26DEC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173D112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1CC8842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-95%</w:t>
            </w:r>
          </w:p>
        </w:tc>
        <w:tc>
          <w:tcPr>
            <w:tcW w:w="57" w:type="pct"/>
            <w:shd w:val="clear" w:color="auto" w:fill="CFF0FC"/>
            <w:tcMar>
              <w:top w:w="15" w:type="dxa"/>
              <w:left w:w="0" w:type="dxa"/>
              <w:bottom w:w="0" w:type="dxa"/>
              <w:right w:w="15" w:type="dxa"/>
            </w:tcMar>
            <w:vAlign w:val="bottom"/>
            <w:hideMark/>
          </w:tcPr>
          <w:p w14:paraId="5382845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511CC67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-95%</w:t>
            </w:r>
          </w:p>
        </w:tc>
        <w:tc>
          <w:tcPr>
            <w:tcW w:w="57" w:type="pct"/>
            <w:shd w:val="clear" w:color="auto" w:fill="CFF0FC"/>
            <w:tcMar>
              <w:top w:w="15" w:type="dxa"/>
              <w:left w:w="0" w:type="dxa"/>
              <w:bottom w:w="0" w:type="dxa"/>
              <w:right w:w="15" w:type="dxa"/>
            </w:tcMar>
            <w:vAlign w:val="bottom"/>
            <w:hideMark/>
          </w:tcPr>
          <w:p w14:paraId="57F6A58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395E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EEE7A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7,238</w:t>
            </w:r>
          </w:p>
        </w:tc>
        <w:tc>
          <w:tcPr>
            <w:tcW w:w="50" w:type="pct"/>
            <w:shd w:val="clear" w:color="auto" w:fill="CFF0FC"/>
            <w:noWrap/>
            <w:tcMar>
              <w:top w:w="15" w:type="dxa"/>
              <w:left w:w="0" w:type="dxa"/>
              <w:bottom w:w="0" w:type="dxa"/>
              <w:right w:w="15" w:type="dxa"/>
            </w:tcMar>
            <w:vAlign w:val="bottom"/>
            <w:hideMark/>
          </w:tcPr>
          <w:p w14:paraId="7B39C3D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721BD91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641F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09D08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1,059</w:t>
            </w:r>
          </w:p>
        </w:tc>
        <w:tc>
          <w:tcPr>
            <w:tcW w:w="50" w:type="pct"/>
            <w:shd w:val="clear" w:color="auto" w:fill="CFF0FC"/>
            <w:noWrap/>
            <w:tcMar>
              <w:top w:w="15" w:type="dxa"/>
              <w:left w:w="0" w:type="dxa"/>
              <w:bottom w:w="0" w:type="dxa"/>
              <w:right w:w="15" w:type="dxa"/>
            </w:tcMar>
            <w:vAlign w:val="bottom"/>
            <w:hideMark/>
          </w:tcPr>
          <w:p w14:paraId="3891D2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CFF0FC"/>
            <w:tcMar>
              <w:top w:w="15" w:type="dxa"/>
              <w:left w:w="0" w:type="dxa"/>
              <w:bottom w:w="0" w:type="dxa"/>
              <w:right w:w="15" w:type="dxa"/>
            </w:tcMar>
            <w:vAlign w:val="bottom"/>
            <w:hideMark/>
          </w:tcPr>
          <w:p w14:paraId="4D3495C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7563486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-87%</w:t>
            </w:r>
          </w:p>
        </w:tc>
        <w:tc>
          <w:tcPr>
            <w:tcW w:w="57" w:type="pct"/>
            <w:shd w:val="clear" w:color="auto" w:fill="CFF0FC"/>
            <w:tcMar>
              <w:top w:w="15" w:type="dxa"/>
              <w:left w:w="0" w:type="dxa"/>
              <w:bottom w:w="0" w:type="dxa"/>
              <w:right w:w="15" w:type="dxa"/>
            </w:tcMar>
            <w:vAlign w:val="bottom"/>
            <w:hideMark/>
          </w:tcPr>
          <w:p w14:paraId="7CDCEE4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tcBorders>
              <w:top w:val="single" w:sz="6" w:space="0" w:color="000000"/>
            </w:tcBorders>
            <w:shd w:val="clear" w:color="auto" w:fill="CFF0FC"/>
            <w:tcMar>
              <w:top w:w="15" w:type="dxa"/>
              <w:left w:w="0" w:type="dxa"/>
              <w:bottom w:w="0" w:type="dxa"/>
              <w:right w:w="15" w:type="dxa"/>
            </w:tcMar>
            <w:vAlign w:val="bottom"/>
            <w:hideMark/>
          </w:tcPr>
          <w:p w14:paraId="42AE24C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-87%</w:t>
            </w:r>
          </w:p>
        </w:tc>
        <w:tc>
          <w:tcPr>
            <w:tcW w:w="57" w:type="pct"/>
            <w:shd w:val="clear" w:color="auto" w:fill="CFF0FC"/>
            <w:tcMar>
              <w:top w:w="15" w:type="dxa"/>
              <w:left w:w="0" w:type="dxa"/>
              <w:bottom w:w="0" w:type="dxa"/>
              <w:right w:w="15" w:type="dxa"/>
            </w:tcMar>
            <w:vAlign w:val="bottom"/>
            <w:hideMark/>
          </w:tcPr>
          <w:p w14:paraId="2DC60AC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97A938"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2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437CA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8,206</w:t>
            </w:r>
          </w:p>
        </w:tc>
        <w:tc>
          <w:tcPr>
            <w:tcW w:w="50" w:type="pct"/>
            <w:shd w:val="clear" w:color="auto" w:fill="CFF0FC"/>
            <w:noWrap/>
            <w:tcMar>
              <w:top w:w="15" w:type="dxa"/>
              <w:left w:w="0" w:type="dxa"/>
              <w:bottom w:w="0" w:type="dxa"/>
              <w:right w:w="15" w:type="dxa"/>
            </w:tcMar>
            <w:vAlign w:val="bottom"/>
            <w:hideMark/>
          </w:tcPr>
          <w:p w14:paraId="0212963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74A5674" w14:textId="77777777">
        <w:tc>
          <w:tcPr>
            <w:tcW w:w="1688" w:type="pct"/>
            <w:shd w:val="clear" w:color="auto" w:fill="FFFFFF"/>
            <w:tcMar>
              <w:top w:w="15" w:type="dxa"/>
              <w:left w:w="0" w:type="dxa"/>
              <w:bottom w:w="0" w:type="dxa"/>
              <w:right w:w="15" w:type="dxa"/>
            </w:tcMar>
            <w:hideMark/>
          </w:tcPr>
          <w:p w14:paraId="5D801B4C" w14:textId="77777777" w:rsidR="00716E85" w:rsidRDefault="00716E85">
            <w:pPr>
              <w:pStyle w:val="a3"/>
              <w:spacing w:before="0" w:beforeAutospacing="0" w:after="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57" w:type="pct"/>
            <w:shd w:val="clear" w:color="auto" w:fill="FFFFFF"/>
            <w:tcMar>
              <w:top w:w="15" w:type="dxa"/>
              <w:left w:w="0" w:type="dxa"/>
              <w:bottom w:w="0" w:type="dxa"/>
              <w:right w:w="15" w:type="dxa"/>
            </w:tcMar>
            <w:vAlign w:val="bottom"/>
            <w:hideMark/>
          </w:tcPr>
          <w:p w14:paraId="16A41C6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30E2ADE7"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11.1%</w:t>
            </w:r>
          </w:p>
        </w:tc>
        <w:tc>
          <w:tcPr>
            <w:tcW w:w="50" w:type="pct"/>
            <w:shd w:val="clear" w:color="auto" w:fill="FFFFFF"/>
            <w:noWrap/>
            <w:tcMar>
              <w:top w:w="15" w:type="dxa"/>
              <w:left w:w="0" w:type="dxa"/>
              <w:bottom w:w="0" w:type="dxa"/>
              <w:right w:w="15" w:type="dxa"/>
            </w:tcMar>
            <w:vAlign w:val="bottom"/>
            <w:hideMark/>
          </w:tcPr>
          <w:p w14:paraId="033654E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56630D0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0F7EF2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29FB18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336B08A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2C388CE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108201F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226.8%</w:t>
            </w:r>
          </w:p>
        </w:tc>
        <w:tc>
          <w:tcPr>
            <w:tcW w:w="50" w:type="pct"/>
            <w:shd w:val="clear" w:color="auto" w:fill="FFFFFF"/>
            <w:noWrap/>
            <w:tcMar>
              <w:top w:w="15" w:type="dxa"/>
              <w:left w:w="0" w:type="dxa"/>
              <w:bottom w:w="0" w:type="dxa"/>
              <w:right w:w="15" w:type="dxa"/>
            </w:tcMar>
            <w:vAlign w:val="bottom"/>
            <w:hideMark/>
          </w:tcPr>
          <w:p w14:paraId="6691185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6760D99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098850F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12.6%</w:t>
            </w:r>
          </w:p>
        </w:tc>
        <w:tc>
          <w:tcPr>
            <w:tcW w:w="50" w:type="pct"/>
            <w:shd w:val="clear" w:color="auto" w:fill="FFFFFF"/>
            <w:noWrap/>
            <w:tcMar>
              <w:top w:w="15" w:type="dxa"/>
              <w:left w:w="0" w:type="dxa"/>
              <w:bottom w:w="0" w:type="dxa"/>
              <w:right w:w="15" w:type="dxa"/>
            </w:tcMar>
            <w:vAlign w:val="bottom"/>
            <w:hideMark/>
          </w:tcPr>
          <w:p w14:paraId="4D970F2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72C91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43E12D8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309C4A4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56" w:type="pct"/>
            <w:shd w:val="clear" w:color="auto" w:fill="FFFFFF"/>
            <w:tcMar>
              <w:top w:w="15" w:type="dxa"/>
              <w:left w:w="0" w:type="dxa"/>
              <w:bottom w:w="0" w:type="dxa"/>
              <w:right w:w="15" w:type="dxa"/>
            </w:tcMar>
            <w:vAlign w:val="bottom"/>
            <w:hideMark/>
          </w:tcPr>
          <w:p w14:paraId="76DAE63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57" w:type="pct"/>
            <w:shd w:val="clear" w:color="auto" w:fill="FFFFFF"/>
            <w:tcMar>
              <w:top w:w="15" w:type="dxa"/>
              <w:left w:w="0" w:type="dxa"/>
              <w:bottom w:w="0" w:type="dxa"/>
              <w:right w:w="15" w:type="dxa"/>
            </w:tcMar>
            <w:vAlign w:val="bottom"/>
            <w:hideMark/>
          </w:tcPr>
          <w:p w14:paraId="46BE334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06" w:type="pct"/>
            <w:gridSpan w:val="2"/>
            <w:tcBorders>
              <w:top w:val="double" w:sz="6" w:space="0" w:color="000000"/>
            </w:tcBorders>
            <w:shd w:val="clear" w:color="auto" w:fill="FFFFFF"/>
            <w:tcMar>
              <w:top w:w="15" w:type="dxa"/>
              <w:left w:w="0" w:type="dxa"/>
              <w:bottom w:w="0" w:type="dxa"/>
              <w:right w:w="15" w:type="dxa"/>
            </w:tcMar>
            <w:vAlign w:val="bottom"/>
            <w:hideMark/>
          </w:tcPr>
          <w:p w14:paraId="09C120D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96.4%</w:t>
            </w:r>
          </w:p>
        </w:tc>
        <w:tc>
          <w:tcPr>
            <w:tcW w:w="50" w:type="pct"/>
            <w:shd w:val="clear" w:color="auto" w:fill="FFFFFF"/>
            <w:noWrap/>
            <w:tcMar>
              <w:top w:w="15" w:type="dxa"/>
              <w:left w:w="0" w:type="dxa"/>
              <w:bottom w:w="0" w:type="dxa"/>
              <w:right w:w="15" w:type="dxa"/>
            </w:tcMar>
            <w:vAlign w:val="bottom"/>
            <w:hideMark/>
          </w:tcPr>
          <w:p w14:paraId="511615AC"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59E37A5A"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47</w:t>
      </w:r>
    </w:p>
    <w:p w14:paraId="06D9C336" w14:textId="77777777" w:rsidR="00716E85" w:rsidRDefault="00716E85">
      <w:pPr>
        <w:rPr>
          <w:rFonts w:ascii="Times New Roman" w:eastAsia="Times New Roman" w:hAnsi="Times New Roman" w:cs="Times New Roman"/>
          <w:sz w:val="24"/>
          <w:szCs w:val="24"/>
        </w:rPr>
      </w:pPr>
      <w:r>
        <w:rPr>
          <w:rFonts w:eastAsia="Times New Roman"/>
        </w:rPr>
        <w:pict w14:anchorId="4B1AB1F8">
          <v:rect id="_x0000_i1073" style="width:415.3pt;height:1.5pt" o:hralign="center" o:hrstd="t" o:hr="t" fillcolor="#a0a0a0" stroked="f"/>
        </w:pict>
      </w:r>
    </w:p>
    <w:p w14:paraId="6B22B366"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D494685" w14:textId="77777777" w:rsidR="00716E85" w:rsidRDefault="00716E85">
      <w:pPr>
        <w:pStyle w:val="a3"/>
        <w:spacing w:before="0" w:beforeAutospacing="0" w:after="0" w:afterAutospacing="0"/>
        <w:rPr>
          <w:sz w:val="20"/>
          <w:szCs w:val="20"/>
        </w:rPr>
      </w:pPr>
      <w:r>
        <w:rPr>
          <w:sz w:val="20"/>
          <w:szCs w:val="20"/>
        </w:rPr>
        <w:t> </w:t>
      </w:r>
    </w:p>
    <w:p w14:paraId="6F231688" w14:textId="77777777" w:rsidR="00716E85" w:rsidRDefault="00716E85">
      <w:pPr>
        <w:pStyle w:val="a3"/>
        <w:spacing w:before="120" w:beforeAutospacing="0" w:after="0" w:afterAutospacing="0"/>
        <w:jc w:val="both"/>
        <w:rPr>
          <w:rFonts w:ascii="Calibri" w:hAnsi="Calibri" w:cs="Calibri"/>
          <w:sz w:val="20"/>
          <w:szCs w:val="20"/>
        </w:rPr>
      </w:pPr>
      <w:bookmarkStart w:id="55" w:name="_AEIOULastRenderedPageBreakAEIOU46"/>
      <w:bookmarkEnd w:id="55"/>
      <w:r>
        <w:rPr>
          <w:rFonts w:ascii="Calibri" w:hAnsi="Calibri" w:cs="Calibri"/>
          <w:sz w:val="20"/>
          <w:szCs w:val="20"/>
        </w:rPr>
        <w:t>Provision for income taxes decreased in the fiscal 2019 periods presented, relative to the corresponding prior year periods, primarily due to the absence of the initial accounting charges related to the Tax Act (refer to the “Impacts of the U.S. 2017 Tax Cuts and Jobs Act” above for additional information) that were recorded in the fiscal 2018 periods presented and, to a lesser extent, the net favorable impacts of our final accounting for the Tax Act that was recorded in the fiscal 2019 periods presented. Additionally, provision for income taxes decreased during the fiscal 2019 periods presented due to the combination of the net favorable impacts of the Tax Act on our tax profile and, to a lesser extent, lower income before provision for income taxes. These decreases in our provision for income taxes during the fiscal 2019 periods presented were partially offset by unfavorable jurisdictional mixes of earnings and lower excess tax benefits related to stock-based compensation expense in the fiscal 2019 periods presented relative to the corresponding prior year periods.</w:t>
      </w:r>
    </w:p>
    <w:p w14:paraId="302464C8"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Liquidity and Capital Resources</w:t>
      </w:r>
    </w:p>
    <w:p w14:paraId="7F3B0C6B" w14:textId="77777777" w:rsidR="00716E85" w:rsidRDefault="00716E85">
      <w:pPr>
        <w:pStyle w:val="a3"/>
        <w:spacing w:before="0" w:beforeAutospacing="0" w:after="0" w:afterAutospacing="0"/>
        <w:jc w:val="both"/>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4622"/>
        <w:gridCol w:w="112"/>
        <w:gridCol w:w="117"/>
        <w:gridCol w:w="932"/>
        <w:gridCol w:w="75"/>
        <w:gridCol w:w="112"/>
        <w:gridCol w:w="1098"/>
        <w:gridCol w:w="112"/>
        <w:gridCol w:w="117"/>
        <w:gridCol w:w="933"/>
        <w:gridCol w:w="76"/>
      </w:tblGrid>
      <w:tr w:rsidR="00716E85" w14:paraId="583D2C43" w14:textId="77777777">
        <w:tc>
          <w:tcPr>
            <w:tcW w:w="2784" w:type="pct"/>
            <w:tcBorders>
              <w:bottom w:val="single" w:sz="6" w:space="0" w:color="000000"/>
            </w:tcBorders>
            <w:shd w:val="clear" w:color="auto" w:fill="FFFFFF"/>
            <w:tcMar>
              <w:top w:w="15" w:type="dxa"/>
              <w:left w:w="0" w:type="dxa"/>
              <w:bottom w:w="0" w:type="dxa"/>
              <w:right w:w="15" w:type="dxa"/>
            </w:tcMar>
            <w:vAlign w:val="bottom"/>
            <w:hideMark/>
          </w:tcPr>
          <w:p w14:paraId="175854D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left w:w="0" w:type="dxa"/>
              <w:bottom w:w="0" w:type="dxa"/>
              <w:right w:w="15" w:type="dxa"/>
            </w:tcMar>
            <w:vAlign w:val="bottom"/>
            <w:hideMark/>
          </w:tcPr>
          <w:p w14:paraId="32BA97CA"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5" w:type="pct"/>
            <w:gridSpan w:val="2"/>
            <w:tcBorders>
              <w:bottom w:val="single" w:sz="6" w:space="0" w:color="000000"/>
            </w:tcBorders>
            <w:shd w:val="clear" w:color="auto" w:fill="FFFFFF"/>
            <w:tcMar>
              <w:top w:w="15" w:type="dxa"/>
              <w:left w:w="0" w:type="dxa"/>
              <w:bottom w:w="0" w:type="dxa"/>
              <w:right w:w="15" w:type="dxa"/>
            </w:tcMar>
            <w:vAlign w:val="bottom"/>
            <w:hideMark/>
          </w:tcPr>
          <w:p w14:paraId="3B5DED4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February 28,</w:t>
            </w:r>
          </w:p>
          <w:p w14:paraId="1D63E4C1"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1C4B898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shd w:val="clear" w:color="auto" w:fill="FFFFFF"/>
            <w:tcMar>
              <w:top w:w="15" w:type="dxa"/>
              <w:left w:w="0" w:type="dxa"/>
              <w:bottom w:w="0" w:type="dxa"/>
              <w:right w:w="15" w:type="dxa"/>
            </w:tcMar>
            <w:vAlign w:val="bottom"/>
            <w:hideMark/>
          </w:tcPr>
          <w:p w14:paraId="18E873A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5" w:type="pct"/>
            <w:tcBorders>
              <w:bottom w:val="single" w:sz="6" w:space="0" w:color="000000"/>
            </w:tcBorders>
            <w:shd w:val="clear" w:color="auto" w:fill="FFFFFF"/>
            <w:tcMar>
              <w:top w:w="15" w:type="dxa"/>
              <w:left w:w="0" w:type="dxa"/>
              <w:bottom w:w="0" w:type="dxa"/>
              <w:right w:w="15" w:type="dxa"/>
            </w:tcMar>
            <w:vAlign w:val="bottom"/>
            <w:hideMark/>
          </w:tcPr>
          <w:p w14:paraId="28A8FB6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shd w:val="clear" w:color="auto" w:fill="FFFFFF"/>
            <w:tcMar>
              <w:top w:w="15" w:type="dxa"/>
              <w:left w:w="0" w:type="dxa"/>
              <w:bottom w:w="0" w:type="dxa"/>
              <w:right w:w="15" w:type="dxa"/>
            </w:tcMar>
            <w:vAlign w:val="bottom"/>
            <w:hideMark/>
          </w:tcPr>
          <w:p w14:paraId="75C140F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5" w:type="pct"/>
            <w:gridSpan w:val="2"/>
            <w:tcBorders>
              <w:bottom w:val="single" w:sz="6" w:space="0" w:color="000000"/>
            </w:tcBorders>
            <w:shd w:val="clear" w:color="auto" w:fill="FFFFFF"/>
            <w:tcMar>
              <w:top w:w="15" w:type="dxa"/>
              <w:left w:w="0" w:type="dxa"/>
              <w:bottom w:w="0" w:type="dxa"/>
              <w:right w:w="15" w:type="dxa"/>
            </w:tcMar>
            <w:vAlign w:val="bottom"/>
            <w:hideMark/>
          </w:tcPr>
          <w:p w14:paraId="11E5ED1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3CC56F6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7D4EEF3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5881049" w14:textId="77777777">
        <w:tc>
          <w:tcPr>
            <w:tcW w:w="2784" w:type="pct"/>
            <w:tcBorders>
              <w:top w:val="single" w:sz="6" w:space="0" w:color="000000"/>
            </w:tcBorders>
            <w:shd w:val="clear" w:color="auto" w:fill="CFF0FC"/>
            <w:tcMar>
              <w:top w:w="15" w:type="dxa"/>
              <w:left w:w="0" w:type="dxa"/>
              <w:bottom w:w="0" w:type="dxa"/>
              <w:right w:w="15" w:type="dxa"/>
            </w:tcMar>
            <w:hideMark/>
          </w:tcPr>
          <w:p w14:paraId="3DD7E13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Working capital</w:t>
            </w:r>
          </w:p>
        </w:tc>
        <w:tc>
          <w:tcPr>
            <w:tcW w:w="72" w:type="pct"/>
            <w:shd w:val="clear" w:color="auto" w:fill="CFF0FC"/>
            <w:tcMar>
              <w:top w:w="15" w:type="dxa"/>
              <w:left w:w="0" w:type="dxa"/>
              <w:bottom w:w="0" w:type="dxa"/>
              <w:right w:w="15" w:type="dxa"/>
            </w:tcMar>
            <w:vAlign w:val="bottom"/>
            <w:hideMark/>
          </w:tcPr>
          <w:p w14:paraId="1DE8549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501517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tcBorders>
              <w:top w:val="single" w:sz="6" w:space="0" w:color="000000"/>
            </w:tcBorders>
            <w:shd w:val="clear" w:color="auto" w:fill="CFF0FC"/>
            <w:noWrap/>
            <w:tcMar>
              <w:top w:w="15" w:type="dxa"/>
              <w:left w:w="0" w:type="dxa"/>
              <w:bottom w:w="0" w:type="dxa"/>
              <w:right w:w="15" w:type="dxa"/>
            </w:tcMar>
            <w:vAlign w:val="bottom"/>
            <w:hideMark/>
          </w:tcPr>
          <w:p w14:paraId="4E9EEF5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29,631</w:t>
            </w:r>
          </w:p>
        </w:tc>
        <w:tc>
          <w:tcPr>
            <w:tcW w:w="50" w:type="pct"/>
            <w:shd w:val="clear" w:color="auto" w:fill="CFF0FC"/>
            <w:noWrap/>
            <w:tcMar>
              <w:top w:w="15" w:type="dxa"/>
              <w:left w:w="0" w:type="dxa"/>
              <w:bottom w:w="0" w:type="dxa"/>
              <w:right w:w="15" w:type="dxa"/>
            </w:tcMar>
            <w:vAlign w:val="bottom"/>
            <w:hideMark/>
          </w:tcPr>
          <w:p w14:paraId="42509D9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left w:w="0" w:type="dxa"/>
              <w:bottom w:w="0" w:type="dxa"/>
              <w:right w:w="15" w:type="dxa"/>
            </w:tcMar>
            <w:vAlign w:val="bottom"/>
            <w:hideMark/>
          </w:tcPr>
          <w:p w14:paraId="29B9B00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5" w:type="pct"/>
            <w:tcBorders>
              <w:top w:val="single" w:sz="6" w:space="0" w:color="000000"/>
            </w:tcBorders>
            <w:shd w:val="clear" w:color="auto" w:fill="CFF0FC"/>
            <w:tcMar>
              <w:top w:w="15" w:type="dxa"/>
              <w:left w:w="0" w:type="dxa"/>
              <w:bottom w:w="0" w:type="dxa"/>
              <w:right w:w="15" w:type="dxa"/>
            </w:tcMar>
            <w:vAlign w:val="bottom"/>
            <w:hideMark/>
          </w:tcPr>
          <w:p w14:paraId="53A2A2A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-48%</w:t>
            </w:r>
          </w:p>
        </w:tc>
        <w:tc>
          <w:tcPr>
            <w:tcW w:w="72" w:type="pct"/>
            <w:shd w:val="clear" w:color="auto" w:fill="CFF0FC"/>
            <w:tcMar>
              <w:top w:w="15" w:type="dxa"/>
              <w:left w:w="0" w:type="dxa"/>
              <w:bottom w:w="0" w:type="dxa"/>
              <w:right w:w="15" w:type="dxa"/>
            </w:tcMar>
            <w:vAlign w:val="bottom"/>
            <w:hideMark/>
          </w:tcPr>
          <w:p w14:paraId="2147D88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49D14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tcBorders>
              <w:top w:val="single" w:sz="6" w:space="0" w:color="000000"/>
            </w:tcBorders>
            <w:shd w:val="clear" w:color="auto" w:fill="CFF0FC"/>
            <w:noWrap/>
            <w:tcMar>
              <w:top w:w="15" w:type="dxa"/>
              <w:left w:w="0" w:type="dxa"/>
              <w:bottom w:w="0" w:type="dxa"/>
              <w:right w:w="15" w:type="dxa"/>
            </w:tcMar>
            <w:vAlign w:val="bottom"/>
            <w:hideMark/>
          </w:tcPr>
          <w:p w14:paraId="16EDCF9C"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57,035</w:t>
            </w:r>
          </w:p>
        </w:tc>
        <w:tc>
          <w:tcPr>
            <w:tcW w:w="50" w:type="pct"/>
            <w:shd w:val="clear" w:color="auto" w:fill="CFF0FC"/>
            <w:noWrap/>
            <w:tcMar>
              <w:top w:w="15" w:type="dxa"/>
              <w:left w:w="0" w:type="dxa"/>
              <w:bottom w:w="0" w:type="dxa"/>
              <w:right w:w="15" w:type="dxa"/>
            </w:tcMar>
            <w:vAlign w:val="bottom"/>
            <w:hideMark/>
          </w:tcPr>
          <w:p w14:paraId="3C42461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358C86B" w14:textId="77777777">
        <w:tc>
          <w:tcPr>
            <w:tcW w:w="2784" w:type="pct"/>
            <w:shd w:val="clear" w:color="auto" w:fill="FFFFFF"/>
            <w:tcMar>
              <w:top w:w="15" w:type="dxa"/>
              <w:left w:w="0" w:type="dxa"/>
              <w:bottom w:w="0" w:type="dxa"/>
              <w:right w:w="15" w:type="dxa"/>
            </w:tcMar>
            <w:hideMark/>
          </w:tcPr>
          <w:p w14:paraId="5FE5AD3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72" w:type="pct"/>
            <w:shd w:val="clear" w:color="auto" w:fill="FFFFFF"/>
            <w:tcMar>
              <w:top w:w="15" w:type="dxa"/>
              <w:left w:w="0" w:type="dxa"/>
              <w:bottom w:w="0" w:type="dxa"/>
              <w:right w:w="15" w:type="dxa"/>
            </w:tcMar>
            <w:vAlign w:val="bottom"/>
            <w:hideMark/>
          </w:tcPr>
          <w:p w14:paraId="0933EC8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04E7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shd w:val="clear" w:color="auto" w:fill="FFFFFF"/>
            <w:noWrap/>
            <w:tcMar>
              <w:top w:w="15" w:type="dxa"/>
              <w:left w:w="0" w:type="dxa"/>
              <w:bottom w:w="0" w:type="dxa"/>
              <w:right w:w="15" w:type="dxa"/>
            </w:tcMar>
            <w:vAlign w:val="bottom"/>
            <w:hideMark/>
          </w:tcPr>
          <w:p w14:paraId="5F34127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40,030</w:t>
            </w:r>
          </w:p>
        </w:tc>
        <w:tc>
          <w:tcPr>
            <w:tcW w:w="50" w:type="pct"/>
            <w:shd w:val="clear" w:color="auto" w:fill="FFFFFF"/>
            <w:noWrap/>
            <w:tcMar>
              <w:top w:w="15" w:type="dxa"/>
              <w:left w:w="0" w:type="dxa"/>
              <w:bottom w:w="0" w:type="dxa"/>
              <w:right w:w="15" w:type="dxa"/>
            </w:tcMar>
            <w:vAlign w:val="bottom"/>
            <w:hideMark/>
          </w:tcPr>
          <w:p w14:paraId="6BB658C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left w:w="0" w:type="dxa"/>
              <w:bottom w:w="0" w:type="dxa"/>
              <w:right w:w="15" w:type="dxa"/>
            </w:tcMar>
            <w:vAlign w:val="bottom"/>
            <w:hideMark/>
          </w:tcPr>
          <w:p w14:paraId="4D7948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5" w:type="pct"/>
            <w:shd w:val="clear" w:color="auto" w:fill="FFFFFF"/>
            <w:tcMar>
              <w:top w:w="15" w:type="dxa"/>
              <w:left w:w="0" w:type="dxa"/>
              <w:bottom w:w="0" w:type="dxa"/>
              <w:right w:w="15" w:type="dxa"/>
            </w:tcMar>
            <w:vAlign w:val="bottom"/>
            <w:hideMark/>
          </w:tcPr>
          <w:p w14:paraId="40E3024E"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-40%</w:t>
            </w:r>
          </w:p>
        </w:tc>
        <w:tc>
          <w:tcPr>
            <w:tcW w:w="72" w:type="pct"/>
            <w:shd w:val="clear" w:color="auto" w:fill="FFFFFF"/>
            <w:tcMar>
              <w:top w:w="15" w:type="dxa"/>
              <w:left w:w="0" w:type="dxa"/>
              <w:bottom w:w="0" w:type="dxa"/>
              <w:right w:w="15" w:type="dxa"/>
            </w:tcMar>
            <w:vAlign w:val="bottom"/>
            <w:hideMark/>
          </w:tcPr>
          <w:p w14:paraId="5FDC335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A9811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shd w:val="clear" w:color="auto" w:fill="FFFFFF"/>
            <w:noWrap/>
            <w:tcMar>
              <w:top w:w="15" w:type="dxa"/>
              <w:left w:w="0" w:type="dxa"/>
              <w:bottom w:w="0" w:type="dxa"/>
              <w:right w:w="15" w:type="dxa"/>
            </w:tcMar>
            <w:vAlign w:val="bottom"/>
            <w:hideMark/>
          </w:tcPr>
          <w:p w14:paraId="0ACB3BC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67,261</w:t>
            </w:r>
          </w:p>
        </w:tc>
        <w:tc>
          <w:tcPr>
            <w:tcW w:w="50" w:type="pct"/>
            <w:shd w:val="clear" w:color="auto" w:fill="FFFFFF"/>
            <w:noWrap/>
            <w:tcMar>
              <w:top w:w="15" w:type="dxa"/>
              <w:left w:w="0" w:type="dxa"/>
              <w:bottom w:w="0" w:type="dxa"/>
              <w:right w:w="15" w:type="dxa"/>
            </w:tcMar>
            <w:vAlign w:val="bottom"/>
            <w:hideMark/>
          </w:tcPr>
          <w:p w14:paraId="31C23ADC"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000D50B8" w14:textId="77777777" w:rsidR="00716E85" w:rsidRDefault="00716E85">
      <w:pPr>
        <w:pStyle w:val="a3"/>
        <w:spacing w:before="0" w:beforeAutospacing="0" w:after="0" w:afterAutospacing="0"/>
        <w:rPr>
          <w:sz w:val="12"/>
          <w:szCs w:val="12"/>
        </w:rPr>
      </w:pPr>
      <w:r>
        <w:rPr>
          <w:sz w:val="12"/>
          <w:szCs w:val="12"/>
        </w:rPr>
        <w:t> </w:t>
      </w:r>
    </w:p>
    <w:p w14:paraId="19DE5DE4" w14:textId="77777777" w:rsidR="00716E85" w:rsidRDefault="00716E85">
      <w:pPr>
        <w:pStyle w:val="a3"/>
        <w:spacing w:before="0" w:beforeAutospacing="0" w:after="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sz w:val="20"/>
          <w:szCs w:val="20"/>
        </w:rPr>
        <w:t>   The decrease in working capital as of February 28, 2019 in comparison to May 31, 2018 was primarily due to cash used for repurchases of our common stock, the reclassification of $4.5 billion of long-term senior notes as a current liability and cash used to pay dividends to our stockholders during the first nine months of fiscal 2019. These unfavorable impacts were partially offset by the favorable effects to our net current assets resulting from our net income during the first nine months of fiscal 2019 and, to a lesser extent, proceeds from stock option exercises. Our working capital may be impacted by some or all of the aforementioned factors in future periods, the amounts and timing of which are variable.</w:t>
      </w:r>
    </w:p>
    <w:p w14:paraId="02C4AC68"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sz w:val="20"/>
          <w:szCs w:val="20"/>
        </w:rPr>
        <w:t xml:space="preserve">   Cash and cash equivalents primarily consist of deposits held at major banks, Tier-1 commercial paper and other securities with original maturities of 90 days or less. Marketable securities consist of Tier-1 commercial paper debt securities, corporate debt securities and certain other securities. The decrease in cash, cash equivalents and marketable securities at February 28, 2019 in comparison to May 31, 2018 was primarily due to $29.9 billion of repurchases of our common stock, the repayment of $4.5 billion of borrowings, payments of cash dividends to our stockholders and cash used for capital expenditures. These cash outflows during the first nine months of fiscal 2019 were partially offset by certain cash inflows, primarily cash inflows generated by our operations and cash inflows from stock option exercises during the first nine months of fiscal 2019. </w:t>
      </w:r>
    </w:p>
    <w:p w14:paraId="4E16B1D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amount of cash, cash equivalents and marketable securities that we report in U.S. Dollars for a significant portion of the cash, cash equivalents and marketable securities balances held by our foreign subsidiaries is subject to translation adjustments caused by changes in foreign currency exchange rates as of the end of each respective reporting period (the offset to which is substantially recorded to accumulated other comprehensive loss in our condensed consolidated balance sheets and is also presented as a line item in our condensed consolidated statements of comprehensive income included elsewhere in this Quarterly Report). As the U.S. Dollar generally strengthened against certain major international currencies during the first nine months of fiscal 2019, the amount of cash, cash equivalents and marketable securities that we reported in U.S. Dollars for these subsidiaries decreased on a net basis as of February 28, 2019 relative to what we would have reported using constant currency rates from the May 31, 2018 balance sheet date.</w:t>
      </w:r>
    </w:p>
    <w:p w14:paraId="57B2801D"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618"/>
        <w:gridCol w:w="112"/>
        <w:gridCol w:w="117"/>
        <w:gridCol w:w="931"/>
        <w:gridCol w:w="76"/>
        <w:gridCol w:w="111"/>
        <w:gridCol w:w="1098"/>
        <w:gridCol w:w="113"/>
        <w:gridCol w:w="117"/>
        <w:gridCol w:w="937"/>
        <w:gridCol w:w="76"/>
      </w:tblGrid>
      <w:tr w:rsidR="00716E85" w14:paraId="062997F3" w14:textId="77777777">
        <w:tc>
          <w:tcPr>
            <w:tcW w:w="2784" w:type="pct"/>
            <w:shd w:val="clear" w:color="auto" w:fill="FFFFFF"/>
            <w:tcMar>
              <w:top w:w="15" w:type="dxa"/>
              <w:left w:w="0" w:type="dxa"/>
              <w:bottom w:w="0" w:type="dxa"/>
              <w:right w:w="15" w:type="dxa"/>
            </w:tcMar>
            <w:vAlign w:val="bottom"/>
            <w:hideMark/>
          </w:tcPr>
          <w:p w14:paraId="75E9B777" w14:textId="77777777" w:rsidR="00716E85" w:rsidRDefault="00716E85">
            <w:pPr>
              <w:pStyle w:val="a3"/>
              <w:spacing w:before="0" w:beforeAutospacing="0" w:after="0" w:afterAutospacing="0"/>
              <w:rPr>
                <w:sz w:val="20"/>
                <w:szCs w:val="20"/>
              </w:rPr>
            </w:pPr>
            <w:r>
              <w:rPr>
                <w:sz w:val="20"/>
                <w:szCs w:val="20"/>
              </w:rPr>
              <w:t> </w:t>
            </w:r>
          </w:p>
        </w:tc>
        <w:tc>
          <w:tcPr>
            <w:tcW w:w="72" w:type="pct"/>
            <w:shd w:val="clear" w:color="auto" w:fill="FFFFFF"/>
            <w:tcMar>
              <w:top w:w="15" w:type="dxa"/>
              <w:left w:w="0" w:type="dxa"/>
              <w:bottom w:w="0" w:type="dxa"/>
              <w:right w:w="15" w:type="dxa"/>
            </w:tcMar>
            <w:vAlign w:val="bottom"/>
            <w:hideMark/>
          </w:tcPr>
          <w:p w14:paraId="223055C1"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2092" w:type="pct"/>
            <w:gridSpan w:val="8"/>
            <w:tcBorders>
              <w:bottom w:val="single" w:sz="6" w:space="0" w:color="000000"/>
            </w:tcBorders>
            <w:shd w:val="clear" w:color="auto" w:fill="FFFFFF"/>
            <w:tcMar>
              <w:top w:w="15" w:type="dxa"/>
              <w:left w:w="0" w:type="dxa"/>
              <w:bottom w:w="0" w:type="dxa"/>
              <w:right w:w="15" w:type="dxa"/>
            </w:tcMar>
            <w:vAlign w:val="bottom"/>
            <w:hideMark/>
          </w:tcPr>
          <w:p w14:paraId="33569AF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Nine Months Ended February 28,</w:t>
            </w:r>
          </w:p>
        </w:tc>
        <w:tc>
          <w:tcPr>
            <w:tcW w:w="50" w:type="pct"/>
            <w:shd w:val="clear" w:color="auto" w:fill="FFFFFF"/>
            <w:noWrap/>
            <w:tcMar>
              <w:top w:w="15" w:type="dxa"/>
              <w:left w:w="0" w:type="dxa"/>
              <w:bottom w:w="0" w:type="dxa"/>
              <w:right w:w="15" w:type="dxa"/>
            </w:tcMar>
            <w:vAlign w:val="bottom"/>
            <w:hideMark/>
          </w:tcPr>
          <w:p w14:paraId="1C83C50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7CE7503A" w14:textId="77777777">
        <w:tc>
          <w:tcPr>
            <w:tcW w:w="2784" w:type="pct"/>
            <w:tcBorders>
              <w:bottom w:val="single" w:sz="6" w:space="0" w:color="000000"/>
            </w:tcBorders>
            <w:shd w:val="clear" w:color="auto" w:fill="FFFFFF"/>
            <w:tcMar>
              <w:top w:w="15" w:type="dxa"/>
              <w:left w:w="0" w:type="dxa"/>
              <w:bottom w:w="0" w:type="dxa"/>
              <w:right w:w="15" w:type="dxa"/>
            </w:tcMar>
            <w:vAlign w:val="bottom"/>
            <w:hideMark/>
          </w:tcPr>
          <w:p w14:paraId="04B6FDED"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2" w:type="pct"/>
            <w:shd w:val="clear" w:color="auto" w:fill="FFFFFF"/>
            <w:tcMar>
              <w:top w:w="15" w:type="dxa"/>
              <w:left w:w="0" w:type="dxa"/>
              <w:bottom w:w="0" w:type="dxa"/>
              <w:right w:w="15" w:type="dxa"/>
            </w:tcMar>
            <w:vAlign w:val="bottom"/>
            <w:hideMark/>
          </w:tcPr>
          <w:p w14:paraId="7B382CD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1DE3DE"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56BB7D8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71CAD77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6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B8D80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07438E3C"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B44E8A"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3135ED8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56F6021C" w14:textId="77777777">
        <w:tc>
          <w:tcPr>
            <w:tcW w:w="2784" w:type="pct"/>
            <w:tcBorders>
              <w:top w:val="single" w:sz="6" w:space="0" w:color="000000"/>
            </w:tcBorders>
            <w:shd w:val="clear" w:color="auto" w:fill="CFF0FC"/>
            <w:tcMar>
              <w:top w:w="15" w:type="dxa"/>
              <w:left w:w="0" w:type="dxa"/>
              <w:bottom w:w="0" w:type="dxa"/>
              <w:right w:w="15" w:type="dxa"/>
            </w:tcMar>
            <w:hideMark/>
          </w:tcPr>
          <w:p w14:paraId="50FDB3A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2" w:type="pct"/>
            <w:shd w:val="clear" w:color="auto" w:fill="CFF0FC"/>
            <w:tcMar>
              <w:top w:w="15" w:type="dxa"/>
              <w:left w:w="0" w:type="dxa"/>
              <w:bottom w:w="0" w:type="dxa"/>
              <w:right w:w="15" w:type="dxa"/>
            </w:tcMar>
            <w:vAlign w:val="bottom"/>
            <w:hideMark/>
          </w:tcPr>
          <w:p w14:paraId="2FE143B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EF929A"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tcBorders>
              <w:top w:val="single" w:sz="6" w:space="0" w:color="000000"/>
            </w:tcBorders>
            <w:shd w:val="clear" w:color="auto" w:fill="CFF0FC"/>
            <w:noWrap/>
            <w:tcMar>
              <w:top w:w="15" w:type="dxa"/>
              <w:left w:w="0" w:type="dxa"/>
              <w:bottom w:w="0" w:type="dxa"/>
              <w:right w:w="15" w:type="dxa"/>
            </w:tcMar>
            <w:vAlign w:val="bottom"/>
            <w:hideMark/>
          </w:tcPr>
          <w:p w14:paraId="54D816F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10,129</w:t>
            </w:r>
          </w:p>
        </w:tc>
        <w:tc>
          <w:tcPr>
            <w:tcW w:w="50" w:type="pct"/>
            <w:shd w:val="clear" w:color="auto" w:fill="CFF0FC"/>
            <w:noWrap/>
            <w:tcMar>
              <w:top w:w="15" w:type="dxa"/>
              <w:left w:w="0" w:type="dxa"/>
              <w:bottom w:w="0" w:type="dxa"/>
              <w:right w:w="15" w:type="dxa"/>
            </w:tcMar>
            <w:vAlign w:val="bottom"/>
            <w:hideMark/>
          </w:tcPr>
          <w:p w14:paraId="00F575F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CFF0FC"/>
            <w:tcMar>
              <w:top w:w="15" w:type="dxa"/>
              <w:left w:w="0" w:type="dxa"/>
              <w:bottom w:w="0" w:type="dxa"/>
              <w:right w:w="15" w:type="dxa"/>
            </w:tcMar>
            <w:vAlign w:val="bottom"/>
            <w:hideMark/>
          </w:tcPr>
          <w:p w14:paraId="63BB71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5" w:type="pct"/>
            <w:tcBorders>
              <w:top w:val="single" w:sz="6" w:space="0" w:color="000000"/>
            </w:tcBorders>
            <w:shd w:val="clear" w:color="auto" w:fill="CFF0FC"/>
            <w:tcMar>
              <w:top w:w="15" w:type="dxa"/>
              <w:left w:w="0" w:type="dxa"/>
              <w:bottom w:w="0" w:type="dxa"/>
              <w:right w:w="15" w:type="dxa"/>
            </w:tcMar>
            <w:vAlign w:val="bottom"/>
            <w:hideMark/>
          </w:tcPr>
          <w:p w14:paraId="28EDD8C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w:t>
            </w:r>
          </w:p>
        </w:tc>
        <w:tc>
          <w:tcPr>
            <w:tcW w:w="72" w:type="pct"/>
            <w:shd w:val="clear" w:color="auto" w:fill="CFF0FC"/>
            <w:tcMar>
              <w:top w:w="15" w:type="dxa"/>
              <w:left w:w="0" w:type="dxa"/>
              <w:bottom w:w="0" w:type="dxa"/>
              <w:right w:w="15" w:type="dxa"/>
            </w:tcMar>
            <w:vAlign w:val="bottom"/>
            <w:hideMark/>
          </w:tcPr>
          <w:p w14:paraId="47A1CDF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6752C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tcBorders>
              <w:top w:val="single" w:sz="6" w:space="0" w:color="000000"/>
            </w:tcBorders>
            <w:shd w:val="clear" w:color="auto" w:fill="CFF0FC"/>
            <w:noWrap/>
            <w:tcMar>
              <w:top w:w="15" w:type="dxa"/>
              <w:left w:w="0" w:type="dxa"/>
              <w:bottom w:w="0" w:type="dxa"/>
              <w:right w:w="15" w:type="dxa"/>
            </w:tcMar>
            <w:vAlign w:val="bottom"/>
            <w:hideMark/>
          </w:tcPr>
          <w:p w14:paraId="07DE574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10,726</w:t>
            </w:r>
          </w:p>
        </w:tc>
        <w:tc>
          <w:tcPr>
            <w:tcW w:w="50" w:type="pct"/>
            <w:shd w:val="clear" w:color="auto" w:fill="CFF0FC"/>
            <w:noWrap/>
            <w:tcMar>
              <w:top w:w="15" w:type="dxa"/>
              <w:left w:w="0" w:type="dxa"/>
              <w:bottom w:w="0" w:type="dxa"/>
              <w:right w:w="15" w:type="dxa"/>
            </w:tcMar>
            <w:vAlign w:val="bottom"/>
            <w:hideMark/>
          </w:tcPr>
          <w:p w14:paraId="77C8371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03C702F" w14:textId="77777777">
        <w:tc>
          <w:tcPr>
            <w:tcW w:w="2784" w:type="pct"/>
            <w:shd w:val="clear" w:color="auto" w:fill="FFFFFF"/>
            <w:tcMar>
              <w:top w:w="15" w:type="dxa"/>
              <w:left w:w="0" w:type="dxa"/>
              <w:bottom w:w="0" w:type="dxa"/>
              <w:right w:w="15" w:type="dxa"/>
            </w:tcMar>
            <w:hideMark/>
          </w:tcPr>
          <w:p w14:paraId="36BBD2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provided by (used for) investing activities</w:t>
            </w:r>
          </w:p>
        </w:tc>
        <w:tc>
          <w:tcPr>
            <w:tcW w:w="72" w:type="pct"/>
            <w:shd w:val="clear" w:color="auto" w:fill="FFFFFF"/>
            <w:tcMar>
              <w:top w:w="15" w:type="dxa"/>
              <w:left w:w="0" w:type="dxa"/>
              <w:bottom w:w="0" w:type="dxa"/>
              <w:right w:w="15" w:type="dxa"/>
            </w:tcMar>
            <w:vAlign w:val="bottom"/>
            <w:hideMark/>
          </w:tcPr>
          <w:p w14:paraId="5E79DDC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3F3E8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shd w:val="clear" w:color="auto" w:fill="FFFFFF"/>
            <w:noWrap/>
            <w:tcMar>
              <w:top w:w="15" w:type="dxa"/>
              <w:left w:w="0" w:type="dxa"/>
              <w:bottom w:w="0" w:type="dxa"/>
              <w:right w:w="15" w:type="dxa"/>
            </w:tcMar>
            <w:vAlign w:val="bottom"/>
            <w:hideMark/>
          </w:tcPr>
          <w:p w14:paraId="094E3283"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18,651</w:t>
            </w:r>
          </w:p>
        </w:tc>
        <w:tc>
          <w:tcPr>
            <w:tcW w:w="50" w:type="pct"/>
            <w:shd w:val="clear" w:color="auto" w:fill="FFFFFF"/>
            <w:noWrap/>
            <w:tcMar>
              <w:top w:w="15" w:type="dxa"/>
              <w:left w:w="0" w:type="dxa"/>
              <w:bottom w:w="0" w:type="dxa"/>
              <w:right w:w="15" w:type="dxa"/>
            </w:tcMar>
            <w:vAlign w:val="bottom"/>
            <w:hideMark/>
          </w:tcPr>
          <w:p w14:paraId="17F475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2" w:type="pct"/>
            <w:shd w:val="clear" w:color="auto" w:fill="FFFFFF"/>
            <w:tcMar>
              <w:top w:w="15" w:type="dxa"/>
              <w:left w:w="0" w:type="dxa"/>
              <w:bottom w:w="0" w:type="dxa"/>
              <w:right w:w="15" w:type="dxa"/>
            </w:tcMar>
            <w:vAlign w:val="bottom"/>
            <w:hideMark/>
          </w:tcPr>
          <w:p w14:paraId="185CD0A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5" w:type="pct"/>
            <w:shd w:val="clear" w:color="auto" w:fill="FFFFFF"/>
            <w:tcMar>
              <w:top w:w="15" w:type="dxa"/>
              <w:left w:w="0" w:type="dxa"/>
              <w:bottom w:w="0" w:type="dxa"/>
              <w:right w:w="15" w:type="dxa"/>
            </w:tcMar>
            <w:vAlign w:val="bottom"/>
            <w:hideMark/>
          </w:tcPr>
          <w:p w14:paraId="3BBC679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312%</w:t>
            </w:r>
          </w:p>
        </w:tc>
        <w:tc>
          <w:tcPr>
            <w:tcW w:w="72" w:type="pct"/>
            <w:shd w:val="clear" w:color="auto" w:fill="FFFFFF"/>
            <w:tcMar>
              <w:top w:w="15" w:type="dxa"/>
              <w:left w:w="0" w:type="dxa"/>
              <w:bottom w:w="0" w:type="dxa"/>
              <w:right w:w="15" w:type="dxa"/>
            </w:tcMar>
            <w:vAlign w:val="bottom"/>
            <w:hideMark/>
          </w:tcPr>
          <w:p w14:paraId="45DDC63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093F8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shd w:val="clear" w:color="auto" w:fill="FFFFFF"/>
            <w:noWrap/>
            <w:tcMar>
              <w:top w:w="15" w:type="dxa"/>
              <w:left w:w="0" w:type="dxa"/>
              <w:bottom w:w="0" w:type="dxa"/>
              <w:right w:w="15" w:type="dxa"/>
            </w:tcMar>
            <w:vAlign w:val="bottom"/>
            <w:hideMark/>
          </w:tcPr>
          <w:p w14:paraId="45D83128"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(8,785</w:t>
            </w:r>
          </w:p>
        </w:tc>
        <w:tc>
          <w:tcPr>
            <w:tcW w:w="50" w:type="pct"/>
            <w:shd w:val="clear" w:color="auto" w:fill="FFFFFF"/>
            <w:noWrap/>
            <w:tcMar>
              <w:top w:w="15" w:type="dxa"/>
              <w:left w:w="0" w:type="dxa"/>
              <w:bottom w:w="0" w:type="dxa"/>
              <w:right w:w="15" w:type="dxa"/>
            </w:tcMar>
            <w:vAlign w:val="bottom"/>
            <w:hideMark/>
          </w:tcPr>
          <w:p w14:paraId="11E2AE1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21F1098B" w14:textId="77777777">
        <w:tc>
          <w:tcPr>
            <w:tcW w:w="2784" w:type="pct"/>
            <w:shd w:val="clear" w:color="auto" w:fill="CFF0FC"/>
            <w:tcMar>
              <w:top w:w="15" w:type="dxa"/>
              <w:left w:w="0" w:type="dxa"/>
              <w:bottom w:w="0" w:type="dxa"/>
              <w:right w:w="15" w:type="dxa"/>
            </w:tcMar>
            <w:hideMark/>
          </w:tcPr>
          <w:p w14:paraId="69A882C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2" w:type="pct"/>
            <w:shd w:val="clear" w:color="auto" w:fill="CFF0FC"/>
            <w:tcMar>
              <w:top w:w="15" w:type="dxa"/>
              <w:left w:w="0" w:type="dxa"/>
              <w:bottom w:w="0" w:type="dxa"/>
              <w:right w:w="15" w:type="dxa"/>
            </w:tcMar>
            <w:vAlign w:val="bottom"/>
            <w:hideMark/>
          </w:tcPr>
          <w:p w14:paraId="00AE05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28211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shd w:val="clear" w:color="auto" w:fill="CFF0FC"/>
            <w:noWrap/>
            <w:tcMar>
              <w:top w:w="15" w:type="dxa"/>
              <w:left w:w="0" w:type="dxa"/>
              <w:bottom w:w="0" w:type="dxa"/>
              <w:right w:w="15" w:type="dxa"/>
            </w:tcMar>
            <w:vAlign w:val="bottom"/>
            <w:hideMark/>
          </w:tcPr>
          <w:p w14:paraId="3189231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(35,595</w:t>
            </w:r>
          </w:p>
        </w:tc>
        <w:tc>
          <w:tcPr>
            <w:tcW w:w="50" w:type="pct"/>
            <w:shd w:val="clear" w:color="auto" w:fill="CFF0FC"/>
            <w:noWrap/>
            <w:tcMar>
              <w:top w:w="15" w:type="dxa"/>
              <w:left w:w="0" w:type="dxa"/>
              <w:bottom w:w="0" w:type="dxa"/>
              <w:right w:w="15" w:type="dxa"/>
            </w:tcMar>
            <w:vAlign w:val="bottom"/>
            <w:hideMark/>
          </w:tcPr>
          <w:p w14:paraId="75147BF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2" w:type="pct"/>
            <w:shd w:val="clear" w:color="auto" w:fill="CFF0FC"/>
            <w:tcMar>
              <w:top w:w="15" w:type="dxa"/>
              <w:left w:w="0" w:type="dxa"/>
              <w:bottom w:w="0" w:type="dxa"/>
              <w:right w:w="15" w:type="dxa"/>
            </w:tcMar>
            <w:vAlign w:val="bottom"/>
            <w:hideMark/>
          </w:tcPr>
          <w:p w14:paraId="2DE3A66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65" w:type="pct"/>
            <w:shd w:val="clear" w:color="auto" w:fill="CFF0FC"/>
            <w:tcMar>
              <w:top w:w="15" w:type="dxa"/>
              <w:left w:w="0" w:type="dxa"/>
              <w:bottom w:w="0" w:type="dxa"/>
              <w:right w:w="15" w:type="dxa"/>
            </w:tcMar>
            <w:vAlign w:val="bottom"/>
            <w:hideMark/>
          </w:tcPr>
          <w:p w14:paraId="11748BF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687%</w:t>
            </w:r>
          </w:p>
        </w:tc>
        <w:tc>
          <w:tcPr>
            <w:tcW w:w="72" w:type="pct"/>
            <w:shd w:val="clear" w:color="auto" w:fill="CFF0FC"/>
            <w:tcMar>
              <w:top w:w="15" w:type="dxa"/>
              <w:left w:w="0" w:type="dxa"/>
              <w:bottom w:w="0" w:type="dxa"/>
              <w:right w:w="15" w:type="dxa"/>
            </w:tcMar>
            <w:vAlign w:val="bottom"/>
            <w:hideMark/>
          </w:tcPr>
          <w:p w14:paraId="3F2AAA4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D2F89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565" w:type="pct"/>
            <w:shd w:val="clear" w:color="auto" w:fill="CFF0FC"/>
            <w:noWrap/>
            <w:tcMar>
              <w:top w:w="15" w:type="dxa"/>
              <w:left w:w="0" w:type="dxa"/>
              <w:bottom w:w="0" w:type="dxa"/>
              <w:right w:w="15" w:type="dxa"/>
            </w:tcMar>
            <w:vAlign w:val="bottom"/>
            <w:hideMark/>
          </w:tcPr>
          <w:p w14:paraId="5297F62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(4,523</w:t>
            </w:r>
          </w:p>
        </w:tc>
        <w:tc>
          <w:tcPr>
            <w:tcW w:w="50" w:type="pct"/>
            <w:shd w:val="clear" w:color="auto" w:fill="CFF0FC"/>
            <w:noWrap/>
            <w:tcMar>
              <w:top w:w="15" w:type="dxa"/>
              <w:left w:w="0" w:type="dxa"/>
              <w:bottom w:w="0" w:type="dxa"/>
              <w:right w:w="15" w:type="dxa"/>
            </w:tcMar>
            <w:vAlign w:val="bottom"/>
            <w:hideMark/>
          </w:tcPr>
          <w:p w14:paraId="2AC9FCB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bl>
    <w:p w14:paraId="3707E626" w14:textId="77777777" w:rsidR="00716E85" w:rsidRDefault="00716E85">
      <w:pPr>
        <w:pStyle w:val="a3"/>
        <w:spacing w:before="0" w:beforeAutospacing="0" w:after="0" w:afterAutospacing="0"/>
        <w:rPr>
          <w:sz w:val="12"/>
          <w:szCs w:val="12"/>
        </w:rPr>
      </w:pPr>
      <w:r>
        <w:rPr>
          <w:sz w:val="12"/>
          <w:szCs w:val="12"/>
        </w:rPr>
        <w:t> </w:t>
      </w:r>
    </w:p>
    <w:p w14:paraId="451512AD"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48</w:t>
      </w:r>
    </w:p>
    <w:p w14:paraId="547A4CA4" w14:textId="77777777" w:rsidR="00716E85" w:rsidRDefault="00716E85">
      <w:pPr>
        <w:rPr>
          <w:rFonts w:ascii="Times New Roman" w:eastAsia="Times New Roman" w:hAnsi="Times New Roman" w:cs="Times New Roman"/>
          <w:sz w:val="24"/>
          <w:szCs w:val="24"/>
        </w:rPr>
      </w:pPr>
      <w:r>
        <w:rPr>
          <w:rFonts w:eastAsia="Times New Roman"/>
        </w:rPr>
        <w:pict w14:anchorId="5A2A513B">
          <v:rect id="_x0000_i1074" style="width:415.3pt;height:1.5pt" o:hralign="center" o:hrstd="t" o:hr="t" fillcolor="#a0a0a0" stroked="f"/>
        </w:pict>
      </w:r>
    </w:p>
    <w:p w14:paraId="72DB0897"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57E580F7" w14:textId="77777777" w:rsidR="00716E85" w:rsidRDefault="00716E85">
      <w:pPr>
        <w:pStyle w:val="a3"/>
        <w:spacing w:before="0" w:beforeAutospacing="0" w:after="0" w:afterAutospacing="0"/>
        <w:rPr>
          <w:sz w:val="20"/>
          <w:szCs w:val="20"/>
        </w:rPr>
      </w:pPr>
      <w:r>
        <w:rPr>
          <w:sz w:val="20"/>
          <w:szCs w:val="20"/>
        </w:rPr>
        <w:t> </w:t>
      </w:r>
    </w:p>
    <w:p w14:paraId="1A91642A" w14:textId="77777777" w:rsidR="00716E85" w:rsidRDefault="00716E85">
      <w:pPr>
        <w:pStyle w:val="a3"/>
        <w:spacing w:before="0" w:beforeAutospacing="0" w:after="0" w:afterAutospacing="0"/>
        <w:jc w:val="both"/>
        <w:rPr>
          <w:rFonts w:ascii="Calibri" w:hAnsi="Calibri" w:cs="Calibri"/>
          <w:b/>
          <w:bCs/>
          <w:i/>
          <w:iCs/>
          <w:sz w:val="20"/>
          <w:szCs w:val="20"/>
        </w:rPr>
      </w:pPr>
      <w:bookmarkStart w:id="56" w:name="_AEIOULastRenderedPageBreakAEIOU47"/>
      <w:bookmarkEnd w:id="56"/>
      <w:r>
        <w:rPr>
          <w:rFonts w:ascii="Calibri" w:hAnsi="Calibri" w:cs="Calibri"/>
          <w:b/>
          <w:bCs/>
          <w:i/>
          <w:iCs/>
          <w:sz w:val="20"/>
          <w:szCs w:val="20"/>
        </w:rPr>
        <w:t>Cash flows from operating activities:</w:t>
      </w:r>
      <w:r>
        <w:rPr>
          <w:rFonts w:ascii="Calibri" w:hAnsi="Calibri" w:cs="Calibri"/>
          <w:sz w:val="20"/>
          <w:szCs w:val="20"/>
        </w:rPr>
        <w:t>   Our largest source of operating cash flows is cash collections from our customers following the purchase and renewal of their license support agreements. Payments from customers for these support agreements are generally received near the beginning of the contracts’ terms, which are generally one year in length. Over the course of a fiscal year, we also have historically generated cash from the sales of new licenses, cloud services, hardware offerings and other services. Our primary uses of cash from operating activities are for employee related expenditures, material and manufacturing costs related to the production of our hardware products, taxes and leased facilities.</w:t>
      </w:r>
    </w:p>
    <w:p w14:paraId="56BC7054"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Net cash provided by operating activities decreased in the first nine months of fiscal 2019, relative to the corresponding prior year period, primarily due to certain cash unfavorable changes in working capital balances, primarily cash unfavorable changes associated with income taxes including an installment payment made pursuant to the transition tax provisions of the Tax Act. These unfavorable cash changes during the first nine months of fiscal 2019 were partially offset by higher net income during the first nine months of fiscal 2019.</w:t>
      </w:r>
    </w:p>
    <w:p w14:paraId="162E34E3"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sz w:val="20"/>
          <w:szCs w:val="20"/>
        </w:rPr>
        <w:t>   The changes in cash flows from investing activities primarily relate to our acquisitions, the timing of our purchases, maturities and sales of our investments in marketable securities and investments in capital and other assets, including certain intangible assets, to support our growth.</w:t>
      </w:r>
    </w:p>
    <w:p w14:paraId="05AFB14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Net cash provided by investing activities was $18.7 billion in the first nine months of fiscal 2019 compared to $8.8 billion of net cash used for investing activities in the first nine months of fiscal 2018. The increase in net cash provided by investing activities during the first nine months of fiscal 2019 was primarily due to an increase in sales and maturities of and a decrease in purchases of marketable securities and other investments during the first nine months of fiscal 2019 relative to the corresponding prior year period.</w:t>
      </w:r>
    </w:p>
    <w:p w14:paraId="4031795D"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Cash flows from financing activities: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 proceeds related to employee stock programs.</w:t>
      </w:r>
    </w:p>
    <w:p w14:paraId="4509CCE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Net cash used for financing activities in the first nine months of fiscal 2019 increased compared to the first nine months of fiscal 2018 due primarily to increased stock repurchases as we repurchased $29.9 billion of common stock in the first nine months of fiscal 2019 compared to $6.4 billion in the first nine months of fiscal 2018.</w:t>
      </w:r>
    </w:p>
    <w:p w14:paraId="2407D919"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sz w:val="20"/>
          <w:szCs w:val="20"/>
        </w:rPr>
        <w:t>   To supplement our statements of cash flows presented on a GAAP basis, we use non-GAAP measures of cash flows on a trailing 4-quarter basis to analyze cash flows generated from our operations. We believe that free cash flow is also useful as one of the bases for comparing our performance with our competitors. The presentation of non-GAAP free cash flow is not meant to be considered in isolation or as an alternative to net income as an indicator of our performance, or as an alternative to cash flows from operating activities as a measure of liquidity. We calculate free cash flow as follows:</w:t>
      </w:r>
    </w:p>
    <w:p w14:paraId="5C20599D" w14:textId="77777777" w:rsidR="00716E85" w:rsidRDefault="00716E8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5431"/>
        <w:gridCol w:w="123"/>
        <w:gridCol w:w="117"/>
        <w:gridCol w:w="650"/>
        <w:gridCol w:w="76"/>
        <w:gridCol w:w="124"/>
        <w:gridCol w:w="817"/>
        <w:gridCol w:w="124"/>
        <w:gridCol w:w="117"/>
        <w:gridCol w:w="651"/>
        <w:gridCol w:w="76"/>
      </w:tblGrid>
      <w:tr w:rsidR="00716E85" w14:paraId="764514B6" w14:textId="77777777">
        <w:tc>
          <w:tcPr>
            <w:tcW w:w="3273" w:type="pct"/>
            <w:shd w:val="clear" w:color="auto" w:fill="FFFFFF"/>
            <w:tcMar>
              <w:top w:w="15" w:type="dxa"/>
              <w:left w:w="0" w:type="dxa"/>
              <w:bottom w:w="0" w:type="dxa"/>
              <w:right w:w="15" w:type="dxa"/>
            </w:tcMar>
            <w:hideMark/>
          </w:tcPr>
          <w:p w14:paraId="601ACB74" w14:textId="77777777" w:rsidR="00716E85" w:rsidRDefault="00716E85">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7EFBFECC" w14:textId="77777777" w:rsidR="00716E85" w:rsidRDefault="00716E85">
            <w:pPr>
              <w:pStyle w:val="a3"/>
              <w:spacing w:before="0" w:beforeAutospacing="0" w:after="0" w:afterAutospacing="0"/>
              <w:rPr>
                <w:rFonts w:ascii="Calibri" w:hAnsi="Calibri" w:cs="Calibri"/>
                <w:color w:val="000000"/>
                <w:sz w:val="15"/>
                <w:szCs w:val="15"/>
              </w:rPr>
            </w:pPr>
            <w:r>
              <w:rPr>
                <w:rFonts w:ascii="Calibri" w:hAnsi="Calibri" w:cs="Calibri"/>
                <w:color w:val="000000"/>
                <w:sz w:val="15"/>
                <w:szCs w:val="15"/>
              </w:rPr>
              <w:t> </w:t>
            </w:r>
          </w:p>
        </w:tc>
        <w:tc>
          <w:tcPr>
            <w:tcW w:w="1596" w:type="pct"/>
            <w:gridSpan w:val="8"/>
            <w:tcBorders>
              <w:bottom w:val="single" w:sz="6" w:space="0" w:color="000000"/>
            </w:tcBorders>
            <w:shd w:val="clear" w:color="auto" w:fill="FFFFFF"/>
            <w:tcMar>
              <w:top w:w="15" w:type="dxa"/>
              <w:left w:w="0" w:type="dxa"/>
              <w:bottom w:w="0" w:type="dxa"/>
              <w:right w:w="15" w:type="dxa"/>
            </w:tcMar>
            <w:vAlign w:val="bottom"/>
            <w:hideMark/>
          </w:tcPr>
          <w:p w14:paraId="246ADA4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February 28,</w:t>
            </w:r>
          </w:p>
        </w:tc>
        <w:tc>
          <w:tcPr>
            <w:tcW w:w="50" w:type="pct"/>
            <w:shd w:val="clear" w:color="auto" w:fill="FFFFFF"/>
            <w:noWrap/>
            <w:tcMar>
              <w:top w:w="15" w:type="dxa"/>
              <w:left w:w="0" w:type="dxa"/>
              <w:bottom w:w="0" w:type="dxa"/>
              <w:right w:w="15" w:type="dxa"/>
            </w:tcMar>
            <w:vAlign w:val="bottom"/>
            <w:hideMark/>
          </w:tcPr>
          <w:p w14:paraId="3244037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378D8E7B" w14:textId="77777777">
        <w:tc>
          <w:tcPr>
            <w:tcW w:w="3273" w:type="pct"/>
            <w:tcBorders>
              <w:bottom w:val="single" w:sz="6" w:space="0" w:color="000000"/>
            </w:tcBorders>
            <w:shd w:val="clear" w:color="auto" w:fill="FFFFFF"/>
            <w:tcMar>
              <w:top w:w="15" w:type="dxa"/>
              <w:left w:w="0" w:type="dxa"/>
              <w:bottom w:w="0" w:type="dxa"/>
              <w:right w:w="15" w:type="dxa"/>
            </w:tcMar>
            <w:hideMark/>
          </w:tcPr>
          <w:p w14:paraId="5338845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left w:w="0" w:type="dxa"/>
              <w:bottom w:w="0" w:type="dxa"/>
              <w:right w:w="15" w:type="dxa"/>
            </w:tcMar>
            <w:vAlign w:val="bottom"/>
            <w:hideMark/>
          </w:tcPr>
          <w:p w14:paraId="3A3947E2"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8779E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14:paraId="625B58DF"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656D3C5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B029C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33F60C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718A7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14:paraId="2BD8CF1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1ED54E44" w14:textId="77777777">
        <w:tc>
          <w:tcPr>
            <w:tcW w:w="3273" w:type="pct"/>
            <w:tcBorders>
              <w:top w:val="single" w:sz="6" w:space="0" w:color="000000"/>
            </w:tcBorders>
            <w:shd w:val="clear" w:color="auto" w:fill="CFF0FC"/>
            <w:tcMar>
              <w:top w:w="15" w:type="dxa"/>
              <w:left w:w="0" w:type="dxa"/>
              <w:bottom w:w="0" w:type="dxa"/>
              <w:right w:w="15" w:type="dxa"/>
            </w:tcMar>
            <w:hideMark/>
          </w:tcPr>
          <w:p w14:paraId="4C9FD87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14:paraId="2B3FB6D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55B0F1"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6071E3C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14,789</w:t>
            </w:r>
          </w:p>
        </w:tc>
        <w:tc>
          <w:tcPr>
            <w:tcW w:w="50" w:type="pct"/>
            <w:shd w:val="clear" w:color="auto" w:fill="CFF0FC"/>
            <w:noWrap/>
            <w:tcMar>
              <w:top w:w="15" w:type="dxa"/>
              <w:left w:w="0" w:type="dxa"/>
              <w:bottom w:w="0" w:type="dxa"/>
              <w:right w:w="15" w:type="dxa"/>
            </w:tcMar>
            <w:vAlign w:val="bottom"/>
            <w:hideMark/>
          </w:tcPr>
          <w:p w14:paraId="0C3CBF3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118033A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6" w:type="pct"/>
            <w:tcBorders>
              <w:top w:val="single" w:sz="6" w:space="0" w:color="000000"/>
            </w:tcBorders>
            <w:shd w:val="clear" w:color="auto" w:fill="CFF0FC"/>
            <w:tcMar>
              <w:top w:w="15" w:type="dxa"/>
              <w:left w:w="0" w:type="dxa"/>
              <w:bottom w:w="0" w:type="dxa"/>
              <w:right w:w="15" w:type="dxa"/>
            </w:tcMar>
            <w:vAlign w:val="bottom"/>
            <w:hideMark/>
          </w:tcPr>
          <w:p w14:paraId="7E49D6D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w:t>
            </w:r>
          </w:p>
        </w:tc>
        <w:tc>
          <w:tcPr>
            <w:tcW w:w="79" w:type="pct"/>
            <w:shd w:val="clear" w:color="auto" w:fill="CFF0FC"/>
            <w:tcMar>
              <w:top w:w="15" w:type="dxa"/>
              <w:left w:w="0" w:type="dxa"/>
              <w:bottom w:w="0" w:type="dxa"/>
              <w:right w:w="15" w:type="dxa"/>
            </w:tcMar>
            <w:vAlign w:val="bottom"/>
            <w:hideMark/>
          </w:tcPr>
          <w:p w14:paraId="71C311A0"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88112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14:paraId="7606B98A"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15,192</w:t>
            </w:r>
          </w:p>
        </w:tc>
        <w:tc>
          <w:tcPr>
            <w:tcW w:w="50" w:type="pct"/>
            <w:shd w:val="clear" w:color="auto" w:fill="CFF0FC"/>
            <w:noWrap/>
            <w:tcMar>
              <w:top w:w="15" w:type="dxa"/>
              <w:left w:w="0" w:type="dxa"/>
              <w:bottom w:w="0" w:type="dxa"/>
              <w:right w:w="15" w:type="dxa"/>
            </w:tcMar>
            <w:vAlign w:val="bottom"/>
            <w:hideMark/>
          </w:tcPr>
          <w:p w14:paraId="7B08E2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54D9823" w14:textId="77777777">
        <w:tc>
          <w:tcPr>
            <w:tcW w:w="3273" w:type="pct"/>
            <w:shd w:val="clear" w:color="auto" w:fill="FFFFFF"/>
            <w:tcMar>
              <w:top w:w="15" w:type="dxa"/>
              <w:left w:w="0" w:type="dxa"/>
              <w:bottom w:w="0" w:type="dxa"/>
              <w:right w:w="15" w:type="dxa"/>
            </w:tcMar>
            <w:hideMark/>
          </w:tcPr>
          <w:p w14:paraId="782841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9" w:type="pct"/>
            <w:shd w:val="clear" w:color="auto" w:fill="FFFFFF"/>
            <w:tcMar>
              <w:top w:w="15" w:type="dxa"/>
              <w:left w:w="0" w:type="dxa"/>
              <w:bottom w:w="0" w:type="dxa"/>
              <w:right w:w="15" w:type="dxa"/>
            </w:tcMar>
            <w:vAlign w:val="bottom"/>
            <w:hideMark/>
          </w:tcPr>
          <w:p w14:paraId="3B553C7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FFE3F1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67C6E0E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(1,625</w:t>
            </w:r>
          </w:p>
        </w:tc>
        <w:tc>
          <w:tcPr>
            <w:tcW w:w="50" w:type="pct"/>
            <w:shd w:val="clear" w:color="auto" w:fill="FFFFFF"/>
            <w:noWrap/>
            <w:tcMar>
              <w:top w:w="15" w:type="dxa"/>
              <w:left w:w="0" w:type="dxa"/>
              <w:bottom w:w="0" w:type="dxa"/>
              <w:right w:w="15" w:type="dxa"/>
            </w:tcMar>
            <w:vAlign w:val="bottom"/>
            <w:hideMark/>
          </w:tcPr>
          <w:p w14:paraId="53AE89FB"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left w:w="0" w:type="dxa"/>
              <w:bottom w:w="0" w:type="dxa"/>
              <w:right w:w="15" w:type="dxa"/>
            </w:tcMar>
            <w:vAlign w:val="bottom"/>
            <w:hideMark/>
          </w:tcPr>
          <w:p w14:paraId="69F0456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6" w:type="pct"/>
            <w:shd w:val="clear" w:color="auto" w:fill="FFFFFF"/>
            <w:tcMar>
              <w:top w:w="15" w:type="dxa"/>
              <w:left w:w="0" w:type="dxa"/>
              <w:bottom w:w="0" w:type="dxa"/>
              <w:right w:w="15" w:type="dxa"/>
            </w:tcMar>
            <w:vAlign w:val="bottom"/>
            <w:hideMark/>
          </w:tcPr>
          <w:p w14:paraId="41A2D3B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w:t>
            </w:r>
          </w:p>
        </w:tc>
        <w:tc>
          <w:tcPr>
            <w:tcW w:w="79" w:type="pct"/>
            <w:shd w:val="clear" w:color="auto" w:fill="FFFFFF"/>
            <w:tcMar>
              <w:top w:w="15" w:type="dxa"/>
              <w:left w:w="0" w:type="dxa"/>
              <w:bottom w:w="0" w:type="dxa"/>
              <w:right w:w="15" w:type="dxa"/>
            </w:tcMar>
            <w:vAlign w:val="bottom"/>
            <w:hideMark/>
          </w:tcPr>
          <w:p w14:paraId="1E9FCFE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3F8410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14:paraId="15E4E2B9"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(1,883</w:t>
            </w:r>
          </w:p>
        </w:tc>
        <w:tc>
          <w:tcPr>
            <w:tcW w:w="50" w:type="pct"/>
            <w:shd w:val="clear" w:color="auto" w:fill="FFFFFF"/>
            <w:noWrap/>
            <w:tcMar>
              <w:top w:w="15" w:type="dxa"/>
              <w:left w:w="0" w:type="dxa"/>
              <w:bottom w:w="0" w:type="dxa"/>
              <w:right w:w="15" w:type="dxa"/>
            </w:tcMar>
            <w:vAlign w:val="bottom"/>
            <w:hideMark/>
          </w:tcPr>
          <w:p w14:paraId="08DA99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r>
      <w:tr w:rsidR="00716E85" w14:paraId="7663D3ED" w14:textId="77777777">
        <w:tc>
          <w:tcPr>
            <w:tcW w:w="3273" w:type="pct"/>
            <w:shd w:val="clear" w:color="auto" w:fill="CFF0FC"/>
            <w:tcMar>
              <w:top w:w="15" w:type="dxa"/>
              <w:left w:w="0" w:type="dxa"/>
              <w:bottom w:w="0" w:type="dxa"/>
              <w:right w:w="15" w:type="dxa"/>
            </w:tcMar>
            <w:hideMark/>
          </w:tcPr>
          <w:p w14:paraId="4CD2634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Free cash flow</w:t>
            </w:r>
          </w:p>
        </w:tc>
        <w:tc>
          <w:tcPr>
            <w:tcW w:w="79" w:type="pct"/>
            <w:shd w:val="clear" w:color="auto" w:fill="CFF0FC"/>
            <w:tcMar>
              <w:top w:w="15" w:type="dxa"/>
              <w:left w:w="0" w:type="dxa"/>
              <w:bottom w:w="0" w:type="dxa"/>
              <w:right w:w="15" w:type="dxa"/>
            </w:tcMar>
            <w:vAlign w:val="bottom"/>
            <w:hideMark/>
          </w:tcPr>
          <w:p w14:paraId="3E37C8E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240B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C81110"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13,164</w:t>
            </w:r>
          </w:p>
        </w:tc>
        <w:tc>
          <w:tcPr>
            <w:tcW w:w="50" w:type="pct"/>
            <w:shd w:val="clear" w:color="auto" w:fill="CFF0FC"/>
            <w:noWrap/>
            <w:tcMar>
              <w:top w:w="15" w:type="dxa"/>
              <w:left w:w="0" w:type="dxa"/>
              <w:bottom w:w="0" w:type="dxa"/>
              <w:right w:w="15" w:type="dxa"/>
            </w:tcMar>
            <w:vAlign w:val="bottom"/>
            <w:hideMark/>
          </w:tcPr>
          <w:p w14:paraId="18438707"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19FE6E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6" w:type="pct"/>
            <w:shd w:val="clear" w:color="auto" w:fill="CFF0FC"/>
            <w:tcMar>
              <w:top w:w="15" w:type="dxa"/>
              <w:left w:w="0" w:type="dxa"/>
              <w:bottom w:w="0" w:type="dxa"/>
              <w:right w:w="15" w:type="dxa"/>
            </w:tcMar>
            <w:vAlign w:val="bottom"/>
            <w:hideMark/>
          </w:tcPr>
          <w:p w14:paraId="1E69A062"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w:t>
            </w:r>
          </w:p>
        </w:tc>
        <w:tc>
          <w:tcPr>
            <w:tcW w:w="79" w:type="pct"/>
            <w:shd w:val="clear" w:color="auto" w:fill="CFF0FC"/>
            <w:tcMar>
              <w:top w:w="15" w:type="dxa"/>
              <w:left w:w="0" w:type="dxa"/>
              <w:bottom w:w="0" w:type="dxa"/>
              <w:right w:w="15" w:type="dxa"/>
            </w:tcMar>
            <w:vAlign w:val="bottom"/>
            <w:hideMark/>
          </w:tcPr>
          <w:p w14:paraId="553A844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F165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DDD9D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13,309</w:t>
            </w:r>
          </w:p>
        </w:tc>
        <w:tc>
          <w:tcPr>
            <w:tcW w:w="50" w:type="pct"/>
            <w:shd w:val="clear" w:color="auto" w:fill="CFF0FC"/>
            <w:noWrap/>
            <w:tcMar>
              <w:top w:w="15" w:type="dxa"/>
              <w:left w:w="0" w:type="dxa"/>
              <w:bottom w:w="0" w:type="dxa"/>
              <w:right w:w="15" w:type="dxa"/>
            </w:tcMar>
            <w:vAlign w:val="bottom"/>
            <w:hideMark/>
          </w:tcPr>
          <w:p w14:paraId="64FA6E3C"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E332EA9" w14:textId="77777777">
        <w:tc>
          <w:tcPr>
            <w:tcW w:w="3273" w:type="pct"/>
            <w:shd w:val="clear" w:color="auto" w:fill="FFFFFF"/>
            <w:tcMar>
              <w:top w:w="15" w:type="dxa"/>
              <w:left w:w="0" w:type="dxa"/>
              <w:bottom w:w="0" w:type="dxa"/>
              <w:right w:w="15" w:type="dxa"/>
            </w:tcMar>
            <w:hideMark/>
          </w:tcPr>
          <w:p w14:paraId="6EC62D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Net income</w:t>
            </w:r>
          </w:p>
        </w:tc>
        <w:tc>
          <w:tcPr>
            <w:tcW w:w="79" w:type="pct"/>
            <w:shd w:val="clear" w:color="auto" w:fill="FFFFFF"/>
            <w:tcMar>
              <w:top w:w="15" w:type="dxa"/>
              <w:left w:w="0" w:type="dxa"/>
              <w:bottom w:w="0" w:type="dxa"/>
              <w:right w:w="15" w:type="dxa"/>
            </w:tcMar>
            <w:vAlign w:val="bottom"/>
            <w:hideMark/>
          </w:tcPr>
          <w:p w14:paraId="43BA17D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530A8A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6C2246B"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10,619</w:t>
            </w:r>
          </w:p>
        </w:tc>
        <w:tc>
          <w:tcPr>
            <w:tcW w:w="50" w:type="pct"/>
            <w:shd w:val="clear" w:color="auto" w:fill="FFFFFF"/>
            <w:noWrap/>
            <w:tcMar>
              <w:top w:w="15" w:type="dxa"/>
              <w:left w:w="0" w:type="dxa"/>
              <w:bottom w:w="0" w:type="dxa"/>
              <w:right w:w="15" w:type="dxa"/>
            </w:tcMar>
            <w:vAlign w:val="bottom"/>
            <w:hideMark/>
          </w:tcPr>
          <w:p w14:paraId="20FC0759"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7FB29913"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6" w:type="pct"/>
            <w:shd w:val="clear" w:color="auto" w:fill="FFFFFF"/>
            <w:tcMar>
              <w:top w:w="15" w:type="dxa"/>
              <w:left w:w="0" w:type="dxa"/>
              <w:bottom w:w="0" w:type="dxa"/>
              <w:right w:w="15" w:type="dxa"/>
            </w:tcMar>
            <w:vAlign w:val="bottom"/>
            <w:hideMark/>
          </w:tcPr>
          <w:p w14:paraId="01A77381"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left w:w="0" w:type="dxa"/>
              <w:bottom w:w="0" w:type="dxa"/>
              <w:right w:w="15" w:type="dxa"/>
            </w:tcMar>
            <w:vAlign w:val="bottom"/>
            <w:hideMark/>
          </w:tcPr>
          <w:p w14:paraId="1006CA3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F89971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39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C757E1F"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3,643</w:t>
            </w:r>
          </w:p>
        </w:tc>
        <w:tc>
          <w:tcPr>
            <w:tcW w:w="50" w:type="pct"/>
            <w:shd w:val="clear" w:color="auto" w:fill="FFFFFF"/>
            <w:noWrap/>
            <w:tcMar>
              <w:top w:w="15" w:type="dxa"/>
              <w:left w:w="0" w:type="dxa"/>
              <w:bottom w:w="0" w:type="dxa"/>
              <w:right w:w="15" w:type="dxa"/>
            </w:tcMar>
            <w:vAlign w:val="bottom"/>
            <w:hideMark/>
          </w:tcPr>
          <w:p w14:paraId="12742EC6"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5540F590" w14:textId="77777777">
        <w:tc>
          <w:tcPr>
            <w:tcW w:w="3273" w:type="pct"/>
            <w:shd w:val="clear" w:color="auto" w:fill="CFF0FC"/>
            <w:tcMar>
              <w:top w:w="15" w:type="dxa"/>
              <w:left w:w="0" w:type="dxa"/>
              <w:bottom w:w="0" w:type="dxa"/>
              <w:right w:w="15" w:type="dxa"/>
            </w:tcMar>
            <w:hideMark/>
          </w:tcPr>
          <w:p w14:paraId="5C91BCDE"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9" w:type="pct"/>
            <w:shd w:val="clear" w:color="auto" w:fill="CFF0FC"/>
            <w:tcMar>
              <w:top w:w="15" w:type="dxa"/>
              <w:left w:w="0" w:type="dxa"/>
              <w:bottom w:w="0" w:type="dxa"/>
              <w:right w:w="15" w:type="dxa"/>
            </w:tcMar>
            <w:vAlign w:val="bottom"/>
            <w:hideMark/>
          </w:tcPr>
          <w:p w14:paraId="5E0788AF"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CFF0FC"/>
            <w:tcMar>
              <w:top w:w="15" w:type="dxa"/>
              <w:left w:w="0" w:type="dxa"/>
              <w:bottom w:w="0" w:type="dxa"/>
              <w:right w:w="15" w:type="dxa"/>
            </w:tcMar>
            <w:vAlign w:val="bottom"/>
            <w:hideMark/>
          </w:tcPr>
          <w:p w14:paraId="62137AF6"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CFF0FC"/>
            <w:noWrap/>
            <w:tcMar>
              <w:top w:w="15" w:type="dxa"/>
              <w:left w:w="0" w:type="dxa"/>
              <w:bottom w:w="0" w:type="dxa"/>
              <w:right w:w="15" w:type="dxa"/>
            </w:tcMar>
            <w:vAlign w:val="bottom"/>
            <w:hideMark/>
          </w:tcPr>
          <w:p w14:paraId="206123F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49AD39C2"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96" w:type="pct"/>
            <w:shd w:val="clear" w:color="auto" w:fill="CFF0FC"/>
            <w:tcMar>
              <w:top w:w="15" w:type="dxa"/>
              <w:left w:w="0" w:type="dxa"/>
              <w:bottom w:w="0" w:type="dxa"/>
              <w:right w:w="15" w:type="dxa"/>
            </w:tcMar>
            <w:vAlign w:val="bottom"/>
            <w:hideMark/>
          </w:tcPr>
          <w:p w14:paraId="158D9375"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left w:w="0" w:type="dxa"/>
              <w:bottom w:w="0" w:type="dxa"/>
              <w:right w:w="15" w:type="dxa"/>
            </w:tcMar>
            <w:vAlign w:val="bottom"/>
            <w:hideMark/>
          </w:tcPr>
          <w:p w14:paraId="735EAA0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446" w:type="pct"/>
            <w:gridSpan w:val="2"/>
            <w:tcBorders>
              <w:top w:val="double" w:sz="6" w:space="0" w:color="000000"/>
            </w:tcBorders>
            <w:shd w:val="clear" w:color="auto" w:fill="CFF0FC"/>
            <w:tcMar>
              <w:top w:w="15" w:type="dxa"/>
              <w:left w:w="0" w:type="dxa"/>
              <w:bottom w:w="0" w:type="dxa"/>
              <w:right w:w="15" w:type="dxa"/>
            </w:tcMar>
            <w:vAlign w:val="bottom"/>
            <w:hideMark/>
          </w:tcPr>
          <w:p w14:paraId="11AD7CB4" w14:textId="77777777" w:rsidR="00716E85" w:rsidRDefault="00716E85">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365%</w:t>
            </w:r>
          </w:p>
        </w:tc>
        <w:tc>
          <w:tcPr>
            <w:tcW w:w="50" w:type="pct"/>
            <w:shd w:val="clear" w:color="auto" w:fill="CFF0FC"/>
            <w:noWrap/>
            <w:tcMar>
              <w:top w:w="15" w:type="dxa"/>
              <w:left w:w="0" w:type="dxa"/>
              <w:bottom w:w="0" w:type="dxa"/>
              <w:right w:w="15" w:type="dxa"/>
            </w:tcMar>
            <w:vAlign w:val="bottom"/>
            <w:hideMark/>
          </w:tcPr>
          <w:p w14:paraId="4795B4AC"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8196F4D" w14:textId="77777777" w:rsidR="00716E85" w:rsidRDefault="00716E85">
      <w:pPr>
        <w:pStyle w:val="a3"/>
        <w:spacing w:before="0" w:beforeAutospacing="0" w:after="0" w:afterAutospacing="0"/>
        <w:jc w:val="both"/>
        <w:rPr>
          <w:b/>
          <w:bCs/>
          <w:sz w:val="12"/>
          <w:szCs w:val="12"/>
        </w:rPr>
      </w:pPr>
      <w:r>
        <w:rPr>
          <w:b/>
          <w:bCs/>
          <w:sz w:val="12"/>
          <w:szCs w:val="12"/>
        </w:rPr>
        <w:t> </w:t>
      </w:r>
    </w:p>
    <w:p w14:paraId="42CFBC95" w14:textId="77777777" w:rsidR="00716E85" w:rsidRDefault="00716E85">
      <w:pPr>
        <w:pStyle w:val="a3"/>
        <w:spacing w:before="0" w:beforeAutospacing="0" w:after="0" w:afterAutospacing="0"/>
        <w:jc w:val="both"/>
        <w:rPr>
          <w:rFonts w:ascii="Calibri" w:hAnsi="Calibri" w:cs="Calibri"/>
          <w:b/>
          <w:bCs/>
          <w:i/>
          <w:iCs/>
          <w:sz w:val="20"/>
          <w:szCs w:val="20"/>
        </w:rPr>
      </w:pPr>
      <w:r>
        <w:rPr>
          <w:rFonts w:ascii="Calibri" w:hAnsi="Calibri" w:cs="Calibri"/>
          <w:b/>
          <w:bCs/>
          <w:i/>
          <w:iCs/>
          <w:sz w:val="20"/>
          <w:szCs w:val="20"/>
        </w:rPr>
        <w:t>Long-Term Customer Financing:</w:t>
      </w:r>
      <w:r>
        <w:rPr>
          <w:rFonts w:ascii="Calibri" w:hAnsi="Calibri" w:cs="Calibri"/>
          <w:sz w:val="20"/>
          <w:szCs w:val="20"/>
        </w:rPr>
        <w:t>   We offer certain of our customers the option to acquire licenses, cloud services, hardware and other services offerings through separate long-term payment contracts. We generally sell these contracts that we have financed for our customers on a non-recourse basis to financial institutions within 90 days of the contracts’ dates of execution. We generally record the transfers of amounts due from customers to financial institutions as sales of financing receivables because we are considered to have surrendered control of these financing receivables. We financed $451 million and $673 million, respectively, or approximately 14% and 19%, respectively, of our cloud license and on-premise license revenues in the first nine months of fiscal 2019 and 2018, respectively.</w:t>
      </w:r>
    </w:p>
    <w:p w14:paraId="36827147"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49</w:t>
      </w:r>
    </w:p>
    <w:p w14:paraId="45407FC4" w14:textId="77777777" w:rsidR="00716E85" w:rsidRDefault="00716E85">
      <w:pPr>
        <w:rPr>
          <w:rFonts w:ascii="Times New Roman" w:eastAsia="Times New Roman" w:hAnsi="Times New Roman" w:cs="Times New Roman"/>
          <w:sz w:val="24"/>
          <w:szCs w:val="24"/>
        </w:rPr>
      </w:pPr>
      <w:r>
        <w:rPr>
          <w:rFonts w:eastAsia="Times New Roman"/>
        </w:rPr>
        <w:pict w14:anchorId="247B31FB">
          <v:rect id="_x0000_i1075" style="width:415.3pt;height:1.5pt" o:hralign="center" o:hrstd="t" o:hr="t" fillcolor="#a0a0a0" stroked="f"/>
        </w:pict>
      </w:r>
    </w:p>
    <w:p w14:paraId="56726D46"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ED705EB" w14:textId="77777777" w:rsidR="00716E85" w:rsidRDefault="00716E85">
      <w:pPr>
        <w:pStyle w:val="a3"/>
        <w:spacing w:before="0" w:beforeAutospacing="0" w:after="0" w:afterAutospacing="0"/>
        <w:rPr>
          <w:sz w:val="20"/>
          <w:szCs w:val="20"/>
        </w:rPr>
      </w:pPr>
      <w:r>
        <w:rPr>
          <w:sz w:val="20"/>
          <w:szCs w:val="20"/>
        </w:rPr>
        <w:t> </w:t>
      </w:r>
    </w:p>
    <w:p w14:paraId="1A0B135E" w14:textId="77777777" w:rsidR="00716E85" w:rsidRDefault="00716E85">
      <w:pPr>
        <w:pStyle w:val="a3"/>
        <w:spacing w:before="120" w:beforeAutospacing="0" w:after="0" w:afterAutospacing="0"/>
        <w:jc w:val="both"/>
        <w:rPr>
          <w:rFonts w:ascii="Calibri" w:hAnsi="Calibri" w:cs="Calibri"/>
          <w:b/>
          <w:bCs/>
          <w:i/>
          <w:iCs/>
          <w:sz w:val="20"/>
          <w:szCs w:val="20"/>
        </w:rPr>
      </w:pPr>
      <w:bookmarkStart w:id="57" w:name="_AEIOULastRenderedPageBreakAEIOU48"/>
      <w:bookmarkEnd w:id="57"/>
      <w:r>
        <w:rPr>
          <w:rFonts w:ascii="Calibri" w:hAnsi="Calibri" w:cs="Calibri"/>
          <w:b/>
          <w:bCs/>
          <w:i/>
          <w:iCs/>
          <w:sz w:val="20"/>
          <w:szCs w:val="20"/>
        </w:rPr>
        <w:t>Contractual Obligations:</w:t>
      </w:r>
      <w:r>
        <w:rPr>
          <w:rFonts w:ascii="Calibri" w:hAnsi="Calibri" w:cs="Calibri"/>
          <w:sz w:val="20"/>
          <w:szCs w:val="20"/>
        </w:rPr>
        <w:t>   During the first nine months of fiscal 2019, there were no significant changes to our estimates of future payments under our fixed contractual obligations and commitments as presented in Part II, Item 7. Management’s Discussion and Analysis of Financial Condition and Results of Operations included in our Annual Report on Form 10-K for our fiscal year ended May 31, 2018.</w:t>
      </w:r>
    </w:p>
    <w:p w14:paraId="35F2AE87"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believe that our current cash, cash equivalents and marketable securities and cash generated from operations will be sufficient to meet our working capital, capital expenditures and contractual obligation requirements. In addition, we believe that we could fund our future acquisitions, dividend payments and repurchases of common stock or debt with our internally available cash, cash equivalents and marketable securities, cash generated from operations, additional borrowings or from the issuance of additional securities.</w:t>
      </w:r>
    </w:p>
    <w:p w14:paraId="3A1E3F6B"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Off-Balance Sheet Arrangements:</w:t>
      </w:r>
      <w:r>
        <w:rPr>
          <w:rFonts w:ascii="Calibri" w:hAnsi="Calibri" w:cs="Calibri"/>
          <w:sz w:val="20"/>
          <w:szCs w:val="20"/>
        </w:rPr>
        <w:t>  We do not have any off-balance sheet arrangements that have or are reasonably likely to have a current or future effect on our financial condition, changes in financial condition, revenues or expenses, results of operations, liquidity, capital expenditures or capital resources that are material to investors.</w:t>
      </w:r>
    </w:p>
    <w:p w14:paraId="3573C590"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Restricted Stock-Based Awards and Stock Options</w:t>
      </w:r>
    </w:p>
    <w:p w14:paraId="356EE90C"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 and align their interests with the interests of existing stockholders.</w:t>
      </w:r>
    </w:p>
    <w:p w14:paraId="7AEF52F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We recognize that restricted stock-based awards and stock options dilute existing stockholders and have sought to control the number of stock-based awards granted while providing competitive compensation packages. Consistent with these dual goals, our cumulative potential dilution since June 1, 2015 has been a weighted-average annualized rate of 1.4% per year. The potential dilution percentage is calculated as the average annualized new restricted stock-based awards or stock options granted and assumed, net of restricted stock-based awards and stock options forfeited by employees leaving the company, divided by the weighted-average outstanding shares during the calculation period. This maximum potential dilution will only result if all restricted stock-based awards vest and all stock options are exercised. Of the outstanding stock options at February 28, 2019, which generally have a ten-year exercise period, substantially all have exercise prices lower than the market price of our common stock on such date. In recent years, our stock repurchase program has more than offset the dilutive effect of our stock-based compensation program. However, we may modify the levels of our stock repurchases in the future depending on a number of factors, including the amount of cash we have available for acquisitions, to pay dividends, to repay or repurchase indebtedness or for other purposes. At February 28, 2019, the maximum potential dilution from all outstanding restricted stock-based awards and unexercised stock options, regardless of when granted and regardless of whether vested or unvested, was 10.1%.</w:t>
      </w:r>
    </w:p>
    <w:p w14:paraId="4A4FA7C0"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Recent Accounting Pronouncements</w:t>
      </w:r>
    </w:p>
    <w:p w14:paraId="6CE343B1"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consolidated financial statements, if any, see Note 1 of Notes to Condensed Consolidated Financial Statements included elsewhere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716E85" w14:paraId="67F195A2" w14:textId="77777777">
        <w:tc>
          <w:tcPr>
            <w:tcW w:w="262" w:type="pct"/>
            <w:noWrap/>
            <w:hideMark/>
          </w:tcPr>
          <w:p w14:paraId="65A8E06C"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3.</w:t>
            </w:r>
          </w:p>
        </w:tc>
        <w:tc>
          <w:tcPr>
            <w:tcW w:w="0" w:type="auto"/>
            <w:hideMark/>
          </w:tcPr>
          <w:p w14:paraId="1AB68AA5" w14:textId="77777777" w:rsidR="00716E85" w:rsidRDefault="00716E85">
            <w:pPr>
              <w:pStyle w:val="a3"/>
              <w:spacing w:before="240" w:beforeAutospacing="0" w:after="0" w:afterAutospacing="0"/>
              <w:jc w:val="both"/>
              <w:rPr>
                <w:rFonts w:ascii="Calibri" w:hAnsi="Calibri" w:cs="Calibri"/>
                <w:b/>
                <w:bCs/>
                <w:sz w:val="20"/>
                <w:szCs w:val="20"/>
              </w:rPr>
            </w:pPr>
            <w:bookmarkStart w:id="58" w:name="ITEM_3_QUANTITATIVE_QUALITATIVE_DISCLOSU"/>
            <w:bookmarkEnd w:id="58"/>
            <w:r>
              <w:rPr>
                <w:rFonts w:ascii="Calibri" w:hAnsi="Calibri" w:cs="Calibri"/>
                <w:b/>
                <w:bCs/>
                <w:sz w:val="20"/>
                <w:szCs w:val="20"/>
              </w:rPr>
              <w:t>Quantitative and Qualitative Disclosures About Market Risk</w:t>
            </w:r>
          </w:p>
        </w:tc>
      </w:tr>
    </w:tbl>
    <w:p w14:paraId="3A0662CF"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There were no significant changes to our quantitative and qualitative disclosures about market risk during the first nine months of fiscal 2019. Please refer to Part II, Item 7A. Quantitative and Qualitative Disclosures about Market Risk included in our Annual Report on Form 10-K for our fiscal year ended May 31, 2018 for a more complete discussion of the market risks we encounter.</w:t>
      </w:r>
    </w:p>
    <w:p w14:paraId="22097BD0"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50</w:t>
      </w:r>
    </w:p>
    <w:p w14:paraId="60DFA185" w14:textId="77777777" w:rsidR="00716E85" w:rsidRDefault="00716E85">
      <w:pPr>
        <w:rPr>
          <w:rFonts w:ascii="Times New Roman" w:eastAsia="Times New Roman" w:hAnsi="Times New Roman" w:cs="Times New Roman"/>
          <w:sz w:val="24"/>
          <w:szCs w:val="24"/>
        </w:rPr>
      </w:pPr>
      <w:r>
        <w:rPr>
          <w:rFonts w:eastAsia="Times New Roman"/>
        </w:rPr>
        <w:pict w14:anchorId="25393317">
          <v:rect id="_x0000_i1076" style="width:415.3pt;height:1.5pt" o:hralign="center" o:hrstd="t" o:hr="t" fillcolor="#a0a0a0" stroked="f"/>
        </w:pict>
      </w:r>
    </w:p>
    <w:p w14:paraId="7E4445AD"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1C32004D"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716E85" w14:paraId="439029D4" w14:textId="77777777">
        <w:tc>
          <w:tcPr>
            <w:tcW w:w="262" w:type="pct"/>
            <w:noWrap/>
            <w:hideMark/>
          </w:tcPr>
          <w:p w14:paraId="45424697"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4.</w:t>
            </w:r>
          </w:p>
        </w:tc>
        <w:tc>
          <w:tcPr>
            <w:tcW w:w="0" w:type="auto"/>
            <w:hideMark/>
          </w:tcPr>
          <w:p w14:paraId="1A9AE6AD" w14:textId="77777777" w:rsidR="00716E85" w:rsidRDefault="00716E85">
            <w:pPr>
              <w:pStyle w:val="a3"/>
              <w:spacing w:before="240" w:beforeAutospacing="0" w:after="0" w:afterAutospacing="0"/>
              <w:jc w:val="both"/>
              <w:rPr>
                <w:rFonts w:ascii="Calibri" w:hAnsi="Calibri" w:cs="Calibri"/>
                <w:b/>
                <w:bCs/>
                <w:sz w:val="20"/>
                <w:szCs w:val="20"/>
              </w:rPr>
            </w:pPr>
            <w:bookmarkStart w:id="59" w:name="ITEM_4_CONTROLS_PROCEDURES"/>
            <w:bookmarkStart w:id="60" w:name="_AEIOULastRenderedPageBreakAEIOU49"/>
            <w:bookmarkEnd w:id="59"/>
            <w:bookmarkEnd w:id="60"/>
            <w:r>
              <w:rPr>
                <w:rFonts w:ascii="Calibri" w:hAnsi="Calibri" w:cs="Calibri"/>
                <w:b/>
                <w:bCs/>
                <w:sz w:val="20"/>
                <w:szCs w:val="20"/>
              </w:rPr>
              <w:t>Controls and Procedures</w:t>
            </w:r>
          </w:p>
        </w:tc>
      </w:tr>
    </w:tbl>
    <w:p w14:paraId="0CA17F96"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Evaluation of Disclosure Controls and Procedures:</w:t>
      </w:r>
      <w:r>
        <w:rPr>
          <w:rFonts w:ascii="Calibri" w:hAnsi="Calibri" w:cs="Calibri"/>
          <w:sz w:val="20"/>
          <w:szCs w:val="20"/>
        </w:rPr>
        <w:t> Based on our management’s evaluation (with the participation of our Principal Executive Officers, one of whom is our Principal Financial Officer), as of the end of the period covered by this Quarterly Report, our Principal Executive Officers have concluded that our “disclosure controls and procedures” (as defined in Rules 13a-15(e) and 15d-15(e) under the Securities Exchange Act of 1934, as amended (the Exchange Act)) were effective to provide reasonable assurance that the information required to be disclosed by us in our reports filed or submitted under the Exchange Act is recorded, processed, summarized, and reported within the time periods specified in the SEC’s rules and forms and is accumulated and communicated to our management (including our Principal Executive Officers) as appropriate to allow timely decisions regarding required disclosure.</w:t>
      </w:r>
    </w:p>
    <w:p w14:paraId="2AA8619B"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Changes in Internal Control over Financial Reporting:</w:t>
      </w:r>
      <w:r>
        <w:rPr>
          <w:rFonts w:ascii="Calibri" w:hAnsi="Calibri" w:cs="Calibri"/>
          <w:sz w:val="20"/>
          <w:szCs w:val="20"/>
        </w:rPr>
        <w:t> There were no changes in our internal control over financial reporting that occurred during our last fiscal quarter that have materially affected, or are reasonably likely to materially affect, our internal control over financial reporting. We implemented internal controls to ensure we adequately evaluated our contracts and properly assessed the impact of the new accounting standard related to revenue recognition on our financial statements to facilitate its adoption on June 1, 2018. There were no significant changes to our internal control over financial reporting due to the adoption of the new standard.</w:t>
      </w:r>
    </w:p>
    <w:p w14:paraId="18B52F0F" w14:textId="77777777" w:rsidR="00716E85" w:rsidRDefault="00716E85">
      <w:pPr>
        <w:pStyle w:val="a3"/>
        <w:spacing w:before="120" w:beforeAutospacing="0" w:after="0" w:afterAutospacing="0"/>
        <w:jc w:val="both"/>
        <w:rPr>
          <w:rFonts w:ascii="Calibri" w:hAnsi="Calibri" w:cs="Calibri"/>
          <w:b/>
          <w:bCs/>
          <w:i/>
          <w:iCs/>
          <w:sz w:val="20"/>
          <w:szCs w:val="20"/>
        </w:rPr>
      </w:pPr>
      <w:r>
        <w:rPr>
          <w:rFonts w:ascii="Calibri" w:hAnsi="Calibri" w:cs="Calibri"/>
          <w:b/>
          <w:bCs/>
          <w:i/>
          <w:iCs/>
          <w:sz w:val="20"/>
          <w:szCs w:val="20"/>
        </w:rPr>
        <w:t>Inherent Limitations on Effectiveness of Controls:</w:t>
      </w:r>
      <w:r>
        <w:rPr>
          <w:rFonts w:ascii="Calibri" w:hAnsi="Calibri" w:cs="Calibri"/>
          <w:sz w:val="20"/>
          <w:szCs w:val="20"/>
        </w:rPr>
        <w:t> Our management, including our Principal Executive Officers (one of whom is our Principal Financial Officer), believes that our disclosure controls and procedures and internal control over financial reporting are designed to provide reasonable assurance of achieving their objectives and are effective at the reasonable assurance level. However, our management does not expect that our disclosure controls and procedures or our internal control over financial reporting will prevent all errors and all fraud. A control system, no matter how well-conceived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have been detected. These inherent limitations include the realities that judgments in decision making can be faulty and that breakdowns can occur because of a simple error or mistake. Additionally, controls can be circumvented by the individual acts of some persons, by collusion of two or more people or by management override of the controls. The design of any system of controls also is based in part upon certain assumptions about the likelihood of future events and there can be no assurance that any design will succeed in achieving its stated goals under all potential future conditions; over time, controls may become inadequate because of changes in conditions, or the degree of compliance with policies or procedures may deteriorate. Because of the inherent limitations in a cost-effective control system, misstatements due to error or fraud may occur and not be detected.</w:t>
      </w:r>
    </w:p>
    <w:p w14:paraId="79DB0B51"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51</w:t>
      </w:r>
    </w:p>
    <w:p w14:paraId="634E1D75" w14:textId="77777777" w:rsidR="00716E85" w:rsidRDefault="00716E85">
      <w:pPr>
        <w:rPr>
          <w:rFonts w:ascii="Times New Roman" w:eastAsia="Times New Roman" w:hAnsi="Times New Roman" w:cs="Times New Roman"/>
          <w:sz w:val="24"/>
          <w:szCs w:val="24"/>
        </w:rPr>
      </w:pPr>
      <w:r>
        <w:rPr>
          <w:rFonts w:eastAsia="Times New Roman"/>
        </w:rPr>
        <w:pict w14:anchorId="1E69C915">
          <v:rect id="_x0000_i1077" style="width:415.3pt;height:1.5pt" o:hralign="center" o:hrstd="t" o:hr="t" fillcolor="#a0a0a0" stroked="f"/>
        </w:pict>
      </w:r>
    </w:p>
    <w:p w14:paraId="46CCF53C"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3FE8CF92" w14:textId="77777777" w:rsidR="00716E85" w:rsidRDefault="00716E85">
      <w:pPr>
        <w:pStyle w:val="a3"/>
        <w:spacing w:before="0" w:beforeAutospacing="0" w:after="0" w:afterAutospacing="0"/>
        <w:rPr>
          <w:sz w:val="20"/>
          <w:szCs w:val="20"/>
        </w:rPr>
      </w:pPr>
      <w:r>
        <w:rPr>
          <w:sz w:val="20"/>
          <w:szCs w:val="20"/>
        </w:rPr>
        <w:t> </w:t>
      </w:r>
    </w:p>
    <w:p w14:paraId="616FE689" w14:textId="77777777" w:rsidR="00716E85" w:rsidRDefault="00716E85">
      <w:pPr>
        <w:pStyle w:val="a3"/>
        <w:spacing w:before="0" w:beforeAutospacing="0" w:after="0" w:afterAutospacing="0"/>
        <w:jc w:val="both"/>
        <w:rPr>
          <w:rFonts w:ascii="Calibri" w:hAnsi="Calibri" w:cs="Calibri"/>
          <w:b/>
          <w:bCs/>
          <w:sz w:val="20"/>
          <w:szCs w:val="20"/>
        </w:rPr>
      </w:pPr>
      <w:bookmarkStart w:id="61" w:name="_AEIOULastRenderedPageBreakAEIOU50"/>
      <w:bookmarkStart w:id="62" w:name="PART_II_OR_INFORMATION"/>
      <w:bookmarkEnd w:id="61"/>
      <w:bookmarkEnd w:id="62"/>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716E85" w14:paraId="0870F521" w14:textId="77777777">
        <w:tc>
          <w:tcPr>
            <w:tcW w:w="262" w:type="pct"/>
            <w:noWrap/>
            <w:hideMark/>
          </w:tcPr>
          <w:p w14:paraId="1CEBEF16" w14:textId="77777777" w:rsidR="00716E85" w:rsidRDefault="00716E85">
            <w:pPr>
              <w:pStyle w:val="a3"/>
              <w:spacing w:before="120" w:beforeAutospacing="0" w:after="0" w:afterAutospacing="0"/>
              <w:jc w:val="both"/>
              <w:rPr>
                <w:rFonts w:ascii="Calibri" w:hAnsi="Calibri" w:cs="Calibri"/>
                <w:b/>
                <w:bCs/>
                <w:sz w:val="20"/>
                <w:szCs w:val="20"/>
              </w:rPr>
            </w:pPr>
            <w:r>
              <w:rPr>
                <w:rFonts w:ascii="Calibri" w:hAnsi="Calibri" w:cs="Calibri"/>
                <w:b/>
                <w:bCs/>
                <w:sz w:val="20"/>
                <w:szCs w:val="20"/>
              </w:rPr>
              <w:t>Item 1.</w:t>
            </w:r>
          </w:p>
        </w:tc>
        <w:tc>
          <w:tcPr>
            <w:tcW w:w="0" w:type="auto"/>
            <w:hideMark/>
          </w:tcPr>
          <w:p w14:paraId="223FE640" w14:textId="77777777" w:rsidR="00716E85" w:rsidRDefault="00716E85">
            <w:pPr>
              <w:pStyle w:val="a3"/>
              <w:spacing w:before="120" w:beforeAutospacing="0" w:after="0" w:afterAutospacing="0"/>
              <w:jc w:val="both"/>
              <w:rPr>
                <w:rFonts w:ascii="Calibri" w:hAnsi="Calibri" w:cs="Calibri"/>
                <w:b/>
                <w:bCs/>
                <w:sz w:val="20"/>
                <w:szCs w:val="20"/>
              </w:rPr>
            </w:pPr>
            <w:bookmarkStart w:id="63" w:name="ITEM_1_LEGAL_PROCEEDINGS"/>
            <w:r>
              <w:rPr>
                <w:rFonts w:ascii="Calibri" w:hAnsi="Calibri" w:cs="Calibri"/>
                <w:b/>
                <w:bCs/>
                <w:sz w:val="20"/>
                <w:szCs w:val="20"/>
              </w:rPr>
              <w:t>  </w:t>
            </w:r>
            <w:bookmarkEnd w:id="63"/>
            <w:r>
              <w:rPr>
                <w:rFonts w:ascii="Calibri" w:hAnsi="Calibri" w:cs="Calibri"/>
                <w:b/>
                <w:bCs/>
                <w:sz w:val="20"/>
                <w:szCs w:val="20"/>
              </w:rPr>
              <w:t>Legal Proceedings</w:t>
            </w:r>
          </w:p>
        </w:tc>
      </w:tr>
    </w:tbl>
    <w:p w14:paraId="7078983A"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The material set forth in Note 9 (pertaining to information regarding contingencies related to our income taxes) and Note 12 (pertaining to information regarding legal contingencies) of Notes to Condensed Consolidated Financial Statements in Part I, Item 1 of this Quarterly Report on Form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716E85" w14:paraId="2006ED67" w14:textId="77777777">
        <w:tc>
          <w:tcPr>
            <w:tcW w:w="262" w:type="pct"/>
            <w:noWrap/>
            <w:hideMark/>
          </w:tcPr>
          <w:p w14:paraId="5D74CD79"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1A.</w:t>
            </w:r>
          </w:p>
        </w:tc>
        <w:tc>
          <w:tcPr>
            <w:tcW w:w="0" w:type="auto"/>
            <w:hideMark/>
          </w:tcPr>
          <w:p w14:paraId="64FB8414" w14:textId="77777777" w:rsidR="00716E85" w:rsidRDefault="00716E85">
            <w:pPr>
              <w:pStyle w:val="a3"/>
              <w:spacing w:before="240" w:beforeAutospacing="0" w:after="0" w:afterAutospacing="0"/>
              <w:jc w:val="both"/>
              <w:rPr>
                <w:rFonts w:ascii="Calibri" w:hAnsi="Calibri" w:cs="Calibri"/>
                <w:b/>
                <w:bCs/>
                <w:sz w:val="20"/>
                <w:szCs w:val="20"/>
              </w:rPr>
            </w:pPr>
            <w:bookmarkStart w:id="64" w:name="ITEM_1A_RISK_FACTORS"/>
            <w:bookmarkEnd w:id="64"/>
            <w:r>
              <w:rPr>
                <w:rFonts w:ascii="Calibri" w:hAnsi="Calibri" w:cs="Calibri"/>
                <w:b/>
                <w:bCs/>
                <w:sz w:val="20"/>
                <w:szCs w:val="20"/>
              </w:rPr>
              <w:t>  Risk Factors</w:t>
            </w:r>
          </w:p>
        </w:tc>
      </w:tr>
    </w:tbl>
    <w:p w14:paraId="44CE3EB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In addition to the other information set forth in this Quarterly Report, you should carefully consider the factors discussed in Part I, Item 1A. “Risk Factors” in our Annual Report on Form 10-K for our fiscal year ended May 31, 2018. The risks discussed in our Annual Report on Form 10-K could materially affect our business, financial condition and future results. The risks described in our Annual Report on Form 10-K are not the only risks facing us. Additional risks and uncertainties not currently known to us or that we currently deem to be insignificant also may materially and adversely affect our business, financial condition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716E85" w14:paraId="641236C7" w14:textId="77777777">
        <w:tc>
          <w:tcPr>
            <w:tcW w:w="262" w:type="pct"/>
            <w:noWrap/>
            <w:hideMark/>
          </w:tcPr>
          <w:p w14:paraId="3749CCF3" w14:textId="77777777" w:rsidR="00716E85" w:rsidRDefault="00716E85">
            <w:pPr>
              <w:pStyle w:val="a3"/>
              <w:spacing w:before="240" w:beforeAutospacing="0" w:after="0" w:afterAutospacing="0"/>
              <w:jc w:val="both"/>
              <w:rPr>
                <w:rFonts w:ascii="Calibri" w:hAnsi="Calibri" w:cs="Calibri"/>
                <w:b/>
                <w:bCs/>
                <w:sz w:val="20"/>
                <w:szCs w:val="20"/>
              </w:rPr>
            </w:pPr>
            <w:r>
              <w:rPr>
                <w:rFonts w:ascii="Calibri" w:hAnsi="Calibri" w:cs="Calibri"/>
                <w:b/>
                <w:bCs/>
                <w:sz w:val="20"/>
                <w:szCs w:val="20"/>
              </w:rPr>
              <w:t>Item 2.</w:t>
            </w:r>
          </w:p>
        </w:tc>
        <w:tc>
          <w:tcPr>
            <w:tcW w:w="0" w:type="auto"/>
            <w:hideMark/>
          </w:tcPr>
          <w:p w14:paraId="25485C86" w14:textId="77777777" w:rsidR="00716E85" w:rsidRDefault="00716E85">
            <w:pPr>
              <w:pStyle w:val="a3"/>
              <w:spacing w:before="240" w:beforeAutospacing="0" w:after="0" w:afterAutospacing="0"/>
              <w:jc w:val="both"/>
              <w:rPr>
                <w:rFonts w:ascii="Calibri" w:hAnsi="Calibri" w:cs="Calibri"/>
                <w:b/>
                <w:bCs/>
                <w:sz w:val="20"/>
                <w:szCs w:val="20"/>
              </w:rPr>
            </w:pPr>
            <w:bookmarkStart w:id="65" w:name="ITEM_2_UNREGISTERED_SALES_EQUITY_SECURIT"/>
            <w:r>
              <w:rPr>
                <w:rFonts w:ascii="Calibri" w:hAnsi="Calibri" w:cs="Calibri"/>
                <w:b/>
                <w:bCs/>
                <w:sz w:val="20"/>
                <w:szCs w:val="20"/>
              </w:rPr>
              <w:t>  </w:t>
            </w:r>
            <w:bookmarkEnd w:id="65"/>
            <w:r>
              <w:rPr>
                <w:rFonts w:ascii="Calibri" w:hAnsi="Calibri" w:cs="Calibri"/>
                <w:b/>
                <w:bCs/>
                <w:sz w:val="20"/>
                <w:szCs w:val="20"/>
              </w:rPr>
              <w:t>Unregistered Sales of Equity Securities and Use of Proceeds</w:t>
            </w:r>
          </w:p>
        </w:tc>
      </w:tr>
    </w:tbl>
    <w:p w14:paraId="29CC4FAE"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Board of Directors has approved a program for us to repurchase shares of our common stock. On September 17, 2018 and February 15, 2019, we announced that our Board of Directors approved expansions of our stock repurchase program collectively totaling $24.0 billion. As of February 28, 2019, approximately $11.8 billion remained available for stock repurchases pursuant to our stock repurchase program.</w:t>
      </w:r>
    </w:p>
    <w:p w14:paraId="1E198275"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or pursuant to a Rule 10b5-1 plan. Our stock repurchase program may be accelerated, suspended, delayed or discontinued at any time.</w:t>
      </w:r>
    </w:p>
    <w:p w14:paraId="53AE777A" w14:textId="77777777" w:rsidR="00716E85" w:rsidRDefault="00716E85">
      <w:pPr>
        <w:pStyle w:val="a3"/>
        <w:spacing w:before="0" w:beforeAutospacing="0" w:after="0" w:afterAutospacing="0"/>
        <w:jc w:val="both"/>
        <w:rPr>
          <w:sz w:val="12"/>
          <w:szCs w:val="12"/>
        </w:rPr>
      </w:pPr>
      <w:r>
        <w:rPr>
          <w:sz w:val="12"/>
          <w:szCs w:val="12"/>
        </w:rPr>
        <w:t> </w:t>
      </w:r>
    </w:p>
    <w:p w14:paraId="672A6D44"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February 28, 2019 and the approximate dollar value of shares that may yet be purchased pursuant to our stock repurchase program:</w:t>
      </w:r>
    </w:p>
    <w:p w14:paraId="61AEC3C2" w14:textId="77777777" w:rsidR="00716E85" w:rsidRDefault="00716E85">
      <w:pPr>
        <w:pStyle w:val="a3"/>
        <w:spacing w:before="0" w:beforeAutospacing="0" w:after="0" w:afterAutospacing="0"/>
        <w:rPr>
          <w:sz w:val="16"/>
          <w:szCs w:val="16"/>
        </w:rPr>
      </w:pPr>
      <w:r>
        <w:rPr>
          <w:sz w:val="16"/>
          <w:szCs w:val="16"/>
        </w:rPr>
        <w:t> </w:t>
      </w:r>
    </w:p>
    <w:tbl>
      <w:tblPr>
        <w:tblW w:w="5000" w:type="pct"/>
        <w:jc w:val="center"/>
        <w:tblCellMar>
          <w:left w:w="0" w:type="dxa"/>
          <w:right w:w="0" w:type="dxa"/>
        </w:tblCellMar>
        <w:tblLook w:val="04A0" w:firstRow="1" w:lastRow="0" w:firstColumn="1" w:lastColumn="0" w:noHBand="0" w:noVBand="1"/>
      </w:tblPr>
      <w:tblGrid>
        <w:gridCol w:w="2821"/>
        <w:gridCol w:w="102"/>
        <w:gridCol w:w="75"/>
        <w:gridCol w:w="1036"/>
        <w:gridCol w:w="57"/>
        <w:gridCol w:w="102"/>
        <w:gridCol w:w="108"/>
        <w:gridCol w:w="1054"/>
        <w:gridCol w:w="58"/>
        <w:gridCol w:w="103"/>
        <w:gridCol w:w="92"/>
        <w:gridCol w:w="1186"/>
        <w:gridCol w:w="58"/>
        <w:gridCol w:w="103"/>
        <w:gridCol w:w="107"/>
        <w:gridCol w:w="1183"/>
        <w:gridCol w:w="61"/>
      </w:tblGrid>
      <w:tr w:rsidR="00716E85" w14:paraId="62386456" w14:textId="77777777">
        <w:trPr>
          <w:divId w:val="1940940741"/>
          <w:jc w:val="center"/>
        </w:trPr>
        <w:tc>
          <w:tcPr>
            <w:tcW w:w="1714" w:type="pct"/>
            <w:tcBorders>
              <w:bottom w:val="single" w:sz="6" w:space="0" w:color="000000"/>
            </w:tcBorders>
            <w:shd w:val="clear" w:color="auto" w:fill="FFFFFF"/>
            <w:tcMar>
              <w:top w:w="15" w:type="dxa"/>
              <w:left w:w="0" w:type="dxa"/>
              <w:bottom w:w="0" w:type="dxa"/>
              <w:right w:w="15" w:type="dxa"/>
            </w:tcMar>
            <w:vAlign w:val="bottom"/>
            <w:hideMark/>
          </w:tcPr>
          <w:p w14:paraId="0898E59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7" w:type="pct"/>
            <w:shd w:val="clear" w:color="auto" w:fill="FFFFFF"/>
            <w:tcMar>
              <w:top w:w="15" w:type="dxa"/>
              <w:left w:w="0" w:type="dxa"/>
              <w:bottom w:w="0" w:type="dxa"/>
              <w:right w:w="15" w:type="dxa"/>
            </w:tcMar>
            <w:vAlign w:val="bottom"/>
            <w:hideMark/>
          </w:tcPr>
          <w:p w14:paraId="6CAB70FE"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0" w:type="pct"/>
            <w:gridSpan w:val="2"/>
            <w:tcBorders>
              <w:bottom w:val="single" w:sz="6" w:space="0" w:color="000000"/>
            </w:tcBorders>
            <w:shd w:val="clear" w:color="auto" w:fill="FFFFFF"/>
            <w:tcMar>
              <w:top w:w="15" w:type="dxa"/>
              <w:left w:w="0" w:type="dxa"/>
              <w:bottom w:w="0" w:type="dxa"/>
              <w:right w:w="15" w:type="dxa"/>
            </w:tcMar>
            <w:vAlign w:val="bottom"/>
            <w:hideMark/>
          </w:tcPr>
          <w:p w14:paraId="081ABC8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04BE8100"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1B67923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left w:w="0" w:type="dxa"/>
              <w:bottom w:w="0" w:type="dxa"/>
              <w:right w:w="15" w:type="dxa"/>
            </w:tcMar>
            <w:vAlign w:val="bottom"/>
            <w:hideMark/>
          </w:tcPr>
          <w:p w14:paraId="6F608704"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left w:w="0" w:type="dxa"/>
              <w:bottom w:w="0" w:type="dxa"/>
              <w:right w:w="15" w:type="dxa"/>
            </w:tcMar>
            <w:vAlign w:val="bottom"/>
            <w:hideMark/>
          </w:tcPr>
          <w:p w14:paraId="65289225"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0" w:type="pct"/>
            <w:gridSpan w:val="2"/>
            <w:tcBorders>
              <w:bottom w:val="single" w:sz="6" w:space="0" w:color="000000"/>
            </w:tcBorders>
            <w:shd w:val="clear" w:color="auto" w:fill="FFFFFF"/>
            <w:tcMar>
              <w:top w:w="15" w:type="dxa"/>
              <w:left w:w="0" w:type="dxa"/>
              <w:bottom w:w="0" w:type="dxa"/>
              <w:right w:w="15" w:type="dxa"/>
            </w:tcMar>
            <w:vAlign w:val="bottom"/>
            <w:hideMark/>
          </w:tcPr>
          <w:p w14:paraId="607B92A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7FB5B1C8"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787250CC"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left w:w="0" w:type="dxa"/>
              <w:bottom w:w="0" w:type="dxa"/>
              <w:right w:w="15" w:type="dxa"/>
            </w:tcMar>
            <w:vAlign w:val="bottom"/>
            <w:hideMark/>
          </w:tcPr>
          <w:p w14:paraId="549287C9"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left w:w="0" w:type="dxa"/>
              <w:bottom w:w="0" w:type="dxa"/>
              <w:right w:w="15" w:type="dxa"/>
            </w:tcMar>
            <w:vAlign w:val="bottom"/>
            <w:hideMark/>
          </w:tcPr>
          <w:p w14:paraId="14701698"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0" w:type="pct"/>
            <w:gridSpan w:val="2"/>
            <w:tcBorders>
              <w:bottom w:val="single" w:sz="6" w:space="0" w:color="000000"/>
            </w:tcBorders>
            <w:shd w:val="clear" w:color="auto" w:fill="FFFFFF"/>
            <w:tcMar>
              <w:top w:w="15" w:type="dxa"/>
              <w:left w:w="0" w:type="dxa"/>
              <w:bottom w:w="0" w:type="dxa"/>
              <w:right w:w="15" w:type="dxa"/>
            </w:tcMar>
            <w:vAlign w:val="bottom"/>
            <w:hideMark/>
          </w:tcPr>
          <w:p w14:paraId="2B1F804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7288694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763B8196"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63E74BB4"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3B502E1B"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left w:w="0" w:type="dxa"/>
              <w:bottom w:w="0" w:type="dxa"/>
              <w:right w:w="15" w:type="dxa"/>
            </w:tcMar>
            <w:vAlign w:val="bottom"/>
            <w:hideMark/>
          </w:tcPr>
          <w:p w14:paraId="0E058300"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shd w:val="clear" w:color="auto" w:fill="FFFFFF"/>
            <w:tcMar>
              <w:top w:w="15" w:type="dxa"/>
              <w:left w:w="0" w:type="dxa"/>
              <w:bottom w:w="0" w:type="dxa"/>
              <w:right w:w="15" w:type="dxa"/>
            </w:tcMar>
            <w:vAlign w:val="bottom"/>
            <w:hideMark/>
          </w:tcPr>
          <w:p w14:paraId="047F4B87"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c>
          <w:tcPr>
            <w:tcW w:w="650" w:type="pct"/>
            <w:gridSpan w:val="2"/>
            <w:tcBorders>
              <w:bottom w:val="single" w:sz="6" w:space="0" w:color="000000"/>
            </w:tcBorders>
            <w:shd w:val="clear" w:color="auto" w:fill="FFFFFF"/>
            <w:tcMar>
              <w:top w:w="15" w:type="dxa"/>
              <w:left w:w="0" w:type="dxa"/>
              <w:bottom w:w="0" w:type="dxa"/>
              <w:right w:w="15" w:type="dxa"/>
            </w:tcMar>
            <w:vAlign w:val="bottom"/>
            <w:hideMark/>
          </w:tcPr>
          <w:p w14:paraId="22813A2F"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52A1E322"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279362D3"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5C42F977"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106928A5" w14:textId="77777777" w:rsidR="00716E85" w:rsidRDefault="00716E85">
            <w:pPr>
              <w:pStyle w:val="a3"/>
              <w:spacing w:before="0" w:beforeAutospacing="0" w:after="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left w:w="0" w:type="dxa"/>
              <w:bottom w:w="0" w:type="dxa"/>
              <w:right w:w="15" w:type="dxa"/>
            </w:tcMar>
            <w:vAlign w:val="bottom"/>
            <w:hideMark/>
          </w:tcPr>
          <w:p w14:paraId="2D48F053" w14:textId="77777777" w:rsidR="00716E85" w:rsidRDefault="00716E85">
            <w:pPr>
              <w:pStyle w:val="a3"/>
              <w:spacing w:before="0" w:beforeAutospacing="0" w:after="0" w:afterAutospacing="0"/>
              <w:rPr>
                <w:rFonts w:ascii="Calibri" w:hAnsi="Calibri" w:cs="Calibri"/>
                <w:b/>
                <w:bCs/>
                <w:color w:val="000000"/>
                <w:sz w:val="15"/>
                <w:szCs w:val="15"/>
              </w:rPr>
            </w:pPr>
            <w:r>
              <w:rPr>
                <w:rFonts w:ascii="Calibri" w:hAnsi="Calibri" w:cs="Calibri"/>
                <w:b/>
                <w:bCs/>
                <w:color w:val="000000"/>
                <w:sz w:val="15"/>
                <w:szCs w:val="15"/>
              </w:rPr>
              <w:t> </w:t>
            </w:r>
          </w:p>
        </w:tc>
      </w:tr>
      <w:tr w:rsidR="00716E85" w14:paraId="422A71E3" w14:textId="77777777">
        <w:trPr>
          <w:divId w:val="1940940741"/>
          <w:jc w:val="center"/>
        </w:trPr>
        <w:tc>
          <w:tcPr>
            <w:tcW w:w="1714" w:type="pct"/>
            <w:tcBorders>
              <w:top w:val="single" w:sz="6" w:space="0" w:color="000000"/>
            </w:tcBorders>
            <w:shd w:val="clear" w:color="auto" w:fill="CFF0FC"/>
            <w:tcMar>
              <w:top w:w="15" w:type="dxa"/>
              <w:left w:w="0" w:type="dxa"/>
              <w:bottom w:w="0" w:type="dxa"/>
              <w:right w:w="15" w:type="dxa"/>
            </w:tcMar>
            <w:hideMark/>
          </w:tcPr>
          <w:p w14:paraId="286E1C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December 1, 2018—December 31, 2018</w:t>
            </w:r>
          </w:p>
        </w:tc>
        <w:tc>
          <w:tcPr>
            <w:tcW w:w="77" w:type="pct"/>
            <w:shd w:val="clear" w:color="auto" w:fill="CFF0FC"/>
            <w:tcMar>
              <w:top w:w="15" w:type="dxa"/>
              <w:left w:w="0" w:type="dxa"/>
              <w:bottom w:w="0" w:type="dxa"/>
              <w:right w:w="15" w:type="dxa"/>
            </w:tcMar>
            <w:vAlign w:val="bottom"/>
            <w:hideMark/>
          </w:tcPr>
          <w:p w14:paraId="234150E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BC982F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14:paraId="1CB1F76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79.2</w:t>
            </w:r>
          </w:p>
        </w:tc>
        <w:tc>
          <w:tcPr>
            <w:tcW w:w="50" w:type="pct"/>
            <w:shd w:val="clear" w:color="auto" w:fill="CFF0FC"/>
            <w:noWrap/>
            <w:tcMar>
              <w:top w:w="15" w:type="dxa"/>
              <w:left w:w="0" w:type="dxa"/>
              <w:bottom w:w="0" w:type="dxa"/>
              <w:right w:w="15" w:type="dxa"/>
            </w:tcMar>
            <w:vAlign w:val="bottom"/>
            <w:hideMark/>
          </w:tcPr>
          <w:p w14:paraId="726DE53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7CFE656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855A7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14:paraId="04EC61A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46.63</w:t>
            </w:r>
          </w:p>
        </w:tc>
        <w:tc>
          <w:tcPr>
            <w:tcW w:w="50" w:type="pct"/>
            <w:shd w:val="clear" w:color="auto" w:fill="CFF0FC"/>
            <w:noWrap/>
            <w:tcMar>
              <w:top w:w="15" w:type="dxa"/>
              <w:left w:w="0" w:type="dxa"/>
              <w:bottom w:w="0" w:type="dxa"/>
              <w:right w:w="15" w:type="dxa"/>
            </w:tcMar>
            <w:vAlign w:val="bottom"/>
            <w:hideMark/>
          </w:tcPr>
          <w:p w14:paraId="7B6BC02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6FB85D21"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D9B2A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14:paraId="50A7674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79.2</w:t>
            </w:r>
          </w:p>
        </w:tc>
        <w:tc>
          <w:tcPr>
            <w:tcW w:w="50" w:type="pct"/>
            <w:shd w:val="clear" w:color="auto" w:fill="CFF0FC"/>
            <w:noWrap/>
            <w:tcMar>
              <w:top w:w="15" w:type="dxa"/>
              <w:left w:w="0" w:type="dxa"/>
              <w:bottom w:w="0" w:type="dxa"/>
              <w:right w:w="15" w:type="dxa"/>
            </w:tcMar>
            <w:vAlign w:val="bottom"/>
            <w:hideMark/>
          </w:tcPr>
          <w:p w14:paraId="41326B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4659DE5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B340D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14:paraId="77CB496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6,155.6</w:t>
            </w:r>
          </w:p>
        </w:tc>
        <w:tc>
          <w:tcPr>
            <w:tcW w:w="50" w:type="pct"/>
            <w:shd w:val="clear" w:color="auto" w:fill="CFF0FC"/>
            <w:noWrap/>
            <w:tcMar>
              <w:top w:w="15" w:type="dxa"/>
              <w:left w:w="0" w:type="dxa"/>
              <w:bottom w:w="0" w:type="dxa"/>
              <w:right w:w="15" w:type="dxa"/>
            </w:tcMar>
            <w:vAlign w:val="bottom"/>
            <w:hideMark/>
          </w:tcPr>
          <w:p w14:paraId="4CCBD154"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45CC6E18" w14:textId="77777777">
        <w:trPr>
          <w:divId w:val="1940940741"/>
          <w:jc w:val="center"/>
        </w:trPr>
        <w:tc>
          <w:tcPr>
            <w:tcW w:w="1714" w:type="pct"/>
            <w:shd w:val="clear" w:color="auto" w:fill="FFFFFF"/>
            <w:tcMar>
              <w:top w:w="15" w:type="dxa"/>
              <w:left w:w="0" w:type="dxa"/>
              <w:bottom w:w="0" w:type="dxa"/>
              <w:right w:w="15" w:type="dxa"/>
            </w:tcMar>
            <w:hideMark/>
          </w:tcPr>
          <w:p w14:paraId="715FDA4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January 1, 2019—January 31, 2019</w:t>
            </w:r>
          </w:p>
        </w:tc>
        <w:tc>
          <w:tcPr>
            <w:tcW w:w="77" w:type="pct"/>
            <w:shd w:val="clear" w:color="auto" w:fill="FFFFFF"/>
            <w:tcMar>
              <w:top w:w="15" w:type="dxa"/>
              <w:left w:w="0" w:type="dxa"/>
              <w:bottom w:w="0" w:type="dxa"/>
              <w:right w:w="15" w:type="dxa"/>
            </w:tcMar>
            <w:vAlign w:val="bottom"/>
            <w:hideMark/>
          </w:tcPr>
          <w:p w14:paraId="05465E5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9EFE0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shd w:val="clear" w:color="auto" w:fill="FFFFFF"/>
            <w:noWrap/>
            <w:tcMar>
              <w:top w:w="15" w:type="dxa"/>
              <w:left w:w="0" w:type="dxa"/>
              <w:bottom w:w="0" w:type="dxa"/>
              <w:right w:w="15" w:type="dxa"/>
            </w:tcMar>
            <w:vAlign w:val="bottom"/>
            <w:hideMark/>
          </w:tcPr>
          <w:p w14:paraId="298385F8"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74.3</w:t>
            </w:r>
          </w:p>
        </w:tc>
        <w:tc>
          <w:tcPr>
            <w:tcW w:w="50" w:type="pct"/>
            <w:shd w:val="clear" w:color="auto" w:fill="FFFFFF"/>
            <w:noWrap/>
            <w:tcMar>
              <w:top w:w="15" w:type="dxa"/>
              <w:left w:w="0" w:type="dxa"/>
              <w:bottom w:w="0" w:type="dxa"/>
              <w:right w:w="15" w:type="dxa"/>
            </w:tcMar>
            <w:vAlign w:val="bottom"/>
            <w:hideMark/>
          </w:tcPr>
          <w:p w14:paraId="35B73CA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519ED06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4ADAAF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shd w:val="clear" w:color="auto" w:fill="FFFFFF"/>
            <w:noWrap/>
            <w:tcMar>
              <w:top w:w="15" w:type="dxa"/>
              <w:left w:w="0" w:type="dxa"/>
              <w:bottom w:w="0" w:type="dxa"/>
              <w:right w:w="15" w:type="dxa"/>
            </w:tcMar>
            <w:vAlign w:val="bottom"/>
            <w:hideMark/>
          </w:tcPr>
          <w:p w14:paraId="25841A9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48.09</w:t>
            </w:r>
          </w:p>
        </w:tc>
        <w:tc>
          <w:tcPr>
            <w:tcW w:w="50" w:type="pct"/>
            <w:shd w:val="clear" w:color="auto" w:fill="FFFFFF"/>
            <w:noWrap/>
            <w:tcMar>
              <w:top w:w="15" w:type="dxa"/>
              <w:left w:w="0" w:type="dxa"/>
              <w:bottom w:w="0" w:type="dxa"/>
              <w:right w:w="15" w:type="dxa"/>
            </w:tcMar>
            <w:vAlign w:val="bottom"/>
            <w:hideMark/>
          </w:tcPr>
          <w:p w14:paraId="57FC3B4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027A6C95"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DA4518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shd w:val="clear" w:color="auto" w:fill="FFFFFF"/>
            <w:noWrap/>
            <w:tcMar>
              <w:top w:w="15" w:type="dxa"/>
              <w:left w:w="0" w:type="dxa"/>
              <w:bottom w:w="0" w:type="dxa"/>
              <w:right w:w="15" w:type="dxa"/>
            </w:tcMar>
            <w:vAlign w:val="bottom"/>
            <w:hideMark/>
          </w:tcPr>
          <w:p w14:paraId="13D90AEE"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74.3</w:t>
            </w:r>
          </w:p>
        </w:tc>
        <w:tc>
          <w:tcPr>
            <w:tcW w:w="50" w:type="pct"/>
            <w:shd w:val="clear" w:color="auto" w:fill="FFFFFF"/>
            <w:noWrap/>
            <w:tcMar>
              <w:top w:w="15" w:type="dxa"/>
              <w:left w:w="0" w:type="dxa"/>
              <w:bottom w:w="0" w:type="dxa"/>
              <w:right w:w="15" w:type="dxa"/>
            </w:tcMar>
            <w:vAlign w:val="bottom"/>
            <w:hideMark/>
          </w:tcPr>
          <w:p w14:paraId="0885173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74D963A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2D0544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shd w:val="clear" w:color="auto" w:fill="FFFFFF"/>
            <w:noWrap/>
            <w:tcMar>
              <w:top w:w="15" w:type="dxa"/>
              <w:left w:w="0" w:type="dxa"/>
              <w:bottom w:w="0" w:type="dxa"/>
              <w:right w:w="15" w:type="dxa"/>
            </w:tcMar>
            <w:vAlign w:val="bottom"/>
            <w:hideMark/>
          </w:tcPr>
          <w:p w14:paraId="1D3F2A5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2,582.3</w:t>
            </w:r>
          </w:p>
        </w:tc>
        <w:tc>
          <w:tcPr>
            <w:tcW w:w="50" w:type="pct"/>
            <w:shd w:val="clear" w:color="auto" w:fill="FFFFFF"/>
            <w:noWrap/>
            <w:tcMar>
              <w:top w:w="15" w:type="dxa"/>
              <w:left w:w="0" w:type="dxa"/>
              <w:bottom w:w="0" w:type="dxa"/>
              <w:right w:w="15" w:type="dxa"/>
            </w:tcMar>
            <w:vAlign w:val="bottom"/>
            <w:hideMark/>
          </w:tcPr>
          <w:p w14:paraId="1B487565"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2DBF4E8B" w14:textId="77777777">
        <w:trPr>
          <w:divId w:val="1940940741"/>
          <w:jc w:val="center"/>
        </w:trPr>
        <w:tc>
          <w:tcPr>
            <w:tcW w:w="1714" w:type="pct"/>
            <w:shd w:val="clear" w:color="auto" w:fill="CFF0FC"/>
            <w:tcMar>
              <w:top w:w="15" w:type="dxa"/>
              <w:left w:w="0" w:type="dxa"/>
              <w:bottom w:w="0" w:type="dxa"/>
              <w:right w:w="15" w:type="dxa"/>
            </w:tcMar>
            <w:hideMark/>
          </w:tcPr>
          <w:p w14:paraId="4EA876B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February 1, 2019—February 28, 2019</w:t>
            </w:r>
          </w:p>
        </w:tc>
        <w:tc>
          <w:tcPr>
            <w:tcW w:w="77" w:type="pct"/>
            <w:shd w:val="clear" w:color="auto" w:fill="CFF0FC"/>
            <w:tcMar>
              <w:top w:w="15" w:type="dxa"/>
              <w:left w:w="0" w:type="dxa"/>
              <w:bottom w:w="0" w:type="dxa"/>
              <w:right w:w="15" w:type="dxa"/>
            </w:tcMar>
            <w:vAlign w:val="bottom"/>
            <w:hideMark/>
          </w:tcPr>
          <w:p w14:paraId="2FDF4F2E"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ED657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tcBorders>
              <w:bottom w:val="single" w:sz="6" w:space="0" w:color="000000"/>
            </w:tcBorders>
            <w:shd w:val="clear" w:color="auto" w:fill="CFF0FC"/>
            <w:noWrap/>
            <w:tcMar>
              <w:top w:w="15" w:type="dxa"/>
              <w:left w:w="0" w:type="dxa"/>
              <w:bottom w:w="0" w:type="dxa"/>
              <w:right w:w="15" w:type="dxa"/>
            </w:tcMar>
            <w:vAlign w:val="bottom"/>
            <w:hideMark/>
          </w:tcPr>
          <w:p w14:paraId="425B34B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53.0</w:t>
            </w:r>
          </w:p>
        </w:tc>
        <w:tc>
          <w:tcPr>
            <w:tcW w:w="50" w:type="pct"/>
            <w:shd w:val="clear" w:color="auto" w:fill="CFF0FC"/>
            <w:noWrap/>
            <w:tcMar>
              <w:top w:w="15" w:type="dxa"/>
              <w:left w:w="0" w:type="dxa"/>
              <w:bottom w:w="0" w:type="dxa"/>
              <w:right w:w="15" w:type="dxa"/>
            </w:tcMar>
            <w:vAlign w:val="bottom"/>
            <w:hideMark/>
          </w:tcPr>
          <w:p w14:paraId="4002352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2FBF2AB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3D64B67"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shd w:val="clear" w:color="auto" w:fill="CFF0FC"/>
            <w:noWrap/>
            <w:tcMar>
              <w:top w:w="15" w:type="dxa"/>
              <w:left w:w="0" w:type="dxa"/>
              <w:bottom w:w="0" w:type="dxa"/>
              <w:right w:w="15" w:type="dxa"/>
            </w:tcMar>
            <w:vAlign w:val="bottom"/>
            <w:hideMark/>
          </w:tcPr>
          <w:p w14:paraId="5F178C9A"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51.61</w:t>
            </w:r>
          </w:p>
        </w:tc>
        <w:tc>
          <w:tcPr>
            <w:tcW w:w="50" w:type="pct"/>
            <w:shd w:val="clear" w:color="auto" w:fill="CFF0FC"/>
            <w:noWrap/>
            <w:tcMar>
              <w:top w:w="15" w:type="dxa"/>
              <w:left w:w="0" w:type="dxa"/>
              <w:bottom w:w="0" w:type="dxa"/>
              <w:right w:w="15" w:type="dxa"/>
            </w:tcMar>
            <w:vAlign w:val="bottom"/>
            <w:hideMark/>
          </w:tcPr>
          <w:p w14:paraId="2579D62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4E19405A"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C6A0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tcBorders>
              <w:bottom w:val="single" w:sz="6" w:space="0" w:color="000000"/>
            </w:tcBorders>
            <w:shd w:val="clear" w:color="auto" w:fill="CFF0FC"/>
            <w:noWrap/>
            <w:tcMar>
              <w:top w:w="15" w:type="dxa"/>
              <w:left w:w="0" w:type="dxa"/>
              <w:bottom w:w="0" w:type="dxa"/>
              <w:right w:w="15" w:type="dxa"/>
            </w:tcMar>
            <w:vAlign w:val="bottom"/>
            <w:hideMark/>
          </w:tcPr>
          <w:p w14:paraId="140DE5FC"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53.0</w:t>
            </w:r>
          </w:p>
        </w:tc>
        <w:tc>
          <w:tcPr>
            <w:tcW w:w="50" w:type="pct"/>
            <w:shd w:val="clear" w:color="auto" w:fill="CFF0FC"/>
            <w:noWrap/>
            <w:tcMar>
              <w:top w:w="15" w:type="dxa"/>
              <w:left w:w="0" w:type="dxa"/>
              <w:bottom w:w="0" w:type="dxa"/>
              <w:right w:w="15" w:type="dxa"/>
            </w:tcMar>
            <w:vAlign w:val="bottom"/>
            <w:hideMark/>
          </w:tcPr>
          <w:p w14:paraId="743CBAAD"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left w:w="0" w:type="dxa"/>
              <w:bottom w:w="0" w:type="dxa"/>
              <w:right w:w="15" w:type="dxa"/>
            </w:tcMar>
            <w:vAlign w:val="bottom"/>
            <w:hideMark/>
          </w:tcPr>
          <w:p w14:paraId="58D27FA6"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E77E670"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shd w:val="clear" w:color="auto" w:fill="CFF0FC"/>
            <w:noWrap/>
            <w:tcMar>
              <w:top w:w="15" w:type="dxa"/>
              <w:left w:w="0" w:type="dxa"/>
              <w:bottom w:w="0" w:type="dxa"/>
              <w:right w:w="15" w:type="dxa"/>
            </w:tcMar>
            <w:vAlign w:val="bottom"/>
            <w:hideMark/>
          </w:tcPr>
          <w:p w14:paraId="78D01613"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11,848.4</w:t>
            </w:r>
          </w:p>
        </w:tc>
        <w:tc>
          <w:tcPr>
            <w:tcW w:w="50" w:type="pct"/>
            <w:shd w:val="clear" w:color="auto" w:fill="CFF0FC"/>
            <w:noWrap/>
            <w:tcMar>
              <w:top w:w="15" w:type="dxa"/>
              <w:left w:w="0" w:type="dxa"/>
              <w:bottom w:w="0" w:type="dxa"/>
              <w:right w:w="15" w:type="dxa"/>
            </w:tcMar>
            <w:vAlign w:val="bottom"/>
            <w:hideMark/>
          </w:tcPr>
          <w:p w14:paraId="61EBCA5D" w14:textId="77777777" w:rsidR="00716E85" w:rsidRDefault="00716E85">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r>
      <w:tr w:rsidR="00716E85" w14:paraId="07C57100" w14:textId="77777777">
        <w:trPr>
          <w:divId w:val="1940940741"/>
          <w:jc w:val="center"/>
        </w:trPr>
        <w:tc>
          <w:tcPr>
            <w:tcW w:w="1714" w:type="pct"/>
            <w:shd w:val="clear" w:color="auto" w:fill="FFFFFF"/>
            <w:tcMar>
              <w:top w:w="15" w:type="dxa"/>
              <w:left w:w="0" w:type="dxa"/>
              <w:bottom w:w="0" w:type="dxa"/>
              <w:right w:w="15" w:type="dxa"/>
            </w:tcMar>
            <w:hideMark/>
          </w:tcPr>
          <w:p w14:paraId="1F34EE89" w14:textId="77777777" w:rsidR="00716E85" w:rsidRDefault="00716E85">
            <w:pPr>
              <w:pStyle w:val="a3"/>
              <w:spacing w:before="0" w:beforeAutospacing="0" w:after="0" w:afterAutospacing="0"/>
              <w:ind w:left="410"/>
              <w:rPr>
                <w:rFonts w:ascii="Calibri" w:hAnsi="Calibri" w:cs="Calibri"/>
                <w:color w:val="000000"/>
                <w:sz w:val="18"/>
                <w:szCs w:val="18"/>
              </w:rPr>
            </w:pPr>
            <w:r>
              <w:rPr>
                <w:rFonts w:ascii="Calibri" w:hAnsi="Calibri" w:cs="Calibri"/>
                <w:color w:val="000000"/>
                <w:sz w:val="18"/>
                <w:szCs w:val="18"/>
              </w:rPr>
              <w:t>Total</w:t>
            </w:r>
          </w:p>
        </w:tc>
        <w:tc>
          <w:tcPr>
            <w:tcW w:w="77" w:type="pct"/>
            <w:shd w:val="clear" w:color="auto" w:fill="FFFFFF"/>
            <w:tcMar>
              <w:top w:w="15" w:type="dxa"/>
              <w:left w:w="0" w:type="dxa"/>
              <w:bottom w:w="0" w:type="dxa"/>
              <w:right w:w="15" w:type="dxa"/>
            </w:tcMar>
            <w:vAlign w:val="bottom"/>
            <w:hideMark/>
          </w:tcPr>
          <w:p w14:paraId="4CAFAE8C"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C8143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BC5647"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206.5</w:t>
            </w:r>
          </w:p>
        </w:tc>
        <w:tc>
          <w:tcPr>
            <w:tcW w:w="50" w:type="pct"/>
            <w:shd w:val="clear" w:color="auto" w:fill="FFFFFF"/>
            <w:noWrap/>
            <w:tcMar>
              <w:top w:w="15" w:type="dxa"/>
              <w:left w:w="0" w:type="dxa"/>
              <w:bottom w:w="0" w:type="dxa"/>
              <w:right w:w="15" w:type="dxa"/>
            </w:tcMar>
            <w:vAlign w:val="bottom"/>
            <w:hideMark/>
          </w:tcPr>
          <w:p w14:paraId="2C46A288"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2CD612D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B9DE7B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w:t>
            </w:r>
          </w:p>
        </w:tc>
        <w:tc>
          <w:tcPr>
            <w:tcW w:w="650" w:type="pct"/>
            <w:shd w:val="clear" w:color="auto" w:fill="FFFFFF"/>
            <w:noWrap/>
            <w:tcMar>
              <w:top w:w="15" w:type="dxa"/>
              <w:left w:w="0" w:type="dxa"/>
              <w:bottom w:w="0" w:type="dxa"/>
              <w:right w:w="15" w:type="dxa"/>
            </w:tcMar>
            <w:vAlign w:val="bottom"/>
            <w:hideMark/>
          </w:tcPr>
          <w:p w14:paraId="63CE81D6"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48.43</w:t>
            </w:r>
          </w:p>
        </w:tc>
        <w:tc>
          <w:tcPr>
            <w:tcW w:w="50" w:type="pct"/>
            <w:shd w:val="clear" w:color="auto" w:fill="FFFFFF"/>
            <w:noWrap/>
            <w:tcMar>
              <w:top w:w="15" w:type="dxa"/>
              <w:left w:w="0" w:type="dxa"/>
              <w:bottom w:w="0" w:type="dxa"/>
              <w:right w:w="15" w:type="dxa"/>
            </w:tcMar>
            <w:vAlign w:val="bottom"/>
            <w:hideMark/>
          </w:tcPr>
          <w:p w14:paraId="0457D759"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38ED145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318752"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214674" w14:textId="77777777" w:rsidR="00716E85" w:rsidRDefault="00716E85">
            <w:pPr>
              <w:pStyle w:val="a3"/>
              <w:spacing w:before="0" w:beforeAutospacing="0" w:after="0" w:afterAutospacing="0"/>
              <w:jc w:val="right"/>
              <w:rPr>
                <w:rFonts w:ascii="Calibri" w:hAnsi="Calibri" w:cs="Calibri"/>
                <w:color w:val="000000"/>
                <w:sz w:val="18"/>
                <w:szCs w:val="18"/>
              </w:rPr>
            </w:pPr>
            <w:r>
              <w:rPr>
                <w:rFonts w:ascii="Calibri" w:hAnsi="Calibri" w:cs="Calibri"/>
                <w:color w:val="000000"/>
                <w:sz w:val="18"/>
                <w:szCs w:val="18"/>
              </w:rPr>
              <w:t>206.5</w:t>
            </w:r>
          </w:p>
        </w:tc>
        <w:tc>
          <w:tcPr>
            <w:tcW w:w="50" w:type="pct"/>
            <w:shd w:val="clear" w:color="auto" w:fill="FFFFFF"/>
            <w:noWrap/>
            <w:tcMar>
              <w:top w:w="15" w:type="dxa"/>
              <w:left w:w="0" w:type="dxa"/>
              <w:bottom w:w="0" w:type="dxa"/>
              <w:right w:w="15" w:type="dxa"/>
            </w:tcMar>
            <w:vAlign w:val="bottom"/>
            <w:hideMark/>
          </w:tcPr>
          <w:p w14:paraId="6C98BF1B"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left w:w="0" w:type="dxa"/>
              <w:bottom w:w="0" w:type="dxa"/>
              <w:right w:w="15" w:type="dxa"/>
            </w:tcMar>
            <w:vAlign w:val="bottom"/>
            <w:hideMark/>
          </w:tcPr>
          <w:p w14:paraId="3AE86F63"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205F71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650" w:type="pct"/>
            <w:shd w:val="clear" w:color="auto" w:fill="FFFFFF"/>
            <w:noWrap/>
            <w:tcMar>
              <w:top w:w="15" w:type="dxa"/>
              <w:left w:w="0" w:type="dxa"/>
              <w:bottom w:w="0" w:type="dxa"/>
              <w:right w:w="15" w:type="dxa"/>
            </w:tcMar>
            <w:vAlign w:val="bottom"/>
            <w:hideMark/>
          </w:tcPr>
          <w:p w14:paraId="39E5FEAF" w14:textId="77777777" w:rsidR="00716E85" w:rsidRDefault="00716E85">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7684FAD" w14:textId="77777777" w:rsidR="00716E85" w:rsidRDefault="00716E85">
            <w:pPr>
              <w:pStyle w:val="a3"/>
              <w:spacing w:before="0" w:beforeAutospacing="0" w:after="0" w:afterAutospacing="0"/>
              <w:rPr>
                <w:rFonts w:ascii="Calibri" w:hAnsi="Calibri" w:cs="Calibri"/>
                <w:color w:val="000000"/>
                <w:sz w:val="2"/>
                <w:szCs w:val="2"/>
              </w:rPr>
            </w:pPr>
            <w:r>
              <w:rPr>
                <w:rFonts w:ascii="Calibri" w:hAnsi="Calibri" w:cs="Calibri"/>
                <w:color w:val="000000"/>
                <w:sz w:val="2"/>
                <w:szCs w:val="2"/>
              </w:rPr>
              <w:t> </w:t>
            </w:r>
          </w:p>
        </w:tc>
      </w:tr>
    </w:tbl>
    <w:p w14:paraId="3C8CB59D" w14:textId="77777777" w:rsidR="00716E85" w:rsidRDefault="00716E85">
      <w:pPr>
        <w:pStyle w:val="a3"/>
        <w:spacing w:before="0" w:beforeAutospacing="0" w:after="0" w:afterAutospacing="0"/>
        <w:rPr>
          <w:sz w:val="12"/>
          <w:szCs w:val="12"/>
        </w:rPr>
      </w:pPr>
      <w:r>
        <w:rPr>
          <w:sz w:val="12"/>
          <w:szCs w:val="12"/>
        </w:rPr>
        <w:t> </w:t>
      </w:r>
    </w:p>
    <w:p w14:paraId="7D200CBE"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52</w:t>
      </w:r>
    </w:p>
    <w:p w14:paraId="5195C484" w14:textId="77777777" w:rsidR="00716E85" w:rsidRDefault="00716E85">
      <w:pPr>
        <w:rPr>
          <w:rFonts w:ascii="Times New Roman" w:eastAsia="Times New Roman" w:hAnsi="Times New Roman" w:cs="Times New Roman"/>
          <w:sz w:val="24"/>
          <w:szCs w:val="24"/>
        </w:rPr>
      </w:pPr>
      <w:r>
        <w:rPr>
          <w:rFonts w:eastAsia="Times New Roman"/>
        </w:rPr>
        <w:pict w14:anchorId="5B53E84B">
          <v:rect id="_x0000_i1078" style="width:415.3pt;height:1.5pt" o:hralign="center" o:hrstd="t" o:hr="t" fillcolor="#a0a0a0" stroked="f"/>
        </w:pict>
      </w:r>
    </w:p>
    <w:p w14:paraId="79A0E094"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2BD48BCC" w14:textId="77777777" w:rsidR="00716E85" w:rsidRDefault="00716E8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716E85" w14:paraId="608D7F58" w14:textId="77777777">
        <w:tc>
          <w:tcPr>
            <w:tcW w:w="262" w:type="pct"/>
            <w:noWrap/>
            <w:hideMark/>
          </w:tcPr>
          <w:p w14:paraId="1403D8AB" w14:textId="77777777" w:rsidR="00716E85" w:rsidRDefault="00716E85">
            <w:pPr>
              <w:pStyle w:val="a3"/>
              <w:spacing w:before="0" w:beforeAutospacing="0" w:after="0" w:afterAutospacing="0"/>
              <w:jc w:val="both"/>
              <w:rPr>
                <w:rFonts w:ascii="Calibri" w:hAnsi="Calibri" w:cs="Calibri"/>
                <w:b/>
                <w:bCs/>
                <w:sz w:val="20"/>
                <w:szCs w:val="20"/>
              </w:rPr>
            </w:pPr>
            <w:r>
              <w:rPr>
                <w:rFonts w:ascii="Calibri" w:hAnsi="Calibri" w:cs="Calibri"/>
                <w:b/>
                <w:bCs/>
                <w:sz w:val="20"/>
                <w:szCs w:val="20"/>
              </w:rPr>
              <w:t>Item 6.</w:t>
            </w:r>
          </w:p>
        </w:tc>
        <w:tc>
          <w:tcPr>
            <w:tcW w:w="0" w:type="auto"/>
            <w:hideMark/>
          </w:tcPr>
          <w:p w14:paraId="729BDD80" w14:textId="77777777" w:rsidR="00716E85" w:rsidRDefault="00716E85">
            <w:pPr>
              <w:pStyle w:val="a3"/>
              <w:spacing w:before="0" w:beforeAutospacing="0" w:after="0" w:afterAutospacing="0"/>
              <w:jc w:val="both"/>
              <w:rPr>
                <w:rFonts w:ascii="Calibri" w:hAnsi="Calibri" w:cs="Calibri"/>
                <w:b/>
                <w:bCs/>
                <w:sz w:val="20"/>
                <w:szCs w:val="20"/>
              </w:rPr>
            </w:pPr>
            <w:bookmarkStart w:id="66" w:name="ITEM_6_EXHIBITS"/>
            <w:bookmarkStart w:id="67" w:name="_AEIOULastRenderedPageBreakAEIOU51"/>
            <w:bookmarkEnd w:id="66"/>
            <w:bookmarkEnd w:id="67"/>
            <w:r>
              <w:rPr>
                <w:rFonts w:ascii="Calibri" w:hAnsi="Calibri" w:cs="Calibri"/>
                <w:b/>
                <w:bCs/>
                <w:sz w:val="20"/>
                <w:szCs w:val="20"/>
              </w:rPr>
              <w:t>Exhibits</w:t>
            </w:r>
          </w:p>
        </w:tc>
      </w:tr>
    </w:tbl>
    <w:p w14:paraId="2F5B38F3" w14:textId="77777777" w:rsidR="00716E85" w:rsidRDefault="00716E85">
      <w:pPr>
        <w:pStyle w:val="a3"/>
        <w:spacing w:before="0" w:beforeAutospacing="0" w:after="0" w:afterAutospacing="0"/>
        <w:ind w:left="1309" w:hanging="1450"/>
        <w:jc w:val="both"/>
        <w:rPr>
          <w:b/>
          <w:bCs/>
        </w:rPr>
      </w:pPr>
      <w:r>
        <w:rPr>
          <w:b/>
          <w:bCs/>
        </w:rPr>
        <w:t> </w:t>
      </w:r>
    </w:p>
    <w:tbl>
      <w:tblPr>
        <w:tblW w:w="5000" w:type="pct"/>
        <w:jc w:val="center"/>
        <w:tblCellMar>
          <w:left w:w="0" w:type="dxa"/>
          <w:right w:w="0" w:type="dxa"/>
        </w:tblCellMar>
        <w:tblLook w:val="04A0" w:firstRow="1" w:lastRow="0" w:firstColumn="1" w:lastColumn="0" w:noHBand="0" w:noVBand="1"/>
      </w:tblPr>
      <w:tblGrid>
        <w:gridCol w:w="741"/>
        <w:gridCol w:w="60"/>
        <w:gridCol w:w="3638"/>
        <w:gridCol w:w="60"/>
        <w:gridCol w:w="566"/>
        <w:gridCol w:w="60"/>
        <w:gridCol w:w="814"/>
        <w:gridCol w:w="60"/>
        <w:gridCol w:w="566"/>
        <w:gridCol w:w="60"/>
        <w:gridCol w:w="764"/>
        <w:gridCol w:w="60"/>
        <w:gridCol w:w="857"/>
      </w:tblGrid>
      <w:tr w:rsidR="00716E85" w14:paraId="6DAA2900" w14:textId="77777777">
        <w:trPr>
          <w:divId w:val="501630971"/>
          <w:jc w:val="center"/>
        </w:trPr>
        <w:tc>
          <w:tcPr>
            <w:tcW w:w="449" w:type="pct"/>
            <w:vMerge w:val="restart"/>
            <w:vAlign w:val="bottom"/>
            <w:hideMark/>
          </w:tcPr>
          <w:p w14:paraId="59A47DEB"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Exhibit</w:t>
            </w:r>
          </w:p>
          <w:p w14:paraId="167F90B1"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No.</w:t>
            </w:r>
          </w:p>
        </w:tc>
        <w:tc>
          <w:tcPr>
            <w:tcW w:w="32" w:type="pct"/>
            <w:hideMark/>
          </w:tcPr>
          <w:p w14:paraId="36DE947E" w14:textId="77777777" w:rsidR="00716E85" w:rsidRDefault="00716E85">
            <w:pPr>
              <w:pStyle w:val="a3"/>
              <w:spacing w:before="0" w:beforeAutospacing="0" w:after="0" w:afterAutospacing="0"/>
              <w:rPr>
                <w:sz w:val="15"/>
                <w:szCs w:val="15"/>
              </w:rPr>
            </w:pPr>
            <w:r>
              <w:rPr>
                <w:sz w:val="15"/>
                <w:szCs w:val="15"/>
              </w:rPr>
              <w:t> </w:t>
            </w:r>
          </w:p>
        </w:tc>
        <w:tc>
          <w:tcPr>
            <w:tcW w:w="2193" w:type="pct"/>
            <w:hideMark/>
          </w:tcPr>
          <w:p w14:paraId="13F37679" w14:textId="77777777" w:rsidR="00716E85" w:rsidRDefault="00716E85">
            <w:pPr>
              <w:pStyle w:val="a3"/>
              <w:spacing w:before="0" w:beforeAutospacing="0" w:after="0" w:afterAutospacing="0"/>
              <w:rPr>
                <w:sz w:val="15"/>
                <w:szCs w:val="15"/>
              </w:rPr>
            </w:pPr>
            <w:r>
              <w:rPr>
                <w:sz w:val="15"/>
                <w:szCs w:val="15"/>
              </w:rPr>
              <w:t> </w:t>
            </w:r>
          </w:p>
        </w:tc>
        <w:tc>
          <w:tcPr>
            <w:tcW w:w="33" w:type="pct"/>
            <w:hideMark/>
          </w:tcPr>
          <w:p w14:paraId="7E14CB7B" w14:textId="77777777" w:rsidR="00716E85" w:rsidRDefault="00716E85">
            <w:pPr>
              <w:pStyle w:val="a3"/>
              <w:spacing w:before="0" w:beforeAutospacing="0" w:after="0" w:afterAutospacing="0"/>
              <w:rPr>
                <w:sz w:val="15"/>
                <w:szCs w:val="15"/>
              </w:rPr>
            </w:pPr>
            <w:r>
              <w:rPr>
                <w:sz w:val="15"/>
                <w:szCs w:val="15"/>
              </w:rPr>
              <w:t> </w:t>
            </w:r>
          </w:p>
        </w:tc>
        <w:tc>
          <w:tcPr>
            <w:tcW w:w="2294" w:type="pct"/>
            <w:gridSpan w:val="9"/>
            <w:tcBorders>
              <w:bottom w:val="single" w:sz="6" w:space="0" w:color="000000"/>
            </w:tcBorders>
            <w:vAlign w:val="bottom"/>
            <w:hideMark/>
          </w:tcPr>
          <w:p w14:paraId="7ECF317B"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Incorporated by Reference</w:t>
            </w:r>
          </w:p>
        </w:tc>
      </w:tr>
      <w:tr w:rsidR="00716E85" w14:paraId="17A62A0E" w14:textId="77777777">
        <w:trPr>
          <w:divId w:val="501630971"/>
          <w:jc w:val="center"/>
        </w:trPr>
        <w:tc>
          <w:tcPr>
            <w:tcW w:w="0" w:type="auto"/>
            <w:vMerge/>
            <w:vAlign w:val="center"/>
            <w:hideMark/>
          </w:tcPr>
          <w:p w14:paraId="33F3E5CE" w14:textId="77777777" w:rsidR="00716E85" w:rsidRDefault="00716E85">
            <w:pPr>
              <w:rPr>
                <w:rFonts w:ascii="Calibri" w:hAnsi="Calibri" w:cs="Calibri"/>
                <w:b/>
                <w:bCs/>
                <w:sz w:val="15"/>
                <w:szCs w:val="15"/>
              </w:rPr>
            </w:pPr>
          </w:p>
        </w:tc>
        <w:tc>
          <w:tcPr>
            <w:tcW w:w="32" w:type="pct"/>
            <w:vAlign w:val="bottom"/>
            <w:hideMark/>
          </w:tcPr>
          <w:p w14:paraId="2EC3CC9B" w14:textId="77777777" w:rsidR="00716E85" w:rsidRDefault="00716E85">
            <w:pPr>
              <w:pStyle w:val="a3"/>
              <w:spacing w:before="0" w:beforeAutospacing="0" w:after="0" w:afterAutospacing="0"/>
              <w:jc w:val="center"/>
              <w:rPr>
                <w:sz w:val="15"/>
                <w:szCs w:val="15"/>
              </w:rPr>
            </w:pPr>
            <w:r>
              <w:rPr>
                <w:sz w:val="15"/>
                <w:szCs w:val="15"/>
              </w:rPr>
              <w:t> </w:t>
            </w:r>
          </w:p>
        </w:tc>
        <w:tc>
          <w:tcPr>
            <w:tcW w:w="2193" w:type="pct"/>
            <w:tcBorders>
              <w:bottom w:val="single" w:sz="6" w:space="0" w:color="000000"/>
            </w:tcBorders>
            <w:vAlign w:val="bottom"/>
            <w:hideMark/>
          </w:tcPr>
          <w:p w14:paraId="288D15B3"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Exhibit Description</w:t>
            </w:r>
          </w:p>
        </w:tc>
        <w:tc>
          <w:tcPr>
            <w:tcW w:w="33" w:type="pct"/>
            <w:vAlign w:val="bottom"/>
            <w:hideMark/>
          </w:tcPr>
          <w:p w14:paraId="47864121" w14:textId="77777777" w:rsidR="00716E85" w:rsidRDefault="00716E85">
            <w:pPr>
              <w:pStyle w:val="a3"/>
              <w:spacing w:before="0" w:beforeAutospacing="0" w:after="0" w:afterAutospacing="0"/>
              <w:jc w:val="center"/>
              <w:rPr>
                <w:sz w:val="15"/>
                <w:szCs w:val="15"/>
              </w:rPr>
            </w:pPr>
            <w:r>
              <w:rPr>
                <w:sz w:val="15"/>
                <w:szCs w:val="15"/>
              </w:rPr>
              <w:t> </w:t>
            </w:r>
          </w:p>
        </w:tc>
        <w:tc>
          <w:tcPr>
            <w:tcW w:w="344" w:type="pct"/>
            <w:tcBorders>
              <w:bottom w:val="single" w:sz="6" w:space="0" w:color="000000"/>
            </w:tcBorders>
            <w:vAlign w:val="bottom"/>
            <w:hideMark/>
          </w:tcPr>
          <w:p w14:paraId="047D654F"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Form</w:t>
            </w:r>
          </w:p>
        </w:tc>
        <w:tc>
          <w:tcPr>
            <w:tcW w:w="33" w:type="pct"/>
            <w:vAlign w:val="bottom"/>
            <w:hideMark/>
          </w:tcPr>
          <w:p w14:paraId="59A444C4" w14:textId="77777777" w:rsidR="00716E85" w:rsidRDefault="00716E85">
            <w:pPr>
              <w:pStyle w:val="a3"/>
              <w:spacing w:before="0" w:beforeAutospacing="0" w:after="0" w:afterAutospacing="0"/>
              <w:jc w:val="center"/>
              <w:rPr>
                <w:sz w:val="15"/>
                <w:szCs w:val="15"/>
              </w:rPr>
            </w:pPr>
            <w:r>
              <w:rPr>
                <w:sz w:val="15"/>
                <w:szCs w:val="15"/>
              </w:rPr>
              <w:t> </w:t>
            </w:r>
          </w:p>
        </w:tc>
        <w:tc>
          <w:tcPr>
            <w:tcW w:w="493" w:type="pct"/>
            <w:tcBorders>
              <w:bottom w:val="single" w:sz="6" w:space="0" w:color="000000"/>
            </w:tcBorders>
            <w:vAlign w:val="bottom"/>
            <w:hideMark/>
          </w:tcPr>
          <w:p w14:paraId="0DEEEE78"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File No.</w:t>
            </w:r>
          </w:p>
        </w:tc>
        <w:tc>
          <w:tcPr>
            <w:tcW w:w="33" w:type="pct"/>
            <w:vAlign w:val="bottom"/>
            <w:hideMark/>
          </w:tcPr>
          <w:p w14:paraId="223F2E36" w14:textId="77777777" w:rsidR="00716E85" w:rsidRDefault="00716E85">
            <w:pPr>
              <w:pStyle w:val="a3"/>
              <w:spacing w:before="0" w:beforeAutospacing="0" w:after="0" w:afterAutospacing="0"/>
              <w:jc w:val="center"/>
              <w:rPr>
                <w:sz w:val="15"/>
                <w:szCs w:val="15"/>
              </w:rPr>
            </w:pPr>
            <w:r>
              <w:rPr>
                <w:sz w:val="15"/>
                <w:szCs w:val="15"/>
              </w:rPr>
              <w:t> </w:t>
            </w:r>
          </w:p>
        </w:tc>
        <w:tc>
          <w:tcPr>
            <w:tcW w:w="344" w:type="pct"/>
            <w:tcBorders>
              <w:bottom w:val="single" w:sz="6" w:space="0" w:color="000000"/>
            </w:tcBorders>
            <w:vAlign w:val="bottom"/>
            <w:hideMark/>
          </w:tcPr>
          <w:p w14:paraId="6CDCA56E"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Exhibit</w:t>
            </w:r>
          </w:p>
        </w:tc>
        <w:tc>
          <w:tcPr>
            <w:tcW w:w="32" w:type="pct"/>
            <w:vAlign w:val="bottom"/>
            <w:hideMark/>
          </w:tcPr>
          <w:p w14:paraId="67C368AA" w14:textId="77777777" w:rsidR="00716E85" w:rsidRDefault="00716E85">
            <w:pPr>
              <w:pStyle w:val="a3"/>
              <w:spacing w:before="0" w:beforeAutospacing="0" w:after="0" w:afterAutospacing="0"/>
              <w:jc w:val="center"/>
              <w:rPr>
                <w:sz w:val="15"/>
                <w:szCs w:val="15"/>
              </w:rPr>
            </w:pPr>
            <w:r>
              <w:rPr>
                <w:sz w:val="15"/>
                <w:szCs w:val="15"/>
              </w:rPr>
              <w:t> </w:t>
            </w:r>
          </w:p>
        </w:tc>
        <w:tc>
          <w:tcPr>
            <w:tcW w:w="463" w:type="pct"/>
            <w:tcBorders>
              <w:bottom w:val="single" w:sz="6" w:space="0" w:color="000000"/>
            </w:tcBorders>
            <w:vAlign w:val="bottom"/>
            <w:hideMark/>
          </w:tcPr>
          <w:p w14:paraId="4E933DC3"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Filing Date</w:t>
            </w:r>
          </w:p>
        </w:tc>
        <w:tc>
          <w:tcPr>
            <w:tcW w:w="32" w:type="pct"/>
            <w:vAlign w:val="bottom"/>
            <w:hideMark/>
          </w:tcPr>
          <w:p w14:paraId="01B55349" w14:textId="77777777" w:rsidR="00716E85" w:rsidRDefault="00716E85">
            <w:pPr>
              <w:pStyle w:val="a3"/>
              <w:spacing w:before="0" w:beforeAutospacing="0" w:after="0" w:afterAutospacing="0"/>
              <w:jc w:val="center"/>
              <w:rPr>
                <w:sz w:val="15"/>
                <w:szCs w:val="15"/>
              </w:rPr>
            </w:pPr>
            <w:r>
              <w:rPr>
                <w:sz w:val="15"/>
                <w:szCs w:val="15"/>
              </w:rPr>
              <w:t> </w:t>
            </w:r>
          </w:p>
        </w:tc>
        <w:tc>
          <w:tcPr>
            <w:tcW w:w="519" w:type="pct"/>
            <w:tcBorders>
              <w:bottom w:val="single" w:sz="6" w:space="0" w:color="000000"/>
            </w:tcBorders>
            <w:vAlign w:val="bottom"/>
            <w:hideMark/>
          </w:tcPr>
          <w:p w14:paraId="2448CB26" w14:textId="77777777" w:rsidR="00716E85" w:rsidRDefault="00716E85">
            <w:pPr>
              <w:pStyle w:val="a3"/>
              <w:spacing w:before="0" w:beforeAutospacing="0" w:after="0" w:afterAutospacing="0"/>
              <w:jc w:val="center"/>
              <w:rPr>
                <w:rFonts w:ascii="Calibri" w:hAnsi="Calibri" w:cs="Calibri"/>
                <w:b/>
                <w:bCs/>
                <w:sz w:val="15"/>
                <w:szCs w:val="15"/>
              </w:rPr>
            </w:pPr>
            <w:r>
              <w:rPr>
                <w:rFonts w:ascii="Calibri" w:hAnsi="Calibri" w:cs="Calibri"/>
                <w:b/>
                <w:bCs/>
                <w:sz w:val="15"/>
                <w:szCs w:val="15"/>
              </w:rPr>
              <w:t>Filed By</w:t>
            </w:r>
          </w:p>
        </w:tc>
      </w:tr>
      <w:tr w:rsidR="00716E85" w14:paraId="78CCD1AA" w14:textId="77777777">
        <w:trPr>
          <w:divId w:val="501630971"/>
          <w:jc w:val="center"/>
        </w:trPr>
        <w:tc>
          <w:tcPr>
            <w:tcW w:w="449" w:type="pct"/>
            <w:tcBorders>
              <w:top w:val="single" w:sz="6" w:space="0" w:color="000000"/>
            </w:tcBorders>
            <w:hideMark/>
          </w:tcPr>
          <w:p w14:paraId="5CA81CDF"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38688349" w14:textId="77777777" w:rsidR="00716E85" w:rsidRDefault="00716E85">
            <w:pPr>
              <w:pStyle w:val="a3"/>
              <w:spacing w:before="0" w:beforeAutospacing="0" w:after="0" w:afterAutospacing="0"/>
              <w:rPr>
                <w:sz w:val="12"/>
                <w:szCs w:val="12"/>
              </w:rPr>
            </w:pPr>
            <w:r>
              <w:rPr>
                <w:sz w:val="12"/>
                <w:szCs w:val="12"/>
              </w:rPr>
              <w:t> </w:t>
            </w:r>
          </w:p>
        </w:tc>
        <w:tc>
          <w:tcPr>
            <w:tcW w:w="2193" w:type="pct"/>
            <w:tcBorders>
              <w:top w:val="single" w:sz="6" w:space="0" w:color="000000"/>
            </w:tcBorders>
            <w:hideMark/>
          </w:tcPr>
          <w:p w14:paraId="1C814D0E"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2775DB25" w14:textId="77777777" w:rsidR="00716E85" w:rsidRDefault="00716E85">
            <w:pPr>
              <w:pStyle w:val="a3"/>
              <w:spacing w:before="0" w:beforeAutospacing="0" w:after="0" w:afterAutospacing="0"/>
              <w:rPr>
                <w:sz w:val="12"/>
                <w:szCs w:val="12"/>
              </w:rPr>
            </w:pPr>
            <w:r>
              <w:rPr>
                <w:sz w:val="12"/>
                <w:szCs w:val="12"/>
              </w:rPr>
              <w:t> </w:t>
            </w:r>
          </w:p>
        </w:tc>
        <w:tc>
          <w:tcPr>
            <w:tcW w:w="344" w:type="pct"/>
            <w:tcBorders>
              <w:top w:val="single" w:sz="6" w:space="0" w:color="000000"/>
            </w:tcBorders>
            <w:hideMark/>
          </w:tcPr>
          <w:p w14:paraId="6F64D1BC" w14:textId="77777777" w:rsidR="00716E85" w:rsidRDefault="00716E85">
            <w:pPr>
              <w:pStyle w:val="a3"/>
              <w:spacing w:before="0" w:beforeAutospacing="0" w:after="0" w:afterAutospacing="0"/>
              <w:jc w:val="center"/>
              <w:rPr>
                <w:sz w:val="12"/>
                <w:szCs w:val="12"/>
              </w:rPr>
            </w:pPr>
            <w:r>
              <w:rPr>
                <w:sz w:val="12"/>
                <w:szCs w:val="12"/>
              </w:rPr>
              <w:t> </w:t>
            </w:r>
          </w:p>
        </w:tc>
        <w:tc>
          <w:tcPr>
            <w:tcW w:w="33" w:type="pct"/>
            <w:hideMark/>
          </w:tcPr>
          <w:p w14:paraId="09CF1B73" w14:textId="77777777" w:rsidR="00716E85" w:rsidRDefault="00716E85">
            <w:pPr>
              <w:pStyle w:val="a3"/>
              <w:spacing w:before="0" w:beforeAutospacing="0" w:after="0" w:afterAutospacing="0"/>
              <w:jc w:val="center"/>
              <w:rPr>
                <w:sz w:val="12"/>
                <w:szCs w:val="12"/>
              </w:rPr>
            </w:pPr>
            <w:r>
              <w:rPr>
                <w:sz w:val="12"/>
                <w:szCs w:val="12"/>
              </w:rPr>
              <w:t> </w:t>
            </w:r>
          </w:p>
        </w:tc>
        <w:tc>
          <w:tcPr>
            <w:tcW w:w="493" w:type="pct"/>
            <w:tcBorders>
              <w:top w:val="single" w:sz="6" w:space="0" w:color="000000"/>
            </w:tcBorders>
            <w:hideMark/>
          </w:tcPr>
          <w:p w14:paraId="695CD1E2" w14:textId="77777777" w:rsidR="00716E85" w:rsidRDefault="00716E85">
            <w:pPr>
              <w:pStyle w:val="a3"/>
              <w:spacing w:before="0" w:beforeAutospacing="0" w:after="0" w:afterAutospacing="0"/>
              <w:jc w:val="center"/>
              <w:rPr>
                <w:sz w:val="12"/>
                <w:szCs w:val="12"/>
              </w:rPr>
            </w:pPr>
            <w:r>
              <w:rPr>
                <w:sz w:val="12"/>
                <w:szCs w:val="12"/>
              </w:rPr>
              <w:t> </w:t>
            </w:r>
          </w:p>
        </w:tc>
        <w:tc>
          <w:tcPr>
            <w:tcW w:w="33" w:type="pct"/>
            <w:hideMark/>
          </w:tcPr>
          <w:p w14:paraId="28ECB367" w14:textId="77777777" w:rsidR="00716E85" w:rsidRDefault="00716E85">
            <w:pPr>
              <w:pStyle w:val="a3"/>
              <w:spacing w:before="0" w:beforeAutospacing="0" w:after="0" w:afterAutospacing="0"/>
              <w:jc w:val="center"/>
              <w:rPr>
                <w:sz w:val="12"/>
                <w:szCs w:val="12"/>
              </w:rPr>
            </w:pPr>
            <w:r>
              <w:rPr>
                <w:sz w:val="12"/>
                <w:szCs w:val="12"/>
              </w:rPr>
              <w:t> </w:t>
            </w:r>
          </w:p>
        </w:tc>
        <w:tc>
          <w:tcPr>
            <w:tcW w:w="344" w:type="pct"/>
            <w:tcBorders>
              <w:top w:val="single" w:sz="6" w:space="0" w:color="000000"/>
            </w:tcBorders>
            <w:hideMark/>
          </w:tcPr>
          <w:p w14:paraId="1BAB4A44"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154CCFFF" w14:textId="77777777" w:rsidR="00716E85" w:rsidRDefault="00716E85">
            <w:pPr>
              <w:pStyle w:val="a3"/>
              <w:spacing w:before="0" w:beforeAutospacing="0" w:after="0" w:afterAutospacing="0"/>
              <w:jc w:val="center"/>
              <w:rPr>
                <w:sz w:val="12"/>
                <w:szCs w:val="12"/>
              </w:rPr>
            </w:pPr>
            <w:r>
              <w:rPr>
                <w:sz w:val="12"/>
                <w:szCs w:val="12"/>
              </w:rPr>
              <w:t> </w:t>
            </w:r>
          </w:p>
        </w:tc>
        <w:tc>
          <w:tcPr>
            <w:tcW w:w="463" w:type="pct"/>
            <w:tcBorders>
              <w:top w:val="single" w:sz="6" w:space="0" w:color="000000"/>
            </w:tcBorders>
            <w:hideMark/>
          </w:tcPr>
          <w:p w14:paraId="3ED43371"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6DC64CAA" w14:textId="77777777" w:rsidR="00716E85" w:rsidRDefault="00716E85">
            <w:pPr>
              <w:pStyle w:val="a3"/>
              <w:spacing w:before="0" w:beforeAutospacing="0" w:after="0" w:afterAutospacing="0"/>
              <w:jc w:val="center"/>
              <w:rPr>
                <w:sz w:val="12"/>
                <w:szCs w:val="12"/>
              </w:rPr>
            </w:pPr>
            <w:r>
              <w:rPr>
                <w:sz w:val="12"/>
                <w:szCs w:val="12"/>
              </w:rPr>
              <w:t> </w:t>
            </w:r>
          </w:p>
        </w:tc>
        <w:tc>
          <w:tcPr>
            <w:tcW w:w="519" w:type="pct"/>
            <w:tcBorders>
              <w:top w:val="single" w:sz="6" w:space="0" w:color="000000"/>
            </w:tcBorders>
            <w:hideMark/>
          </w:tcPr>
          <w:p w14:paraId="6B78150F" w14:textId="77777777" w:rsidR="00716E85" w:rsidRDefault="00716E85">
            <w:pPr>
              <w:pStyle w:val="a3"/>
              <w:spacing w:before="0" w:beforeAutospacing="0" w:after="0" w:afterAutospacing="0"/>
              <w:jc w:val="center"/>
              <w:rPr>
                <w:sz w:val="12"/>
                <w:szCs w:val="12"/>
              </w:rPr>
            </w:pPr>
            <w:r>
              <w:rPr>
                <w:sz w:val="12"/>
                <w:szCs w:val="12"/>
              </w:rPr>
              <w:t> </w:t>
            </w:r>
          </w:p>
        </w:tc>
      </w:tr>
      <w:tr w:rsidR="00716E85" w14:paraId="58F122AE" w14:textId="77777777">
        <w:trPr>
          <w:divId w:val="501630971"/>
          <w:jc w:val="center"/>
        </w:trPr>
        <w:tc>
          <w:tcPr>
            <w:tcW w:w="449" w:type="pct"/>
            <w:hideMark/>
          </w:tcPr>
          <w:p w14:paraId="64945247" w14:textId="77777777" w:rsidR="00716E85" w:rsidRDefault="00716E85">
            <w:pPr>
              <w:pStyle w:val="a3"/>
              <w:spacing w:before="0" w:beforeAutospacing="0" w:after="0" w:afterAutospacing="0"/>
              <w:jc w:val="center"/>
              <w:rPr>
                <w:rFonts w:ascii="Calibri" w:hAnsi="Calibri" w:cs="Calibri"/>
                <w:sz w:val="20"/>
                <w:szCs w:val="20"/>
              </w:rPr>
            </w:pPr>
            <w:r>
              <w:rPr>
                <w:rFonts w:ascii="Calibri" w:hAnsi="Calibri" w:cs="Calibri"/>
                <w:sz w:val="20"/>
                <w:szCs w:val="20"/>
              </w:rPr>
              <w:t>10.09*</w:t>
            </w:r>
            <w:r>
              <w:rPr>
                <w:rFonts w:ascii="Calibri" w:hAnsi="Calibri" w:cs="Calibri"/>
                <w:color w:val="000000"/>
                <w:sz w:val="20"/>
                <w:szCs w:val="20"/>
              </w:rPr>
              <w:t>‡</w:t>
            </w:r>
          </w:p>
        </w:tc>
        <w:tc>
          <w:tcPr>
            <w:tcW w:w="32" w:type="pct"/>
            <w:hideMark/>
          </w:tcPr>
          <w:p w14:paraId="292560CF" w14:textId="77777777" w:rsidR="00716E85" w:rsidRDefault="00716E85">
            <w:pPr>
              <w:pStyle w:val="a3"/>
              <w:spacing w:before="0" w:beforeAutospacing="0" w:after="0" w:afterAutospacing="0"/>
            </w:pPr>
            <w:r>
              <w:t> </w:t>
            </w:r>
          </w:p>
        </w:tc>
        <w:tc>
          <w:tcPr>
            <w:tcW w:w="2193" w:type="pct"/>
            <w:hideMark/>
          </w:tcPr>
          <w:p w14:paraId="19FFB813" w14:textId="77777777" w:rsidR="00716E85" w:rsidRDefault="00716E85">
            <w:pPr>
              <w:pStyle w:val="a3"/>
              <w:spacing w:before="0" w:beforeAutospacing="0" w:after="0" w:afterAutospacing="0"/>
              <w:jc w:val="both"/>
              <w:rPr>
                <w:rFonts w:ascii="Calibri" w:hAnsi="Calibri" w:cs="Calibri"/>
                <w:sz w:val="20"/>
                <w:szCs w:val="20"/>
              </w:rPr>
            </w:pPr>
            <w:hyperlink r:id="rId4" w:history="1">
              <w:r>
                <w:rPr>
                  <w:rStyle w:val="a4"/>
                  <w:rFonts w:ascii="Calibri" w:hAnsi="Calibri" w:cs="Calibri"/>
                  <w:sz w:val="20"/>
                  <w:szCs w:val="20"/>
                </w:rPr>
                <w:t>Oracle Corporation Amended and Restated Executive Bonus Plan, as amended and restated as of February 12, 2019</w:t>
              </w:r>
            </w:hyperlink>
          </w:p>
        </w:tc>
        <w:tc>
          <w:tcPr>
            <w:tcW w:w="33" w:type="pct"/>
            <w:hideMark/>
          </w:tcPr>
          <w:p w14:paraId="02456056" w14:textId="77777777" w:rsidR="00716E85" w:rsidRDefault="00716E85">
            <w:pPr>
              <w:pStyle w:val="a3"/>
              <w:spacing w:before="0" w:beforeAutospacing="0" w:after="0" w:afterAutospacing="0"/>
            </w:pPr>
            <w:r>
              <w:t> </w:t>
            </w:r>
          </w:p>
        </w:tc>
        <w:tc>
          <w:tcPr>
            <w:tcW w:w="344" w:type="pct"/>
            <w:hideMark/>
          </w:tcPr>
          <w:p w14:paraId="3A8D75E5" w14:textId="77777777" w:rsidR="00716E85" w:rsidRDefault="00716E85">
            <w:pPr>
              <w:pStyle w:val="a3"/>
              <w:spacing w:before="0" w:beforeAutospacing="0" w:after="0" w:afterAutospacing="0"/>
              <w:jc w:val="center"/>
            </w:pPr>
            <w:r>
              <w:t> </w:t>
            </w:r>
          </w:p>
        </w:tc>
        <w:tc>
          <w:tcPr>
            <w:tcW w:w="33" w:type="pct"/>
            <w:hideMark/>
          </w:tcPr>
          <w:p w14:paraId="5FF0A3F0" w14:textId="77777777" w:rsidR="00716E85" w:rsidRDefault="00716E85">
            <w:pPr>
              <w:pStyle w:val="a3"/>
              <w:spacing w:before="0" w:beforeAutospacing="0" w:after="0" w:afterAutospacing="0"/>
              <w:jc w:val="center"/>
            </w:pPr>
            <w:r>
              <w:t> </w:t>
            </w:r>
          </w:p>
        </w:tc>
        <w:tc>
          <w:tcPr>
            <w:tcW w:w="493" w:type="pct"/>
            <w:hideMark/>
          </w:tcPr>
          <w:p w14:paraId="2DCE258D" w14:textId="77777777" w:rsidR="00716E85" w:rsidRDefault="00716E85">
            <w:pPr>
              <w:pStyle w:val="a3"/>
              <w:spacing w:before="0" w:beforeAutospacing="0" w:after="0" w:afterAutospacing="0"/>
              <w:jc w:val="center"/>
            </w:pPr>
            <w:r>
              <w:t> </w:t>
            </w:r>
          </w:p>
        </w:tc>
        <w:tc>
          <w:tcPr>
            <w:tcW w:w="33" w:type="pct"/>
            <w:hideMark/>
          </w:tcPr>
          <w:p w14:paraId="58835342" w14:textId="77777777" w:rsidR="00716E85" w:rsidRDefault="00716E85">
            <w:pPr>
              <w:pStyle w:val="a3"/>
              <w:spacing w:before="0" w:beforeAutospacing="0" w:after="0" w:afterAutospacing="0"/>
              <w:jc w:val="center"/>
            </w:pPr>
            <w:r>
              <w:t> </w:t>
            </w:r>
          </w:p>
        </w:tc>
        <w:tc>
          <w:tcPr>
            <w:tcW w:w="344" w:type="pct"/>
            <w:hideMark/>
          </w:tcPr>
          <w:p w14:paraId="411DFE4B" w14:textId="77777777" w:rsidR="00716E85" w:rsidRDefault="00716E85">
            <w:pPr>
              <w:pStyle w:val="a3"/>
              <w:spacing w:before="0" w:beforeAutospacing="0" w:after="0" w:afterAutospacing="0"/>
              <w:jc w:val="center"/>
            </w:pPr>
            <w:r>
              <w:t> </w:t>
            </w:r>
          </w:p>
        </w:tc>
        <w:tc>
          <w:tcPr>
            <w:tcW w:w="32" w:type="pct"/>
            <w:hideMark/>
          </w:tcPr>
          <w:p w14:paraId="36B14BA1" w14:textId="77777777" w:rsidR="00716E85" w:rsidRDefault="00716E85">
            <w:pPr>
              <w:pStyle w:val="a3"/>
              <w:spacing w:before="0" w:beforeAutospacing="0" w:after="0" w:afterAutospacing="0"/>
              <w:jc w:val="center"/>
            </w:pPr>
            <w:r>
              <w:t> </w:t>
            </w:r>
          </w:p>
        </w:tc>
        <w:tc>
          <w:tcPr>
            <w:tcW w:w="463" w:type="pct"/>
            <w:hideMark/>
          </w:tcPr>
          <w:p w14:paraId="4AAF24CC" w14:textId="77777777" w:rsidR="00716E85" w:rsidRDefault="00716E85">
            <w:pPr>
              <w:pStyle w:val="a3"/>
              <w:spacing w:before="0" w:beforeAutospacing="0" w:after="0" w:afterAutospacing="0"/>
              <w:jc w:val="center"/>
            </w:pPr>
            <w:r>
              <w:t> </w:t>
            </w:r>
          </w:p>
        </w:tc>
        <w:tc>
          <w:tcPr>
            <w:tcW w:w="32" w:type="pct"/>
            <w:hideMark/>
          </w:tcPr>
          <w:p w14:paraId="3C2380A0" w14:textId="77777777" w:rsidR="00716E85" w:rsidRDefault="00716E85">
            <w:pPr>
              <w:pStyle w:val="a3"/>
              <w:spacing w:before="0" w:beforeAutospacing="0" w:after="0" w:afterAutospacing="0"/>
              <w:jc w:val="center"/>
            </w:pPr>
            <w:r>
              <w:t> </w:t>
            </w:r>
          </w:p>
        </w:tc>
        <w:tc>
          <w:tcPr>
            <w:tcW w:w="519" w:type="pct"/>
            <w:hideMark/>
          </w:tcPr>
          <w:p w14:paraId="390A3DC9" w14:textId="77777777" w:rsidR="00716E85" w:rsidRDefault="00716E85">
            <w:pPr>
              <w:pStyle w:val="a3"/>
              <w:spacing w:before="0" w:beforeAutospacing="0" w:after="0" w:afterAutospacing="0"/>
              <w:jc w:val="center"/>
            </w:pPr>
            <w:r>
              <w:t> </w:t>
            </w:r>
          </w:p>
        </w:tc>
      </w:tr>
      <w:tr w:rsidR="00716E85" w14:paraId="426D35EC" w14:textId="77777777">
        <w:trPr>
          <w:divId w:val="501630971"/>
          <w:jc w:val="center"/>
        </w:trPr>
        <w:tc>
          <w:tcPr>
            <w:tcW w:w="449" w:type="pct"/>
            <w:hideMark/>
          </w:tcPr>
          <w:p w14:paraId="35CC652C"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7D521B67" w14:textId="77777777" w:rsidR="00716E85" w:rsidRDefault="00716E85">
            <w:pPr>
              <w:pStyle w:val="a3"/>
              <w:spacing w:before="0" w:beforeAutospacing="0" w:after="0" w:afterAutospacing="0"/>
              <w:rPr>
                <w:sz w:val="12"/>
                <w:szCs w:val="12"/>
              </w:rPr>
            </w:pPr>
            <w:r>
              <w:rPr>
                <w:sz w:val="12"/>
                <w:szCs w:val="12"/>
              </w:rPr>
              <w:t> </w:t>
            </w:r>
          </w:p>
        </w:tc>
        <w:tc>
          <w:tcPr>
            <w:tcW w:w="2193" w:type="pct"/>
            <w:hideMark/>
          </w:tcPr>
          <w:p w14:paraId="51F23720" w14:textId="77777777" w:rsidR="00716E85" w:rsidRDefault="00716E85">
            <w:pPr>
              <w:pStyle w:val="a3"/>
              <w:spacing w:before="0" w:beforeAutospacing="0" w:after="0" w:afterAutospacing="0"/>
              <w:jc w:val="both"/>
              <w:rPr>
                <w:sz w:val="12"/>
                <w:szCs w:val="12"/>
              </w:rPr>
            </w:pPr>
            <w:r>
              <w:rPr>
                <w:sz w:val="12"/>
                <w:szCs w:val="12"/>
              </w:rPr>
              <w:t> </w:t>
            </w:r>
          </w:p>
        </w:tc>
        <w:tc>
          <w:tcPr>
            <w:tcW w:w="33" w:type="pct"/>
            <w:hideMark/>
          </w:tcPr>
          <w:p w14:paraId="5439B871"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45659D85" w14:textId="77777777" w:rsidR="00716E85" w:rsidRDefault="00716E85">
            <w:pPr>
              <w:pStyle w:val="a3"/>
              <w:spacing w:before="0" w:beforeAutospacing="0" w:after="0" w:afterAutospacing="0"/>
              <w:jc w:val="center"/>
              <w:rPr>
                <w:sz w:val="12"/>
                <w:szCs w:val="12"/>
              </w:rPr>
            </w:pPr>
            <w:r>
              <w:rPr>
                <w:sz w:val="12"/>
                <w:szCs w:val="12"/>
              </w:rPr>
              <w:t> </w:t>
            </w:r>
          </w:p>
        </w:tc>
        <w:tc>
          <w:tcPr>
            <w:tcW w:w="33" w:type="pct"/>
            <w:hideMark/>
          </w:tcPr>
          <w:p w14:paraId="6658C251" w14:textId="77777777" w:rsidR="00716E85" w:rsidRDefault="00716E85">
            <w:pPr>
              <w:pStyle w:val="a3"/>
              <w:spacing w:before="0" w:beforeAutospacing="0" w:after="0" w:afterAutospacing="0"/>
              <w:jc w:val="center"/>
              <w:rPr>
                <w:sz w:val="12"/>
                <w:szCs w:val="12"/>
              </w:rPr>
            </w:pPr>
            <w:r>
              <w:rPr>
                <w:sz w:val="12"/>
                <w:szCs w:val="12"/>
              </w:rPr>
              <w:t> </w:t>
            </w:r>
          </w:p>
        </w:tc>
        <w:tc>
          <w:tcPr>
            <w:tcW w:w="493" w:type="pct"/>
            <w:hideMark/>
          </w:tcPr>
          <w:p w14:paraId="762396CE" w14:textId="77777777" w:rsidR="00716E85" w:rsidRDefault="00716E85">
            <w:pPr>
              <w:pStyle w:val="a3"/>
              <w:spacing w:before="0" w:beforeAutospacing="0" w:after="0" w:afterAutospacing="0"/>
              <w:jc w:val="center"/>
              <w:rPr>
                <w:sz w:val="12"/>
                <w:szCs w:val="12"/>
              </w:rPr>
            </w:pPr>
            <w:r>
              <w:rPr>
                <w:sz w:val="12"/>
                <w:szCs w:val="12"/>
              </w:rPr>
              <w:t> </w:t>
            </w:r>
          </w:p>
        </w:tc>
        <w:tc>
          <w:tcPr>
            <w:tcW w:w="33" w:type="pct"/>
            <w:hideMark/>
          </w:tcPr>
          <w:p w14:paraId="4E5D66EE" w14:textId="77777777" w:rsidR="00716E85" w:rsidRDefault="00716E85">
            <w:pPr>
              <w:pStyle w:val="a3"/>
              <w:spacing w:before="0" w:beforeAutospacing="0" w:after="0" w:afterAutospacing="0"/>
              <w:jc w:val="center"/>
              <w:rPr>
                <w:sz w:val="12"/>
                <w:szCs w:val="12"/>
              </w:rPr>
            </w:pPr>
            <w:r>
              <w:rPr>
                <w:sz w:val="12"/>
                <w:szCs w:val="12"/>
              </w:rPr>
              <w:t> </w:t>
            </w:r>
          </w:p>
        </w:tc>
        <w:tc>
          <w:tcPr>
            <w:tcW w:w="344" w:type="pct"/>
            <w:hideMark/>
          </w:tcPr>
          <w:p w14:paraId="7042894E"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439A752A" w14:textId="77777777" w:rsidR="00716E85" w:rsidRDefault="00716E85">
            <w:pPr>
              <w:pStyle w:val="a3"/>
              <w:spacing w:before="0" w:beforeAutospacing="0" w:after="0" w:afterAutospacing="0"/>
              <w:jc w:val="center"/>
              <w:rPr>
                <w:sz w:val="12"/>
                <w:szCs w:val="12"/>
              </w:rPr>
            </w:pPr>
            <w:r>
              <w:rPr>
                <w:sz w:val="12"/>
                <w:szCs w:val="12"/>
              </w:rPr>
              <w:t> </w:t>
            </w:r>
          </w:p>
        </w:tc>
        <w:tc>
          <w:tcPr>
            <w:tcW w:w="463" w:type="pct"/>
            <w:hideMark/>
          </w:tcPr>
          <w:p w14:paraId="178DA19B"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2F7D6684" w14:textId="77777777" w:rsidR="00716E85" w:rsidRDefault="00716E85">
            <w:pPr>
              <w:pStyle w:val="a3"/>
              <w:spacing w:before="0" w:beforeAutospacing="0" w:after="0" w:afterAutospacing="0"/>
              <w:jc w:val="center"/>
              <w:rPr>
                <w:sz w:val="12"/>
                <w:szCs w:val="12"/>
              </w:rPr>
            </w:pPr>
            <w:r>
              <w:rPr>
                <w:sz w:val="12"/>
                <w:szCs w:val="12"/>
              </w:rPr>
              <w:t> </w:t>
            </w:r>
          </w:p>
        </w:tc>
        <w:tc>
          <w:tcPr>
            <w:tcW w:w="519" w:type="pct"/>
            <w:hideMark/>
          </w:tcPr>
          <w:p w14:paraId="78D29A0F" w14:textId="77777777" w:rsidR="00716E85" w:rsidRDefault="00716E85">
            <w:pPr>
              <w:pStyle w:val="a3"/>
              <w:spacing w:before="0" w:beforeAutospacing="0" w:after="0" w:afterAutospacing="0"/>
              <w:jc w:val="center"/>
              <w:rPr>
                <w:sz w:val="12"/>
                <w:szCs w:val="12"/>
              </w:rPr>
            </w:pPr>
            <w:r>
              <w:rPr>
                <w:sz w:val="12"/>
                <w:szCs w:val="12"/>
              </w:rPr>
              <w:t> </w:t>
            </w:r>
          </w:p>
        </w:tc>
      </w:tr>
      <w:tr w:rsidR="00716E85" w14:paraId="0DD900A9" w14:textId="77777777">
        <w:trPr>
          <w:divId w:val="501630971"/>
          <w:jc w:val="center"/>
        </w:trPr>
        <w:tc>
          <w:tcPr>
            <w:tcW w:w="449" w:type="pct"/>
            <w:hideMark/>
          </w:tcPr>
          <w:p w14:paraId="72BA7DF7" w14:textId="77777777" w:rsidR="00716E85" w:rsidRDefault="00716E85">
            <w:pPr>
              <w:pStyle w:val="a3"/>
              <w:spacing w:before="0" w:beforeAutospacing="0" w:after="0" w:afterAutospacing="0"/>
              <w:jc w:val="center"/>
              <w:rPr>
                <w:rFonts w:ascii="Calibri" w:hAnsi="Calibri" w:cs="Calibri"/>
                <w:sz w:val="20"/>
                <w:szCs w:val="20"/>
              </w:rPr>
            </w:pPr>
            <w:r>
              <w:rPr>
                <w:rFonts w:ascii="Calibri" w:hAnsi="Calibri" w:cs="Calibri"/>
                <w:sz w:val="20"/>
                <w:szCs w:val="20"/>
              </w:rPr>
              <w:t>31.01‡</w:t>
            </w:r>
          </w:p>
        </w:tc>
        <w:tc>
          <w:tcPr>
            <w:tcW w:w="32" w:type="pct"/>
            <w:hideMark/>
          </w:tcPr>
          <w:p w14:paraId="777F67C2" w14:textId="77777777" w:rsidR="00716E85" w:rsidRDefault="00716E85">
            <w:pPr>
              <w:pStyle w:val="a3"/>
              <w:spacing w:before="0" w:beforeAutospacing="0" w:after="0" w:afterAutospacing="0"/>
            </w:pPr>
            <w:r>
              <w:t> </w:t>
            </w:r>
          </w:p>
        </w:tc>
        <w:tc>
          <w:tcPr>
            <w:tcW w:w="2193" w:type="pct"/>
            <w:hideMark/>
          </w:tcPr>
          <w:p w14:paraId="6DBC8791" w14:textId="77777777" w:rsidR="00716E85" w:rsidRDefault="00716E85">
            <w:pPr>
              <w:pStyle w:val="a3"/>
              <w:spacing w:before="0" w:beforeAutospacing="0" w:after="0" w:afterAutospacing="0"/>
              <w:jc w:val="both"/>
              <w:rPr>
                <w:rFonts w:ascii="Calibri" w:hAnsi="Calibri" w:cs="Calibri"/>
                <w:sz w:val="20"/>
                <w:szCs w:val="20"/>
              </w:rPr>
            </w:pPr>
            <w:hyperlink r:id="rId5" w:history="1">
              <w:r>
                <w:rPr>
                  <w:rStyle w:val="a4"/>
                  <w:rFonts w:ascii="Calibri" w:hAnsi="Calibri" w:cs="Calibri"/>
                  <w:sz w:val="20"/>
                  <w:szCs w:val="20"/>
                </w:rPr>
                <w:t>Rule 13a-14(a)/15d-14(a) Certification of Principal Executive Officer</w:t>
              </w:r>
            </w:hyperlink>
          </w:p>
        </w:tc>
        <w:tc>
          <w:tcPr>
            <w:tcW w:w="33" w:type="pct"/>
            <w:hideMark/>
          </w:tcPr>
          <w:p w14:paraId="74A9BCE2" w14:textId="77777777" w:rsidR="00716E85" w:rsidRDefault="00716E85">
            <w:pPr>
              <w:pStyle w:val="a3"/>
              <w:spacing w:before="0" w:beforeAutospacing="0" w:after="0" w:afterAutospacing="0"/>
            </w:pPr>
            <w:r>
              <w:t> </w:t>
            </w:r>
          </w:p>
        </w:tc>
        <w:tc>
          <w:tcPr>
            <w:tcW w:w="344" w:type="pct"/>
            <w:hideMark/>
          </w:tcPr>
          <w:p w14:paraId="2EC02A01" w14:textId="77777777" w:rsidR="00716E85" w:rsidRDefault="00716E85">
            <w:pPr>
              <w:pStyle w:val="a3"/>
              <w:spacing w:before="0" w:beforeAutospacing="0" w:after="0" w:afterAutospacing="0"/>
              <w:jc w:val="center"/>
            </w:pPr>
            <w:r>
              <w:t> </w:t>
            </w:r>
          </w:p>
        </w:tc>
        <w:tc>
          <w:tcPr>
            <w:tcW w:w="33" w:type="pct"/>
            <w:hideMark/>
          </w:tcPr>
          <w:p w14:paraId="1D18449A" w14:textId="77777777" w:rsidR="00716E85" w:rsidRDefault="00716E85">
            <w:pPr>
              <w:pStyle w:val="a3"/>
              <w:spacing w:before="0" w:beforeAutospacing="0" w:after="0" w:afterAutospacing="0"/>
              <w:jc w:val="center"/>
            </w:pPr>
            <w:r>
              <w:t> </w:t>
            </w:r>
          </w:p>
        </w:tc>
        <w:tc>
          <w:tcPr>
            <w:tcW w:w="493" w:type="pct"/>
            <w:hideMark/>
          </w:tcPr>
          <w:p w14:paraId="470C926D" w14:textId="77777777" w:rsidR="00716E85" w:rsidRDefault="00716E85">
            <w:pPr>
              <w:pStyle w:val="a3"/>
              <w:spacing w:before="0" w:beforeAutospacing="0" w:after="0" w:afterAutospacing="0"/>
              <w:jc w:val="center"/>
            </w:pPr>
            <w:r>
              <w:t> </w:t>
            </w:r>
          </w:p>
        </w:tc>
        <w:tc>
          <w:tcPr>
            <w:tcW w:w="33" w:type="pct"/>
            <w:hideMark/>
          </w:tcPr>
          <w:p w14:paraId="485A2834" w14:textId="77777777" w:rsidR="00716E85" w:rsidRDefault="00716E85">
            <w:pPr>
              <w:pStyle w:val="a3"/>
              <w:spacing w:before="0" w:beforeAutospacing="0" w:after="0" w:afterAutospacing="0"/>
              <w:jc w:val="center"/>
            </w:pPr>
            <w:r>
              <w:t> </w:t>
            </w:r>
          </w:p>
        </w:tc>
        <w:tc>
          <w:tcPr>
            <w:tcW w:w="344" w:type="pct"/>
            <w:hideMark/>
          </w:tcPr>
          <w:p w14:paraId="45C52D1B" w14:textId="77777777" w:rsidR="00716E85" w:rsidRDefault="00716E85">
            <w:pPr>
              <w:pStyle w:val="a3"/>
              <w:spacing w:before="0" w:beforeAutospacing="0" w:after="0" w:afterAutospacing="0"/>
              <w:jc w:val="center"/>
            </w:pPr>
            <w:r>
              <w:t> </w:t>
            </w:r>
          </w:p>
        </w:tc>
        <w:tc>
          <w:tcPr>
            <w:tcW w:w="32" w:type="pct"/>
            <w:hideMark/>
          </w:tcPr>
          <w:p w14:paraId="386032F6" w14:textId="77777777" w:rsidR="00716E85" w:rsidRDefault="00716E85">
            <w:pPr>
              <w:pStyle w:val="a3"/>
              <w:spacing w:before="0" w:beforeAutospacing="0" w:after="0" w:afterAutospacing="0"/>
              <w:jc w:val="center"/>
            </w:pPr>
            <w:r>
              <w:t> </w:t>
            </w:r>
          </w:p>
        </w:tc>
        <w:tc>
          <w:tcPr>
            <w:tcW w:w="463" w:type="pct"/>
            <w:hideMark/>
          </w:tcPr>
          <w:p w14:paraId="5D8FCC26" w14:textId="77777777" w:rsidR="00716E85" w:rsidRDefault="00716E85">
            <w:pPr>
              <w:pStyle w:val="a3"/>
              <w:spacing w:before="0" w:beforeAutospacing="0" w:after="0" w:afterAutospacing="0"/>
              <w:jc w:val="center"/>
            </w:pPr>
            <w:r>
              <w:t> </w:t>
            </w:r>
          </w:p>
        </w:tc>
        <w:tc>
          <w:tcPr>
            <w:tcW w:w="32" w:type="pct"/>
            <w:hideMark/>
          </w:tcPr>
          <w:p w14:paraId="7097C444" w14:textId="77777777" w:rsidR="00716E85" w:rsidRDefault="00716E85">
            <w:pPr>
              <w:pStyle w:val="a3"/>
              <w:spacing w:before="0" w:beforeAutospacing="0" w:after="0" w:afterAutospacing="0"/>
              <w:jc w:val="center"/>
            </w:pPr>
            <w:r>
              <w:t> </w:t>
            </w:r>
          </w:p>
        </w:tc>
        <w:tc>
          <w:tcPr>
            <w:tcW w:w="519" w:type="pct"/>
            <w:hideMark/>
          </w:tcPr>
          <w:p w14:paraId="09514537" w14:textId="77777777" w:rsidR="00716E85" w:rsidRDefault="00716E85">
            <w:pPr>
              <w:pStyle w:val="a3"/>
              <w:spacing w:before="0" w:beforeAutospacing="0" w:after="0" w:afterAutospacing="0"/>
              <w:jc w:val="center"/>
            </w:pPr>
            <w:r>
              <w:t> </w:t>
            </w:r>
          </w:p>
        </w:tc>
      </w:tr>
      <w:tr w:rsidR="00716E85" w14:paraId="6005340F" w14:textId="77777777">
        <w:trPr>
          <w:divId w:val="501630971"/>
          <w:jc w:val="center"/>
        </w:trPr>
        <w:tc>
          <w:tcPr>
            <w:tcW w:w="449" w:type="pct"/>
            <w:hideMark/>
          </w:tcPr>
          <w:p w14:paraId="58FB1747"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33B8EE5D" w14:textId="77777777" w:rsidR="00716E85" w:rsidRDefault="00716E85">
            <w:pPr>
              <w:pStyle w:val="a3"/>
              <w:spacing w:before="0" w:beforeAutospacing="0" w:after="0" w:afterAutospacing="0"/>
              <w:rPr>
                <w:sz w:val="12"/>
                <w:szCs w:val="12"/>
              </w:rPr>
            </w:pPr>
            <w:r>
              <w:rPr>
                <w:sz w:val="12"/>
                <w:szCs w:val="12"/>
              </w:rPr>
              <w:t> </w:t>
            </w:r>
          </w:p>
        </w:tc>
        <w:tc>
          <w:tcPr>
            <w:tcW w:w="2193" w:type="pct"/>
            <w:hideMark/>
          </w:tcPr>
          <w:p w14:paraId="589D2B05" w14:textId="77777777" w:rsidR="00716E85" w:rsidRDefault="00716E85">
            <w:pPr>
              <w:pStyle w:val="a3"/>
              <w:spacing w:before="0" w:beforeAutospacing="0" w:after="0" w:afterAutospacing="0"/>
              <w:jc w:val="both"/>
              <w:rPr>
                <w:sz w:val="12"/>
                <w:szCs w:val="12"/>
              </w:rPr>
            </w:pPr>
            <w:r>
              <w:rPr>
                <w:sz w:val="12"/>
                <w:szCs w:val="12"/>
              </w:rPr>
              <w:t> </w:t>
            </w:r>
          </w:p>
        </w:tc>
        <w:tc>
          <w:tcPr>
            <w:tcW w:w="33" w:type="pct"/>
            <w:hideMark/>
          </w:tcPr>
          <w:p w14:paraId="2088325D"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2400E192"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50DA51F7" w14:textId="77777777" w:rsidR="00716E85" w:rsidRDefault="00716E85">
            <w:pPr>
              <w:pStyle w:val="a3"/>
              <w:spacing w:before="0" w:beforeAutospacing="0" w:after="0" w:afterAutospacing="0"/>
              <w:rPr>
                <w:sz w:val="12"/>
                <w:szCs w:val="12"/>
              </w:rPr>
            </w:pPr>
            <w:r>
              <w:rPr>
                <w:sz w:val="12"/>
                <w:szCs w:val="12"/>
              </w:rPr>
              <w:t> </w:t>
            </w:r>
          </w:p>
        </w:tc>
        <w:tc>
          <w:tcPr>
            <w:tcW w:w="493" w:type="pct"/>
            <w:hideMark/>
          </w:tcPr>
          <w:p w14:paraId="628745D9"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7A8F7CDB"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6DB5D464" w14:textId="77777777" w:rsidR="00716E85" w:rsidRDefault="00716E85">
            <w:pPr>
              <w:pStyle w:val="a3"/>
              <w:spacing w:before="0" w:beforeAutospacing="0" w:after="0" w:afterAutospacing="0"/>
              <w:rPr>
                <w:sz w:val="12"/>
                <w:szCs w:val="12"/>
              </w:rPr>
            </w:pPr>
            <w:r>
              <w:rPr>
                <w:sz w:val="12"/>
                <w:szCs w:val="12"/>
              </w:rPr>
              <w:t> </w:t>
            </w:r>
          </w:p>
        </w:tc>
        <w:tc>
          <w:tcPr>
            <w:tcW w:w="32" w:type="pct"/>
            <w:hideMark/>
          </w:tcPr>
          <w:p w14:paraId="73A203D3" w14:textId="77777777" w:rsidR="00716E85" w:rsidRDefault="00716E85">
            <w:pPr>
              <w:pStyle w:val="a3"/>
              <w:spacing w:before="0" w:beforeAutospacing="0" w:after="0" w:afterAutospacing="0"/>
              <w:rPr>
                <w:sz w:val="12"/>
                <w:szCs w:val="12"/>
              </w:rPr>
            </w:pPr>
            <w:r>
              <w:rPr>
                <w:sz w:val="12"/>
                <w:szCs w:val="12"/>
              </w:rPr>
              <w:t> </w:t>
            </w:r>
          </w:p>
        </w:tc>
        <w:tc>
          <w:tcPr>
            <w:tcW w:w="463" w:type="pct"/>
            <w:hideMark/>
          </w:tcPr>
          <w:p w14:paraId="2979AD77" w14:textId="77777777" w:rsidR="00716E85" w:rsidRDefault="00716E85">
            <w:pPr>
              <w:pStyle w:val="a3"/>
              <w:spacing w:before="0" w:beforeAutospacing="0" w:after="0" w:afterAutospacing="0"/>
              <w:rPr>
                <w:sz w:val="12"/>
                <w:szCs w:val="12"/>
              </w:rPr>
            </w:pPr>
            <w:r>
              <w:rPr>
                <w:sz w:val="12"/>
                <w:szCs w:val="12"/>
              </w:rPr>
              <w:t> </w:t>
            </w:r>
          </w:p>
        </w:tc>
        <w:tc>
          <w:tcPr>
            <w:tcW w:w="32" w:type="pct"/>
            <w:hideMark/>
          </w:tcPr>
          <w:p w14:paraId="3C0072CA" w14:textId="77777777" w:rsidR="00716E85" w:rsidRDefault="00716E85">
            <w:pPr>
              <w:pStyle w:val="a3"/>
              <w:spacing w:before="0" w:beforeAutospacing="0" w:after="0" w:afterAutospacing="0"/>
              <w:rPr>
                <w:sz w:val="12"/>
                <w:szCs w:val="12"/>
              </w:rPr>
            </w:pPr>
            <w:r>
              <w:rPr>
                <w:sz w:val="12"/>
                <w:szCs w:val="12"/>
              </w:rPr>
              <w:t> </w:t>
            </w:r>
          </w:p>
        </w:tc>
        <w:tc>
          <w:tcPr>
            <w:tcW w:w="519" w:type="pct"/>
            <w:hideMark/>
          </w:tcPr>
          <w:p w14:paraId="784090F0" w14:textId="77777777" w:rsidR="00716E85" w:rsidRDefault="00716E85">
            <w:pPr>
              <w:pStyle w:val="a3"/>
              <w:spacing w:before="0" w:beforeAutospacing="0" w:after="0" w:afterAutospacing="0"/>
              <w:rPr>
                <w:sz w:val="12"/>
                <w:szCs w:val="12"/>
              </w:rPr>
            </w:pPr>
            <w:r>
              <w:rPr>
                <w:sz w:val="12"/>
                <w:szCs w:val="12"/>
              </w:rPr>
              <w:t> </w:t>
            </w:r>
          </w:p>
        </w:tc>
      </w:tr>
      <w:tr w:rsidR="00716E85" w14:paraId="28FF1D91" w14:textId="77777777">
        <w:trPr>
          <w:divId w:val="501630971"/>
          <w:jc w:val="center"/>
        </w:trPr>
        <w:tc>
          <w:tcPr>
            <w:tcW w:w="449" w:type="pct"/>
            <w:hideMark/>
          </w:tcPr>
          <w:p w14:paraId="42AAFA71" w14:textId="77777777" w:rsidR="00716E85" w:rsidRDefault="00716E85">
            <w:pPr>
              <w:pStyle w:val="a3"/>
              <w:spacing w:before="0" w:beforeAutospacing="0" w:after="0" w:afterAutospacing="0"/>
              <w:jc w:val="center"/>
              <w:rPr>
                <w:rFonts w:ascii="Calibri" w:hAnsi="Calibri" w:cs="Calibri"/>
                <w:sz w:val="20"/>
                <w:szCs w:val="20"/>
              </w:rPr>
            </w:pPr>
            <w:r>
              <w:rPr>
                <w:rFonts w:ascii="Calibri" w:hAnsi="Calibri" w:cs="Calibri"/>
                <w:sz w:val="20"/>
                <w:szCs w:val="20"/>
              </w:rPr>
              <w:t>31.02‡</w:t>
            </w:r>
          </w:p>
        </w:tc>
        <w:tc>
          <w:tcPr>
            <w:tcW w:w="32" w:type="pct"/>
            <w:hideMark/>
          </w:tcPr>
          <w:p w14:paraId="34569678" w14:textId="77777777" w:rsidR="00716E85" w:rsidRDefault="00716E85">
            <w:pPr>
              <w:pStyle w:val="a3"/>
              <w:spacing w:before="0" w:beforeAutospacing="0" w:after="0" w:afterAutospacing="0"/>
            </w:pPr>
            <w:r>
              <w:t> </w:t>
            </w:r>
          </w:p>
        </w:tc>
        <w:tc>
          <w:tcPr>
            <w:tcW w:w="2193" w:type="pct"/>
            <w:hideMark/>
          </w:tcPr>
          <w:p w14:paraId="78D75621" w14:textId="77777777" w:rsidR="00716E85" w:rsidRDefault="00716E85">
            <w:pPr>
              <w:pStyle w:val="a3"/>
              <w:spacing w:before="0" w:beforeAutospacing="0" w:after="0" w:afterAutospacing="0"/>
              <w:jc w:val="both"/>
              <w:rPr>
                <w:rFonts w:ascii="Calibri" w:hAnsi="Calibri" w:cs="Calibri"/>
                <w:sz w:val="20"/>
                <w:szCs w:val="20"/>
              </w:rPr>
            </w:pPr>
            <w:hyperlink r:id="rId6" w:history="1">
              <w:r>
                <w:rPr>
                  <w:rStyle w:val="a4"/>
                  <w:rFonts w:ascii="Calibri" w:hAnsi="Calibri" w:cs="Calibri"/>
                  <w:sz w:val="20"/>
                  <w:szCs w:val="20"/>
                </w:rPr>
                <w:t>Rule 13a-14(a)/15d-14(a) Certification of Principal Executive and Financial Officer</w:t>
              </w:r>
            </w:hyperlink>
          </w:p>
        </w:tc>
        <w:tc>
          <w:tcPr>
            <w:tcW w:w="33" w:type="pct"/>
            <w:hideMark/>
          </w:tcPr>
          <w:p w14:paraId="78101656" w14:textId="77777777" w:rsidR="00716E85" w:rsidRDefault="00716E85">
            <w:pPr>
              <w:pStyle w:val="a3"/>
              <w:spacing w:before="0" w:beforeAutospacing="0" w:after="0" w:afterAutospacing="0"/>
            </w:pPr>
            <w:r>
              <w:t> </w:t>
            </w:r>
          </w:p>
        </w:tc>
        <w:tc>
          <w:tcPr>
            <w:tcW w:w="344" w:type="pct"/>
            <w:hideMark/>
          </w:tcPr>
          <w:p w14:paraId="1C35E63E" w14:textId="77777777" w:rsidR="00716E85" w:rsidRDefault="00716E85">
            <w:pPr>
              <w:pStyle w:val="a3"/>
              <w:spacing w:before="0" w:beforeAutospacing="0" w:after="0" w:afterAutospacing="0"/>
            </w:pPr>
            <w:r>
              <w:t> </w:t>
            </w:r>
          </w:p>
        </w:tc>
        <w:tc>
          <w:tcPr>
            <w:tcW w:w="33" w:type="pct"/>
            <w:hideMark/>
          </w:tcPr>
          <w:p w14:paraId="5ACE9BE2" w14:textId="77777777" w:rsidR="00716E85" w:rsidRDefault="00716E85">
            <w:pPr>
              <w:pStyle w:val="a3"/>
              <w:spacing w:before="0" w:beforeAutospacing="0" w:after="0" w:afterAutospacing="0"/>
            </w:pPr>
            <w:r>
              <w:t> </w:t>
            </w:r>
          </w:p>
        </w:tc>
        <w:tc>
          <w:tcPr>
            <w:tcW w:w="493" w:type="pct"/>
            <w:hideMark/>
          </w:tcPr>
          <w:p w14:paraId="433F1241" w14:textId="77777777" w:rsidR="00716E85" w:rsidRDefault="00716E85">
            <w:pPr>
              <w:pStyle w:val="a3"/>
              <w:spacing w:before="0" w:beforeAutospacing="0" w:after="0" w:afterAutospacing="0"/>
            </w:pPr>
            <w:r>
              <w:t> </w:t>
            </w:r>
          </w:p>
        </w:tc>
        <w:tc>
          <w:tcPr>
            <w:tcW w:w="33" w:type="pct"/>
            <w:hideMark/>
          </w:tcPr>
          <w:p w14:paraId="65AC29B1" w14:textId="77777777" w:rsidR="00716E85" w:rsidRDefault="00716E85">
            <w:pPr>
              <w:pStyle w:val="a3"/>
              <w:spacing w:before="0" w:beforeAutospacing="0" w:after="0" w:afterAutospacing="0"/>
            </w:pPr>
            <w:r>
              <w:t> </w:t>
            </w:r>
          </w:p>
        </w:tc>
        <w:tc>
          <w:tcPr>
            <w:tcW w:w="344" w:type="pct"/>
            <w:hideMark/>
          </w:tcPr>
          <w:p w14:paraId="18C86297" w14:textId="77777777" w:rsidR="00716E85" w:rsidRDefault="00716E85">
            <w:pPr>
              <w:pStyle w:val="a3"/>
              <w:spacing w:before="0" w:beforeAutospacing="0" w:after="0" w:afterAutospacing="0"/>
            </w:pPr>
            <w:r>
              <w:t> </w:t>
            </w:r>
          </w:p>
        </w:tc>
        <w:tc>
          <w:tcPr>
            <w:tcW w:w="32" w:type="pct"/>
            <w:hideMark/>
          </w:tcPr>
          <w:p w14:paraId="5A7AF4EC" w14:textId="77777777" w:rsidR="00716E85" w:rsidRDefault="00716E85">
            <w:pPr>
              <w:pStyle w:val="a3"/>
              <w:spacing w:before="0" w:beforeAutospacing="0" w:after="0" w:afterAutospacing="0"/>
            </w:pPr>
            <w:r>
              <w:t> </w:t>
            </w:r>
          </w:p>
        </w:tc>
        <w:tc>
          <w:tcPr>
            <w:tcW w:w="463" w:type="pct"/>
            <w:hideMark/>
          </w:tcPr>
          <w:p w14:paraId="3A12F92C" w14:textId="77777777" w:rsidR="00716E85" w:rsidRDefault="00716E85">
            <w:pPr>
              <w:pStyle w:val="a3"/>
              <w:spacing w:before="0" w:beforeAutospacing="0" w:after="0" w:afterAutospacing="0"/>
            </w:pPr>
            <w:r>
              <w:t> </w:t>
            </w:r>
          </w:p>
        </w:tc>
        <w:tc>
          <w:tcPr>
            <w:tcW w:w="32" w:type="pct"/>
            <w:hideMark/>
          </w:tcPr>
          <w:p w14:paraId="04EDD4FF" w14:textId="77777777" w:rsidR="00716E85" w:rsidRDefault="00716E85">
            <w:pPr>
              <w:pStyle w:val="a3"/>
              <w:spacing w:before="0" w:beforeAutospacing="0" w:after="0" w:afterAutospacing="0"/>
            </w:pPr>
            <w:r>
              <w:t> </w:t>
            </w:r>
          </w:p>
        </w:tc>
        <w:tc>
          <w:tcPr>
            <w:tcW w:w="519" w:type="pct"/>
            <w:hideMark/>
          </w:tcPr>
          <w:p w14:paraId="3310DD1B" w14:textId="77777777" w:rsidR="00716E85" w:rsidRDefault="00716E85">
            <w:pPr>
              <w:pStyle w:val="a3"/>
              <w:spacing w:before="0" w:beforeAutospacing="0" w:after="0" w:afterAutospacing="0"/>
            </w:pPr>
            <w:r>
              <w:t> </w:t>
            </w:r>
          </w:p>
        </w:tc>
      </w:tr>
      <w:tr w:rsidR="00716E85" w14:paraId="6DBF8355" w14:textId="77777777">
        <w:trPr>
          <w:divId w:val="501630971"/>
          <w:jc w:val="center"/>
        </w:trPr>
        <w:tc>
          <w:tcPr>
            <w:tcW w:w="449" w:type="pct"/>
            <w:hideMark/>
          </w:tcPr>
          <w:p w14:paraId="5E1E0576"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40C46C24" w14:textId="77777777" w:rsidR="00716E85" w:rsidRDefault="00716E85">
            <w:pPr>
              <w:pStyle w:val="a3"/>
              <w:spacing w:before="0" w:beforeAutospacing="0" w:after="0" w:afterAutospacing="0"/>
              <w:rPr>
                <w:sz w:val="12"/>
                <w:szCs w:val="12"/>
              </w:rPr>
            </w:pPr>
            <w:r>
              <w:rPr>
                <w:sz w:val="12"/>
                <w:szCs w:val="12"/>
              </w:rPr>
              <w:t> </w:t>
            </w:r>
          </w:p>
        </w:tc>
        <w:tc>
          <w:tcPr>
            <w:tcW w:w="2193" w:type="pct"/>
            <w:hideMark/>
          </w:tcPr>
          <w:p w14:paraId="4A75669C" w14:textId="77777777" w:rsidR="00716E85" w:rsidRDefault="00716E85">
            <w:pPr>
              <w:pStyle w:val="a3"/>
              <w:spacing w:before="0" w:beforeAutospacing="0" w:after="0" w:afterAutospacing="0"/>
              <w:jc w:val="both"/>
              <w:rPr>
                <w:sz w:val="12"/>
                <w:szCs w:val="12"/>
              </w:rPr>
            </w:pPr>
            <w:r>
              <w:rPr>
                <w:sz w:val="12"/>
                <w:szCs w:val="12"/>
              </w:rPr>
              <w:t> </w:t>
            </w:r>
          </w:p>
        </w:tc>
        <w:tc>
          <w:tcPr>
            <w:tcW w:w="33" w:type="pct"/>
            <w:hideMark/>
          </w:tcPr>
          <w:p w14:paraId="14EE5E18"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179C7605"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6868533D" w14:textId="77777777" w:rsidR="00716E85" w:rsidRDefault="00716E85">
            <w:pPr>
              <w:pStyle w:val="a3"/>
              <w:spacing w:before="0" w:beforeAutospacing="0" w:after="0" w:afterAutospacing="0"/>
              <w:rPr>
                <w:sz w:val="12"/>
                <w:szCs w:val="12"/>
              </w:rPr>
            </w:pPr>
            <w:r>
              <w:rPr>
                <w:sz w:val="12"/>
                <w:szCs w:val="12"/>
              </w:rPr>
              <w:t> </w:t>
            </w:r>
          </w:p>
        </w:tc>
        <w:tc>
          <w:tcPr>
            <w:tcW w:w="493" w:type="pct"/>
            <w:hideMark/>
          </w:tcPr>
          <w:p w14:paraId="054E388F"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24DC80EB"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3A4A8F56" w14:textId="77777777" w:rsidR="00716E85" w:rsidRDefault="00716E85">
            <w:pPr>
              <w:pStyle w:val="a3"/>
              <w:spacing w:before="0" w:beforeAutospacing="0" w:after="0" w:afterAutospacing="0"/>
              <w:rPr>
                <w:sz w:val="12"/>
                <w:szCs w:val="12"/>
              </w:rPr>
            </w:pPr>
            <w:r>
              <w:rPr>
                <w:sz w:val="12"/>
                <w:szCs w:val="12"/>
              </w:rPr>
              <w:t> </w:t>
            </w:r>
          </w:p>
        </w:tc>
        <w:tc>
          <w:tcPr>
            <w:tcW w:w="32" w:type="pct"/>
            <w:hideMark/>
          </w:tcPr>
          <w:p w14:paraId="5969B985" w14:textId="77777777" w:rsidR="00716E85" w:rsidRDefault="00716E85">
            <w:pPr>
              <w:pStyle w:val="a3"/>
              <w:spacing w:before="0" w:beforeAutospacing="0" w:after="0" w:afterAutospacing="0"/>
              <w:rPr>
                <w:sz w:val="12"/>
                <w:szCs w:val="12"/>
              </w:rPr>
            </w:pPr>
            <w:r>
              <w:rPr>
                <w:sz w:val="12"/>
                <w:szCs w:val="12"/>
              </w:rPr>
              <w:t> </w:t>
            </w:r>
          </w:p>
        </w:tc>
        <w:tc>
          <w:tcPr>
            <w:tcW w:w="463" w:type="pct"/>
            <w:hideMark/>
          </w:tcPr>
          <w:p w14:paraId="47FF1701" w14:textId="77777777" w:rsidR="00716E85" w:rsidRDefault="00716E85">
            <w:pPr>
              <w:pStyle w:val="a3"/>
              <w:spacing w:before="0" w:beforeAutospacing="0" w:after="0" w:afterAutospacing="0"/>
              <w:rPr>
                <w:sz w:val="12"/>
                <w:szCs w:val="12"/>
              </w:rPr>
            </w:pPr>
            <w:r>
              <w:rPr>
                <w:sz w:val="12"/>
                <w:szCs w:val="12"/>
              </w:rPr>
              <w:t> </w:t>
            </w:r>
          </w:p>
        </w:tc>
        <w:tc>
          <w:tcPr>
            <w:tcW w:w="32" w:type="pct"/>
            <w:hideMark/>
          </w:tcPr>
          <w:p w14:paraId="20226C97" w14:textId="77777777" w:rsidR="00716E85" w:rsidRDefault="00716E85">
            <w:pPr>
              <w:pStyle w:val="a3"/>
              <w:spacing w:before="0" w:beforeAutospacing="0" w:after="0" w:afterAutospacing="0"/>
              <w:rPr>
                <w:sz w:val="12"/>
                <w:szCs w:val="12"/>
              </w:rPr>
            </w:pPr>
            <w:r>
              <w:rPr>
                <w:sz w:val="12"/>
                <w:szCs w:val="12"/>
              </w:rPr>
              <w:t> </w:t>
            </w:r>
          </w:p>
        </w:tc>
        <w:tc>
          <w:tcPr>
            <w:tcW w:w="519" w:type="pct"/>
            <w:hideMark/>
          </w:tcPr>
          <w:p w14:paraId="63AC8D8F" w14:textId="77777777" w:rsidR="00716E85" w:rsidRDefault="00716E85">
            <w:pPr>
              <w:pStyle w:val="a3"/>
              <w:spacing w:before="0" w:beforeAutospacing="0" w:after="0" w:afterAutospacing="0"/>
              <w:rPr>
                <w:sz w:val="12"/>
                <w:szCs w:val="12"/>
              </w:rPr>
            </w:pPr>
            <w:r>
              <w:rPr>
                <w:sz w:val="12"/>
                <w:szCs w:val="12"/>
              </w:rPr>
              <w:t> </w:t>
            </w:r>
          </w:p>
        </w:tc>
      </w:tr>
      <w:tr w:rsidR="00716E85" w14:paraId="40FEAD95" w14:textId="77777777">
        <w:trPr>
          <w:divId w:val="501630971"/>
          <w:jc w:val="center"/>
        </w:trPr>
        <w:tc>
          <w:tcPr>
            <w:tcW w:w="449" w:type="pct"/>
            <w:hideMark/>
          </w:tcPr>
          <w:p w14:paraId="671E52A8" w14:textId="77777777" w:rsidR="00716E85" w:rsidRDefault="00716E85">
            <w:pPr>
              <w:pStyle w:val="a3"/>
              <w:spacing w:before="0" w:beforeAutospacing="0" w:after="0" w:afterAutospacing="0"/>
              <w:jc w:val="center"/>
              <w:rPr>
                <w:rFonts w:ascii="Calibri" w:hAnsi="Calibri" w:cs="Calibri"/>
                <w:sz w:val="20"/>
                <w:szCs w:val="20"/>
              </w:rPr>
            </w:pPr>
            <w:r>
              <w:rPr>
                <w:rFonts w:ascii="Calibri" w:hAnsi="Calibri" w:cs="Calibri"/>
                <w:sz w:val="20"/>
                <w:szCs w:val="20"/>
              </w:rPr>
              <w:t>32.01†</w:t>
            </w:r>
          </w:p>
        </w:tc>
        <w:tc>
          <w:tcPr>
            <w:tcW w:w="32" w:type="pct"/>
            <w:hideMark/>
          </w:tcPr>
          <w:p w14:paraId="1155DDC3" w14:textId="77777777" w:rsidR="00716E85" w:rsidRDefault="00716E85">
            <w:pPr>
              <w:pStyle w:val="a3"/>
              <w:spacing w:before="0" w:beforeAutospacing="0" w:after="0" w:afterAutospacing="0"/>
            </w:pPr>
            <w:r>
              <w:t> </w:t>
            </w:r>
          </w:p>
        </w:tc>
        <w:tc>
          <w:tcPr>
            <w:tcW w:w="2193" w:type="pct"/>
            <w:hideMark/>
          </w:tcPr>
          <w:p w14:paraId="26293671" w14:textId="77777777" w:rsidR="00716E85" w:rsidRDefault="00716E85">
            <w:pPr>
              <w:pStyle w:val="a3"/>
              <w:spacing w:before="0" w:beforeAutospacing="0" w:after="0" w:afterAutospacing="0"/>
              <w:jc w:val="both"/>
              <w:rPr>
                <w:rFonts w:ascii="Calibri" w:hAnsi="Calibri" w:cs="Calibri"/>
                <w:sz w:val="20"/>
                <w:szCs w:val="20"/>
              </w:rPr>
            </w:pPr>
            <w:hyperlink r:id="rId7" w:history="1">
              <w:r>
                <w:rPr>
                  <w:rStyle w:val="a4"/>
                  <w:rFonts w:ascii="Calibri" w:hAnsi="Calibri" w:cs="Calibri"/>
                  <w:sz w:val="20"/>
                  <w:szCs w:val="20"/>
                </w:rPr>
                <w:t>Section 1350 Certification of Principal Executive Officers and Principal Financial Officer</w:t>
              </w:r>
            </w:hyperlink>
          </w:p>
        </w:tc>
        <w:tc>
          <w:tcPr>
            <w:tcW w:w="33" w:type="pct"/>
            <w:hideMark/>
          </w:tcPr>
          <w:p w14:paraId="161A5429" w14:textId="77777777" w:rsidR="00716E85" w:rsidRDefault="00716E85">
            <w:pPr>
              <w:pStyle w:val="a3"/>
              <w:spacing w:before="0" w:beforeAutospacing="0" w:after="0" w:afterAutospacing="0"/>
            </w:pPr>
            <w:r>
              <w:t> </w:t>
            </w:r>
          </w:p>
        </w:tc>
        <w:tc>
          <w:tcPr>
            <w:tcW w:w="344" w:type="pct"/>
            <w:hideMark/>
          </w:tcPr>
          <w:p w14:paraId="0B1B6AD6" w14:textId="77777777" w:rsidR="00716E85" w:rsidRDefault="00716E85">
            <w:pPr>
              <w:pStyle w:val="a3"/>
              <w:spacing w:before="0" w:beforeAutospacing="0" w:after="0" w:afterAutospacing="0"/>
            </w:pPr>
            <w:r>
              <w:t> </w:t>
            </w:r>
          </w:p>
        </w:tc>
        <w:tc>
          <w:tcPr>
            <w:tcW w:w="33" w:type="pct"/>
            <w:hideMark/>
          </w:tcPr>
          <w:p w14:paraId="35DE413A" w14:textId="77777777" w:rsidR="00716E85" w:rsidRDefault="00716E85">
            <w:pPr>
              <w:pStyle w:val="a3"/>
              <w:spacing w:before="0" w:beforeAutospacing="0" w:after="0" w:afterAutospacing="0"/>
            </w:pPr>
            <w:r>
              <w:t> </w:t>
            </w:r>
          </w:p>
        </w:tc>
        <w:tc>
          <w:tcPr>
            <w:tcW w:w="493" w:type="pct"/>
            <w:hideMark/>
          </w:tcPr>
          <w:p w14:paraId="2A790B5D" w14:textId="77777777" w:rsidR="00716E85" w:rsidRDefault="00716E85">
            <w:pPr>
              <w:pStyle w:val="a3"/>
              <w:spacing w:before="0" w:beforeAutospacing="0" w:after="0" w:afterAutospacing="0"/>
            </w:pPr>
            <w:r>
              <w:t> </w:t>
            </w:r>
          </w:p>
        </w:tc>
        <w:tc>
          <w:tcPr>
            <w:tcW w:w="33" w:type="pct"/>
            <w:hideMark/>
          </w:tcPr>
          <w:p w14:paraId="00B5B898" w14:textId="77777777" w:rsidR="00716E85" w:rsidRDefault="00716E85">
            <w:pPr>
              <w:pStyle w:val="a3"/>
              <w:spacing w:before="0" w:beforeAutospacing="0" w:after="0" w:afterAutospacing="0"/>
            </w:pPr>
            <w:r>
              <w:t> </w:t>
            </w:r>
          </w:p>
        </w:tc>
        <w:tc>
          <w:tcPr>
            <w:tcW w:w="344" w:type="pct"/>
            <w:hideMark/>
          </w:tcPr>
          <w:p w14:paraId="56774F79" w14:textId="77777777" w:rsidR="00716E85" w:rsidRDefault="00716E85">
            <w:pPr>
              <w:pStyle w:val="a3"/>
              <w:spacing w:before="0" w:beforeAutospacing="0" w:after="0" w:afterAutospacing="0"/>
            </w:pPr>
            <w:r>
              <w:t> </w:t>
            </w:r>
          </w:p>
        </w:tc>
        <w:tc>
          <w:tcPr>
            <w:tcW w:w="32" w:type="pct"/>
            <w:hideMark/>
          </w:tcPr>
          <w:p w14:paraId="3A30ADE6" w14:textId="77777777" w:rsidR="00716E85" w:rsidRDefault="00716E85">
            <w:pPr>
              <w:pStyle w:val="a3"/>
              <w:spacing w:before="0" w:beforeAutospacing="0" w:after="0" w:afterAutospacing="0"/>
            </w:pPr>
            <w:r>
              <w:t> </w:t>
            </w:r>
          </w:p>
        </w:tc>
        <w:tc>
          <w:tcPr>
            <w:tcW w:w="463" w:type="pct"/>
            <w:hideMark/>
          </w:tcPr>
          <w:p w14:paraId="788C26CB" w14:textId="77777777" w:rsidR="00716E85" w:rsidRDefault="00716E85">
            <w:pPr>
              <w:pStyle w:val="a3"/>
              <w:spacing w:before="0" w:beforeAutospacing="0" w:after="0" w:afterAutospacing="0"/>
            </w:pPr>
            <w:r>
              <w:t> </w:t>
            </w:r>
          </w:p>
        </w:tc>
        <w:tc>
          <w:tcPr>
            <w:tcW w:w="32" w:type="pct"/>
            <w:hideMark/>
          </w:tcPr>
          <w:p w14:paraId="33B93C92" w14:textId="77777777" w:rsidR="00716E85" w:rsidRDefault="00716E85">
            <w:pPr>
              <w:pStyle w:val="a3"/>
              <w:spacing w:before="0" w:beforeAutospacing="0" w:after="0" w:afterAutospacing="0"/>
            </w:pPr>
            <w:r>
              <w:t> </w:t>
            </w:r>
          </w:p>
        </w:tc>
        <w:tc>
          <w:tcPr>
            <w:tcW w:w="519" w:type="pct"/>
            <w:hideMark/>
          </w:tcPr>
          <w:p w14:paraId="64558C92" w14:textId="77777777" w:rsidR="00716E85" w:rsidRDefault="00716E85">
            <w:pPr>
              <w:pStyle w:val="a3"/>
              <w:spacing w:before="0" w:beforeAutospacing="0" w:after="0" w:afterAutospacing="0"/>
            </w:pPr>
            <w:r>
              <w:t> </w:t>
            </w:r>
          </w:p>
        </w:tc>
      </w:tr>
      <w:tr w:rsidR="00716E85" w14:paraId="3DB85BB5" w14:textId="77777777">
        <w:trPr>
          <w:divId w:val="501630971"/>
          <w:jc w:val="center"/>
        </w:trPr>
        <w:tc>
          <w:tcPr>
            <w:tcW w:w="449" w:type="pct"/>
            <w:hideMark/>
          </w:tcPr>
          <w:p w14:paraId="0556003A" w14:textId="77777777" w:rsidR="00716E85" w:rsidRDefault="00716E85">
            <w:pPr>
              <w:pStyle w:val="a3"/>
              <w:spacing w:before="0" w:beforeAutospacing="0" w:after="0" w:afterAutospacing="0"/>
              <w:jc w:val="center"/>
              <w:rPr>
                <w:sz w:val="12"/>
                <w:szCs w:val="12"/>
              </w:rPr>
            </w:pPr>
            <w:r>
              <w:rPr>
                <w:sz w:val="12"/>
                <w:szCs w:val="12"/>
              </w:rPr>
              <w:t> </w:t>
            </w:r>
          </w:p>
        </w:tc>
        <w:tc>
          <w:tcPr>
            <w:tcW w:w="32" w:type="pct"/>
            <w:hideMark/>
          </w:tcPr>
          <w:p w14:paraId="4F537568" w14:textId="77777777" w:rsidR="00716E85" w:rsidRDefault="00716E85">
            <w:pPr>
              <w:pStyle w:val="a3"/>
              <w:spacing w:before="0" w:beforeAutospacing="0" w:after="0" w:afterAutospacing="0"/>
              <w:rPr>
                <w:sz w:val="12"/>
                <w:szCs w:val="12"/>
              </w:rPr>
            </w:pPr>
            <w:r>
              <w:rPr>
                <w:sz w:val="12"/>
                <w:szCs w:val="12"/>
              </w:rPr>
              <w:t> </w:t>
            </w:r>
          </w:p>
        </w:tc>
        <w:tc>
          <w:tcPr>
            <w:tcW w:w="2193" w:type="pct"/>
            <w:hideMark/>
          </w:tcPr>
          <w:p w14:paraId="4FCBE36F" w14:textId="77777777" w:rsidR="00716E85" w:rsidRDefault="00716E85">
            <w:pPr>
              <w:pStyle w:val="a3"/>
              <w:spacing w:before="0" w:beforeAutospacing="0" w:after="0" w:afterAutospacing="0"/>
              <w:jc w:val="both"/>
              <w:rPr>
                <w:sz w:val="12"/>
                <w:szCs w:val="12"/>
              </w:rPr>
            </w:pPr>
            <w:r>
              <w:rPr>
                <w:sz w:val="12"/>
                <w:szCs w:val="12"/>
              </w:rPr>
              <w:t> </w:t>
            </w:r>
          </w:p>
        </w:tc>
        <w:tc>
          <w:tcPr>
            <w:tcW w:w="33" w:type="pct"/>
            <w:hideMark/>
          </w:tcPr>
          <w:p w14:paraId="5BE0EC32"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5ED20FF5"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3BBB0305" w14:textId="77777777" w:rsidR="00716E85" w:rsidRDefault="00716E85">
            <w:pPr>
              <w:pStyle w:val="a3"/>
              <w:spacing w:before="0" w:beforeAutospacing="0" w:after="0" w:afterAutospacing="0"/>
              <w:rPr>
                <w:sz w:val="12"/>
                <w:szCs w:val="12"/>
              </w:rPr>
            </w:pPr>
            <w:r>
              <w:rPr>
                <w:sz w:val="12"/>
                <w:szCs w:val="12"/>
              </w:rPr>
              <w:t> </w:t>
            </w:r>
          </w:p>
        </w:tc>
        <w:tc>
          <w:tcPr>
            <w:tcW w:w="493" w:type="pct"/>
            <w:hideMark/>
          </w:tcPr>
          <w:p w14:paraId="106FA891" w14:textId="77777777" w:rsidR="00716E85" w:rsidRDefault="00716E85">
            <w:pPr>
              <w:pStyle w:val="a3"/>
              <w:spacing w:before="0" w:beforeAutospacing="0" w:after="0" w:afterAutospacing="0"/>
              <w:rPr>
                <w:sz w:val="12"/>
                <w:szCs w:val="12"/>
              </w:rPr>
            </w:pPr>
            <w:r>
              <w:rPr>
                <w:sz w:val="12"/>
                <w:szCs w:val="12"/>
              </w:rPr>
              <w:t> </w:t>
            </w:r>
          </w:p>
        </w:tc>
        <w:tc>
          <w:tcPr>
            <w:tcW w:w="33" w:type="pct"/>
            <w:hideMark/>
          </w:tcPr>
          <w:p w14:paraId="26A27CAC" w14:textId="77777777" w:rsidR="00716E85" w:rsidRDefault="00716E85">
            <w:pPr>
              <w:pStyle w:val="a3"/>
              <w:spacing w:before="0" w:beforeAutospacing="0" w:after="0" w:afterAutospacing="0"/>
              <w:rPr>
                <w:sz w:val="12"/>
                <w:szCs w:val="12"/>
              </w:rPr>
            </w:pPr>
            <w:r>
              <w:rPr>
                <w:sz w:val="12"/>
                <w:szCs w:val="12"/>
              </w:rPr>
              <w:t> </w:t>
            </w:r>
          </w:p>
        </w:tc>
        <w:tc>
          <w:tcPr>
            <w:tcW w:w="344" w:type="pct"/>
            <w:hideMark/>
          </w:tcPr>
          <w:p w14:paraId="42959C97" w14:textId="77777777" w:rsidR="00716E85" w:rsidRDefault="00716E85">
            <w:pPr>
              <w:pStyle w:val="a3"/>
              <w:spacing w:before="0" w:beforeAutospacing="0" w:after="0" w:afterAutospacing="0"/>
              <w:rPr>
                <w:sz w:val="12"/>
                <w:szCs w:val="12"/>
              </w:rPr>
            </w:pPr>
            <w:r>
              <w:rPr>
                <w:sz w:val="12"/>
                <w:szCs w:val="12"/>
              </w:rPr>
              <w:t> </w:t>
            </w:r>
          </w:p>
        </w:tc>
        <w:tc>
          <w:tcPr>
            <w:tcW w:w="32" w:type="pct"/>
            <w:hideMark/>
          </w:tcPr>
          <w:p w14:paraId="00A518FD" w14:textId="77777777" w:rsidR="00716E85" w:rsidRDefault="00716E85">
            <w:pPr>
              <w:pStyle w:val="a3"/>
              <w:spacing w:before="0" w:beforeAutospacing="0" w:after="0" w:afterAutospacing="0"/>
              <w:rPr>
                <w:sz w:val="12"/>
                <w:szCs w:val="12"/>
              </w:rPr>
            </w:pPr>
            <w:r>
              <w:rPr>
                <w:sz w:val="12"/>
                <w:szCs w:val="12"/>
              </w:rPr>
              <w:t> </w:t>
            </w:r>
          </w:p>
        </w:tc>
        <w:tc>
          <w:tcPr>
            <w:tcW w:w="463" w:type="pct"/>
            <w:hideMark/>
          </w:tcPr>
          <w:p w14:paraId="58BC4400" w14:textId="77777777" w:rsidR="00716E85" w:rsidRDefault="00716E85">
            <w:pPr>
              <w:pStyle w:val="a3"/>
              <w:spacing w:before="0" w:beforeAutospacing="0" w:after="0" w:afterAutospacing="0"/>
              <w:rPr>
                <w:sz w:val="12"/>
                <w:szCs w:val="12"/>
              </w:rPr>
            </w:pPr>
            <w:r>
              <w:rPr>
                <w:sz w:val="12"/>
                <w:szCs w:val="12"/>
              </w:rPr>
              <w:t> </w:t>
            </w:r>
          </w:p>
        </w:tc>
        <w:tc>
          <w:tcPr>
            <w:tcW w:w="32" w:type="pct"/>
            <w:hideMark/>
          </w:tcPr>
          <w:p w14:paraId="4989A6A4" w14:textId="77777777" w:rsidR="00716E85" w:rsidRDefault="00716E85">
            <w:pPr>
              <w:pStyle w:val="a3"/>
              <w:spacing w:before="0" w:beforeAutospacing="0" w:after="0" w:afterAutospacing="0"/>
              <w:rPr>
                <w:sz w:val="12"/>
                <w:szCs w:val="12"/>
              </w:rPr>
            </w:pPr>
            <w:r>
              <w:rPr>
                <w:sz w:val="12"/>
                <w:szCs w:val="12"/>
              </w:rPr>
              <w:t> </w:t>
            </w:r>
          </w:p>
        </w:tc>
        <w:tc>
          <w:tcPr>
            <w:tcW w:w="519" w:type="pct"/>
            <w:hideMark/>
          </w:tcPr>
          <w:p w14:paraId="40CAC36F" w14:textId="77777777" w:rsidR="00716E85" w:rsidRDefault="00716E85">
            <w:pPr>
              <w:pStyle w:val="a3"/>
              <w:spacing w:before="0" w:beforeAutospacing="0" w:after="0" w:afterAutospacing="0"/>
              <w:rPr>
                <w:sz w:val="12"/>
                <w:szCs w:val="12"/>
              </w:rPr>
            </w:pPr>
            <w:r>
              <w:rPr>
                <w:sz w:val="12"/>
                <w:szCs w:val="12"/>
              </w:rPr>
              <w:t> </w:t>
            </w:r>
          </w:p>
        </w:tc>
      </w:tr>
      <w:tr w:rsidR="00716E85" w14:paraId="0715F8A9" w14:textId="77777777">
        <w:trPr>
          <w:divId w:val="501630971"/>
          <w:jc w:val="center"/>
        </w:trPr>
        <w:tc>
          <w:tcPr>
            <w:tcW w:w="449" w:type="pct"/>
            <w:hideMark/>
          </w:tcPr>
          <w:p w14:paraId="64A2F52F" w14:textId="77777777" w:rsidR="00716E85" w:rsidRDefault="00716E85">
            <w:pPr>
              <w:pStyle w:val="a3"/>
              <w:spacing w:before="0" w:beforeAutospacing="0" w:after="0" w:afterAutospacing="0"/>
              <w:jc w:val="center"/>
              <w:rPr>
                <w:rFonts w:ascii="Calibri" w:hAnsi="Calibri" w:cs="Calibri"/>
                <w:sz w:val="20"/>
                <w:szCs w:val="20"/>
              </w:rPr>
            </w:pPr>
            <w:r>
              <w:rPr>
                <w:rFonts w:ascii="Calibri" w:hAnsi="Calibri" w:cs="Calibri"/>
                <w:sz w:val="20"/>
                <w:szCs w:val="20"/>
              </w:rPr>
              <w:t>101‡</w:t>
            </w:r>
          </w:p>
        </w:tc>
        <w:tc>
          <w:tcPr>
            <w:tcW w:w="32" w:type="pct"/>
            <w:hideMark/>
          </w:tcPr>
          <w:p w14:paraId="5AA50262" w14:textId="77777777" w:rsidR="00716E85" w:rsidRDefault="00716E85">
            <w:pPr>
              <w:pStyle w:val="a3"/>
              <w:spacing w:before="0" w:beforeAutospacing="0" w:after="0" w:afterAutospacing="0"/>
            </w:pPr>
            <w:r>
              <w:t> </w:t>
            </w:r>
          </w:p>
        </w:tc>
        <w:tc>
          <w:tcPr>
            <w:tcW w:w="2193" w:type="pct"/>
            <w:hideMark/>
          </w:tcPr>
          <w:p w14:paraId="0759628A" w14:textId="77777777" w:rsidR="00716E85" w:rsidRDefault="00716E85">
            <w:pPr>
              <w:pStyle w:val="a3"/>
              <w:spacing w:before="0" w:beforeAutospacing="0" w:after="0" w:afterAutospacing="0"/>
              <w:jc w:val="both"/>
              <w:rPr>
                <w:rFonts w:ascii="Calibri" w:hAnsi="Calibri" w:cs="Calibri"/>
                <w:sz w:val="20"/>
                <w:szCs w:val="20"/>
              </w:rPr>
            </w:pPr>
            <w:r>
              <w:rPr>
                <w:rFonts w:ascii="Calibri" w:hAnsi="Calibri" w:cs="Calibri"/>
                <w:sz w:val="20"/>
                <w:szCs w:val="20"/>
              </w:rPr>
              <w:t>Interactive Data Files Pursuant to Rule 405 of Regulation S-T: (i) Condensed Consolidated Balance Sheets as of February 28, 2019 and May 31, 2018, (ii) Condensed Consolidated Statements of Operations for the three and nine months ended February 28, 2019 and 2018, (iii) Condensed Consolidated Statements of Comprehensive Income (Loss) for the three and nine months ended February 28, 2019 and 2018, (iv) Condensed Consolidated Statements of Cash Flows for the nine months ended February 28, 2019 and 2018 and (v) Notes to Condensed Consolidated Financial Statements</w:t>
            </w:r>
          </w:p>
        </w:tc>
        <w:tc>
          <w:tcPr>
            <w:tcW w:w="33" w:type="pct"/>
            <w:hideMark/>
          </w:tcPr>
          <w:p w14:paraId="0B26020E" w14:textId="77777777" w:rsidR="00716E85" w:rsidRDefault="00716E85">
            <w:pPr>
              <w:pStyle w:val="a3"/>
              <w:spacing w:before="0" w:beforeAutospacing="0" w:after="0" w:afterAutospacing="0"/>
            </w:pPr>
            <w:r>
              <w:t> </w:t>
            </w:r>
          </w:p>
        </w:tc>
        <w:tc>
          <w:tcPr>
            <w:tcW w:w="344" w:type="pct"/>
            <w:hideMark/>
          </w:tcPr>
          <w:p w14:paraId="4C299639" w14:textId="77777777" w:rsidR="00716E85" w:rsidRDefault="00716E85">
            <w:pPr>
              <w:pStyle w:val="a3"/>
              <w:spacing w:before="0" w:beforeAutospacing="0" w:after="0" w:afterAutospacing="0"/>
            </w:pPr>
            <w:r>
              <w:t> </w:t>
            </w:r>
          </w:p>
        </w:tc>
        <w:tc>
          <w:tcPr>
            <w:tcW w:w="33" w:type="pct"/>
            <w:hideMark/>
          </w:tcPr>
          <w:p w14:paraId="7274D8F4" w14:textId="77777777" w:rsidR="00716E85" w:rsidRDefault="00716E85">
            <w:pPr>
              <w:pStyle w:val="a3"/>
              <w:spacing w:before="0" w:beforeAutospacing="0" w:after="0" w:afterAutospacing="0"/>
            </w:pPr>
            <w:r>
              <w:t> </w:t>
            </w:r>
          </w:p>
        </w:tc>
        <w:tc>
          <w:tcPr>
            <w:tcW w:w="493" w:type="pct"/>
            <w:hideMark/>
          </w:tcPr>
          <w:p w14:paraId="07B3F717" w14:textId="77777777" w:rsidR="00716E85" w:rsidRDefault="00716E85">
            <w:pPr>
              <w:pStyle w:val="a3"/>
              <w:spacing w:before="0" w:beforeAutospacing="0" w:after="0" w:afterAutospacing="0"/>
            </w:pPr>
            <w:r>
              <w:t> </w:t>
            </w:r>
          </w:p>
        </w:tc>
        <w:tc>
          <w:tcPr>
            <w:tcW w:w="33" w:type="pct"/>
            <w:hideMark/>
          </w:tcPr>
          <w:p w14:paraId="1E1AD6F1" w14:textId="77777777" w:rsidR="00716E85" w:rsidRDefault="00716E85">
            <w:pPr>
              <w:pStyle w:val="a3"/>
              <w:spacing w:before="0" w:beforeAutospacing="0" w:after="0" w:afterAutospacing="0"/>
            </w:pPr>
            <w:r>
              <w:t> </w:t>
            </w:r>
          </w:p>
        </w:tc>
        <w:tc>
          <w:tcPr>
            <w:tcW w:w="344" w:type="pct"/>
            <w:hideMark/>
          </w:tcPr>
          <w:p w14:paraId="06B4AE20" w14:textId="77777777" w:rsidR="00716E85" w:rsidRDefault="00716E85">
            <w:pPr>
              <w:pStyle w:val="a3"/>
              <w:spacing w:before="0" w:beforeAutospacing="0" w:after="0" w:afterAutospacing="0"/>
            </w:pPr>
            <w:r>
              <w:t> </w:t>
            </w:r>
          </w:p>
        </w:tc>
        <w:tc>
          <w:tcPr>
            <w:tcW w:w="32" w:type="pct"/>
            <w:hideMark/>
          </w:tcPr>
          <w:p w14:paraId="5C88BB8B" w14:textId="77777777" w:rsidR="00716E85" w:rsidRDefault="00716E85">
            <w:pPr>
              <w:pStyle w:val="a3"/>
              <w:spacing w:before="0" w:beforeAutospacing="0" w:after="0" w:afterAutospacing="0"/>
            </w:pPr>
            <w:r>
              <w:t> </w:t>
            </w:r>
          </w:p>
        </w:tc>
        <w:tc>
          <w:tcPr>
            <w:tcW w:w="463" w:type="pct"/>
            <w:hideMark/>
          </w:tcPr>
          <w:p w14:paraId="048FAD00" w14:textId="77777777" w:rsidR="00716E85" w:rsidRDefault="00716E85">
            <w:pPr>
              <w:pStyle w:val="a3"/>
              <w:spacing w:before="0" w:beforeAutospacing="0" w:after="0" w:afterAutospacing="0"/>
            </w:pPr>
            <w:r>
              <w:t> </w:t>
            </w:r>
          </w:p>
        </w:tc>
        <w:tc>
          <w:tcPr>
            <w:tcW w:w="32" w:type="pct"/>
            <w:hideMark/>
          </w:tcPr>
          <w:p w14:paraId="16EC82E3" w14:textId="77777777" w:rsidR="00716E85" w:rsidRDefault="00716E85">
            <w:pPr>
              <w:pStyle w:val="a3"/>
              <w:spacing w:before="0" w:beforeAutospacing="0" w:after="0" w:afterAutospacing="0"/>
            </w:pPr>
            <w:r>
              <w:t> </w:t>
            </w:r>
          </w:p>
        </w:tc>
        <w:tc>
          <w:tcPr>
            <w:tcW w:w="519" w:type="pct"/>
            <w:hideMark/>
          </w:tcPr>
          <w:p w14:paraId="0A66068D" w14:textId="77777777" w:rsidR="00716E85" w:rsidRDefault="00716E85">
            <w:pPr>
              <w:pStyle w:val="a3"/>
              <w:spacing w:before="0" w:beforeAutospacing="0" w:after="0" w:afterAutospacing="0"/>
            </w:pPr>
            <w:r>
              <w:t> </w:t>
            </w:r>
          </w:p>
        </w:tc>
      </w:tr>
    </w:tbl>
    <w:p w14:paraId="70F13007" w14:textId="77777777" w:rsidR="00716E85" w:rsidRDefault="00716E85">
      <w:pPr>
        <w:pStyle w:val="a3"/>
        <w:pBdr>
          <w:bottom w:val="single" w:sz="8" w:space="1" w:color="auto"/>
        </w:pBdr>
        <w:spacing w:before="0" w:beforeAutospacing="0" w:after="0" w:afterAutospacing="0"/>
        <w:ind w:right="10477"/>
      </w:pPr>
      <w:r>
        <w:t> </w:t>
      </w:r>
    </w:p>
    <w:tbl>
      <w:tblPr>
        <w:tblW w:w="5000" w:type="pct"/>
        <w:tblCellMar>
          <w:left w:w="0" w:type="dxa"/>
          <w:right w:w="0" w:type="dxa"/>
        </w:tblCellMar>
        <w:tblLook w:val="04A0" w:firstRow="1" w:lastRow="0" w:firstColumn="1" w:lastColumn="0" w:noHBand="0" w:noVBand="1"/>
      </w:tblPr>
      <w:tblGrid>
        <w:gridCol w:w="319"/>
        <w:gridCol w:w="7987"/>
      </w:tblGrid>
      <w:tr w:rsidR="00716E85" w14:paraId="4414AC56" w14:textId="77777777">
        <w:tc>
          <w:tcPr>
            <w:tcW w:w="192" w:type="pct"/>
            <w:noWrap/>
            <w:hideMark/>
          </w:tcPr>
          <w:p w14:paraId="6FCC6511" w14:textId="77777777" w:rsidR="00716E85" w:rsidRDefault="00716E85">
            <w:pPr>
              <w:pStyle w:val="a3"/>
              <w:spacing w:before="40" w:beforeAutospacing="0" w:after="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hideMark/>
          </w:tcPr>
          <w:p w14:paraId="0F4E2601" w14:textId="77777777" w:rsidR="00716E85" w:rsidRDefault="00716E85">
            <w:pPr>
              <w:pStyle w:val="a3"/>
              <w:spacing w:before="40" w:beforeAutospacing="0" w:after="0" w:afterAutospacing="0"/>
              <w:jc w:val="both"/>
              <w:rPr>
                <w:rFonts w:ascii="Calibri" w:hAnsi="Calibri" w:cs="Calibri"/>
                <w:color w:val="000000"/>
                <w:sz w:val="15"/>
                <w:szCs w:val="15"/>
              </w:rPr>
            </w:pPr>
            <w:r>
              <w:rPr>
                <w:rFonts w:ascii="Calibri" w:hAnsi="Calibri" w:cs="Calibri"/>
                <w:color w:val="000000"/>
                <w:sz w:val="15"/>
                <w:szCs w:val="15"/>
              </w:rPr>
              <w:t>Indicates management contract or compensatory plan or arrangement.</w:t>
            </w:r>
          </w:p>
        </w:tc>
      </w:tr>
    </w:tbl>
    <w:p w14:paraId="68242D04"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20CB505E" w14:textId="77777777">
        <w:tc>
          <w:tcPr>
            <w:tcW w:w="192" w:type="pct"/>
            <w:noWrap/>
            <w:hideMark/>
          </w:tcPr>
          <w:p w14:paraId="4EDFE11F" w14:textId="77777777" w:rsidR="00716E85" w:rsidRDefault="00716E85">
            <w:pPr>
              <w:pStyle w:val="a3"/>
              <w:spacing w:before="40" w:beforeAutospacing="0" w:after="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hideMark/>
          </w:tcPr>
          <w:p w14:paraId="7DCC46F6" w14:textId="77777777" w:rsidR="00716E85" w:rsidRDefault="00716E85">
            <w:pPr>
              <w:pStyle w:val="a3"/>
              <w:spacing w:before="40" w:beforeAutospacing="0" w:after="0" w:afterAutospacing="0"/>
              <w:jc w:val="both"/>
              <w:rPr>
                <w:rFonts w:ascii="Calibri" w:hAnsi="Calibri" w:cs="Calibri"/>
                <w:color w:val="000000"/>
                <w:sz w:val="19"/>
                <w:szCs w:val="19"/>
              </w:rPr>
            </w:pPr>
            <w:r>
              <w:rPr>
                <w:rFonts w:ascii="Calibri" w:hAnsi="Calibri" w:cs="Calibri"/>
                <w:color w:val="000000"/>
                <w:sz w:val="15"/>
                <w:szCs w:val="15"/>
              </w:rPr>
              <w:t>Filed herewith</w:t>
            </w:r>
            <w:r>
              <w:rPr>
                <w:rFonts w:ascii="Calibri" w:hAnsi="Calibri" w:cs="Calibri"/>
                <w:color w:val="000000"/>
                <w:sz w:val="19"/>
                <w:szCs w:val="19"/>
              </w:rPr>
              <w:t>.</w:t>
            </w:r>
          </w:p>
        </w:tc>
      </w:tr>
    </w:tbl>
    <w:p w14:paraId="32D6E983" w14:textId="77777777" w:rsidR="00716E85" w:rsidRDefault="00716E85">
      <w:pPr>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7987"/>
      </w:tblGrid>
      <w:tr w:rsidR="00716E85" w14:paraId="4876E6C9" w14:textId="77777777">
        <w:tc>
          <w:tcPr>
            <w:tcW w:w="192" w:type="pct"/>
            <w:noWrap/>
            <w:hideMark/>
          </w:tcPr>
          <w:p w14:paraId="79C90560" w14:textId="77777777" w:rsidR="00716E85" w:rsidRDefault="00716E85">
            <w:pPr>
              <w:pStyle w:val="a3"/>
              <w:spacing w:before="60" w:beforeAutospacing="0" w:after="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hideMark/>
          </w:tcPr>
          <w:p w14:paraId="2FE03C52" w14:textId="77777777" w:rsidR="00716E85" w:rsidRDefault="00716E85">
            <w:pPr>
              <w:pStyle w:val="a3"/>
              <w:spacing w:before="60" w:beforeAutospacing="0" w:after="0" w:afterAutospacing="0"/>
              <w:jc w:val="both"/>
              <w:rPr>
                <w:rFonts w:ascii="Calibri" w:hAnsi="Calibri" w:cs="Calibri"/>
                <w:color w:val="000000"/>
                <w:sz w:val="19"/>
                <w:szCs w:val="19"/>
              </w:rPr>
            </w:pPr>
            <w:r>
              <w:rPr>
                <w:rFonts w:ascii="Calibri" w:hAnsi="Calibri" w:cs="Calibri"/>
                <w:color w:val="000000"/>
                <w:sz w:val="15"/>
                <w:szCs w:val="15"/>
              </w:rPr>
              <w:t>Furnished herewith.</w:t>
            </w:r>
          </w:p>
        </w:tc>
      </w:tr>
    </w:tbl>
    <w:p w14:paraId="1480946C"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53</w:t>
      </w:r>
    </w:p>
    <w:p w14:paraId="23CAC030" w14:textId="77777777" w:rsidR="00716E85" w:rsidRDefault="00716E85">
      <w:pPr>
        <w:rPr>
          <w:rFonts w:ascii="Times New Roman" w:eastAsia="Times New Roman" w:hAnsi="Times New Roman" w:cs="Times New Roman"/>
          <w:sz w:val="24"/>
          <w:szCs w:val="24"/>
        </w:rPr>
      </w:pPr>
      <w:r>
        <w:rPr>
          <w:rFonts w:eastAsia="Times New Roman"/>
        </w:rPr>
        <w:pict w14:anchorId="3D0371E5">
          <v:rect id="_x0000_i1079" style="width:415.3pt;height:1.5pt" o:hralign="center" o:hrstd="t" o:hr="t" fillcolor="#a0a0a0" stroked="f"/>
        </w:pict>
      </w:r>
    </w:p>
    <w:p w14:paraId="343BB9D2" w14:textId="77777777" w:rsidR="00716E85" w:rsidRDefault="00716E85">
      <w:pPr>
        <w:pStyle w:val="a3"/>
        <w:spacing w:before="0" w:beforeAutospacing="0" w:after="0" w:afterAutospacing="0"/>
        <w:rPr>
          <w:rFonts w:ascii="Calibri" w:hAnsi="Calibri" w:cs="Calibri"/>
          <w:b/>
          <w:bCs/>
          <w:sz w:val="20"/>
          <w:szCs w:val="20"/>
        </w:rPr>
      </w:pPr>
      <w:hyperlink w:anchor="TABLE_CONTENTS" w:history="1">
        <w:r>
          <w:rPr>
            <w:rStyle w:val="a4"/>
            <w:rFonts w:ascii="Calibri" w:hAnsi="Calibri" w:cs="Calibri"/>
            <w:b/>
            <w:bCs/>
            <w:sz w:val="20"/>
            <w:szCs w:val="20"/>
          </w:rPr>
          <w:t>Table of Contents</w:t>
        </w:r>
      </w:hyperlink>
    </w:p>
    <w:p w14:paraId="72547298" w14:textId="77777777" w:rsidR="00716E85" w:rsidRDefault="00716E85">
      <w:pPr>
        <w:pStyle w:val="a3"/>
        <w:spacing w:before="0" w:beforeAutospacing="0" w:after="0" w:afterAutospacing="0"/>
        <w:rPr>
          <w:sz w:val="20"/>
          <w:szCs w:val="20"/>
        </w:rPr>
      </w:pPr>
      <w:r>
        <w:rPr>
          <w:sz w:val="20"/>
          <w:szCs w:val="20"/>
        </w:rPr>
        <w:t> </w:t>
      </w:r>
    </w:p>
    <w:p w14:paraId="2CBD3219" w14:textId="77777777" w:rsidR="00716E85" w:rsidRDefault="00716E85">
      <w:pPr>
        <w:pStyle w:val="a3"/>
        <w:spacing w:before="0" w:beforeAutospacing="0" w:after="0" w:afterAutospacing="0"/>
        <w:jc w:val="center"/>
        <w:rPr>
          <w:rFonts w:ascii="Calibri" w:hAnsi="Calibri" w:cs="Calibri"/>
          <w:b/>
          <w:bCs/>
          <w:sz w:val="20"/>
          <w:szCs w:val="20"/>
        </w:rPr>
      </w:pPr>
      <w:bookmarkStart w:id="68" w:name="_AEIOULastRenderedPageBreakAEIOU52"/>
      <w:bookmarkStart w:id="69" w:name="SIGNATURES"/>
      <w:bookmarkEnd w:id="68"/>
      <w:bookmarkEnd w:id="69"/>
      <w:r>
        <w:rPr>
          <w:rFonts w:ascii="Calibri" w:hAnsi="Calibri" w:cs="Calibri"/>
          <w:b/>
          <w:bCs/>
          <w:sz w:val="20"/>
          <w:szCs w:val="20"/>
        </w:rPr>
        <w:t>SIGNATURES</w:t>
      </w:r>
    </w:p>
    <w:p w14:paraId="7137ACBD" w14:textId="77777777" w:rsidR="00716E85" w:rsidRDefault="00716E85">
      <w:pPr>
        <w:pStyle w:val="a3"/>
        <w:spacing w:before="120" w:beforeAutospacing="0" w:after="0" w:afterAutospacing="0"/>
        <w:jc w:val="both"/>
        <w:rPr>
          <w:rFonts w:ascii="Calibri" w:hAnsi="Calibri" w:cs="Calibri"/>
          <w:sz w:val="20"/>
          <w:szCs w:val="20"/>
        </w:rPr>
      </w:pPr>
      <w:r>
        <w:rPr>
          <w:rFonts w:ascii="Calibri" w:hAnsi="Calibri" w:cs="Calibri"/>
          <w:sz w:val="20"/>
          <w:szCs w:val="20"/>
        </w:rPr>
        <w:t>Pursuant to the requirements of the Securities Exchange Act of 1934, Oracle Corporation has duly caused this report to be signed on its behalf by the undersigned, thereunto duly authorized.</w:t>
      </w:r>
    </w:p>
    <w:p w14:paraId="7FEACFAF" w14:textId="77777777" w:rsidR="00716E85" w:rsidRDefault="00716E85">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799"/>
        <w:gridCol w:w="61"/>
        <w:gridCol w:w="253"/>
        <w:gridCol w:w="61"/>
        <w:gridCol w:w="4132"/>
      </w:tblGrid>
      <w:tr w:rsidR="00716E85" w14:paraId="482D4759" w14:textId="77777777">
        <w:trPr>
          <w:divId w:val="368652420"/>
          <w:jc w:val="center"/>
        </w:trPr>
        <w:tc>
          <w:tcPr>
            <w:tcW w:w="2300" w:type="pct"/>
            <w:vAlign w:val="center"/>
            <w:hideMark/>
          </w:tcPr>
          <w:p w14:paraId="6E2E64AF"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50" w:type="pct"/>
            <w:vAlign w:val="bottom"/>
            <w:hideMark/>
          </w:tcPr>
          <w:p w14:paraId="04D96E03"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gridSpan w:val="3"/>
            <w:hideMark/>
          </w:tcPr>
          <w:p w14:paraId="245E13E0" w14:textId="77777777" w:rsidR="00716E85" w:rsidRDefault="00716E85">
            <w:pPr>
              <w:pStyle w:val="a3"/>
              <w:spacing w:before="0" w:beforeAutospacing="0" w:after="0" w:afterAutospacing="0"/>
              <w:rPr>
                <w:rFonts w:ascii="Calibri" w:hAnsi="Calibri" w:cs="Calibri"/>
                <w:b/>
                <w:bCs/>
                <w:sz w:val="20"/>
                <w:szCs w:val="20"/>
              </w:rPr>
            </w:pPr>
            <w:r>
              <w:rPr>
                <w:rFonts w:ascii="Calibri" w:hAnsi="Calibri" w:cs="Calibri"/>
                <w:b/>
                <w:bCs/>
                <w:sz w:val="20"/>
                <w:szCs w:val="20"/>
              </w:rPr>
              <w:t>ORACLE CORPORATION</w:t>
            </w:r>
          </w:p>
        </w:tc>
      </w:tr>
      <w:tr w:rsidR="00716E85" w14:paraId="12AE922C" w14:textId="77777777">
        <w:trPr>
          <w:divId w:val="368652420"/>
          <w:trHeight w:val="192"/>
          <w:jc w:val="center"/>
        </w:trPr>
        <w:tc>
          <w:tcPr>
            <w:tcW w:w="2300" w:type="pct"/>
            <w:vAlign w:val="center"/>
            <w:hideMark/>
          </w:tcPr>
          <w:p w14:paraId="0C170C68" w14:textId="77777777" w:rsidR="00716E85" w:rsidRDefault="00716E85">
            <w:pPr>
              <w:pStyle w:val="a3"/>
              <w:spacing w:before="0" w:beforeAutospacing="0" w:after="0" w:afterAutospacing="0"/>
            </w:pPr>
            <w:r>
              <w:t> </w:t>
            </w:r>
          </w:p>
        </w:tc>
        <w:tc>
          <w:tcPr>
            <w:tcW w:w="50" w:type="pct"/>
            <w:vAlign w:val="center"/>
            <w:hideMark/>
          </w:tcPr>
          <w:p w14:paraId="6B43BAE9" w14:textId="77777777" w:rsidR="00716E85" w:rsidRDefault="00716E85">
            <w:pPr>
              <w:pStyle w:val="a3"/>
              <w:spacing w:before="0" w:beforeAutospacing="0" w:after="0" w:afterAutospacing="0"/>
            </w:pPr>
            <w:r>
              <w:t> </w:t>
            </w:r>
          </w:p>
        </w:tc>
        <w:tc>
          <w:tcPr>
            <w:tcW w:w="100" w:type="pct"/>
            <w:gridSpan w:val="3"/>
            <w:vAlign w:val="center"/>
            <w:hideMark/>
          </w:tcPr>
          <w:p w14:paraId="20666147" w14:textId="77777777" w:rsidR="00716E85" w:rsidRDefault="00716E85">
            <w:pPr>
              <w:pStyle w:val="a3"/>
              <w:spacing w:before="0" w:beforeAutospacing="0" w:after="0" w:afterAutospacing="0"/>
            </w:pPr>
            <w:r>
              <w:t> </w:t>
            </w:r>
          </w:p>
        </w:tc>
      </w:tr>
      <w:tr w:rsidR="00716E85" w14:paraId="64EB8EA8" w14:textId="77777777">
        <w:trPr>
          <w:divId w:val="368652420"/>
          <w:jc w:val="center"/>
        </w:trPr>
        <w:tc>
          <w:tcPr>
            <w:tcW w:w="2300" w:type="pct"/>
            <w:hideMark/>
          </w:tcPr>
          <w:p w14:paraId="4E2A705C"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Date: March 18, 2019</w:t>
            </w:r>
          </w:p>
        </w:tc>
        <w:tc>
          <w:tcPr>
            <w:tcW w:w="50" w:type="pct"/>
            <w:vAlign w:val="bottom"/>
            <w:hideMark/>
          </w:tcPr>
          <w:p w14:paraId="4D25531C"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hideMark/>
          </w:tcPr>
          <w:p w14:paraId="2BF24346"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By:</w:t>
            </w:r>
          </w:p>
        </w:tc>
        <w:tc>
          <w:tcPr>
            <w:tcW w:w="50" w:type="pct"/>
            <w:vAlign w:val="bottom"/>
            <w:hideMark/>
          </w:tcPr>
          <w:p w14:paraId="080B8FB4"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hideMark/>
          </w:tcPr>
          <w:p w14:paraId="3E949381"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716E85" w14:paraId="1547B9EA" w14:textId="77777777">
        <w:trPr>
          <w:divId w:val="368652420"/>
          <w:jc w:val="center"/>
        </w:trPr>
        <w:tc>
          <w:tcPr>
            <w:tcW w:w="2300" w:type="pct"/>
            <w:vAlign w:val="center"/>
            <w:hideMark/>
          </w:tcPr>
          <w:p w14:paraId="3BCCB838" w14:textId="77777777" w:rsidR="00716E85" w:rsidRDefault="00716E85">
            <w:pPr>
              <w:pStyle w:val="a3"/>
              <w:spacing w:before="0" w:beforeAutospacing="0" w:after="0" w:afterAutospacing="0"/>
            </w:pPr>
            <w:r>
              <w:t> </w:t>
            </w:r>
          </w:p>
        </w:tc>
        <w:tc>
          <w:tcPr>
            <w:tcW w:w="50" w:type="pct"/>
            <w:vAlign w:val="bottom"/>
            <w:hideMark/>
          </w:tcPr>
          <w:p w14:paraId="37C4197B"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hideMark/>
          </w:tcPr>
          <w:p w14:paraId="7912550D" w14:textId="77777777" w:rsidR="00716E85" w:rsidRDefault="00716E85">
            <w:pPr>
              <w:pStyle w:val="a3"/>
              <w:spacing w:before="0" w:beforeAutospacing="0" w:after="0" w:afterAutospacing="0"/>
            </w:pPr>
            <w:r>
              <w:t> </w:t>
            </w:r>
          </w:p>
        </w:tc>
        <w:tc>
          <w:tcPr>
            <w:tcW w:w="50" w:type="pct"/>
            <w:vAlign w:val="bottom"/>
            <w:hideMark/>
          </w:tcPr>
          <w:p w14:paraId="4F55DDF7"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hideMark/>
          </w:tcPr>
          <w:p w14:paraId="2C312B84"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Safra A. Catz</w:t>
            </w:r>
          </w:p>
          <w:p w14:paraId="755F382C"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xml:space="preserve">Chief Executive Officer and Director </w:t>
            </w:r>
          </w:p>
          <w:p w14:paraId="60FAEC4A"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(Principal Executive and Financial Officer)</w:t>
            </w:r>
          </w:p>
        </w:tc>
      </w:tr>
      <w:tr w:rsidR="00716E85" w14:paraId="45D6A1B3" w14:textId="77777777">
        <w:trPr>
          <w:divId w:val="368652420"/>
          <w:jc w:val="center"/>
        </w:trPr>
        <w:tc>
          <w:tcPr>
            <w:tcW w:w="2300" w:type="pct"/>
            <w:vAlign w:val="center"/>
            <w:hideMark/>
          </w:tcPr>
          <w:p w14:paraId="7BB3F01D"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50" w:type="pct"/>
            <w:vAlign w:val="bottom"/>
            <w:hideMark/>
          </w:tcPr>
          <w:p w14:paraId="410F8BE2"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hideMark/>
          </w:tcPr>
          <w:p w14:paraId="0C7646FB" w14:textId="77777777" w:rsidR="00716E85" w:rsidRDefault="00716E85">
            <w:pPr>
              <w:pStyle w:val="a3"/>
              <w:spacing w:before="0" w:beforeAutospacing="0" w:after="0" w:afterAutospacing="0"/>
            </w:pPr>
            <w:r>
              <w:t> </w:t>
            </w:r>
          </w:p>
        </w:tc>
        <w:tc>
          <w:tcPr>
            <w:tcW w:w="50" w:type="pct"/>
            <w:vAlign w:val="bottom"/>
            <w:hideMark/>
          </w:tcPr>
          <w:p w14:paraId="308DB18C"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2500" w:type="pct"/>
            <w:hideMark/>
          </w:tcPr>
          <w:p w14:paraId="46E121B3" w14:textId="77777777" w:rsidR="00716E85" w:rsidRDefault="00716E85">
            <w:pPr>
              <w:pStyle w:val="a3"/>
              <w:spacing w:before="0" w:beforeAutospacing="0" w:after="0" w:afterAutospacing="0"/>
            </w:pPr>
            <w:r>
              <w:t> </w:t>
            </w:r>
          </w:p>
        </w:tc>
      </w:tr>
      <w:tr w:rsidR="00716E85" w14:paraId="284E2E17" w14:textId="77777777">
        <w:trPr>
          <w:divId w:val="368652420"/>
          <w:jc w:val="center"/>
        </w:trPr>
        <w:tc>
          <w:tcPr>
            <w:tcW w:w="2300" w:type="pct"/>
            <w:hideMark/>
          </w:tcPr>
          <w:p w14:paraId="5606296A"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Date: March 18, 2019</w:t>
            </w:r>
          </w:p>
        </w:tc>
        <w:tc>
          <w:tcPr>
            <w:tcW w:w="50" w:type="pct"/>
            <w:vAlign w:val="bottom"/>
            <w:hideMark/>
          </w:tcPr>
          <w:p w14:paraId="456FBC19"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hideMark/>
          </w:tcPr>
          <w:p w14:paraId="6A8FD6D5"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By:</w:t>
            </w:r>
          </w:p>
        </w:tc>
        <w:tc>
          <w:tcPr>
            <w:tcW w:w="50" w:type="pct"/>
            <w:vAlign w:val="bottom"/>
            <w:hideMark/>
          </w:tcPr>
          <w:p w14:paraId="2B319BB9"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hideMark/>
          </w:tcPr>
          <w:p w14:paraId="292FC2BA"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716E85" w14:paraId="64071288" w14:textId="77777777">
        <w:trPr>
          <w:divId w:val="368652420"/>
          <w:jc w:val="center"/>
        </w:trPr>
        <w:tc>
          <w:tcPr>
            <w:tcW w:w="2300" w:type="pct"/>
            <w:vAlign w:val="center"/>
            <w:hideMark/>
          </w:tcPr>
          <w:p w14:paraId="5A4AFDFF" w14:textId="77777777" w:rsidR="00716E85" w:rsidRDefault="00716E85">
            <w:pPr>
              <w:pStyle w:val="a3"/>
              <w:spacing w:before="0" w:beforeAutospacing="0" w:after="0" w:afterAutospacing="0"/>
            </w:pPr>
            <w:r>
              <w:t> </w:t>
            </w:r>
          </w:p>
        </w:tc>
        <w:tc>
          <w:tcPr>
            <w:tcW w:w="50" w:type="pct"/>
            <w:vAlign w:val="bottom"/>
            <w:hideMark/>
          </w:tcPr>
          <w:p w14:paraId="09FF1115"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hideMark/>
          </w:tcPr>
          <w:p w14:paraId="193F0642" w14:textId="77777777" w:rsidR="00716E85" w:rsidRDefault="00716E85">
            <w:pPr>
              <w:pStyle w:val="a3"/>
              <w:spacing w:before="0" w:beforeAutospacing="0" w:after="0" w:afterAutospacing="0"/>
            </w:pPr>
            <w:r>
              <w:t> </w:t>
            </w:r>
          </w:p>
        </w:tc>
        <w:tc>
          <w:tcPr>
            <w:tcW w:w="50" w:type="pct"/>
            <w:vAlign w:val="bottom"/>
            <w:hideMark/>
          </w:tcPr>
          <w:p w14:paraId="21DFCB39"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hideMark/>
          </w:tcPr>
          <w:p w14:paraId="21841ADB"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William Corey West</w:t>
            </w:r>
          </w:p>
        </w:tc>
      </w:tr>
      <w:tr w:rsidR="00716E85" w14:paraId="2243F2B5" w14:textId="77777777">
        <w:trPr>
          <w:divId w:val="368652420"/>
          <w:jc w:val="center"/>
        </w:trPr>
        <w:tc>
          <w:tcPr>
            <w:tcW w:w="2300" w:type="pct"/>
            <w:vAlign w:val="center"/>
            <w:hideMark/>
          </w:tcPr>
          <w:p w14:paraId="7E5ED67A" w14:textId="77777777" w:rsidR="00716E85" w:rsidRDefault="00716E85">
            <w:pPr>
              <w:pStyle w:val="a3"/>
              <w:spacing w:before="0" w:beforeAutospacing="0" w:after="0" w:afterAutospacing="0"/>
            </w:pPr>
            <w:r>
              <w:t> </w:t>
            </w:r>
          </w:p>
        </w:tc>
        <w:tc>
          <w:tcPr>
            <w:tcW w:w="50" w:type="pct"/>
            <w:vAlign w:val="bottom"/>
            <w:hideMark/>
          </w:tcPr>
          <w:p w14:paraId="1756F5D1"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100" w:type="pct"/>
            <w:hideMark/>
          </w:tcPr>
          <w:p w14:paraId="7E211130" w14:textId="77777777" w:rsidR="00716E85" w:rsidRDefault="00716E85">
            <w:pPr>
              <w:pStyle w:val="a3"/>
              <w:spacing w:before="0" w:beforeAutospacing="0" w:after="0" w:afterAutospacing="0"/>
            </w:pPr>
            <w:r>
              <w:t> </w:t>
            </w:r>
          </w:p>
        </w:tc>
        <w:tc>
          <w:tcPr>
            <w:tcW w:w="50" w:type="pct"/>
            <w:vAlign w:val="bottom"/>
            <w:hideMark/>
          </w:tcPr>
          <w:p w14:paraId="559D5C77"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w:t>
            </w:r>
          </w:p>
        </w:tc>
        <w:tc>
          <w:tcPr>
            <w:tcW w:w="2500" w:type="pct"/>
            <w:hideMark/>
          </w:tcPr>
          <w:p w14:paraId="10F12F27"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 xml:space="preserve">Executive Vice President, Corporate Controller </w:t>
            </w:r>
          </w:p>
          <w:p w14:paraId="0FAAB08E" w14:textId="77777777" w:rsidR="00716E85" w:rsidRDefault="00716E85">
            <w:pPr>
              <w:pStyle w:val="a3"/>
              <w:spacing w:before="0" w:beforeAutospacing="0" w:after="0" w:afterAutospacing="0"/>
              <w:rPr>
                <w:rFonts w:ascii="Calibri" w:hAnsi="Calibri" w:cs="Calibri"/>
                <w:sz w:val="20"/>
                <w:szCs w:val="20"/>
              </w:rPr>
            </w:pPr>
            <w:r>
              <w:rPr>
                <w:rFonts w:ascii="Calibri" w:hAnsi="Calibri" w:cs="Calibri"/>
                <w:sz w:val="20"/>
                <w:szCs w:val="20"/>
              </w:rPr>
              <w:t>and Chief Accounting Officer</w:t>
            </w:r>
          </w:p>
        </w:tc>
      </w:tr>
    </w:tbl>
    <w:p w14:paraId="23C2C94C" w14:textId="77777777" w:rsidR="00716E85" w:rsidRDefault="00716E85">
      <w:pPr>
        <w:pStyle w:val="a3"/>
        <w:spacing w:before="0" w:beforeAutospacing="0" w:after="0" w:afterAutospacing="0"/>
        <w:rPr>
          <w:sz w:val="12"/>
          <w:szCs w:val="12"/>
        </w:rPr>
      </w:pPr>
      <w:r>
        <w:rPr>
          <w:sz w:val="12"/>
          <w:szCs w:val="12"/>
        </w:rPr>
        <w:t> </w:t>
      </w:r>
    </w:p>
    <w:p w14:paraId="02B11D4A" w14:textId="77777777" w:rsidR="00716E85" w:rsidRDefault="00716E85">
      <w:pPr>
        <w:pStyle w:val="a3"/>
        <w:spacing w:before="0" w:beforeAutospacing="0" w:after="0" w:afterAutospacing="0"/>
        <w:rPr>
          <w:sz w:val="18"/>
          <w:szCs w:val="18"/>
        </w:rPr>
      </w:pPr>
      <w:r>
        <w:rPr>
          <w:sz w:val="18"/>
          <w:szCs w:val="18"/>
        </w:rPr>
        <w:t> </w:t>
      </w:r>
    </w:p>
    <w:p w14:paraId="5FBD4798" w14:textId="77777777" w:rsidR="00716E85" w:rsidRDefault="00716E85">
      <w:pPr>
        <w:pStyle w:val="a3"/>
        <w:spacing w:before="240" w:beforeAutospacing="0" w:after="0" w:afterAutospacing="0"/>
        <w:jc w:val="center"/>
        <w:rPr>
          <w:rFonts w:ascii="Calibri" w:hAnsi="Calibri" w:cs="Calibri"/>
          <w:sz w:val="20"/>
          <w:szCs w:val="20"/>
        </w:rPr>
      </w:pPr>
      <w:r>
        <w:rPr>
          <w:rFonts w:ascii="Calibri" w:hAnsi="Calibri" w:cs="Calibri"/>
          <w:sz w:val="20"/>
          <w:szCs w:val="20"/>
        </w:rPr>
        <w:t>54</w:t>
      </w:r>
    </w:p>
    <w:p w14:paraId="32A968B1" w14:textId="77777777" w:rsidR="00D821B2" w:rsidRPr="00716E85" w:rsidRDefault="00D821B2" w:rsidP="00716E85"/>
    <w:sectPr w:rsidR="00D821B2" w:rsidRPr="00716E85" w:rsidSect="00005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85"/>
    <w:rsid w:val="00716E85"/>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7D75"/>
  <w15:chartTrackingRefBased/>
  <w15:docId w15:val="{1176C4FA-52A6-408D-AC4E-19483DEE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16E85"/>
    <w:pPr>
      <w:widowControl/>
      <w:spacing w:before="100" w:beforeAutospacing="1" w:after="100" w:afterAutospacing="1"/>
      <w:jc w:val="left"/>
    </w:pPr>
    <w:rPr>
      <w:rFonts w:ascii="Times New Roman" w:hAnsi="Times New Roman" w:cs="Times New Roman"/>
      <w:kern w:val="0"/>
      <w:sz w:val="24"/>
      <w:szCs w:val="24"/>
    </w:rPr>
  </w:style>
  <w:style w:type="paragraph" w:styleId="a3">
    <w:name w:val="Normal (Web)"/>
    <w:basedOn w:val="a"/>
    <w:uiPriority w:val="99"/>
    <w:semiHidden/>
    <w:unhideWhenUsed/>
    <w:rsid w:val="00716E85"/>
    <w:pPr>
      <w:widowControl/>
      <w:spacing w:before="100" w:beforeAutospacing="1" w:after="100" w:afterAutospacing="1"/>
      <w:jc w:val="left"/>
    </w:pPr>
    <w:rPr>
      <w:rFonts w:ascii="Times New Roman" w:hAnsi="Times New Roman" w:cs="Times New Roman"/>
      <w:kern w:val="0"/>
      <w:sz w:val="24"/>
      <w:szCs w:val="24"/>
    </w:rPr>
  </w:style>
  <w:style w:type="character" w:styleId="a4">
    <w:name w:val="Hyperlink"/>
    <w:basedOn w:val="a0"/>
    <w:uiPriority w:val="99"/>
    <w:semiHidden/>
    <w:unhideWhenUsed/>
    <w:rsid w:val="00716E85"/>
    <w:rPr>
      <w:color w:val="0000FF"/>
      <w:u w:val="single"/>
    </w:rPr>
  </w:style>
  <w:style w:type="character" w:styleId="a5">
    <w:name w:val="FollowedHyperlink"/>
    <w:basedOn w:val="a0"/>
    <w:uiPriority w:val="99"/>
    <w:semiHidden/>
    <w:unhideWhenUsed/>
    <w:rsid w:val="00716E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43">
      <w:marLeft w:val="0"/>
      <w:marRight w:val="0"/>
      <w:marTop w:val="0"/>
      <w:marBottom w:val="0"/>
      <w:divBdr>
        <w:top w:val="none" w:sz="0" w:space="0" w:color="auto"/>
        <w:left w:val="none" w:sz="0" w:space="0" w:color="auto"/>
        <w:bottom w:val="none" w:sz="0" w:space="0" w:color="auto"/>
        <w:right w:val="none" w:sz="0" w:space="0" w:color="auto"/>
      </w:divBdr>
    </w:div>
    <w:div w:id="60560584">
      <w:marLeft w:val="0"/>
      <w:marRight w:val="0"/>
      <w:marTop w:val="0"/>
      <w:marBottom w:val="0"/>
      <w:divBdr>
        <w:top w:val="none" w:sz="0" w:space="0" w:color="auto"/>
        <w:left w:val="none" w:sz="0" w:space="0" w:color="auto"/>
        <w:bottom w:val="none" w:sz="0" w:space="0" w:color="auto"/>
        <w:right w:val="none" w:sz="0" w:space="0" w:color="auto"/>
      </w:divBdr>
    </w:div>
    <w:div w:id="338775197">
      <w:marLeft w:val="0"/>
      <w:marRight w:val="0"/>
      <w:marTop w:val="0"/>
      <w:marBottom w:val="0"/>
      <w:divBdr>
        <w:top w:val="none" w:sz="0" w:space="0" w:color="auto"/>
        <w:left w:val="none" w:sz="0" w:space="0" w:color="auto"/>
        <w:bottom w:val="none" w:sz="0" w:space="0" w:color="auto"/>
        <w:right w:val="none" w:sz="0" w:space="0" w:color="auto"/>
      </w:divBdr>
    </w:div>
    <w:div w:id="347871659">
      <w:marLeft w:val="0"/>
      <w:marRight w:val="0"/>
      <w:marTop w:val="0"/>
      <w:marBottom w:val="0"/>
      <w:divBdr>
        <w:top w:val="none" w:sz="0" w:space="0" w:color="auto"/>
        <w:left w:val="none" w:sz="0" w:space="0" w:color="auto"/>
        <w:bottom w:val="none" w:sz="0" w:space="0" w:color="auto"/>
        <w:right w:val="none" w:sz="0" w:space="0" w:color="auto"/>
      </w:divBdr>
    </w:div>
    <w:div w:id="352583825">
      <w:marLeft w:val="0"/>
      <w:marRight w:val="0"/>
      <w:marTop w:val="0"/>
      <w:marBottom w:val="0"/>
      <w:divBdr>
        <w:top w:val="none" w:sz="0" w:space="0" w:color="auto"/>
        <w:left w:val="none" w:sz="0" w:space="0" w:color="auto"/>
        <w:bottom w:val="none" w:sz="0" w:space="0" w:color="auto"/>
        <w:right w:val="none" w:sz="0" w:space="0" w:color="auto"/>
      </w:divBdr>
    </w:div>
    <w:div w:id="368652420">
      <w:marLeft w:val="0"/>
      <w:marRight w:val="0"/>
      <w:marTop w:val="0"/>
      <w:marBottom w:val="0"/>
      <w:divBdr>
        <w:top w:val="none" w:sz="0" w:space="0" w:color="auto"/>
        <w:left w:val="none" w:sz="0" w:space="0" w:color="auto"/>
        <w:bottom w:val="none" w:sz="0" w:space="0" w:color="auto"/>
        <w:right w:val="none" w:sz="0" w:space="0" w:color="auto"/>
      </w:divBdr>
    </w:div>
    <w:div w:id="450442986">
      <w:marLeft w:val="0"/>
      <w:marRight w:val="0"/>
      <w:marTop w:val="0"/>
      <w:marBottom w:val="0"/>
      <w:divBdr>
        <w:top w:val="none" w:sz="0" w:space="0" w:color="auto"/>
        <w:left w:val="none" w:sz="0" w:space="0" w:color="auto"/>
        <w:bottom w:val="none" w:sz="0" w:space="0" w:color="auto"/>
        <w:right w:val="none" w:sz="0" w:space="0" w:color="auto"/>
      </w:divBdr>
    </w:div>
    <w:div w:id="489517872">
      <w:marLeft w:val="0"/>
      <w:marRight w:val="0"/>
      <w:marTop w:val="0"/>
      <w:marBottom w:val="0"/>
      <w:divBdr>
        <w:top w:val="none" w:sz="0" w:space="0" w:color="auto"/>
        <w:left w:val="none" w:sz="0" w:space="0" w:color="auto"/>
        <w:bottom w:val="none" w:sz="0" w:space="0" w:color="auto"/>
        <w:right w:val="none" w:sz="0" w:space="0" w:color="auto"/>
      </w:divBdr>
    </w:div>
    <w:div w:id="501630971">
      <w:marLeft w:val="0"/>
      <w:marRight w:val="0"/>
      <w:marTop w:val="0"/>
      <w:marBottom w:val="0"/>
      <w:divBdr>
        <w:top w:val="none" w:sz="0" w:space="0" w:color="auto"/>
        <w:left w:val="none" w:sz="0" w:space="0" w:color="auto"/>
        <w:bottom w:val="none" w:sz="0" w:space="0" w:color="auto"/>
        <w:right w:val="none" w:sz="0" w:space="0" w:color="auto"/>
      </w:divBdr>
    </w:div>
    <w:div w:id="549223550">
      <w:marLeft w:val="0"/>
      <w:marRight w:val="0"/>
      <w:marTop w:val="0"/>
      <w:marBottom w:val="0"/>
      <w:divBdr>
        <w:top w:val="none" w:sz="0" w:space="0" w:color="auto"/>
        <w:left w:val="none" w:sz="0" w:space="0" w:color="auto"/>
        <w:bottom w:val="none" w:sz="0" w:space="0" w:color="auto"/>
        <w:right w:val="none" w:sz="0" w:space="0" w:color="auto"/>
      </w:divBdr>
    </w:div>
    <w:div w:id="632907690">
      <w:marLeft w:val="0"/>
      <w:marRight w:val="0"/>
      <w:marTop w:val="0"/>
      <w:marBottom w:val="0"/>
      <w:divBdr>
        <w:top w:val="none" w:sz="0" w:space="0" w:color="auto"/>
        <w:left w:val="none" w:sz="0" w:space="0" w:color="auto"/>
        <w:bottom w:val="none" w:sz="0" w:space="0" w:color="auto"/>
        <w:right w:val="none" w:sz="0" w:space="0" w:color="auto"/>
      </w:divBdr>
    </w:div>
    <w:div w:id="754941214">
      <w:marLeft w:val="0"/>
      <w:marRight w:val="0"/>
      <w:marTop w:val="0"/>
      <w:marBottom w:val="0"/>
      <w:divBdr>
        <w:top w:val="none" w:sz="0" w:space="0" w:color="auto"/>
        <w:left w:val="none" w:sz="0" w:space="0" w:color="auto"/>
        <w:bottom w:val="none" w:sz="0" w:space="0" w:color="auto"/>
        <w:right w:val="none" w:sz="0" w:space="0" w:color="auto"/>
      </w:divBdr>
    </w:div>
    <w:div w:id="795220007">
      <w:marLeft w:val="0"/>
      <w:marRight w:val="0"/>
      <w:marTop w:val="0"/>
      <w:marBottom w:val="0"/>
      <w:divBdr>
        <w:top w:val="none" w:sz="0" w:space="0" w:color="auto"/>
        <w:left w:val="none" w:sz="0" w:space="0" w:color="auto"/>
        <w:bottom w:val="none" w:sz="0" w:space="0" w:color="auto"/>
        <w:right w:val="none" w:sz="0" w:space="0" w:color="auto"/>
      </w:divBdr>
    </w:div>
    <w:div w:id="873881133">
      <w:marLeft w:val="0"/>
      <w:marRight w:val="0"/>
      <w:marTop w:val="0"/>
      <w:marBottom w:val="0"/>
      <w:divBdr>
        <w:top w:val="none" w:sz="0" w:space="0" w:color="auto"/>
        <w:left w:val="none" w:sz="0" w:space="0" w:color="auto"/>
        <w:bottom w:val="none" w:sz="0" w:space="0" w:color="auto"/>
        <w:right w:val="none" w:sz="0" w:space="0" w:color="auto"/>
      </w:divBdr>
    </w:div>
    <w:div w:id="907303063">
      <w:marLeft w:val="0"/>
      <w:marRight w:val="0"/>
      <w:marTop w:val="0"/>
      <w:marBottom w:val="0"/>
      <w:divBdr>
        <w:top w:val="none" w:sz="0" w:space="0" w:color="auto"/>
        <w:left w:val="none" w:sz="0" w:space="0" w:color="auto"/>
        <w:bottom w:val="none" w:sz="0" w:space="0" w:color="auto"/>
        <w:right w:val="none" w:sz="0" w:space="0" w:color="auto"/>
      </w:divBdr>
    </w:div>
    <w:div w:id="939029867">
      <w:marLeft w:val="0"/>
      <w:marRight w:val="0"/>
      <w:marTop w:val="0"/>
      <w:marBottom w:val="0"/>
      <w:divBdr>
        <w:top w:val="none" w:sz="0" w:space="0" w:color="auto"/>
        <w:left w:val="none" w:sz="0" w:space="0" w:color="auto"/>
        <w:bottom w:val="none" w:sz="0" w:space="0" w:color="auto"/>
        <w:right w:val="none" w:sz="0" w:space="0" w:color="auto"/>
      </w:divBdr>
    </w:div>
    <w:div w:id="968584018">
      <w:marLeft w:val="0"/>
      <w:marRight w:val="0"/>
      <w:marTop w:val="0"/>
      <w:marBottom w:val="0"/>
      <w:divBdr>
        <w:top w:val="none" w:sz="0" w:space="0" w:color="auto"/>
        <w:left w:val="none" w:sz="0" w:space="0" w:color="auto"/>
        <w:bottom w:val="none" w:sz="0" w:space="0" w:color="auto"/>
        <w:right w:val="none" w:sz="0" w:space="0" w:color="auto"/>
      </w:divBdr>
    </w:div>
    <w:div w:id="1018392633">
      <w:marLeft w:val="0"/>
      <w:marRight w:val="0"/>
      <w:marTop w:val="0"/>
      <w:marBottom w:val="0"/>
      <w:divBdr>
        <w:top w:val="none" w:sz="0" w:space="0" w:color="auto"/>
        <w:left w:val="none" w:sz="0" w:space="0" w:color="auto"/>
        <w:bottom w:val="none" w:sz="0" w:space="0" w:color="auto"/>
        <w:right w:val="none" w:sz="0" w:space="0" w:color="auto"/>
      </w:divBdr>
    </w:div>
    <w:div w:id="1103451172">
      <w:marLeft w:val="0"/>
      <w:marRight w:val="0"/>
      <w:marTop w:val="0"/>
      <w:marBottom w:val="0"/>
      <w:divBdr>
        <w:top w:val="none" w:sz="0" w:space="0" w:color="auto"/>
        <w:left w:val="none" w:sz="0" w:space="0" w:color="auto"/>
        <w:bottom w:val="none" w:sz="0" w:space="0" w:color="auto"/>
        <w:right w:val="none" w:sz="0" w:space="0" w:color="auto"/>
      </w:divBdr>
    </w:div>
    <w:div w:id="1167213131">
      <w:marLeft w:val="0"/>
      <w:marRight w:val="0"/>
      <w:marTop w:val="0"/>
      <w:marBottom w:val="0"/>
      <w:divBdr>
        <w:top w:val="none" w:sz="0" w:space="0" w:color="auto"/>
        <w:left w:val="none" w:sz="0" w:space="0" w:color="auto"/>
        <w:bottom w:val="none" w:sz="0" w:space="0" w:color="auto"/>
        <w:right w:val="none" w:sz="0" w:space="0" w:color="auto"/>
      </w:divBdr>
    </w:div>
    <w:div w:id="1212577979">
      <w:marLeft w:val="0"/>
      <w:marRight w:val="0"/>
      <w:marTop w:val="0"/>
      <w:marBottom w:val="0"/>
      <w:divBdr>
        <w:top w:val="none" w:sz="0" w:space="0" w:color="auto"/>
        <w:left w:val="none" w:sz="0" w:space="0" w:color="auto"/>
        <w:bottom w:val="none" w:sz="0" w:space="0" w:color="auto"/>
        <w:right w:val="none" w:sz="0" w:space="0" w:color="auto"/>
      </w:divBdr>
    </w:div>
    <w:div w:id="1340498320">
      <w:marLeft w:val="0"/>
      <w:marRight w:val="0"/>
      <w:marTop w:val="0"/>
      <w:marBottom w:val="0"/>
      <w:divBdr>
        <w:top w:val="none" w:sz="0" w:space="0" w:color="auto"/>
        <w:left w:val="none" w:sz="0" w:space="0" w:color="auto"/>
        <w:bottom w:val="none" w:sz="0" w:space="0" w:color="auto"/>
        <w:right w:val="none" w:sz="0" w:space="0" w:color="auto"/>
      </w:divBdr>
    </w:div>
    <w:div w:id="1369135896">
      <w:marLeft w:val="0"/>
      <w:marRight w:val="0"/>
      <w:marTop w:val="0"/>
      <w:marBottom w:val="0"/>
      <w:divBdr>
        <w:top w:val="none" w:sz="0" w:space="0" w:color="auto"/>
        <w:left w:val="none" w:sz="0" w:space="0" w:color="auto"/>
        <w:bottom w:val="none" w:sz="0" w:space="0" w:color="auto"/>
        <w:right w:val="none" w:sz="0" w:space="0" w:color="auto"/>
      </w:divBdr>
    </w:div>
    <w:div w:id="1381901666">
      <w:marLeft w:val="0"/>
      <w:marRight w:val="0"/>
      <w:marTop w:val="0"/>
      <w:marBottom w:val="0"/>
      <w:divBdr>
        <w:top w:val="none" w:sz="0" w:space="0" w:color="auto"/>
        <w:left w:val="none" w:sz="0" w:space="0" w:color="auto"/>
        <w:bottom w:val="none" w:sz="0" w:space="0" w:color="auto"/>
        <w:right w:val="none" w:sz="0" w:space="0" w:color="auto"/>
      </w:divBdr>
    </w:div>
    <w:div w:id="1417365107">
      <w:marLeft w:val="0"/>
      <w:marRight w:val="0"/>
      <w:marTop w:val="0"/>
      <w:marBottom w:val="0"/>
      <w:divBdr>
        <w:top w:val="none" w:sz="0" w:space="0" w:color="auto"/>
        <w:left w:val="none" w:sz="0" w:space="0" w:color="auto"/>
        <w:bottom w:val="none" w:sz="0" w:space="0" w:color="auto"/>
        <w:right w:val="none" w:sz="0" w:space="0" w:color="auto"/>
      </w:divBdr>
    </w:div>
    <w:div w:id="1439133611">
      <w:marLeft w:val="0"/>
      <w:marRight w:val="0"/>
      <w:marTop w:val="0"/>
      <w:marBottom w:val="0"/>
      <w:divBdr>
        <w:top w:val="none" w:sz="0" w:space="0" w:color="auto"/>
        <w:left w:val="none" w:sz="0" w:space="0" w:color="auto"/>
        <w:bottom w:val="none" w:sz="0" w:space="0" w:color="auto"/>
        <w:right w:val="none" w:sz="0" w:space="0" w:color="auto"/>
      </w:divBdr>
    </w:div>
    <w:div w:id="1548830366">
      <w:marLeft w:val="0"/>
      <w:marRight w:val="0"/>
      <w:marTop w:val="0"/>
      <w:marBottom w:val="0"/>
      <w:divBdr>
        <w:top w:val="none" w:sz="0" w:space="0" w:color="auto"/>
        <w:left w:val="none" w:sz="0" w:space="0" w:color="auto"/>
        <w:bottom w:val="none" w:sz="0" w:space="0" w:color="auto"/>
        <w:right w:val="none" w:sz="0" w:space="0" w:color="auto"/>
      </w:divBdr>
    </w:div>
    <w:div w:id="1597442987">
      <w:marLeft w:val="0"/>
      <w:marRight w:val="0"/>
      <w:marTop w:val="0"/>
      <w:marBottom w:val="0"/>
      <w:divBdr>
        <w:top w:val="none" w:sz="0" w:space="0" w:color="auto"/>
        <w:left w:val="none" w:sz="0" w:space="0" w:color="auto"/>
        <w:bottom w:val="none" w:sz="0" w:space="0" w:color="auto"/>
        <w:right w:val="none" w:sz="0" w:space="0" w:color="auto"/>
      </w:divBdr>
    </w:div>
    <w:div w:id="1647851484">
      <w:marLeft w:val="0"/>
      <w:marRight w:val="0"/>
      <w:marTop w:val="0"/>
      <w:marBottom w:val="0"/>
      <w:divBdr>
        <w:top w:val="none" w:sz="0" w:space="0" w:color="auto"/>
        <w:left w:val="none" w:sz="0" w:space="0" w:color="auto"/>
        <w:bottom w:val="none" w:sz="0" w:space="0" w:color="auto"/>
        <w:right w:val="none" w:sz="0" w:space="0" w:color="auto"/>
      </w:divBdr>
    </w:div>
    <w:div w:id="1781030067">
      <w:marLeft w:val="0"/>
      <w:marRight w:val="0"/>
      <w:marTop w:val="0"/>
      <w:marBottom w:val="0"/>
      <w:divBdr>
        <w:top w:val="none" w:sz="0" w:space="0" w:color="auto"/>
        <w:left w:val="none" w:sz="0" w:space="0" w:color="auto"/>
        <w:bottom w:val="none" w:sz="0" w:space="0" w:color="auto"/>
        <w:right w:val="none" w:sz="0" w:space="0" w:color="auto"/>
      </w:divBdr>
    </w:div>
    <w:div w:id="1816948076">
      <w:marLeft w:val="0"/>
      <w:marRight w:val="0"/>
      <w:marTop w:val="0"/>
      <w:marBottom w:val="0"/>
      <w:divBdr>
        <w:top w:val="none" w:sz="0" w:space="0" w:color="auto"/>
        <w:left w:val="none" w:sz="0" w:space="0" w:color="auto"/>
        <w:bottom w:val="none" w:sz="0" w:space="0" w:color="auto"/>
        <w:right w:val="none" w:sz="0" w:space="0" w:color="auto"/>
      </w:divBdr>
    </w:div>
    <w:div w:id="1926111523">
      <w:marLeft w:val="0"/>
      <w:marRight w:val="0"/>
      <w:marTop w:val="0"/>
      <w:marBottom w:val="0"/>
      <w:divBdr>
        <w:top w:val="none" w:sz="0" w:space="0" w:color="auto"/>
        <w:left w:val="none" w:sz="0" w:space="0" w:color="auto"/>
        <w:bottom w:val="none" w:sz="0" w:space="0" w:color="auto"/>
        <w:right w:val="none" w:sz="0" w:space="0" w:color="auto"/>
      </w:divBdr>
    </w:div>
    <w:div w:id="1928878112">
      <w:marLeft w:val="0"/>
      <w:marRight w:val="0"/>
      <w:marTop w:val="0"/>
      <w:marBottom w:val="0"/>
      <w:divBdr>
        <w:top w:val="none" w:sz="0" w:space="0" w:color="auto"/>
        <w:left w:val="none" w:sz="0" w:space="0" w:color="auto"/>
        <w:bottom w:val="none" w:sz="0" w:space="0" w:color="auto"/>
        <w:right w:val="none" w:sz="0" w:space="0" w:color="auto"/>
      </w:divBdr>
    </w:div>
    <w:div w:id="1940940741">
      <w:marLeft w:val="0"/>
      <w:marRight w:val="0"/>
      <w:marTop w:val="0"/>
      <w:marBottom w:val="0"/>
      <w:divBdr>
        <w:top w:val="none" w:sz="0" w:space="0" w:color="auto"/>
        <w:left w:val="none" w:sz="0" w:space="0" w:color="auto"/>
        <w:bottom w:val="none" w:sz="0" w:space="0" w:color="auto"/>
        <w:right w:val="none" w:sz="0" w:space="0" w:color="auto"/>
      </w:divBdr>
    </w:div>
    <w:div w:id="194171738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orcl-ex3201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orcl-ex3102_6.htm" TargetMode="External"/><Relationship Id="rId5" Type="http://schemas.openxmlformats.org/officeDocument/2006/relationships/hyperlink" Target="orcl-ex3101_8.htm" TargetMode="External"/><Relationship Id="rId4" Type="http://schemas.openxmlformats.org/officeDocument/2006/relationships/hyperlink" Target="orcl-ex1009_117.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29927</Words>
  <Characters>170587</Characters>
  <Application>Microsoft Office Word</Application>
  <DocSecurity>0</DocSecurity>
  <Lines>1421</Lines>
  <Paragraphs>400</Paragraphs>
  <ScaleCrop>false</ScaleCrop>
  <Company/>
  <LinksUpToDate>false</LinksUpToDate>
  <CharactersWithSpaces>200114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2023-04-06T06:15:00Z</dcterms:created>
  <dcterms:modified xsi:type="dcterms:W3CDTF">2023-04-06T06:15:00Z</dcterms:modified>
</cp:coreProperties>
</file>